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575945</wp:posOffset>
            </wp:positionH>
            <wp:positionV relativeFrom="page">
              <wp:posOffset>139065</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158" w:lineRule="exact"/>
        <w:rPr>
          <w:sz w:val="24"/>
          <w:szCs w:val="24"/>
          <w:color w:val="auto"/>
        </w:rPr>
      </w:pPr>
    </w:p>
    <w:p>
      <w:pPr>
        <w:ind w:left="440"/>
        <w:spacing w:after="0"/>
        <w:rPr>
          <w:sz w:val="20"/>
          <w:szCs w:val="20"/>
          <w:color w:val="auto"/>
        </w:rPr>
      </w:pPr>
      <w:r>
        <w:rPr>
          <w:rFonts w:ascii="Arial" w:cs="Arial" w:eastAsia="Arial" w:hAnsi="Arial"/>
          <w:sz w:val="13"/>
          <w:szCs w:val="13"/>
          <w:color w:val="auto"/>
        </w:rPr>
        <w:t>(Mark One)</w:t>
      </w:r>
    </w:p>
    <w:p>
      <w:pPr>
        <w:spacing w:after="0" w:line="14" w:lineRule="exact"/>
        <w:rPr>
          <w:sz w:val="24"/>
          <w:szCs w:val="24"/>
          <w:color w:val="auto"/>
        </w:rPr>
      </w:pPr>
    </w:p>
    <w:p>
      <w:pPr>
        <w:ind w:left="1700" w:hanging="1009"/>
        <w:spacing w:after="0"/>
        <w:tabs>
          <w:tab w:leader="none" w:pos="17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For the Quarterly Period Ended September 30, 2010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5" w:lineRule="exact"/>
        <w:rPr>
          <w:sz w:val="24"/>
          <w:szCs w:val="24"/>
          <w:color w:val="auto"/>
        </w:rPr>
      </w:pPr>
    </w:p>
    <w:p>
      <w:pPr>
        <w:ind w:left="1700" w:hanging="979"/>
        <w:spacing w:after="0"/>
        <w:tabs>
          <w:tab w:leader="none" w:pos="17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ind w:left="1700"/>
        <w:spacing w:after="0"/>
        <w:rPr>
          <w:sz w:val="20"/>
          <w:szCs w:val="20"/>
          <w:color w:val="auto"/>
        </w:rPr>
      </w:pPr>
      <w:r>
        <w:rPr>
          <w:rFonts w:ascii="Arial" w:cs="Arial" w:eastAsia="Arial" w:hAnsi="Arial"/>
          <w:sz w:val="13"/>
          <w:szCs w:val="13"/>
          <w:b w:val="1"/>
          <w:bCs w:val="1"/>
          <w:color w:val="auto"/>
        </w:rPr>
        <w:t>For the transition period from to</w:t>
      </w:r>
    </w:p>
    <w:p>
      <w:pPr>
        <w:spacing w:after="0" w:line="151" w:lineRule="exact"/>
        <w:rPr>
          <w:sz w:val="24"/>
          <w:szCs w:val="24"/>
          <w:color w:val="auto"/>
        </w:rPr>
      </w:pPr>
    </w:p>
    <w:tbl>
      <w:tblPr>
        <w:tblLayout w:type="fixed"/>
        <w:tblInd w:w="1860" w:type="dxa"/>
        <w:tblCellMar>
          <w:top w:w="0" w:type="dxa"/>
          <w:left w:w="0" w:type="dxa"/>
          <w:bottom w:w="0" w:type="dxa"/>
          <w:right w:w="0" w:type="dxa"/>
        </w:tblCellMar>
      </w:tblPr>
      <w:tr>
        <w:trPr>
          <w:trHeight w:val="169"/>
        </w:trPr>
        <w:tc>
          <w:tcPr>
            <w:tcW w:w="1380" w:type="dxa"/>
            <w:vAlign w:val="bottom"/>
          </w:tcPr>
          <w:p>
            <w:pPr>
              <w:spacing w:after="0"/>
              <w:rPr>
                <w:sz w:val="14"/>
                <w:szCs w:val="14"/>
                <w:color w:val="auto"/>
              </w:rPr>
            </w:pPr>
          </w:p>
        </w:tc>
        <w:tc>
          <w:tcPr>
            <w:tcW w:w="4740" w:type="dxa"/>
            <w:vAlign w:val="bottom"/>
          </w:tcPr>
          <w:p>
            <w:pPr>
              <w:jc w:val="center"/>
              <w:ind w:right="115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490"/>
        </w:trPr>
        <w:tc>
          <w:tcPr>
            <w:tcW w:w="1380" w:type="dxa"/>
            <w:vAlign w:val="bottom"/>
          </w:tcPr>
          <w:p>
            <w:pPr>
              <w:spacing w:after="0"/>
              <w:rPr>
                <w:sz w:val="24"/>
                <w:szCs w:val="24"/>
                <w:color w:val="auto"/>
              </w:rPr>
            </w:pPr>
          </w:p>
        </w:tc>
        <w:tc>
          <w:tcPr>
            <w:tcW w:w="4740" w:type="dxa"/>
            <w:vAlign w:val="bottom"/>
          </w:tcPr>
          <w:p>
            <w:pPr>
              <w:jc w:val="center"/>
              <w:ind w:right="117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380" w:type="dxa"/>
            <w:vAlign w:val="bottom"/>
          </w:tcPr>
          <w:p>
            <w:pPr>
              <w:spacing w:after="0"/>
              <w:rPr>
                <w:sz w:val="11"/>
                <w:szCs w:val="11"/>
                <w:color w:val="auto"/>
              </w:rPr>
            </w:pPr>
          </w:p>
        </w:tc>
        <w:tc>
          <w:tcPr>
            <w:tcW w:w="4740" w:type="dxa"/>
            <w:vAlign w:val="bottom"/>
          </w:tcPr>
          <w:p>
            <w:pPr>
              <w:jc w:val="center"/>
              <w:ind w:right="115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81"/>
        </w:trPr>
        <w:tc>
          <w:tcPr>
            <w:tcW w:w="1380" w:type="dxa"/>
            <w:vAlign w:val="bottom"/>
          </w:tcPr>
          <w:p>
            <w:pPr>
              <w:jc w:val="center"/>
              <w:ind w:right="43"/>
              <w:spacing w:after="0"/>
              <w:rPr>
                <w:sz w:val="20"/>
                <w:szCs w:val="20"/>
                <w:color w:val="auto"/>
              </w:rPr>
            </w:pPr>
            <w:r>
              <w:rPr>
                <w:rFonts w:ascii="Arial" w:cs="Arial" w:eastAsia="Arial" w:hAnsi="Arial"/>
                <w:sz w:val="13"/>
                <w:szCs w:val="13"/>
                <w:b w:val="1"/>
                <w:bCs w:val="1"/>
                <w:color w:val="auto"/>
                <w:w w:val="91"/>
              </w:rPr>
              <w:t>Delaware</w:t>
            </w:r>
          </w:p>
        </w:tc>
        <w:tc>
          <w:tcPr>
            <w:tcW w:w="4740" w:type="dxa"/>
            <w:vAlign w:val="bottom"/>
          </w:tcPr>
          <w:p>
            <w:pPr>
              <w:jc w:val="center"/>
              <w:ind w:left="389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380" w:type="dxa"/>
            <w:vAlign w:val="bottom"/>
          </w:tcPr>
          <w:p>
            <w:pPr>
              <w:jc w:val="center"/>
              <w:ind w:right="23"/>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740" w:type="dxa"/>
            <w:vAlign w:val="bottom"/>
          </w:tcPr>
          <w:p>
            <w:pPr>
              <w:jc w:val="center"/>
              <w:ind w:left="389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1380" w:type="dxa"/>
            <w:vAlign w:val="bottom"/>
          </w:tcPr>
          <w:p>
            <w:pPr>
              <w:jc w:val="center"/>
              <w:ind w:right="23"/>
              <w:spacing w:after="0"/>
              <w:rPr>
                <w:sz w:val="20"/>
                <w:szCs w:val="20"/>
                <w:color w:val="auto"/>
              </w:rPr>
            </w:pPr>
            <w:r>
              <w:rPr>
                <w:rFonts w:ascii="Arial" w:cs="Arial" w:eastAsia="Arial" w:hAnsi="Arial"/>
                <w:sz w:val="10"/>
                <w:szCs w:val="10"/>
                <w:i w:val="1"/>
                <w:iCs w:val="1"/>
                <w:color w:val="auto"/>
                <w:w w:val="99"/>
              </w:rPr>
              <w:t>incorporation or organization)</w:t>
            </w:r>
          </w:p>
        </w:tc>
        <w:tc>
          <w:tcPr>
            <w:tcW w:w="4740" w:type="dxa"/>
            <w:vAlign w:val="bottom"/>
          </w:tcPr>
          <w:p>
            <w:pPr>
              <w:jc w:val="center"/>
              <w:ind w:left="3892"/>
              <w:spacing w:after="0"/>
              <w:rPr>
                <w:sz w:val="20"/>
                <w:szCs w:val="20"/>
                <w:color w:val="auto"/>
              </w:rPr>
            </w:pPr>
            <w:r>
              <w:rPr>
                <w:rFonts w:ascii="Arial" w:cs="Arial" w:eastAsia="Arial" w:hAnsi="Arial"/>
                <w:sz w:val="10"/>
                <w:szCs w:val="10"/>
                <w:i w:val="1"/>
                <w:iCs w:val="1"/>
                <w:color w:val="auto"/>
              </w:rPr>
              <w:t>Identification No.)</w:t>
            </w:r>
          </w:p>
        </w:tc>
      </w:tr>
      <w:tr>
        <w:trPr>
          <w:trHeight w:val="272"/>
        </w:trPr>
        <w:tc>
          <w:tcPr>
            <w:tcW w:w="1380" w:type="dxa"/>
            <w:vAlign w:val="bottom"/>
          </w:tcPr>
          <w:p>
            <w:pPr>
              <w:spacing w:after="0"/>
              <w:rPr>
                <w:sz w:val="23"/>
                <w:szCs w:val="23"/>
                <w:color w:val="auto"/>
              </w:rPr>
            </w:pPr>
          </w:p>
        </w:tc>
        <w:tc>
          <w:tcPr>
            <w:tcW w:w="4740" w:type="dxa"/>
            <w:vAlign w:val="bottom"/>
          </w:tcPr>
          <w:p>
            <w:pPr>
              <w:jc w:val="center"/>
              <w:ind w:right="117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380" w:type="dxa"/>
            <w:vAlign w:val="bottom"/>
          </w:tcPr>
          <w:p>
            <w:pPr>
              <w:spacing w:after="0"/>
              <w:rPr>
                <w:sz w:val="13"/>
                <w:szCs w:val="13"/>
                <w:color w:val="auto"/>
              </w:rPr>
            </w:pPr>
          </w:p>
        </w:tc>
        <w:tc>
          <w:tcPr>
            <w:tcW w:w="4740" w:type="dxa"/>
            <w:vAlign w:val="bottom"/>
          </w:tcPr>
          <w:p>
            <w:pPr>
              <w:jc w:val="center"/>
              <w:ind w:right="117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380" w:type="dxa"/>
            <w:vAlign w:val="bottom"/>
          </w:tcPr>
          <w:p>
            <w:pPr>
              <w:spacing w:after="0"/>
              <w:rPr>
                <w:sz w:val="13"/>
                <w:szCs w:val="13"/>
                <w:color w:val="auto"/>
              </w:rPr>
            </w:pPr>
          </w:p>
        </w:tc>
        <w:tc>
          <w:tcPr>
            <w:tcW w:w="4740" w:type="dxa"/>
            <w:vAlign w:val="bottom"/>
          </w:tcPr>
          <w:p>
            <w:pPr>
              <w:jc w:val="center"/>
              <w:ind w:right="117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380" w:type="dxa"/>
            <w:vAlign w:val="bottom"/>
          </w:tcPr>
          <w:p>
            <w:pPr>
              <w:spacing w:after="0"/>
              <w:rPr>
                <w:sz w:val="11"/>
                <w:szCs w:val="11"/>
                <w:color w:val="auto"/>
              </w:rPr>
            </w:pPr>
          </w:p>
        </w:tc>
        <w:tc>
          <w:tcPr>
            <w:tcW w:w="4740" w:type="dxa"/>
            <w:vAlign w:val="bottom"/>
          </w:tcPr>
          <w:p>
            <w:pPr>
              <w:jc w:val="center"/>
              <w:ind w:right="115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72"/>
        </w:trPr>
        <w:tc>
          <w:tcPr>
            <w:tcW w:w="1380" w:type="dxa"/>
            <w:vAlign w:val="bottom"/>
          </w:tcPr>
          <w:p>
            <w:pPr>
              <w:spacing w:after="0"/>
              <w:rPr>
                <w:sz w:val="23"/>
                <w:szCs w:val="23"/>
                <w:color w:val="auto"/>
              </w:rPr>
            </w:pPr>
          </w:p>
        </w:tc>
        <w:tc>
          <w:tcPr>
            <w:tcW w:w="4740" w:type="dxa"/>
            <w:vAlign w:val="bottom"/>
          </w:tcPr>
          <w:p>
            <w:pPr>
              <w:jc w:val="center"/>
              <w:ind w:right="117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380" w:type="dxa"/>
            <w:vAlign w:val="bottom"/>
          </w:tcPr>
          <w:p>
            <w:pPr>
              <w:spacing w:after="0"/>
              <w:rPr>
                <w:sz w:val="11"/>
                <w:szCs w:val="11"/>
                <w:color w:val="auto"/>
              </w:rPr>
            </w:pPr>
          </w:p>
        </w:tc>
        <w:tc>
          <w:tcPr>
            <w:tcW w:w="4740" w:type="dxa"/>
            <w:vAlign w:val="bottom"/>
          </w:tcPr>
          <w:p>
            <w:pPr>
              <w:jc w:val="center"/>
              <w:ind w:right="117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118" w:lineRule="exact"/>
        <w:rPr>
          <w:sz w:val="24"/>
          <w:szCs w:val="24"/>
          <w:color w:val="auto"/>
        </w:rPr>
      </w:pPr>
    </w:p>
    <w:p>
      <w:pPr>
        <w:ind w:right="50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4"/>
          <w:szCs w:val="24"/>
          <w:color w:val="auto"/>
        </w:rPr>
      </w:pPr>
    </w:p>
    <w:p>
      <w:pPr>
        <w:ind w:right="20" w:firstLine="399"/>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4"/>
          <w:szCs w:val="24"/>
          <w:color w:val="auto"/>
        </w:rPr>
      </w:pPr>
    </w:p>
    <w:p>
      <w:pPr>
        <w:ind w:right="28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9980"/>
          </w:cols>
          <w:pgMar w:left="900" w:top="300" w:right="1019" w:bottom="1440" w:gutter="0" w:footer="0" w:header="0"/>
        </w:sectPr>
      </w:pPr>
    </w:p>
    <w:p>
      <w:pPr>
        <w:spacing w:after="0" w:line="2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ind w:left="560"/>
        <w:spacing w:after="0"/>
        <w:rPr>
          <w:sz w:val="20"/>
          <w:szCs w:val="20"/>
          <w:color w:val="auto"/>
        </w:rPr>
      </w:pPr>
      <w:r>
        <w:rPr>
          <w:rFonts w:ascii="Arial" w:cs="Arial" w:eastAsia="Arial" w:hAnsi="Arial"/>
          <w:sz w:val="13"/>
          <w:szCs w:val="13"/>
          <w:color w:val="auto"/>
        </w:rPr>
        <w:t>Non-accelerated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51" w:lineRule="exact"/>
        <w:rPr>
          <w:sz w:val="24"/>
          <w:szCs w:val="24"/>
          <w:color w:val="auto"/>
        </w:rPr>
      </w:pPr>
    </w:p>
    <w:p>
      <w:pPr>
        <w:sectPr>
          <w:pgSz w:w="11900" w:h="16838" w:orient="portrait"/>
          <w:cols w:equalWidth="0" w:num="4">
            <w:col w:w="2540" w:space="720"/>
            <w:col w:w="1100" w:space="720"/>
            <w:col w:w="2660" w:space="720"/>
            <w:col w:w="1520"/>
          </w:cols>
          <w:pgMar w:left="900" w:top="300" w:right="1019" w:bottom="1440" w:gutter="0" w:footer="0" w:header="0"/>
          <w:type w:val="continuous"/>
        </w:sectPr>
      </w:pPr>
    </w:p>
    <w:p>
      <w:pPr>
        <w:spacing w:after="0" w:line="25" w:lineRule="exact"/>
        <w:rPr>
          <w:sz w:val="24"/>
          <w:szCs w:val="24"/>
          <w:color w:val="auto"/>
        </w:rPr>
      </w:pPr>
    </w:p>
    <w:p>
      <w:pPr>
        <w:ind w:left="40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43" w:lineRule="exact"/>
        <w:rPr>
          <w:sz w:val="24"/>
          <w:szCs w:val="24"/>
          <w:color w:val="auto"/>
        </w:rPr>
      </w:pPr>
    </w:p>
    <w:p>
      <w:pPr>
        <w:sectPr>
          <w:pgSz w:w="11900" w:h="16838" w:orient="portrait"/>
          <w:cols w:equalWidth="0" w:num="2">
            <w:col w:w="6700" w:space="180"/>
            <w:col w:w="3100"/>
          </w:cols>
          <w:pgMar w:left="900" w:top="300" w:right="1019" w:bottom="1440" w:gutter="0" w:footer="0" w:header="0"/>
          <w:type w:val="continuous"/>
        </w:sectPr>
      </w:pPr>
    </w:p>
    <w:p>
      <w:pPr>
        <w:ind w:left="400"/>
        <w:spacing w:after="0"/>
        <w:rPr>
          <w:sz w:val="20"/>
          <w:szCs w:val="20"/>
          <w:color w:val="auto"/>
        </w:rPr>
      </w:pPr>
      <w:r>
        <w:rPr>
          <w:rFonts w:ascii="Arial" w:cs="Arial" w:eastAsia="Arial" w:hAnsi="Arial"/>
          <w:sz w:val="11"/>
          <w:szCs w:val="11"/>
          <w:color w:val="auto"/>
        </w:rPr>
        <w:t>The number of shares of Common Stock, $0.01 par value, of the registrant outstanding at October 22, 2010 was 475,800,754 (excluding treasury shares of 154,481,707).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221615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00" w:right="10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800" w:type="dxa"/>
            <w:vAlign w:val="bottom"/>
          </w:tcPr>
          <w:p>
            <w:pPr>
              <w:spacing w:after="0"/>
              <w:rPr>
                <w:sz w:val="14"/>
                <w:szCs w:val="14"/>
                <w:color w:val="auto"/>
              </w:rPr>
            </w:pPr>
          </w:p>
        </w:tc>
        <w:tc>
          <w:tcPr>
            <w:tcW w:w="6900" w:type="dxa"/>
            <w:vAlign w:val="bottom"/>
          </w:tcPr>
          <w:p>
            <w:pPr>
              <w:jc w:val="center"/>
              <w:ind w:left="1414"/>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69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6900" w:type="dxa"/>
            <w:vAlign w:val="bottom"/>
          </w:tcPr>
          <w:p>
            <w:pPr>
              <w:jc w:val="center"/>
              <w:ind w:left="1434"/>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6900" w:type="dxa"/>
            <w:vAlign w:val="bottom"/>
          </w:tcPr>
          <w:p>
            <w:pPr>
              <w:jc w:val="center"/>
              <w:ind w:left="1434"/>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6900" w:type="dxa"/>
            <w:vAlign w:val="bottom"/>
          </w:tcPr>
          <w:p>
            <w:pPr>
              <w:jc w:val="center"/>
              <w:ind w:left="1434"/>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6"/>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spacing w:after="0"/>
              <w:rPr>
                <w:sz w:val="14"/>
                <w:szCs w:val="14"/>
                <w:color w:val="auto"/>
              </w:rPr>
            </w:pPr>
          </w:p>
        </w:tc>
        <w:tc>
          <w:tcPr>
            <w:tcW w:w="6900" w:type="dxa"/>
            <w:vAlign w:val="bottom"/>
            <w:shd w:val="clear" w:color="auto" w:fill="CCEEFF"/>
          </w:tcPr>
          <w:p>
            <w:pPr>
              <w:jc w:val="center"/>
              <w:ind w:left="143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color w:val="auto"/>
                <w:w w:val="88"/>
              </w:rPr>
              <w:t>Current assets:</w:t>
            </w: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Accounts receivable, net of allowance for doubtful accounts of $27 and $31,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1,522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1,408</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Parts and supplies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57"/>
        </w:trPr>
        <w:tc>
          <w:tcPr>
            <w:tcW w:w="800" w:type="dxa"/>
            <w:vAlign w:val="bottom"/>
          </w:tcPr>
          <w:p>
            <w:pPr>
              <w:ind w:left="140"/>
              <w:spacing w:after="0"/>
              <w:rPr>
                <w:sz w:val="20"/>
                <w:szCs w:val="20"/>
                <w:color w:val="auto"/>
              </w:rPr>
            </w:pPr>
            <w:r>
              <w:rPr>
                <w:rFonts w:ascii="Arial" w:cs="Arial" w:eastAsia="Arial" w:hAnsi="Arial"/>
                <w:sz w:val="13"/>
                <w:szCs w:val="13"/>
                <w:color w:val="auto"/>
                <w:w w:val="86"/>
              </w:rPr>
              <w:t>Other assets</w:t>
            </w: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3,010</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Property and equipment, net of accumulated depreciation and amortization of $14,568 and $13,994,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11,636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11,541</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6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5,632</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Other intangible assets,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6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21,339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21,154</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13"/>
                <w:szCs w:val="13"/>
                <w:color w:val="auto"/>
              </w:rPr>
            </w:pPr>
          </w:p>
        </w:tc>
        <w:tc>
          <w:tcPr>
            <w:tcW w:w="6900" w:type="dxa"/>
            <w:vAlign w:val="bottom"/>
            <w:shd w:val="clear" w:color="auto" w:fill="CCEEFF"/>
          </w:tcPr>
          <w:p>
            <w:pPr>
              <w:jc w:val="center"/>
              <w:ind w:left="143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1,128</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2,901</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8,798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8,124</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1,509</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Landfill and environmental remediation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1,470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1,357</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672</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14,563</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color w:val="auto"/>
              </w:rPr>
              <w:t>Equity:</w:t>
            </w: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Waste Management, Inc. 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4,543</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6,270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6,053</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Treasury stock at cost, 154,568,253 and 144,162,063 shares, respectively</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(4,876)</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(4,525)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Waste Management, Inc. 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6,108</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6,285</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3"/>
                <w:szCs w:val="13"/>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21,339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21,154</w:t>
            </w: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800" w:type="dxa"/>
            <w:vAlign w:val="bottom"/>
            <w:gridSpan w:val="4"/>
          </w:tcPr>
          <w:p>
            <w:pPr>
              <w:jc w:val="center"/>
              <w:ind w:left="156"/>
              <w:spacing w:after="0"/>
              <w:rPr>
                <w:sz w:val="20"/>
                <w:szCs w:val="20"/>
                <w:color w:val="auto"/>
              </w:rPr>
            </w:pPr>
            <w:r>
              <w:rPr>
                <w:rFonts w:ascii="Arial" w:cs="Arial" w:eastAsia="Arial" w:hAnsi="Arial"/>
                <w:sz w:val="10"/>
                <w:szCs w:val="10"/>
                <w:b w:val="1"/>
                <w:bCs w:val="1"/>
                <w:color w:val="auto"/>
                <w:w w:val="96"/>
              </w:rPr>
              <w:t>Nine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jc w:val="center"/>
              <w:ind w:right="91"/>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10"/>
                <w:szCs w:val="10"/>
                <w:color w:val="auto"/>
              </w:rPr>
            </w:pPr>
          </w:p>
        </w:tc>
        <w:tc>
          <w:tcPr>
            <w:tcW w:w="1200" w:type="dxa"/>
            <w:vAlign w:val="bottom"/>
            <w:gridSpan w:val="6"/>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2010</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2009</w:t>
            </w: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2010</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3,235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3,023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9,328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8,785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2,006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1,856</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5,883</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5,367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369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339</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1,065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301</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8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2,691</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2,498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7,786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7,354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1,542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1,431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(133)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(365)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1,177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153</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133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469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0.51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0.56</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1.40</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0.315</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0.945</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0.87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100" w:type="dxa"/>
            <w:vAlign w:val="bottom"/>
          </w:tcPr>
          <w:p>
            <w:pPr>
              <w:ind w:left="3340"/>
              <w:spacing w:after="0"/>
              <w:rPr>
                <w:sz w:val="20"/>
                <w:szCs w:val="20"/>
                <w:color w:val="auto"/>
              </w:rPr>
            </w:pPr>
            <w:r>
              <w:rPr>
                <w:rFonts w:ascii="Arial" w:cs="Arial" w:eastAsia="Arial" w:hAnsi="Arial"/>
                <w:sz w:val="13"/>
                <w:szCs w:val="13"/>
                <w:color w:val="auto"/>
              </w:rPr>
              <w:t>See notes to the Condensed Consolidated Financial Statements.</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100" w:type="dxa"/>
            <w:vAlign w:val="bottom"/>
          </w:tcPr>
          <w:p>
            <w:pPr>
              <w:ind w:left="49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Nine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708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729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consolidated net income to net cash provided by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917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 (benefit) provision</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Interest accretion on landfill liabilities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accretion on and discount rate adjustments to environmental remediation liabilities and recovery assets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Provision for bad debts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Net gain on disposal of assets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(income) expense from divestitures, asset impairments and unusual items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 net of dividends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Change in operating assets and liabilities, net of effects of acquisitions and divestitures: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revenues and other liabilities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1,653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1,642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(343)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(737)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Investments in unconsolidated entities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(1,175)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(830)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New borrowings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775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1,026</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repayments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(932)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(1,142)</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Common stock repurchases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(443)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(1,069)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550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 w:name="page5"/>
    <w:bookmarkEnd w:id="4"/>
    <w:p>
      <w:pPr>
        <w:ind w:left="4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2820"/>
        <w:spacing w:after="0"/>
        <w:rPr>
          <w:sz w:val="20"/>
          <w:szCs w:val="20"/>
          <w:color w:val="auto"/>
        </w:rPr>
      </w:pPr>
      <w:r>
        <w:rPr>
          <w:rFonts w:ascii="Arial" w:cs="Arial" w:eastAsia="Arial" w:hAnsi="Arial"/>
          <w:sz w:val="13"/>
          <w:szCs w:val="13"/>
          <w:b w:val="1"/>
          <w:bCs w:val="1"/>
          <w:color w:val="auto"/>
        </w:rPr>
        <w:t>CONDENSED CONSOLIDATED STATEMENT OF CHANGES IN EQUITY</w:t>
      </w:r>
    </w:p>
    <w:p>
      <w:pPr>
        <w:spacing w:after="0" w:line="96"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8"/>
                <w:szCs w:val="8"/>
                <w:b w:val="1"/>
                <w:bCs w:val="1"/>
                <w:color w:val="auto"/>
              </w:rPr>
              <w:t>Waste Management, Inc. Stockholders’ Equity</w:t>
            </w: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center"/>
              <w:ind w:right="300"/>
              <w:spacing w:after="0" w:line="69" w:lineRule="exact"/>
              <w:rPr>
                <w:sz w:val="20"/>
                <w:szCs w:val="20"/>
                <w:color w:val="auto"/>
              </w:rPr>
            </w:pPr>
            <w:r>
              <w:rPr>
                <w:rFonts w:ascii="Arial" w:cs="Arial" w:eastAsia="Arial" w:hAnsi="Arial"/>
                <w:sz w:val="8"/>
                <w:szCs w:val="8"/>
                <w:b w:val="1"/>
                <w:bCs w:val="1"/>
                <w:color w:val="auto"/>
                <w:w w:val="87"/>
              </w:rPr>
              <w:t>Accumulated</w:t>
            </w: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300"/>
              <w:spacing w:after="0" w:line="89" w:lineRule="exact"/>
              <w:rPr>
                <w:sz w:val="20"/>
                <w:szCs w:val="20"/>
                <w:color w:val="auto"/>
              </w:rPr>
            </w:pPr>
            <w:r>
              <w:rPr>
                <w:rFonts w:ascii="Arial" w:cs="Arial" w:eastAsia="Arial" w:hAnsi="Arial"/>
                <w:sz w:val="8"/>
                <w:szCs w:val="8"/>
                <w:b w:val="1"/>
                <w:bCs w:val="1"/>
                <w:color w:val="auto"/>
                <w:w w:val="93"/>
              </w:rPr>
              <w:t>Other</w:t>
            </w: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3"/>
            <w:vMerge w:val="restart"/>
          </w:tcPr>
          <w:p>
            <w:pPr>
              <w:jc w:val="right"/>
              <w:ind w:right="36"/>
              <w:spacing w:after="0"/>
              <w:rPr>
                <w:sz w:val="20"/>
                <w:szCs w:val="20"/>
                <w:color w:val="auto"/>
              </w:rPr>
            </w:pPr>
            <w:r>
              <w:rPr>
                <w:rFonts w:ascii="Arial" w:cs="Arial" w:eastAsia="Arial" w:hAnsi="Arial"/>
                <w:sz w:val="8"/>
                <w:szCs w:val="8"/>
                <w:b w:val="1"/>
                <w:bCs w:val="1"/>
                <w:color w:val="auto"/>
              </w:rPr>
              <w:t>Common Stock</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w w:val="86"/>
              </w:rPr>
              <w:t>Additional</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86"/>
              </w:rPr>
              <w:t>Comprehensive</w:t>
            </w:r>
          </w:p>
        </w:tc>
        <w:tc>
          <w:tcPr>
            <w:tcW w:w="76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Treasury Stock</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Arial" w:cs="Arial" w:eastAsia="Arial" w:hAnsi="Arial"/>
                <w:sz w:val="8"/>
                <w:szCs w:val="8"/>
                <w:b w:val="1"/>
                <w:bCs w:val="1"/>
                <w:color w:val="auto"/>
              </w:rPr>
              <w:t>Comprehensive</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bottom w:val="single" w:sz="8" w:color="auto"/>
            </w:tcBorders>
            <w:gridSpan w:val="3"/>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right"/>
              <w:ind w:right="300"/>
              <w:spacing w:after="0" w:line="88" w:lineRule="exact"/>
              <w:rPr>
                <w:sz w:val="20"/>
                <w:szCs w:val="20"/>
                <w:color w:val="auto"/>
              </w:rPr>
            </w:pPr>
            <w:r>
              <w:rPr>
                <w:rFonts w:ascii="Arial" w:cs="Arial" w:eastAsia="Arial" w:hAnsi="Arial"/>
                <w:sz w:val="8"/>
                <w:szCs w:val="8"/>
                <w:b w:val="1"/>
                <w:bCs w:val="1"/>
                <w:color w:val="auto"/>
              </w:rPr>
              <w:t>Paid-In</w:t>
            </w:r>
          </w:p>
        </w:tc>
        <w:tc>
          <w:tcPr>
            <w:tcW w:w="60" w:type="dxa"/>
            <w:vAlign w:val="bottom"/>
          </w:tcPr>
          <w:p>
            <w:pPr>
              <w:spacing w:after="0"/>
              <w:rPr>
                <w:sz w:val="7"/>
                <w:szCs w:val="7"/>
                <w:color w:val="auto"/>
              </w:rPr>
            </w:pPr>
          </w:p>
        </w:tc>
        <w:tc>
          <w:tcPr>
            <w:tcW w:w="540" w:type="dxa"/>
            <w:vAlign w:val="bottom"/>
            <w:gridSpan w:val="2"/>
          </w:tcPr>
          <w:p>
            <w:pPr>
              <w:jc w:val="right"/>
              <w:ind w:right="240"/>
              <w:spacing w:after="0" w:line="88" w:lineRule="exact"/>
              <w:rPr>
                <w:sz w:val="20"/>
                <w:szCs w:val="20"/>
                <w:color w:val="auto"/>
              </w:rPr>
            </w:pPr>
            <w:r>
              <w:rPr>
                <w:rFonts w:ascii="Arial" w:cs="Arial" w:eastAsia="Arial" w:hAnsi="Arial"/>
                <w:sz w:val="8"/>
                <w:szCs w:val="8"/>
                <w:b w:val="1"/>
                <w:bCs w:val="1"/>
                <w:color w:val="auto"/>
                <w:w w:val="82"/>
              </w:rPr>
              <w:t>Retained</w:t>
            </w:r>
          </w:p>
        </w:tc>
        <w:tc>
          <w:tcPr>
            <w:tcW w:w="100" w:type="dxa"/>
            <w:vAlign w:val="bottom"/>
          </w:tcPr>
          <w:p>
            <w:pPr>
              <w:spacing w:after="0"/>
              <w:rPr>
                <w:sz w:val="7"/>
                <w:szCs w:val="7"/>
                <w:color w:val="auto"/>
              </w:rPr>
            </w:pPr>
          </w:p>
        </w:tc>
        <w:tc>
          <w:tcPr>
            <w:tcW w:w="900" w:type="dxa"/>
            <w:vAlign w:val="bottom"/>
            <w:gridSpan w:val="2"/>
          </w:tcPr>
          <w:p>
            <w:pPr>
              <w:jc w:val="center"/>
              <w:ind w:right="300"/>
              <w:spacing w:after="0" w:line="88" w:lineRule="exact"/>
              <w:rPr>
                <w:sz w:val="20"/>
                <w:szCs w:val="20"/>
                <w:color w:val="auto"/>
              </w:rPr>
            </w:pPr>
            <w:r>
              <w:rPr>
                <w:rFonts w:ascii="Arial" w:cs="Arial" w:eastAsia="Arial" w:hAnsi="Arial"/>
                <w:sz w:val="8"/>
                <w:szCs w:val="8"/>
                <w:b w:val="1"/>
                <w:bCs w:val="1"/>
                <w:color w:val="auto"/>
                <w:w w:val="85"/>
              </w:rPr>
              <w:t>Income</w:t>
            </w:r>
          </w:p>
        </w:tc>
        <w:tc>
          <w:tcPr>
            <w:tcW w:w="76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right"/>
              <w:ind w:right="240"/>
              <w:spacing w:after="0" w:line="88" w:lineRule="exact"/>
              <w:rPr>
                <w:sz w:val="20"/>
                <w:szCs w:val="20"/>
                <w:color w:val="auto"/>
              </w:rPr>
            </w:pPr>
            <w:r>
              <w:rPr>
                <w:rFonts w:ascii="Arial" w:cs="Arial" w:eastAsia="Arial" w:hAnsi="Arial"/>
                <w:sz w:val="8"/>
                <w:szCs w:val="8"/>
                <w:b w:val="1"/>
                <w:bCs w:val="1"/>
                <w:color w:val="auto"/>
                <w:w w:val="94"/>
              </w:rPr>
              <w:t>Noncontrolling</w:t>
            </w:r>
          </w:p>
        </w:tc>
        <w:tc>
          <w:tcPr>
            <w:tcW w:w="0" w:type="dxa"/>
            <w:vAlign w:val="bottom"/>
          </w:tcPr>
          <w:p>
            <w:pPr>
              <w:spacing w:after="0"/>
              <w:rPr>
                <w:sz w:val="1"/>
                <w:szCs w:val="1"/>
                <w:color w:val="auto"/>
              </w:rPr>
            </w:pPr>
          </w:p>
        </w:tc>
      </w:tr>
      <w:tr>
        <w:trPr>
          <w:trHeight w:val="78"/>
        </w:trPr>
        <w:tc>
          <w:tcPr>
            <w:tcW w:w="29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w w:val="83"/>
              </w:rPr>
              <w:t>Total</w:t>
            </w:r>
          </w:p>
        </w:tc>
        <w:tc>
          <w:tcPr>
            <w:tcW w:w="660" w:type="dxa"/>
            <w:vAlign w:val="bottom"/>
          </w:tcPr>
          <w:p>
            <w:pPr>
              <w:jc w:val="right"/>
              <w:ind w:right="109"/>
              <w:spacing w:after="0" w:line="79" w:lineRule="exact"/>
              <w:rPr>
                <w:sz w:val="20"/>
                <w:szCs w:val="20"/>
                <w:color w:val="auto"/>
              </w:rPr>
            </w:pPr>
            <w:r>
              <w:rPr>
                <w:rFonts w:ascii="Arial" w:cs="Arial" w:eastAsia="Arial" w:hAnsi="Arial"/>
                <w:sz w:val="8"/>
                <w:szCs w:val="8"/>
                <w:b w:val="1"/>
                <w:bCs w:val="1"/>
                <w:color w:val="auto"/>
              </w:rPr>
              <w:t>Income</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gridSpan w:val="2"/>
          </w:tcPr>
          <w:p>
            <w:pPr>
              <w:ind w:left="80"/>
              <w:spacing w:after="0" w:line="79" w:lineRule="exact"/>
              <w:rPr>
                <w:sz w:val="20"/>
                <w:szCs w:val="20"/>
                <w:color w:val="auto"/>
              </w:rPr>
            </w:pPr>
            <w:r>
              <w:rPr>
                <w:rFonts w:ascii="Arial" w:cs="Arial" w:eastAsia="Arial" w:hAnsi="Arial"/>
                <w:sz w:val="8"/>
                <w:szCs w:val="8"/>
                <w:b w:val="1"/>
                <w:bCs w:val="1"/>
                <w:color w:val="auto"/>
              </w:rPr>
              <w:t>Shares</w:t>
            </w:r>
          </w:p>
        </w:tc>
        <w:tc>
          <w:tcPr>
            <w:tcW w:w="400" w:type="dxa"/>
            <w:vAlign w:val="bottom"/>
            <w:gridSpan w:val="2"/>
          </w:tcPr>
          <w:p>
            <w:pPr>
              <w:ind w:left="60"/>
              <w:spacing w:after="0" w:line="79" w:lineRule="exact"/>
              <w:rPr>
                <w:sz w:val="20"/>
                <w:szCs w:val="20"/>
                <w:color w:val="auto"/>
              </w:rPr>
            </w:pPr>
            <w:r>
              <w:rPr>
                <w:rFonts w:ascii="Arial" w:cs="Arial" w:eastAsia="Arial" w:hAnsi="Arial"/>
                <w:sz w:val="8"/>
                <w:szCs w:val="8"/>
                <w:b w:val="1"/>
                <w:bCs w:val="1"/>
                <w:color w:val="auto"/>
                <w:w w:val="92"/>
              </w:rPr>
              <w:t>Amounts</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Capital</w:t>
            </w:r>
          </w:p>
        </w:tc>
        <w:tc>
          <w:tcPr>
            <w:tcW w:w="600" w:type="dxa"/>
            <w:vAlign w:val="bottom"/>
            <w:gridSpan w:val="3"/>
          </w:tcPr>
          <w:p>
            <w:pPr>
              <w:jc w:val="right"/>
              <w:ind w:right="240"/>
              <w:spacing w:after="0" w:line="79" w:lineRule="exact"/>
              <w:rPr>
                <w:sz w:val="20"/>
                <w:szCs w:val="20"/>
                <w:color w:val="auto"/>
              </w:rPr>
            </w:pPr>
            <w:r>
              <w:rPr>
                <w:rFonts w:ascii="Arial" w:cs="Arial" w:eastAsia="Arial" w:hAnsi="Arial"/>
                <w:sz w:val="8"/>
                <w:szCs w:val="8"/>
                <w:b w:val="1"/>
                <w:bCs w:val="1"/>
                <w:color w:val="auto"/>
                <w:w w:val="99"/>
              </w:rPr>
              <w:t>Earnings</w:t>
            </w:r>
          </w:p>
        </w:tc>
        <w:tc>
          <w:tcPr>
            <w:tcW w:w="100" w:type="dxa"/>
            <w:vAlign w:val="bottom"/>
          </w:tcPr>
          <w:p>
            <w:pPr>
              <w:spacing w:after="0"/>
              <w:rPr>
                <w:sz w:val="6"/>
                <w:szCs w:val="6"/>
                <w:color w:val="auto"/>
              </w:rPr>
            </w:pPr>
          </w:p>
        </w:tc>
        <w:tc>
          <w:tcPr>
            <w:tcW w:w="900" w:type="dxa"/>
            <w:vAlign w:val="bottom"/>
            <w:gridSpan w:val="2"/>
          </w:tcPr>
          <w:p>
            <w:pPr>
              <w:jc w:val="center"/>
              <w:ind w:right="300"/>
              <w:spacing w:after="0" w:line="79" w:lineRule="exact"/>
              <w:rPr>
                <w:sz w:val="20"/>
                <w:szCs w:val="20"/>
                <w:color w:val="auto"/>
              </w:rPr>
            </w:pPr>
            <w:r>
              <w:rPr>
                <w:rFonts w:ascii="Arial" w:cs="Arial" w:eastAsia="Arial" w:hAnsi="Arial"/>
                <w:sz w:val="8"/>
                <w:szCs w:val="8"/>
                <w:b w:val="1"/>
                <w:bCs w:val="1"/>
                <w:color w:val="auto"/>
                <w:w w:val="83"/>
              </w:rPr>
              <w:t>(Loss)</w:t>
            </w:r>
          </w:p>
        </w:tc>
        <w:tc>
          <w:tcPr>
            <w:tcW w:w="62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Shares</w:t>
            </w:r>
          </w:p>
        </w:tc>
        <w:tc>
          <w:tcPr>
            <w:tcW w:w="400" w:type="dxa"/>
            <w:vAlign w:val="bottom"/>
            <w:gridSpan w:val="2"/>
          </w:tcPr>
          <w:p>
            <w:pPr>
              <w:jc w:val="right"/>
              <w:spacing w:after="0" w:line="79" w:lineRule="exact"/>
              <w:rPr>
                <w:sz w:val="20"/>
                <w:szCs w:val="20"/>
                <w:color w:val="auto"/>
              </w:rPr>
            </w:pPr>
            <w:r>
              <w:rPr>
                <w:rFonts w:ascii="Arial" w:cs="Arial" w:eastAsia="Arial" w:hAnsi="Arial"/>
                <w:sz w:val="8"/>
                <w:szCs w:val="8"/>
                <w:b w:val="1"/>
                <w:bCs w:val="1"/>
                <w:color w:val="auto"/>
                <w:w w:val="97"/>
              </w:rPr>
              <w:t>Amounts</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right"/>
              <w:ind w:right="340"/>
              <w:spacing w:after="0" w:line="79" w:lineRule="exact"/>
              <w:rPr>
                <w:sz w:val="20"/>
                <w:szCs w:val="20"/>
                <w:color w:val="auto"/>
              </w:rPr>
            </w:pPr>
            <w:r>
              <w:rPr>
                <w:rFonts w:ascii="Arial" w:cs="Arial" w:eastAsia="Arial" w:hAnsi="Arial"/>
                <w:sz w:val="8"/>
                <w:szCs w:val="8"/>
                <w:b w:val="1"/>
                <w:bCs w:val="1"/>
                <w:color w:val="auto"/>
              </w:rPr>
              <w:t>Interests</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7"/>
              </w:rPr>
              <w:t>6,591</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630,282</w:t>
            </w:r>
          </w:p>
        </w:tc>
        <w:tc>
          <w:tcPr>
            <w:tcW w:w="240" w:type="dxa"/>
            <w:vAlign w:val="bottom"/>
            <w:shd w:val="clear" w:color="auto" w:fill="CCEEFF"/>
          </w:tcPr>
          <w:p>
            <w:pPr>
              <w:jc w:val="right"/>
              <w:ind w:right="136"/>
              <w:spacing w:after="0" w:line="98" w:lineRule="exact"/>
              <w:rPr>
                <w:sz w:val="20"/>
                <w:szCs w:val="20"/>
                <w:color w:val="auto"/>
              </w:rPr>
            </w:pPr>
            <w:r>
              <w:rPr>
                <w:rFonts w:ascii="Arial" w:cs="Arial" w:eastAsia="Arial" w:hAnsi="Arial"/>
                <w:sz w:val="9"/>
                <w:szCs w:val="9"/>
                <w:color w:val="auto"/>
                <w:w w:val="78"/>
              </w:rPr>
              <w:t>$</w:t>
            </w: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4,543</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6,053</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208</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(144,162)</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w w:val="91"/>
              </w:rPr>
              <w:t>(4,525)</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306</w:t>
            </w:r>
          </w:p>
        </w:tc>
        <w:tc>
          <w:tcPr>
            <w:tcW w:w="0" w:type="dxa"/>
            <w:vAlign w:val="bottom"/>
          </w:tcPr>
          <w:p>
            <w:pPr>
              <w:spacing w:after="0"/>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Comprehensive Income:</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income</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708</w:t>
            </w:r>
          </w:p>
        </w:tc>
        <w:tc>
          <w:tcPr>
            <w:tcW w:w="660" w:type="dxa"/>
            <w:vAlign w:val="bottom"/>
            <w:shd w:val="clear" w:color="auto" w:fill="CCEEFF"/>
          </w:tcPr>
          <w:p>
            <w:pPr>
              <w:jc w:val="right"/>
              <w:ind w:right="589"/>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79"/>
              </w:rPr>
              <w:t>708</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672</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w:t>
            </w:r>
          </w:p>
        </w:tc>
        <w:tc>
          <w:tcPr>
            <w:tcW w:w="0" w:type="dxa"/>
            <w:vAlign w:val="bottom"/>
          </w:tcPr>
          <w:p>
            <w:pPr>
              <w:spacing w:after="0"/>
              <w:rPr>
                <w:sz w:val="1"/>
                <w:szCs w:val="1"/>
                <w:color w:val="auto"/>
              </w:rPr>
            </w:pPr>
          </w:p>
        </w:tc>
      </w:tr>
      <w:tr>
        <w:trPr>
          <w:trHeight w:val="98"/>
        </w:trPr>
        <w:tc>
          <w:tcPr>
            <w:tcW w:w="292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income (loss), net of taxes:</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920" w:type="dxa"/>
            <w:vAlign w:val="bottom"/>
            <w:shd w:val="clear" w:color="auto" w:fill="CCEEFF"/>
          </w:tcPr>
          <w:p>
            <w:pPr>
              <w:ind w:left="200"/>
              <w:spacing w:after="0" w:line="88" w:lineRule="exact"/>
              <w:rPr>
                <w:sz w:val="20"/>
                <w:szCs w:val="20"/>
                <w:color w:val="auto"/>
              </w:rPr>
            </w:pPr>
            <w:r>
              <w:rPr>
                <w:rFonts w:ascii="Arial" w:cs="Arial" w:eastAsia="Arial" w:hAnsi="Arial"/>
                <w:sz w:val="9"/>
                <w:szCs w:val="9"/>
                <w:color w:val="auto"/>
              </w:rPr>
              <w:t>Unrealized losses resulting from changes in fair value of derivative</w:t>
            </w: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920" w:type="dxa"/>
            <w:vAlign w:val="bottom"/>
            <w:shd w:val="clear" w:color="auto" w:fill="CCEEFF"/>
          </w:tcPr>
          <w:p>
            <w:pPr>
              <w:ind w:left="280"/>
              <w:spacing w:after="0"/>
              <w:rPr>
                <w:sz w:val="20"/>
                <w:szCs w:val="20"/>
                <w:color w:val="auto"/>
              </w:rPr>
            </w:pPr>
            <w:r>
              <w:rPr>
                <w:rFonts w:ascii="Arial" w:cs="Arial" w:eastAsia="Arial" w:hAnsi="Arial"/>
                <w:sz w:val="9"/>
                <w:szCs w:val="9"/>
                <w:color w:val="auto"/>
              </w:rPr>
              <w:t>instruments, net of taxes of $35</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(54)</w:t>
            </w:r>
          </w:p>
        </w:tc>
        <w:tc>
          <w:tcPr>
            <w:tcW w:w="6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w w:val="87"/>
              </w:rPr>
              <w:t>(54)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(54)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920" w:type="dxa"/>
            <w:vAlign w:val="bottom"/>
          </w:tcPr>
          <w:p>
            <w:pPr>
              <w:ind w:left="200"/>
              <w:spacing w:after="0" w:line="88" w:lineRule="exact"/>
              <w:rPr>
                <w:sz w:val="20"/>
                <w:szCs w:val="20"/>
                <w:color w:val="auto"/>
              </w:rPr>
            </w:pPr>
            <w:r>
              <w:rPr>
                <w:rFonts w:ascii="Arial" w:cs="Arial" w:eastAsia="Arial" w:hAnsi="Arial"/>
                <w:sz w:val="9"/>
                <w:szCs w:val="9"/>
                <w:color w:val="auto"/>
                <w:w w:val="94"/>
              </w:rPr>
              <w:t>Realized losses on derivative instruments reclassified into earnings, net</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920" w:type="dxa"/>
            <w:vAlign w:val="bottom"/>
          </w:tcPr>
          <w:p>
            <w:pPr>
              <w:ind w:left="280"/>
              <w:spacing w:after="0"/>
              <w:rPr>
                <w:sz w:val="20"/>
                <w:szCs w:val="20"/>
                <w:color w:val="auto"/>
              </w:rPr>
            </w:pPr>
            <w:r>
              <w:rPr>
                <w:rFonts w:ascii="Arial" w:cs="Arial" w:eastAsia="Arial" w:hAnsi="Arial"/>
                <w:sz w:val="9"/>
                <w:szCs w:val="9"/>
                <w:color w:val="auto"/>
              </w:rPr>
              <w:t>of taxes of $6</w:t>
            </w:r>
          </w:p>
        </w:tc>
        <w:tc>
          <w:tcPr>
            <w:tcW w:w="60" w:type="dxa"/>
            <w:vAlign w:val="bottom"/>
          </w:tcPr>
          <w:p>
            <w:pPr>
              <w:spacing w:after="0"/>
              <w:rPr>
                <w:sz w:val="9"/>
                <w:szCs w:val="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9"/>
                <w:szCs w:val="9"/>
                <w:color w:val="auto"/>
              </w:rPr>
              <w:t>10</w:t>
            </w:r>
          </w:p>
        </w:tc>
        <w:tc>
          <w:tcPr>
            <w:tcW w:w="66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9"/>
                <w:szCs w:val="9"/>
                <w:color w:val="auto"/>
              </w:rPr>
              <w:t>10</w:t>
            </w:r>
          </w:p>
        </w:tc>
        <w:tc>
          <w:tcPr>
            <w:tcW w:w="5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9"/>
                <w:szCs w:val="9"/>
                <w:color w:val="auto"/>
              </w:rPr>
              <w:t>10</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Unrealized gains on marketable securities, net of taxes of $1</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tcPr>
          <w:p>
            <w:pPr>
              <w:ind w:left="200"/>
              <w:spacing w:after="0" w:line="98" w:lineRule="exact"/>
              <w:rPr>
                <w:sz w:val="20"/>
                <w:szCs w:val="20"/>
                <w:color w:val="auto"/>
              </w:rPr>
            </w:pPr>
            <w:r>
              <w:rPr>
                <w:rFonts w:ascii="Arial" w:cs="Arial" w:eastAsia="Arial" w:hAnsi="Arial"/>
                <w:sz w:val="9"/>
                <w:szCs w:val="9"/>
                <w:color w:val="auto"/>
              </w:rPr>
              <w:t>Foreign currency translation adjustments</w:t>
            </w:r>
          </w:p>
        </w:tc>
        <w:tc>
          <w:tcPr>
            <w:tcW w:w="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w:t>
            </w:r>
          </w:p>
        </w:tc>
        <w:tc>
          <w:tcPr>
            <w:tcW w:w="6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w:t>
            </w: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920" w:type="dxa"/>
            <w:vAlign w:val="bottom"/>
            <w:shd w:val="clear" w:color="auto" w:fill="CCEEFF"/>
          </w:tcPr>
          <w:p>
            <w:pPr>
              <w:ind w:left="200"/>
              <w:spacing w:after="0" w:line="88" w:lineRule="exact"/>
              <w:rPr>
                <w:sz w:val="20"/>
                <w:szCs w:val="20"/>
                <w:color w:val="auto"/>
              </w:rPr>
            </w:pPr>
            <w:r>
              <w:rPr>
                <w:rFonts w:ascii="Arial" w:cs="Arial" w:eastAsia="Arial" w:hAnsi="Arial"/>
                <w:sz w:val="9"/>
                <w:szCs w:val="9"/>
                <w:color w:val="auto"/>
                <w:w w:val="98"/>
              </w:rPr>
              <w:t>Change in funded status of post-retirement benefit obligations, net of</w:t>
            </w: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920" w:type="dxa"/>
            <w:vAlign w:val="bottom"/>
            <w:shd w:val="clear" w:color="auto" w:fill="CCEEFF"/>
          </w:tcPr>
          <w:p>
            <w:pPr>
              <w:ind w:left="280"/>
              <w:spacing w:after="0"/>
              <w:rPr>
                <w:sz w:val="20"/>
                <w:szCs w:val="20"/>
                <w:color w:val="auto"/>
              </w:rPr>
            </w:pPr>
            <w:r>
              <w:rPr>
                <w:rFonts w:ascii="Arial" w:cs="Arial" w:eastAsia="Arial" w:hAnsi="Arial"/>
                <w:sz w:val="9"/>
                <w:szCs w:val="9"/>
                <w:color w:val="auto"/>
              </w:rPr>
              <w:t>taxes of $0</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w:t>
            </w:r>
          </w:p>
        </w:tc>
        <w:tc>
          <w:tcPr>
            <w:tcW w:w="6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income (loss)</w:t>
            </w:r>
          </w:p>
        </w:tc>
        <w:tc>
          <w:tcPr>
            <w:tcW w:w="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(24)</w:t>
            </w:r>
          </w:p>
        </w:tc>
        <w:tc>
          <w:tcPr>
            <w:tcW w:w="200" w:type="dxa"/>
            <w:vAlign w:val="bottom"/>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4"/>
              </w:rPr>
              <w:t>(24)</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684</w:t>
            </w:r>
          </w:p>
        </w:tc>
        <w:tc>
          <w:tcPr>
            <w:tcW w:w="660" w:type="dxa"/>
            <w:vAlign w:val="bottom"/>
            <w:shd w:val="clear" w:color="auto" w:fill="CCEEFF"/>
          </w:tcPr>
          <w:p>
            <w:pPr>
              <w:jc w:val="right"/>
              <w:ind w:right="589"/>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79"/>
              </w:rPr>
              <w:t>684</w:t>
            </w: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Cash dividends declared</w:t>
            </w:r>
          </w:p>
        </w:tc>
        <w:tc>
          <w:tcPr>
            <w:tcW w:w="60" w:type="dxa"/>
            <w:vAlign w:val="bottom"/>
          </w:tcPr>
          <w:p>
            <w:pPr>
              <w:spacing w:after="0"/>
              <w:rPr>
                <w:sz w:val="8"/>
                <w:szCs w:val="8"/>
                <w:color w:val="auto"/>
              </w:rPr>
            </w:pPr>
          </w:p>
        </w:tc>
        <w:tc>
          <w:tcPr>
            <w:tcW w:w="4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(454)</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(454)</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92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Equity-based compensation transactions, including dividend equivalents,</w:t>
            </w: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920" w:type="dxa"/>
            <w:vAlign w:val="bottom"/>
            <w:shd w:val="clear" w:color="auto" w:fill="CCEEFF"/>
          </w:tcPr>
          <w:p>
            <w:pPr>
              <w:ind w:left="100"/>
              <w:spacing w:after="0"/>
              <w:rPr>
                <w:sz w:val="20"/>
                <w:szCs w:val="20"/>
                <w:color w:val="auto"/>
              </w:rPr>
            </w:pPr>
            <w:r>
              <w:rPr>
                <w:rFonts w:ascii="Arial" w:cs="Arial" w:eastAsia="Arial" w:hAnsi="Arial"/>
                <w:sz w:val="9"/>
                <w:szCs w:val="9"/>
                <w:color w:val="auto"/>
              </w:rPr>
              <w:t>net of taxes</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73</w:t>
            </w: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(19)</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2,963</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93</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Common stock repurchases</w:t>
            </w:r>
          </w:p>
        </w:tc>
        <w:tc>
          <w:tcPr>
            <w:tcW w:w="60" w:type="dxa"/>
            <w:vAlign w:val="bottom"/>
          </w:tcPr>
          <w:p>
            <w:pPr>
              <w:spacing w:after="0"/>
              <w:rPr>
                <w:sz w:val="8"/>
                <w:szCs w:val="8"/>
                <w:color w:val="auto"/>
              </w:rPr>
            </w:pPr>
          </w:p>
        </w:tc>
        <w:tc>
          <w:tcPr>
            <w:tcW w:w="4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(445)</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(13,380)</w:t>
            </w:r>
          </w:p>
        </w:tc>
        <w:tc>
          <w:tcPr>
            <w:tcW w:w="140" w:type="dxa"/>
            <w:vAlign w:val="bottom"/>
          </w:tcPr>
          <w:p>
            <w:pPr>
              <w:spacing w:after="0"/>
              <w:rPr>
                <w:sz w:val="8"/>
                <w:szCs w:val="8"/>
                <w:color w:val="auto"/>
              </w:rPr>
            </w:pPr>
          </w:p>
        </w:tc>
        <w:tc>
          <w:tcPr>
            <w:tcW w:w="4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(445)</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Distributions paid to noncontrolling interests</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(30)</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(30)</w:t>
            </w:r>
          </w:p>
        </w:tc>
        <w:tc>
          <w:tcPr>
            <w:tcW w:w="0" w:type="dxa"/>
            <w:vAlign w:val="bottom"/>
          </w:tcPr>
          <w:p>
            <w:pPr>
              <w:spacing w:after="0"/>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Noncontrolling interests in acquired businesses</w:t>
            </w:r>
          </w:p>
        </w:tc>
        <w:tc>
          <w:tcPr>
            <w:tcW w:w="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50</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50</w:t>
            </w:r>
          </w:p>
        </w:tc>
        <w:tc>
          <w:tcPr>
            <w:tcW w:w="0" w:type="dxa"/>
            <w:vAlign w:val="bottom"/>
          </w:tcPr>
          <w:p>
            <w:pPr>
              <w:spacing w:after="0"/>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Deconsolidation of variable interest entities</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(31)</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(31)</w:t>
            </w:r>
          </w:p>
        </w:tc>
        <w:tc>
          <w:tcPr>
            <w:tcW w:w="0" w:type="dxa"/>
            <w:vAlign w:val="bottom"/>
          </w:tcPr>
          <w:p>
            <w:pPr>
              <w:spacing w:after="0"/>
              <w:rPr>
                <w:sz w:val="1"/>
                <w:szCs w:val="1"/>
                <w:color w:val="auto"/>
              </w:rPr>
            </w:pPr>
          </w:p>
        </w:tc>
      </w:tr>
      <w:tr>
        <w:trPr>
          <w:trHeight w:val="98"/>
        </w:trPr>
        <w:tc>
          <w:tcPr>
            <w:tcW w:w="2920" w:type="dxa"/>
            <w:vAlign w:val="bottom"/>
          </w:tcPr>
          <w:p>
            <w:pPr>
              <w:spacing w:after="0" w:line="98" w:lineRule="exact"/>
              <w:rPr>
                <w:sz w:val="20"/>
                <w:szCs w:val="20"/>
                <w:color w:val="auto"/>
              </w:rPr>
            </w:pPr>
            <w:r>
              <w:rPr>
                <w:rFonts w:ascii="Arial" w:cs="Arial" w:eastAsia="Arial" w:hAnsi="Arial"/>
                <w:sz w:val="9"/>
                <w:szCs w:val="9"/>
                <w:color w:val="auto"/>
              </w:rPr>
              <w:t>Other</w:t>
            </w:r>
          </w:p>
        </w:tc>
        <w:tc>
          <w:tcPr>
            <w:tcW w:w="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w:t>
            </w:r>
          </w:p>
        </w:tc>
        <w:tc>
          <w:tcPr>
            <w:tcW w:w="140" w:type="dxa"/>
            <w:vAlign w:val="bottom"/>
          </w:tcPr>
          <w:p>
            <w:pPr>
              <w:spacing w:after="0"/>
              <w:rPr>
                <w:sz w:val="8"/>
                <w:szCs w:val="8"/>
                <w:color w:val="auto"/>
              </w:rPr>
            </w:pPr>
          </w:p>
        </w:tc>
        <w:tc>
          <w:tcPr>
            <w:tcW w:w="4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September 30, 2010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7"/>
              </w:rPr>
              <w:t>6,439</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630,282</w:t>
            </w:r>
          </w:p>
        </w:tc>
        <w:tc>
          <w:tcPr>
            <w:tcW w:w="240" w:type="dxa"/>
            <w:vAlign w:val="bottom"/>
            <w:shd w:val="clear" w:color="auto" w:fill="CCEEFF"/>
          </w:tcPr>
          <w:p>
            <w:pPr>
              <w:jc w:val="right"/>
              <w:ind w:right="136"/>
              <w:spacing w:after="0" w:line="98" w:lineRule="exact"/>
              <w:rPr>
                <w:sz w:val="20"/>
                <w:szCs w:val="20"/>
                <w:color w:val="auto"/>
              </w:rPr>
            </w:pPr>
            <w:r>
              <w:rPr>
                <w:rFonts w:ascii="Arial" w:cs="Arial" w:eastAsia="Arial" w:hAnsi="Arial"/>
                <w:sz w:val="9"/>
                <w:szCs w:val="9"/>
                <w:color w:val="auto"/>
                <w:w w:val="78"/>
              </w:rPr>
              <w:t>$</w:t>
            </w: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4,524</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6,270</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184</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(154,568)</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w w:val="91"/>
              </w:rPr>
              <w:t>(4,876)</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331</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 w:name="page6"/>
    <w:bookmarkEnd w:id="5"/>
    <w:p>
      <w:pPr>
        <w:ind w:left="4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53"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We manage and evaluate our principal operations through five Groups. Our four geographic operating Groups, which include our Eastern, Midwest, Southern and Western Groups, provide collection, transfer, recycling and disposal services. Our fifth operating Group is the Wheelabrator Group, which provides waste-to-energy services. We also provide additional services that are not managed through our five Groups, which are presented in this report as “Other.” These five Groups are presented as our reportable segments, and additional information related to our segments can be found in Note 10.</w:t>
      </w:r>
    </w:p>
    <w:p>
      <w:pPr>
        <w:spacing w:after="0" w:line="70" w:lineRule="exact"/>
        <w:rPr>
          <w:sz w:val="20"/>
          <w:szCs w:val="20"/>
          <w:color w:val="auto"/>
        </w:rPr>
      </w:pPr>
    </w:p>
    <w:p>
      <w:pPr>
        <w:ind w:right="16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and nine months ended September 30, 2010 and 2009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2009.</w:t>
      </w:r>
    </w:p>
    <w:p>
      <w:pPr>
        <w:spacing w:after="0" w:line="53"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reserves associated with our uninsured claims and reserves and recoveries associated with our insured claims. Actual results could differ materially from the estimates and assumptions that we use in the preparation of our financial statements.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i w:val="1"/>
          <w:iCs w:val="1"/>
          <w:color w:val="auto"/>
        </w:rPr>
        <w:t xml:space="preserve">Consolidation of Variable Interest Entities </w:t>
      </w:r>
      <w:r>
        <w:rPr>
          <w:rFonts w:ascii="Arial" w:cs="Arial" w:eastAsia="Arial" w:hAnsi="Arial"/>
          <w:sz w:val="12"/>
          <w:szCs w:val="12"/>
          <w:color w:val="auto"/>
        </w:rPr>
        <w:t>— In June 2009, the Financial Accounting Standards Board, or FASB, issued revised authoritative guidance associated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consolidation of variable interest entities. The revised guidance replaced the previous quantitative-based assessment for determining whether an enterprise is the primary beneficiary of a variable interest entity, and is, therefore, required to consolidate the entity, with an approach that is now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variable interest entity that could potentially be significant to such entity. The revised guidance also requires that the enterprise continually reassess whether it is the primary beneficiary of a variable interest entity rather than conducting a reassessment only upon the occurrence of specific events.</w:t>
      </w:r>
    </w:p>
    <w:p>
      <w:pPr>
        <w:spacing w:after="0" w:line="59"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As a result of our implementation of this guidance, effective January 1, 2010, we deconsolidated certain capping, closure, post-closure and environmental remediation trusts for which power over significant activities is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shared. Our financial interests in these entities are discussed below. The deconsolidation of these trusts has not materially affected our financial position, results of operations or cash flows during the periods presented.</w:t>
      </w:r>
    </w:p>
    <w:p>
      <w:pPr>
        <w:spacing w:after="0" w:line="59" w:lineRule="exact"/>
        <w:rPr>
          <w:sz w:val="20"/>
          <w:szCs w:val="20"/>
          <w:color w:val="auto"/>
        </w:rPr>
      </w:pPr>
    </w:p>
    <w:p>
      <w:pPr>
        <w:ind w:right="60" w:firstLine="399"/>
        <w:spacing w:after="0" w:line="371" w:lineRule="auto"/>
        <w:rPr>
          <w:sz w:val="20"/>
          <w:szCs w:val="20"/>
          <w:color w:val="auto"/>
        </w:rPr>
      </w:pPr>
      <w:r>
        <w:rPr>
          <w:rFonts w:ascii="Arial" w:cs="Arial" w:eastAsia="Arial" w:hAnsi="Arial"/>
          <w:sz w:val="11"/>
          <w:szCs w:val="11"/>
          <w:color w:val="auto"/>
        </w:rPr>
        <w:t>Following is a description of our financial interests in variable interest entities that we consider significant, including (i) those for which we have determined that we are the primary beneficiary of the entities and, therefore, have continued to consolidate the entities into our financial statements; and (ii) those that represent a significant interest in an unconsolidated entity.</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jc w:val="both"/>
        <w:ind w:right="20" w:firstLine="399"/>
        <w:spacing w:after="0" w:line="260"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In June 2000, two limited liability companies were established to purchase interests in existing leveraged lease financings at three waste-to-energy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we lease, operate and maintain. We own a 0.5% interest in one of the LLCs (“LLC I”) and a 0.25% interest in the second LLC (“LLC II”). John Hancock Life Insurance Company owns 99.5% of LLC I, and 99.75% of LLC II is owned by LLC I and the CIT Group. In 2000, Hancock and CIT made an initial aggregate investment of $167 million in the LLCs, which was used to purchase the three waste-to-energy facilities and assume the seller’s indebtedness.</w:t>
      </w:r>
    </w:p>
    <w:p>
      <w:pPr>
        <w:spacing w:after="0" w:line="70"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September 30, 2010 have been based on initial capital account balances as the target returns have not yet been achieved.</w:t>
      </w:r>
    </w:p>
    <w:p>
      <w:pPr>
        <w:spacing w:after="0" w:line="67"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70"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We have determined that we are the primary beneficiary of the LLCs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67"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As of September 30, 2010, our Condensed Consolidated Balance Sheet included $322 million of net property and equipment associated with the LLCs’ waste-to-energy facilities and $242 million in noncontrolling interests associated with Hancock’s and CIT’s interests in the LLCs. As of September 30, 2010, all debt obligations of the LLCs had been paid in full and, therefore, the LLCs have no liabilities. We recognized expense of $13 million and $38 million during the three and nine months ended September 30, 2010, and September 30, 2009, respectively, for Hancock’s and CIT’s noncontrolling interests in the LLCs’ earnings. The LLCs’ earnings relate to the rental income generated from leasing the facilities to our subsidiaries, reduced by depreciation expense. The LLCs’ rental income is eliminated in WMI’s consolidation.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i w:val="1"/>
          <w:iCs w:val="1"/>
          <w:color w:val="auto"/>
        </w:rPr>
        <w:t xml:space="preserve">Trusts for Capping, Closure, Post-Closure or Environmental Remediation Obligations </w:t>
      </w:r>
      <w:r>
        <w:rPr>
          <w:rFonts w:ascii="Arial" w:cs="Arial" w:eastAsia="Arial" w:hAnsi="Arial"/>
          <w:sz w:val="13"/>
          <w:szCs w:val="13"/>
          <w:color w:val="auto"/>
        </w:rPr>
        <w:t>— We have significant financial interests in trust funds that were created to settle certain of our</w:t>
      </w:r>
      <w:r>
        <w:rPr>
          <w:rFonts w:ascii="Arial" w:cs="Arial" w:eastAsia="Arial" w:hAnsi="Arial"/>
          <w:sz w:val="13"/>
          <w:szCs w:val="13"/>
          <w:i w:val="1"/>
          <w:iCs w:val="1"/>
          <w:color w:val="auto"/>
        </w:rPr>
        <w:t xml:space="preserve"> </w:t>
      </w:r>
      <w:r>
        <w:rPr>
          <w:rFonts w:ascii="Arial" w:cs="Arial" w:eastAsia="Arial" w:hAnsi="Arial"/>
          <w:sz w:val="13"/>
          <w:szCs w:val="13"/>
          <w:color w:val="auto"/>
        </w:rPr>
        <w:t>capping, closure, post-closure or environmental remediation obligations. We have determined that, under the current guidance, we are not the primary beneficiary of certain of these trust funds because power over the trusts’ significant activities is shared.</w:t>
      </w:r>
    </w:p>
    <w:p>
      <w:pPr>
        <w:spacing w:after="0" w:line="67" w:lineRule="exact"/>
        <w:rPr>
          <w:sz w:val="20"/>
          <w:szCs w:val="20"/>
          <w:color w:val="auto"/>
        </w:rPr>
      </w:pPr>
    </w:p>
    <w:p>
      <w:pPr>
        <w:ind w:right="740" w:firstLine="399"/>
        <w:spacing w:after="0" w:line="276" w:lineRule="auto"/>
        <w:rPr>
          <w:sz w:val="20"/>
          <w:szCs w:val="20"/>
          <w:color w:val="auto"/>
        </w:rPr>
      </w:pPr>
      <w:r>
        <w:rPr>
          <w:rFonts w:ascii="Arial" w:cs="Arial" w:eastAsia="Arial" w:hAnsi="Arial"/>
          <w:sz w:val="13"/>
          <w:szCs w:val="13"/>
          <w:color w:val="auto"/>
        </w:rPr>
        <w:t>The deconsolidation of these variable interest entities as of January 1, 2010 decreased our restricted trust and escrow accounts by $109 million; increased investments in unconsolidated entities by $27 million; increased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80"/>
        <w:spacing w:after="0" w:line="289" w:lineRule="auto"/>
        <w:rPr>
          <w:sz w:val="20"/>
          <w:szCs w:val="20"/>
          <w:color w:val="auto"/>
        </w:rPr>
      </w:pPr>
      <w:r>
        <w:rPr>
          <w:rFonts w:ascii="Arial" w:cs="Arial" w:eastAsia="Arial" w:hAnsi="Arial"/>
          <w:sz w:val="12"/>
          <w:szCs w:val="12"/>
          <w:color w:val="auto"/>
        </w:rPr>
        <w:t>receivables, principally long-term, by $51 million; and decreased noncontrolling interests by $31 million. Beginning in 2010, our interests in these variable interest entities have been accounted for as investments in unconsolidated entities. Our investments and receivables related to the trusts had a fair value of $105 million as of January 1, 2010 and $113 million as of September 30, 2010. We continue to reflect our interests in the unrealized gains and losses on marketable securities held by these trusts as a component of accumulated other comprehensive income. The deconsolidation of these variable interest entities has not materially affected our financial position or results of operations for the periods presented.</w:t>
      </w:r>
    </w:p>
    <w:p>
      <w:pPr>
        <w:spacing w:after="0" w:line="53"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As the party with primary responsibility to fund the related capping, closure, post-closure or environmental remediation activities, we are exposed to risk of loss as a result of potential changes in the fair value of the trusts assets.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7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i w:val="1"/>
          <w:iCs w:val="1"/>
          <w:color w:val="auto"/>
        </w:rPr>
        <w:t xml:space="preserve">Federal low-income housing tax credits </w:t>
      </w:r>
      <w:r>
        <w:rPr>
          <w:rFonts w:ascii="Arial" w:cs="Arial" w:eastAsia="Arial" w:hAnsi="Arial"/>
          <w:sz w:val="13"/>
          <w:szCs w:val="13"/>
          <w:color w:val="auto"/>
        </w:rPr>
        <w:t>— In April 2010, we acquired a noncontrolling interest in a limited liability company established to invest in and manage low-income</w:t>
      </w:r>
      <w:r>
        <w:rPr>
          <w:rFonts w:ascii="Arial" w:cs="Arial" w:eastAsia="Arial" w:hAnsi="Arial"/>
          <w:sz w:val="13"/>
          <w:szCs w:val="13"/>
          <w:i w:val="1"/>
          <w:iCs w:val="1"/>
          <w:color w:val="auto"/>
        </w:rPr>
        <w:t xml:space="preserve"> </w:t>
      </w:r>
      <w:r>
        <w:rPr>
          <w:rFonts w:ascii="Arial" w:cs="Arial" w:eastAsia="Arial" w:hAnsi="Arial"/>
          <w:sz w:val="13"/>
          <w:szCs w:val="13"/>
          <w:color w:val="auto"/>
        </w:rPr>
        <w:t>housing properties. Our consideration for this investment totaled $221 million, which was comprised of a $215 million note payable and an initial cash payment of $6 million. We determined that we are not the primary beneficiary of this entity as we do not have the power to direct the entity’s activities. At September 30, 2010, our investment balance was $208 million. Additional information related to this investment is discussed in Note 5.</w:t>
      </w:r>
    </w:p>
    <w:p>
      <w:pPr>
        <w:spacing w:after="0" w:line="14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September 30, 2010</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3"/>
              </w:rPr>
              <w:t>December 31, 2009</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80" w:type="dxa"/>
            <w:vAlign w:val="bottom"/>
          </w:tcPr>
          <w:p>
            <w:pPr>
              <w:spacing w:after="0"/>
              <w:rPr>
                <w:sz w:val="7"/>
                <w:szCs w:val="7"/>
                <w:color w:val="auto"/>
              </w:rPr>
            </w:pPr>
          </w:p>
        </w:tc>
        <w:tc>
          <w:tcPr>
            <w:tcW w:w="12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60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5"/>
              </w:rPr>
              <w:t>Landfill</w:t>
            </w:r>
          </w:p>
        </w:tc>
        <w:tc>
          <w:tcPr>
            <w:tcW w:w="100" w:type="dxa"/>
            <w:vAlign w:val="bottom"/>
          </w:tcPr>
          <w:p>
            <w:pPr>
              <w:spacing w:after="0"/>
              <w:rPr>
                <w:sz w:val="7"/>
                <w:szCs w:val="7"/>
                <w:color w:val="auto"/>
              </w:rPr>
            </w:pPr>
          </w:p>
        </w:tc>
        <w:tc>
          <w:tcPr>
            <w:tcW w:w="12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Remediation</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Long-term</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1,188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1,470</w:t>
            </w:r>
          </w:p>
        </w:tc>
        <w:tc>
          <w:tcPr>
            <w:tcW w:w="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1,631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1,267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2009 and the nine months ended September 30, 2010 are reflected in the table below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estimates and interest rate assumptions(a)</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September 30, 2010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right="340" w:hanging="313"/>
        <w:spacing w:after="0" w:line="258" w:lineRule="auto"/>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revisions in estimates associated with our environmental remediation liabilities were primarily related to (i) net charges totaling $50 million for estimates associated with remediation liabilities at four closed sites and (ii) the impact of changes in the risk-free discount rate used to measure the liabilities. As of December 31, 2009, we used a risk-free discount rate for these obligations of 3.75%. The applicable rate decreased to 3.0% effective June 30, 2010 and 2.5% effective September 30, 2010. For the nine months ended September 30, 2010, these changes in the risk-free discount rate resulted in an increase of $21 million to our environmental remediation liabilities and a corresponding increase to “Operating” expenses.</w:t>
      </w:r>
    </w:p>
    <w:p>
      <w:pPr>
        <w:spacing w:after="0" w:line="71"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capping, closure, post-closure and environmental remediation obligations. Generally, these trust funds are established to comply with statutory requirements and operating agreements and we are the sole beneficiary of the restricted balances. However, certain of the funds have been established for the benefit of both the Company and the host community in which we operate.</w:t>
      </w:r>
    </w:p>
    <w:p>
      <w:pPr>
        <w:spacing w:after="0" w:line="50" w:lineRule="exact"/>
        <w:rPr>
          <w:sz w:val="20"/>
          <w:szCs w:val="20"/>
          <w:color w:val="auto"/>
        </w:rPr>
      </w:pPr>
    </w:p>
    <w:p>
      <w:pPr>
        <w:ind w:right="40" w:firstLine="399"/>
        <w:spacing w:after="0" w:line="322" w:lineRule="auto"/>
        <w:rPr>
          <w:sz w:val="20"/>
          <w:szCs w:val="20"/>
          <w:color w:val="auto"/>
        </w:rPr>
      </w:pPr>
      <w:r>
        <w:rPr>
          <w:rFonts w:ascii="Arial" w:cs="Arial" w:eastAsia="Arial" w:hAnsi="Arial"/>
          <w:sz w:val="11"/>
          <w:szCs w:val="11"/>
          <w:color w:val="auto"/>
        </w:rPr>
        <w:t>The fair value of trust funds and escrow accounts for which we are the sole beneficiary was $124 million at September 30, 2010. As discussed in Note 1, effective January 1, 2010, we deconsolidated the trusts for which power over significant activities of the trust is shared, which reduced our restricted trust and escrow accounts by $109 million as of January 1, 2010. Beginning in 2010, our interests in these variable interest entities have been accounted for as investments in unconsolidated entities and receivables. The fair value of our investment in these entities was $113 million as of September 30, 2010. These amounts are included in “Other receivables” and as long-term “Other assets” in our Condensed Consolidated Balance Sheet.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table summarizes the major components of debt at each balance sheet date (in millions) and provides the maturities and interest rate ranges of each major category as of</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2010: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9"/>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1.6% at September 30, 2010 and 1.3% at December 31, 2009)</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w:t>
            </w: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3"/>
                <w:szCs w:val="13"/>
                <w:color w:val="auto"/>
                <w:w w:val="94"/>
              </w:rPr>
              <w:t>Senior notes and debentures, maturing through 2039, interest rates ranging from 4.75% to 7.75% (weighted average interest rate of 6.5%</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500" w:type="dxa"/>
            <w:vAlign w:val="bottom"/>
          </w:tcPr>
          <w:p>
            <w:pPr>
              <w:ind w:left="140"/>
              <w:spacing w:after="0"/>
              <w:rPr>
                <w:sz w:val="20"/>
                <w:szCs w:val="20"/>
                <w:color w:val="auto"/>
              </w:rPr>
            </w:pPr>
            <w:r>
              <w:rPr>
                <w:rFonts w:ascii="Arial" w:cs="Arial" w:eastAsia="Arial" w:hAnsi="Arial"/>
                <w:sz w:val="13"/>
                <w:szCs w:val="13"/>
                <w:color w:val="auto"/>
              </w:rPr>
              <w:t>at September 30, 2010 and 6.8% at December 31, 2009)</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5,473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5,465</w:t>
            </w:r>
          </w:p>
        </w:tc>
      </w:tr>
      <w:tr>
        <w:trPr>
          <w:trHeight w:val="149"/>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0.3% to 7.4% (weighted average interest rate of</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3.2% at September 30, 2010 and 3.5% at December 31, 2009)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w:t>
            </w: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3"/>
                <w:szCs w:val="13"/>
                <w:color w:val="auto"/>
                <w:w w:val="98"/>
              </w:rPr>
              <w:t>Tax-exempt project bonds, principal payable in periodic installments, maturing through 2029, fixed and variable interest rates ranging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500" w:type="dxa"/>
            <w:vAlign w:val="bottom"/>
          </w:tcPr>
          <w:p>
            <w:pPr>
              <w:ind w:left="140"/>
              <w:spacing w:after="0"/>
              <w:rPr>
                <w:sz w:val="20"/>
                <w:szCs w:val="20"/>
                <w:color w:val="auto"/>
              </w:rPr>
            </w:pPr>
            <w:r>
              <w:rPr>
                <w:rFonts w:ascii="Arial" w:cs="Arial" w:eastAsia="Arial" w:hAnsi="Arial"/>
                <w:sz w:val="13"/>
                <w:szCs w:val="13"/>
                <w:color w:val="auto"/>
              </w:rPr>
              <w:t>from 0.3% to 5.4% (weighted average interest rate of 3.0% at September 30, 2010 and 3.1% at December 31, 2009)</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5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8,959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8,873</w:t>
            </w: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5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8,798</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8,124</w:t>
            </w:r>
          </w:p>
        </w:tc>
      </w:tr>
      <w:tr>
        <w:trPr>
          <w:trHeight w:val="30"/>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Debt Classification</w:t>
      </w:r>
    </w:p>
    <w:p>
      <w:pPr>
        <w:spacing w:after="0" w:line="96" w:lineRule="exact"/>
        <w:rPr>
          <w:sz w:val="20"/>
          <w:szCs w:val="20"/>
          <w:color w:val="auto"/>
        </w:rPr>
      </w:pPr>
    </w:p>
    <w:p>
      <w:pPr>
        <w:jc w:val="both"/>
        <w:ind w:right="100" w:firstLine="399"/>
        <w:spacing w:after="0" w:line="276" w:lineRule="auto"/>
        <w:rPr>
          <w:sz w:val="20"/>
          <w:szCs w:val="20"/>
          <w:color w:val="auto"/>
        </w:rPr>
      </w:pPr>
      <w:r>
        <w:rPr>
          <w:rFonts w:ascii="Arial" w:cs="Arial" w:eastAsia="Arial" w:hAnsi="Arial"/>
          <w:sz w:val="13"/>
          <w:szCs w:val="13"/>
          <w:color w:val="auto"/>
        </w:rPr>
        <w:t>As of September 30, 2010, we had $477 million of debt maturing within twelve months. We have classified $316 million of these borrowings as long-term as of September 30, 2010 based on our intent and ability to refinance these borrowings on a long-term basis.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Debt Borrowings and Repayments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significant changes in our debt balances from December 31, 2009 to September 30, 2010 are related to the following:</w:t>
      </w:r>
    </w:p>
    <w:p>
      <w:pPr>
        <w:spacing w:after="0" w:line="96" w:lineRule="exact"/>
        <w:rPr>
          <w:sz w:val="20"/>
          <w:szCs w:val="20"/>
          <w:color w:val="auto"/>
        </w:rPr>
      </w:pPr>
    </w:p>
    <w:p>
      <w:pPr>
        <w:ind w:left="400" w:right="100" w:firstLine="383"/>
        <w:spacing w:after="0" w:line="276" w:lineRule="auto"/>
        <w:rPr>
          <w:sz w:val="20"/>
          <w:szCs w:val="20"/>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The decrease in the carrying value is primarily due to $53 million of net debt repayments during the nine months ended September 30, 2010. This</w:t>
      </w:r>
      <w:r>
        <w:rPr>
          <w:rFonts w:ascii="Arial" w:cs="Arial" w:eastAsia="Arial" w:hAnsi="Arial"/>
          <w:sz w:val="13"/>
          <w:szCs w:val="13"/>
          <w:i w:val="1"/>
          <w:iCs w:val="1"/>
          <w:color w:val="auto"/>
        </w:rPr>
        <w:t xml:space="preserve"> </w:t>
      </w:r>
      <w:r>
        <w:rPr>
          <w:rFonts w:ascii="Arial" w:cs="Arial" w:eastAsia="Arial" w:hAnsi="Arial"/>
          <w:sz w:val="13"/>
          <w:szCs w:val="13"/>
          <w:color w:val="auto"/>
        </w:rPr>
        <w:t>decrease was partially offset by currency translation adjustments and the impact of interest accretion.</w:t>
      </w:r>
    </w:p>
    <w:p>
      <w:pPr>
        <w:spacing w:after="0" w:line="59" w:lineRule="exact"/>
        <w:rPr>
          <w:sz w:val="20"/>
          <w:szCs w:val="20"/>
          <w:color w:val="auto"/>
        </w:rPr>
      </w:pPr>
    </w:p>
    <w:p>
      <w:pPr>
        <w:ind w:left="400" w:right="40" w:firstLine="383"/>
        <w:spacing w:after="0" w:line="276" w:lineRule="auto"/>
        <w:rPr>
          <w:sz w:val="20"/>
          <w:szCs w:val="20"/>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In June 2010, we issued $600 million of 4.75% senior notes due June 2020. The net proceeds from the debt issuance were $592 million. We used the proceeds</w:t>
      </w:r>
      <w:r>
        <w:rPr>
          <w:rFonts w:ascii="Arial" w:cs="Arial" w:eastAsia="Arial" w:hAnsi="Arial"/>
          <w:sz w:val="13"/>
          <w:szCs w:val="13"/>
          <w:i w:val="1"/>
          <w:iCs w:val="1"/>
          <w:color w:val="auto"/>
        </w:rPr>
        <w:t xml:space="preserve"> </w:t>
      </w:r>
      <w:r>
        <w:rPr>
          <w:rFonts w:ascii="Arial" w:cs="Arial" w:eastAsia="Arial" w:hAnsi="Arial"/>
          <w:sz w:val="13"/>
          <w:szCs w:val="13"/>
          <w:color w:val="auto"/>
        </w:rPr>
        <w:t>together with cash on hand to repay $600 million of 7.375% senior notes that matured in August 2010.</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During the nine months ended September 30, 2010, we repaid $52 million of our tax-exempt bonds with available cash.</w:t>
      </w:r>
    </w:p>
    <w:p>
      <w:pPr>
        <w:spacing w:after="0" w:line="96" w:lineRule="exact"/>
        <w:rPr>
          <w:sz w:val="20"/>
          <w:szCs w:val="20"/>
          <w:color w:val="auto"/>
        </w:rPr>
      </w:pPr>
    </w:p>
    <w:p>
      <w:pPr>
        <w:ind w:left="400" w:right="120" w:firstLine="383"/>
        <w:spacing w:after="0" w:line="276" w:lineRule="auto"/>
        <w:rPr>
          <w:sz w:val="20"/>
          <w:szCs w:val="20"/>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The significant increase in our capital leases and other debt obligations for the nine-month period ended September 30, 2010 is primarily related</w:t>
      </w:r>
      <w:r>
        <w:rPr>
          <w:rFonts w:ascii="Arial" w:cs="Arial" w:eastAsia="Arial" w:hAnsi="Arial"/>
          <w:sz w:val="13"/>
          <w:szCs w:val="13"/>
          <w:i w:val="1"/>
          <w:iCs w:val="1"/>
          <w:color w:val="auto"/>
        </w:rPr>
        <w:t xml:space="preserve"> </w:t>
      </w:r>
      <w:r>
        <w:rPr>
          <w:rFonts w:ascii="Arial" w:cs="Arial" w:eastAsia="Arial" w:hAnsi="Arial"/>
          <w:sz w:val="13"/>
          <w:szCs w:val="13"/>
          <w:color w:val="auto"/>
        </w:rPr>
        <w:t>to our federal low-income housing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400" w:right="20"/>
        <w:spacing w:after="0" w:line="276" w:lineRule="auto"/>
        <w:rPr>
          <w:sz w:val="20"/>
          <w:szCs w:val="20"/>
          <w:color w:val="auto"/>
        </w:rPr>
      </w:pPr>
      <w:r>
        <w:rPr>
          <w:rFonts w:ascii="Arial" w:cs="Arial" w:eastAsia="Arial" w:hAnsi="Arial"/>
          <w:sz w:val="13"/>
          <w:szCs w:val="13"/>
          <w:color w:val="auto"/>
        </w:rPr>
        <w:t>investment discussed in Note 5, which increased our debt obligations by $215 million. This increase was offset by $44 million of repayments of various borrowings at their scheduled maturities.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Revolving Credit and Letter of Credit Facilities</w:t>
      </w:r>
    </w:p>
    <w:p>
      <w:pPr>
        <w:spacing w:after="0" w:line="96"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As of September 30, 2010, we had an aggregate committed capacity of $2.5 billion for letters of credit under various credit facilities. Our primary source of letter of credit capacity is a three-year, $2.0 billion revolving credit facility that was executed in June 2010. Our remaining letter of credit capacity is provided under facilities with maturities that extend from June 2013 to June 2015. As of September 30, 2010, we had an aggregate of $1.7 billion of letters of credit outstanding under our revolving credit facility and letter of credit facilities. There have not been any borrowings outstanding under these credit facilities during 2010.</w:t>
      </w:r>
    </w:p>
    <w:p>
      <w:pPr>
        <w:spacing w:after="0" w:line="144"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fair values of derivative instruments recorded in our Condensed Consolidated Balance Sheet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0" w:type="dxa"/>
            <w:vAlign w:val="bottom"/>
            <w:vMerge w:val="restart"/>
          </w:tcPr>
          <w:p>
            <w:pPr>
              <w:spacing w:after="0"/>
              <w:rPr>
                <w:sz w:val="20"/>
                <w:szCs w:val="20"/>
                <w:color w:val="auto"/>
              </w:rPr>
            </w:pPr>
            <w:r>
              <w:rPr>
                <w:rFonts w:ascii="Arial" w:cs="Arial" w:eastAsia="Arial" w:hAnsi="Arial"/>
                <w:sz w:val="10"/>
                <w:szCs w:val="10"/>
                <w:b w:val="1"/>
                <w:bCs w:val="1"/>
                <w:color w:val="auto"/>
              </w:rPr>
              <w:t>Derivatives Designated as Hedging Instruments</w:t>
            </w:r>
          </w:p>
        </w:tc>
        <w:tc>
          <w:tcPr>
            <w:tcW w:w="220" w:type="dxa"/>
            <w:vAlign w:val="bottom"/>
          </w:tcPr>
          <w:p>
            <w:pPr>
              <w:spacing w:after="0"/>
              <w:rPr>
                <w:sz w:val="10"/>
                <w:szCs w:val="10"/>
                <w:color w:val="auto"/>
              </w:rPr>
            </w:pPr>
          </w:p>
        </w:tc>
        <w:tc>
          <w:tcPr>
            <w:tcW w:w="2800" w:type="dxa"/>
            <w:vAlign w:val="bottom"/>
            <w:vMerge w:val="restart"/>
          </w:tcPr>
          <w:p>
            <w:pPr>
              <w:ind w:left="860"/>
              <w:spacing w:after="0"/>
              <w:rPr>
                <w:sz w:val="20"/>
                <w:szCs w:val="20"/>
                <w:color w:val="auto"/>
              </w:rPr>
            </w:pPr>
            <w:r>
              <w:rPr>
                <w:rFonts w:ascii="Arial" w:cs="Arial" w:eastAsia="Arial" w:hAnsi="Arial"/>
                <w:sz w:val="10"/>
                <w:szCs w:val="10"/>
                <w:b w:val="1"/>
                <w:bCs w:val="1"/>
                <w:color w:val="auto"/>
              </w:rPr>
              <w:t>Balance Sheet Location</w:t>
            </w:r>
          </w:p>
        </w:tc>
        <w:tc>
          <w:tcPr>
            <w:tcW w:w="2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4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3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2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Current other assets</w:t>
            </w:r>
          </w:p>
        </w:tc>
        <w:tc>
          <w:tcPr>
            <w:tcW w:w="1120" w:type="dxa"/>
            <w:vAlign w:val="bottom"/>
            <w:gridSpan w:val="2"/>
            <w:shd w:val="clear" w:color="auto" w:fill="CCEEFF"/>
          </w:tcPr>
          <w:p>
            <w:pPr>
              <w:jc w:val="right"/>
              <w:ind w:right="698"/>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200" w:type="dxa"/>
            <w:vAlign w:val="bottom"/>
          </w:tcPr>
          <w:p>
            <w:pPr>
              <w:spacing w:after="0"/>
              <w:rPr>
                <w:sz w:val="20"/>
                <w:szCs w:val="20"/>
                <w:color w:val="auto"/>
              </w:rPr>
            </w:pPr>
            <w:r>
              <w:rPr>
                <w:rFonts w:ascii="Arial" w:cs="Arial" w:eastAsia="Arial" w:hAnsi="Arial"/>
                <w:sz w:val="13"/>
                <w:szCs w:val="13"/>
                <w:color w:val="auto"/>
              </w:rPr>
              <w:t>Electricity commodity contracts</w:t>
            </w:r>
          </w:p>
        </w:tc>
        <w:tc>
          <w:tcPr>
            <w:tcW w:w="22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Current other assets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2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Long-term other assets</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140"/>
              <w:spacing w:after="0"/>
              <w:rPr>
                <w:sz w:val="20"/>
                <w:szCs w:val="20"/>
                <w:color w:val="auto"/>
              </w:rPr>
            </w:pPr>
            <w:r>
              <w:rPr>
                <w:rFonts w:ascii="Arial" w:cs="Arial" w:eastAsia="Arial" w:hAnsi="Arial"/>
                <w:sz w:val="13"/>
                <w:szCs w:val="13"/>
                <w:color w:val="auto"/>
              </w:rPr>
              <w:t>Total derivative assets</w:t>
            </w: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698"/>
              <w:spacing w:after="0"/>
              <w:rPr>
                <w:sz w:val="20"/>
                <w:szCs w:val="20"/>
                <w:color w:val="auto"/>
              </w:rPr>
            </w:pPr>
            <w:r>
              <w:rPr>
                <w:rFonts w:ascii="Arial" w:cs="Arial" w:eastAsia="Arial" w:hAnsi="Arial"/>
                <w:sz w:val="13"/>
                <w:szCs w:val="13"/>
                <w:color w:val="auto"/>
                <w:w w:val="82"/>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56</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Current accrued liabilities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0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22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Current accrued liabilities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6"/>
              </w:rPr>
              <w:t>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2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Long-term accrued liabilities</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140"/>
              <w:spacing w:after="0"/>
              <w:rPr>
                <w:sz w:val="20"/>
                <w:szCs w:val="20"/>
                <w:color w:val="auto"/>
              </w:rPr>
            </w:pPr>
            <w:r>
              <w:rPr>
                <w:rFonts w:ascii="Arial" w:cs="Arial" w:eastAsia="Arial" w:hAnsi="Arial"/>
                <w:sz w:val="13"/>
                <w:szCs w:val="13"/>
                <w:color w:val="auto"/>
              </w:rPr>
              <w:t>Total derivative liabilities</w:t>
            </w: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698"/>
              <w:spacing w:after="0"/>
              <w:rPr>
                <w:sz w:val="20"/>
                <w:szCs w:val="20"/>
                <w:color w:val="auto"/>
              </w:rPr>
            </w:pPr>
            <w:r>
              <w:rPr>
                <w:rFonts w:ascii="Arial" w:cs="Arial" w:eastAsia="Arial" w:hAnsi="Arial"/>
                <w:sz w:val="13"/>
                <w:szCs w:val="13"/>
                <w:color w:val="auto"/>
                <w:w w:val="82"/>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84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Rate Derivatives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Rate Swaps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use interest rate swaps to maintain a portion of our debt obligations at variable market interest rates. As of September 30, 2010, the outstanding principal of our fixed-rate senior notes was approximately $5.4 billion. The interest payments on $500 million, or 9.3%, of these senior notes have been swapped to variable interest rates to protect the debt against changes in fair value due to changes in benchmark interest rates, compared with $1.1 billion, or 20%, as of December 31, 2009. This significant decrease is primarily attributable to the repayment of $600 million of 7.375% senior notes at their scheduled maturities in August 2010, all of which were swapped to variable.</w:t>
      </w:r>
    </w:p>
    <w:p>
      <w:pPr>
        <w:spacing w:after="0" w:line="7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have designated our interest rate swaps as fair value hedges of our fixed-rate senior notes. Fair value hedge accounting for interest rate swap contracts increased the carrying value of debt instruments by $100 million as of September 30, 2010 and $91 million as of December 31, 2009.</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firstLine="399"/>
        <w:spacing w:after="0" w:line="334" w:lineRule="auto"/>
        <w:rPr>
          <w:sz w:val="20"/>
          <w:szCs w:val="20"/>
          <w:color w:val="auto"/>
        </w:rPr>
      </w:pPr>
      <w:r>
        <w:rPr>
          <w:rFonts w:ascii="Arial" w:cs="Arial" w:eastAsia="Arial" w:hAnsi="Arial"/>
          <w:sz w:val="11"/>
          <w:szCs w:val="11"/>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impact of changes in the fair value of our interest rate swaps and the underlying hedged items on our results of operations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10"/>
                <w:szCs w:val="10"/>
                <w:color w:val="auto"/>
              </w:rPr>
            </w:pPr>
          </w:p>
        </w:tc>
        <w:tc>
          <w:tcPr>
            <w:tcW w:w="3660" w:type="dxa"/>
            <w:vAlign w:val="bottom"/>
            <w:vMerge w:val="restart"/>
          </w:tcPr>
          <w:p>
            <w:pPr>
              <w:spacing w:after="0"/>
              <w:rPr>
                <w:sz w:val="20"/>
                <w:szCs w:val="20"/>
                <w:color w:val="auto"/>
              </w:rPr>
            </w:pPr>
            <w:r>
              <w:rPr>
                <w:rFonts w:ascii="Arial" w:cs="Arial" w:eastAsia="Arial" w:hAnsi="Arial"/>
                <w:sz w:val="10"/>
                <w:szCs w:val="10"/>
                <w:b w:val="1"/>
                <w:bCs w:val="1"/>
                <w:color w:val="auto"/>
              </w:rPr>
              <w:t>Statement of Operations Classification</w:t>
            </w:r>
          </w:p>
        </w:tc>
        <w:tc>
          <w:tcPr>
            <w:tcW w:w="2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w:t>
            </w:r>
          </w:p>
        </w:tc>
        <w:tc>
          <w:tcPr>
            <w:tcW w:w="26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c>
          <w:tcPr>
            <w:tcW w:w="0" w:type="dxa"/>
            <w:vAlign w:val="bottom"/>
          </w:tcPr>
          <w:p>
            <w:pPr>
              <w:spacing w:after="0"/>
              <w:rPr>
                <w:sz w:val="1"/>
                <w:szCs w:val="1"/>
                <w:color w:val="auto"/>
              </w:rPr>
            </w:pPr>
          </w:p>
        </w:tc>
      </w:tr>
      <w:tr>
        <w:trPr>
          <w:trHeight w:val="125"/>
        </w:trPr>
        <w:tc>
          <w:tcPr>
            <w:tcW w:w="3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September 30,</w:t>
            </w:r>
          </w:p>
        </w:tc>
        <w:tc>
          <w:tcPr>
            <w:tcW w:w="180" w:type="dxa"/>
            <w:vAlign w:val="bottom"/>
          </w:tcPr>
          <w:p>
            <w:pPr>
              <w:spacing w:after="0"/>
              <w:rPr>
                <w:sz w:val="10"/>
                <w:szCs w:val="10"/>
                <w:color w:val="auto"/>
              </w:rPr>
            </w:pPr>
          </w:p>
        </w:tc>
        <w:tc>
          <w:tcPr>
            <w:tcW w:w="366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on Swap</w:t>
            </w:r>
          </w:p>
        </w:tc>
        <w:tc>
          <w:tcPr>
            <w:tcW w:w="26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20" w:type="dxa"/>
            <w:vAlign w:val="bottom"/>
          </w:tcPr>
          <w:p>
            <w:pPr>
              <w:spacing w:after="0"/>
              <w:rPr>
                <w:sz w:val="20"/>
                <w:szCs w:val="20"/>
                <w:color w:val="auto"/>
              </w:rPr>
            </w:pPr>
            <w:r>
              <w:rPr>
                <w:rFonts w:ascii="Arial" w:cs="Arial" w:eastAsia="Arial" w:hAnsi="Arial"/>
                <w:sz w:val="13"/>
                <w:szCs w:val="13"/>
                <w:color w:val="auto"/>
              </w:rPr>
              <w:t>2010</w:t>
            </w:r>
          </w:p>
        </w:tc>
        <w:tc>
          <w:tcPr>
            <w:tcW w:w="180" w:type="dxa"/>
            <w:vAlign w:val="bottom"/>
          </w:tcPr>
          <w:p>
            <w:pPr>
              <w:spacing w:after="0"/>
              <w:rPr>
                <w:sz w:val="13"/>
                <w:szCs w:val="13"/>
                <w:color w:val="auto"/>
              </w:rPr>
            </w:pPr>
          </w:p>
        </w:tc>
        <w:tc>
          <w:tcPr>
            <w:tcW w:w="3640" w:type="dxa"/>
            <w:vAlign w:val="bottom"/>
          </w:tcPr>
          <w:p>
            <w:pPr>
              <w:ind w:left="1420"/>
              <w:spacing w:after="0"/>
              <w:rPr>
                <w:sz w:val="20"/>
                <w:szCs w:val="20"/>
                <w:color w:val="auto"/>
              </w:rPr>
            </w:pPr>
            <w:r>
              <w:rPr>
                <w:rFonts w:ascii="Arial" w:cs="Arial" w:eastAsia="Arial" w:hAnsi="Arial"/>
                <w:sz w:val="13"/>
                <w:szCs w:val="13"/>
                <w:color w:val="auto"/>
              </w:rPr>
              <w:t>Interest expense</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$10</w:t>
            </w:r>
          </w:p>
        </w:tc>
        <w:tc>
          <w:tcPr>
            <w:tcW w:w="1560" w:type="dxa"/>
            <w:vAlign w:val="bottom"/>
            <w:gridSpan w:val="2"/>
          </w:tcPr>
          <w:p>
            <w:pPr>
              <w:ind w:left="7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3"/>
                <w:szCs w:val="13"/>
                <w:color w:val="auto"/>
              </w:rPr>
              <w:t>2009</w:t>
            </w:r>
          </w:p>
        </w:tc>
        <w:tc>
          <w:tcPr>
            <w:tcW w:w="180" w:type="dxa"/>
            <w:vAlign w:val="bottom"/>
          </w:tcPr>
          <w:p>
            <w:pPr>
              <w:spacing w:after="0"/>
              <w:rPr>
                <w:sz w:val="14"/>
                <w:szCs w:val="14"/>
                <w:color w:val="auto"/>
              </w:rPr>
            </w:pPr>
          </w:p>
        </w:tc>
        <w:tc>
          <w:tcPr>
            <w:tcW w:w="3640" w:type="dxa"/>
            <w:vAlign w:val="bottom"/>
          </w:tcPr>
          <w:p>
            <w:pPr>
              <w:ind w:left="1420"/>
              <w:spacing w:after="0"/>
              <w:rPr>
                <w:sz w:val="20"/>
                <w:szCs w:val="20"/>
                <w:color w:val="auto"/>
              </w:rPr>
            </w:pPr>
            <w:r>
              <w:rPr>
                <w:rFonts w:ascii="Arial" w:cs="Arial" w:eastAsia="Arial" w:hAnsi="Arial"/>
                <w:sz w:val="13"/>
                <w:szCs w:val="13"/>
                <w:color w:val="auto"/>
              </w:rPr>
              <w:t>Interest expense</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$11</w:t>
            </w:r>
          </w:p>
        </w:tc>
        <w:tc>
          <w:tcPr>
            <w:tcW w:w="1560" w:type="dxa"/>
            <w:vAlign w:val="bottom"/>
            <w:gridSpan w:val="2"/>
          </w:tcPr>
          <w:p>
            <w:pPr>
              <w:ind w:left="7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91"/>
        </w:trPr>
        <w:tc>
          <w:tcPr>
            <w:tcW w:w="3420" w:type="dxa"/>
            <w:vAlign w:val="bottom"/>
          </w:tcPr>
          <w:p>
            <w:pPr>
              <w:spacing w:after="0"/>
              <w:rPr>
                <w:sz w:val="20"/>
                <w:szCs w:val="20"/>
                <w:color w:val="auto"/>
              </w:rPr>
            </w:pPr>
            <w:r>
              <w:rPr>
                <w:rFonts w:ascii="Arial" w:cs="Arial" w:eastAsia="Arial" w:hAnsi="Arial"/>
                <w:sz w:val="10"/>
                <w:szCs w:val="10"/>
                <w:b w:val="1"/>
                <w:bCs w:val="1"/>
                <w:color w:val="auto"/>
              </w:rPr>
              <w:t>Nine Months Ended</w:t>
            </w:r>
          </w:p>
        </w:tc>
        <w:tc>
          <w:tcPr>
            <w:tcW w:w="180" w:type="dxa"/>
            <w:vAlign w:val="bottom"/>
          </w:tcPr>
          <w:p>
            <w:pPr>
              <w:spacing w:after="0"/>
              <w:rPr>
                <w:sz w:val="16"/>
                <w:szCs w:val="16"/>
                <w:color w:val="auto"/>
              </w:rPr>
            </w:pPr>
          </w:p>
        </w:tc>
        <w:tc>
          <w:tcPr>
            <w:tcW w:w="3640" w:type="dxa"/>
            <w:vAlign w:val="bottom"/>
            <w:vMerge w:val="restart"/>
          </w:tcPr>
          <w:p>
            <w:pPr>
              <w:spacing w:after="0"/>
              <w:rPr>
                <w:sz w:val="20"/>
                <w:szCs w:val="20"/>
                <w:color w:val="auto"/>
              </w:rPr>
            </w:pPr>
            <w:r>
              <w:rPr>
                <w:rFonts w:ascii="Arial" w:cs="Arial" w:eastAsia="Arial" w:hAnsi="Arial"/>
                <w:sz w:val="10"/>
                <w:szCs w:val="10"/>
                <w:b w:val="1"/>
                <w:bCs w:val="1"/>
                <w:color w:val="auto"/>
              </w:rPr>
              <w:t>Statement of Operations Classification</w:t>
            </w:r>
          </w:p>
        </w:tc>
        <w:tc>
          <w:tcPr>
            <w:tcW w:w="260" w:type="dxa"/>
            <w:vAlign w:val="bottom"/>
          </w:tcPr>
          <w:p>
            <w:pPr>
              <w:spacing w:after="0"/>
              <w:rPr>
                <w:sz w:val="16"/>
                <w:szCs w:val="16"/>
                <w:color w:val="auto"/>
              </w:rPr>
            </w:pPr>
          </w:p>
        </w:tc>
        <w:tc>
          <w:tcPr>
            <w:tcW w:w="920" w:type="dxa"/>
            <w:vAlign w:val="bottom"/>
          </w:tcPr>
          <w:p>
            <w:pPr>
              <w:jc w:val="right"/>
              <w:ind w:right="148"/>
              <w:spacing w:after="0"/>
              <w:rPr>
                <w:sz w:val="20"/>
                <w:szCs w:val="20"/>
                <w:color w:val="auto"/>
              </w:rPr>
            </w:pPr>
            <w:r>
              <w:rPr>
                <w:rFonts w:ascii="Arial" w:cs="Arial" w:eastAsia="Arial" w:hAnsi="Arial"/>
                <w:sz w:val="10"/>
                <w:szCs w:val="10"/>
                <w:b w:val="1"/>
                <w:bCs w:val="1"/>
                <w:color w:val="auto"/>
              </w:rPr>
              <w:t>Gain (Loss)</w:t>
            </w:r>
          </w:p>
        </w:tc>
        <w:tc>
          <w:tcPr>
            <w:tcW w:w="2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c>
          <w:tcPr>
            <w:tcW w:w="0" w:type="dxa"/>
            <w:vAlign w:val="bottom"/>
          </w:tcPr>
          <w:p>
            <w:pPr>
              <w:spacing w:after="0"/>
              <w:rPr>
                <w:sz w:val="1"/>
                <w:szCs w:val="1"/>
                <w:color w:val="auto"/>
              </w:rPr>
            </w:pPr>
          </w:p>
        </w:tc>
      </w:tr>
      <w:tr>
        <w:trPr>
          <w:trHeight w:val="125"/>
        </w:trPr>
        <w:tc>
          <w:tcPr>
            <w:tcW w:w="3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September 30,</w:t>
            </w:r>
          </w:p>
        </w:tc>
        <w:tc>
          <w:tcPr>
            <w:tcW w:w="180" w:type="dxa"/>
            <w:vAlign w:val="bottom"/>
          </w:tcPr>
          <w:p>
            <w:pPr>
              <w:spacing w:after="0"/>
              <w:rPr>
                <w:sz w:val="10"/>
                <w:szCs w:val="10"/>
                <w:color w:val="auto"/>
              </w:rPr>
            </w:pPr>
          </w:p>
        </w:tc>
        <w:tc>
          <w:tcPr>
            <w:tcW w:w="364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on Swap</w:t>
            </w:r>
          </w:p>
        </w:tc>
        <w:tc>
          <w:tcPr>
            <w:tcW w:w="26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c>
          <w:tcPr>
            <w:tcW w:w="0" w:type="dxa"/>
            <w:vAlign w:val="bottom"/>
          </w:tcPr>
          <w:p>
            <w:pPr>
              <w:spacing w:after="0"/>
              <w:rPr>
                <w:sz w:val="1"/>
                <w:szCs w:val="1"/>
                <w:color w:val="auto"/>
              </w:rPr>
            </w:pPr>
          </w:p>
        </w:tc>
      </w:tr>
      <w:tr>
        <w:trPr>
          <w:trHeight w:val="178"/>
        </w:trPr>
        <w:tc>
          <w:tcPr>
            <w:tcW w:w="3420" w:type="dxa"/>
            <w:vAlign w:val="bottom"/>
          </w:tcPr>
          <w:p>
            <w:pPr>
              <w:spacing w:after="0"/>
              <w:rPr>
                <w:sz w:val="20"/>
                <w:szCs w:val="20"/>
                <w:color w:val="auto"/>
              </w:rPr>
            </w:pPr>
            <w:r>
              <w:rPr>
                <w:rFonts w:ascii="Arial" w:cs="Arial" w:eastAsia="Arial" w:hAnsi="Arial"/>
                <w:sz w:val="13"/>
                <w:szCs w:val="13"/>
                <w:color w:val="auto"/>
              </w:rPr>
              <w:t>2010</w:t>
            </w:r>
          </w:p>
        </w:tc>
        <w:tc>
          <w:tcPr>
            <w:tcW w:w="180" w:type="dxa"/>
            <w:vAlign w:val="bottom"/>
          </w:tcPr>
          <w:p>
            <w:pPr>
              <w:spacing w:after="0"/>
              <w:rPr>
                <w:sz w:val="15"/>
                <w:szCs w:val="15"/>
                <w:color w:val="auto"/>
              </w:rPr>
            </w:pPr>
          </w:p>
        </w:tc>
        <w:tc>
          <w:tcPr>
            <w:tcW w:w="3640" w:type="dxa"/>
            <w:vAlign w:val="bottom"/>
          </w:tcPr>
          <w:p>
            <w:pPr>
              <w:ind w:left="1400"/>
              <w:spacing w:after="0"/>
              <w:rPr>
                <w:sz w:val="20"/>
                <w:szCs w:val="20"/>
                <w:color w:val="auto"/>
              </w:rPr>
            </w:pPr>
            <w:r>
              <w:rPr>
                <w:rFonts w:ascii="Arial" w:cs="Arial" w:eastAsia="Arial" w:hAnsi="Arial"/>
                <w:sz w:val="13"/>
                <w:szCs w:val="13"/>
                <w:color w:val="auto"/>
              </w:rPr>
              <w:t>Interest expense</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$ 24</w:t>
            </w:r>
          </w:p>
        </w:tc>
        <w:tc>
          <w:tcPr>
            <w:tcW w:w="1560" w:type="dxa"/>
            <w:vAlign w:val="bottom"/>
            <w:gridSpan w:val="2"/>
          </w:tcPr>
          <w:p>
            <w:pPr>
              <w:ind w:left="76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3"/>
                <w:szCs w:val="13"/>
                <w:color w:val="auto"/>
              </w:rPr>
              <w:t>2009</w:t>
            </w:r>
          </w:p>
        </w:tc>
        <w:tc>
          <w:tcPr>
            <w:tcW w:w="180" w:type="dxa"/>
            <w:vAlign w:val="bottom"/>
          </w:tcPr>
          <w:p>
            <w:pPr>
              <w:spacing w:after="0"/>
              <w:rPr>
                <w:sz w:val="14"/>
                <w:szCs w:val="14"/>
                <w:color w:val="auto"/>
              </w:rPr>
            </w:pPr>
          </w:p>
        </w:tc>
        <w:tc>
          <w:tcPr>
            <w:tcW w:w="3640" w:type="dxa"/>
            <w:vAlign w:val="bottom"/>
          </w:tcPr>
          <w:p>
            <w:pPr>
              <w:ind w:left="1400"/>
              <w:spacing w:after="0"/>
              <w:rPr>
                <w:sz w:val="20"/>
                <w:szCs w:val="20"/>
                <w:color w:val="auto"/>
              </w:rPr>
            </w:pPr>
            <w:r>
              <w:rPr>
                <w:rFonts w:ascii="Arial" w:cs="Arial" w:eastAsia="Arial" w:hAnsi="Arial"/>
                <w:sz w:val="13"/>
                <w:szCs w:val="13"/>
                <w:color w:val="auto"/>
              </w:rPr>
              <w:t>Interest expense</w:t>
            </w:r>
          </w:p>
        </w:tc>
        <w:tc>
          <w:tcPr>
            <w:tcW w:w="1180" w:type="dxa"/>
            <w:vAlign w:val="bottom"/>
            <w:gridSpan w:val="2"/>
          </w:tcPr>
          <w:p>
            <w:pPr>
              <w:jc w:val="right"/>
              <w:ind w:right="268"/>
              <w:spacing w:after="0"/>
              <w:rPr>
                <w:sz w:val="20"/>
                <w:szCs w:val="20"/>
                <w:color w:val="auto"/>
              </w:rPr>
            </w:pPr>
            <w:r>
              <w:rPr>
                <w:rFonts w:ascii="Arial" w:cs="Arial" w:eastAsia="Arial" w:hAnsi="Arial"/>
                <w:sz w:val="13"/>
                <w:szCs w:val="13"/>
                <w:color w:val="auto"/>
              </w:rPr>
              <w:t>$(29)</w:t>
            </w:r>
          </w:p>
        </w:tc>
        <w:tc>
          <w:tcPr>
            <w:tcW w:w="1560" w:type="dxa"/>
            <w:vAlign w:val="bottom"/>
            <w:gridSpan w:val="2"/>
          </w:tcPr>
          <w:p>
            <w:pPr>
              <w:ind w:left="760"/>
              <w:spacing w:after="0"/>
              <w:rPr>
                <w:sz w:val="20"/>
                <w:szCs w:val="20"/>
                <w:color w:val="auto"/>
              </w:rPr>
            </w:pPr>
            <w:r>
              <w:rPr>
                <w:rFonts w:ascii="Arial" w:cs="Arial" w:eastAsia="Arial" w:hAnsi="Arial"/>
                <w:sz w:val="13"/>
                <w:szCs w:val="13"/>
                <w:color w:val="auto"/>
              </w:rPr>
              <w:t>$ 29</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ectPr>
          <w:pgSz w:w="11900" w:h="16838" w:orient="portrait"/>
          <w:cols w:equalWidth="0" w:num="1">
            <w:col w:w="9980"/>
          </w:cols>
          <w:pgMar w:left="900" w:top="716" w:right="101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Reductions to Interest Expense Due to</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Hedge Accounting for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32956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956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60" w:type="dxa"/>
            <w:vAlign w:val="bottom"/>
          </w:tcPr>
          <w:p>
            <w:pPr>
              <w:jc w:val="center"/>
              <w:ind w:left="608"/>
              <w:spacing w:after="0"/>
              <w:rPr>
                <w:sz w:val="20"/>
                <w:szCs w:val="20"/>
                <w:color w:val="auto"/>
              </w:rPr>
            </w:pPr>
            <w:r>
              <w:rPr>
                <w:rFonts w:ascii="Arial" w:cs="Arial" w:eastAsia="Arial" w:hAnsi="Arial"/>
                <w:sz w:val="10"/>
                <w:szCs w:val="10"/>
                <w:b w:val="1"/>
                <w:bCs w:val="1"/>
                <w:color w:val="auto"/>
                <w:w w:val="97"/>
              </w:rPr>
              <w:t>Three Months</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40" w:type="dxa"/>
            <w:vAlign w:val="bottom"/>
          </w:tcPr>
          <w:p>
            <w:pPr>
              <w:jc w:val="center"/>
              <w:ind w:right="568"/>
              <w:spacing w:after="0"/>
              <w:rPr>
                <w:sz w:val="20"/>
                <w:szCs w:val="20"/>
                <w:color w:val="auto"/>
              </w:rPr>
            </w:pPr>
            <w:r>
              <w:rPr>
                <w:rFonts w:ascii="Arial" w:cs="Arial" w:eastAsia="Arial" w:hAnsi="Arial"/>
                <w:sz w:val="10"/>
                <w:szCs w:val="10"/>
                <w:b w:val="1"/>
                <w:bCs w:val="1"/>
                <w:color w:val="auto"/>
                <w:w w:val="96"/>
              </w:rPr>
              <w:t>Nine Months</w:t>
            </w:r>
          </w:p>
        </w:tc>
      </w:tr>
      <w:tr>
        <w:trPr>
          <w:trHeight w:val="108"/>
        </w:trPr>
        <w:tc>
          <w:tcPr>
            <w:tcW w:w="1460" w:type="dxa"/>
            <w:vAlign w:val="bottom"/>
          </w:tcPr>
          <w:p>
            <w:pPr>
              <w:jc w:val="center"/>
              <w:ind w:left="608"/>
              <w:spacing w:after="0" w:line="108" w:lineRule="exact"/>
              <w:rPr>
                <w:sz w:val="20"/>
                <w:szCs w:val="20"/>
                <w:color w:val="auto"/>
              </w:rPr>
            </w:pPr>
            <w:r>
              <w:rPr>
                <w:rFonts w:ascii="Arial" w:cs="Arial" w:eastAsia="Arial" w:hAnsi="Arial"/>
                <w:sz w:val="10"/>
                <w:szCs w:val="10"/>
                <w:b w:val="1"/>
                <w:bCs w:val="1"/>
                <w:color w:val="auto"/>
                <w:w w:val="91"/>
              </w:rPr>
              <w:t>Ended</w:t>
            </w: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40" w:type="dxa"/>
            <w:vAlign w:val="bottom"/>
          </w:tcPr>
          <w:p>
            <w:pPr>
              <w:jc w:val="center"/>
              <w:ind w:right="568"/>
              <w:spacing w:after="0" w:line="108" w:lineRule="exact"/>
              <w:rPr>
                <w:sz w:val="20"/>
                <w:szCs w:val="20"/>
                <w:color w:val="auto"/>
              </w:rPr>
            </w:pPr>
            <w:r>
              <w:rPr>
                <w:rFonts w:ascii="Arial" w:cs="Arial" w:eastAsia="Arial" w:hAnsi="Arial"/>
                <w:sz w:val="10"/>
                <w:szCs w:val="10"/>
                <w:b w:val="1"/>
                <w:bCs w:val="1"/>
                <w:color w:val="auto"/>
                <w:w w:val="98"/>
              </w:rPr>
              <w:t>Ended</w:t>
            </w:r>
          </w:p>
        </w:tc>
      </w:tr>
      <w:tr>
        <w:trPr>
          <w:trHeight w:val="125"/>
        </w:trPr>
        <w:tc>
          <w:tcPr>
            <w:tcW w:w="1460" w:type="dxa"/>
            <w:vAlign w:val="bottom"/>
            <w:tcBorders>
              <w:bottom w:val="single" w:sz="8" w:color="auto"/>
            </w:tcBorders>
          </w:tcPr>
          <w:p>
            <w:pPr>
              <w:jc w:val="center"/>
              <w:ind w:left="608"/>
              <w:spacing w:after="0"/>
              <w:rPr>
                <w:sz w:val="20"/>
                <w:szCs w:val="20"/>
                <w:color w:val="auto"/>
              </w:rPr>
            </w:pPr>
            <w:r>
              <w:rPr>
                <w:rFonts w:ascii="Arial" w:cs="Arial" w:eastAsia="Arial" w:hAnsi="Arial"/>
                <w:sz w:val="10"/>
                <w:szCs w:val="10"/>
                <w:b w:val="1"/>
                <w:bCs w:val="1"/>
                <w:color w:val="auto"/>
                <w:w w:val="93"/>
              </w:rPr>
              <w:t>September 30,</w:t>
            </w:r>
          </w:p>
        </w:tc>
        <w:tc>
          <w:tcPr>
            <w:tcW w:w="6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center"/>
              <w:ind w:right="588"/>
              <w:spacing w:after="0"/>
              <w:rPr>
                <w:sz w:val="20"/>
                <w:szCs w:val="20"/>
                <w:color w:val="auto"/>
              </w:rPr>
            </w:pPr>
            <w:r>
              <w:rPr>
                <w:rFonts w:ascii="Arial" w:cs="Arial" w:eastAsia="Arial" w:hAnsi="Arial"/>
                <w:sz w:val="10"/>
                <w:szCs w:val="10"/>
                <w:b w:val="1"/>
                <w:bCs w:val="1"/>
                <w:color w:val="auto"/>
                <w:w w:val="93"/>
              </w:rPr>
              <w:t>September 30,</w:t>
            </w:r>
          </w:p>
        </w:tc>
      </w:tr>
      <w:tr>
        <w:trPr>
          <w:trHeight w:val="101"/>
        </w:trPr>
        <w:tc>
          <w:tcPr>
            <w:tcW w:w="1460" w:type="dxa"/>
            <w:vAlign w:val="bottom"/>
          </w:tcPr>
          <w:p>
            <w:pPr>
              <w:jc w:val="right"/>
              <w:ind w:right="848"/>
              <w:spacing w:after="0" w:line="101" w:lineRule="exact"/>
              <w:rPr>
                <w:sz w:val="20"/>
                <w:szCs w:val="20"/>
                <w:color w:val="auto"/>
              </w:rPr>
            </w:pPr>
            <w:r>
              <w:rPr>
                <w:rFonts w:ascii="Arial" w:cs="Arial" w:eastAsia="Arial" w:hAnsi="Arial"/>
                <w:sz w:val="10"/>
                <w:szCs w:val="10"/>
                <w:b w:val="1"/>
                <w:bCs w:val="1"/>
                <w:color w:val="auto"/>
              </w:rPr>
              <w:t>2010</w:t>
            </w:r>
          </w:p>
        </w:tc>
        <w:tc>
          <w:tcPr>
            <w:tcW w:w="640" w:type="dxa"/>
            <w:vAlign w:val="bottom"/>
          </w:tcPr>
          <w:p>
            <w:pPr>
              <w:jc w:val="right"/>
              <w:ind w:right="288"/>
              <w:spacing w:after="0" w:line="101" w:lineRule="exact"/>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8"/>
                <w:szCs w:val="8"/>
                <w:color w:val="auto"/>
              </w:rPr>
            </w:pPr>
          </w:p>
        </w:tc>
        <w:tc>
          <w:tcPr>
            <w:tcW w:w="640" w:type="dxa"/>
            <w:vAlign w:val="bottom"/>
          </w:tcPr>
          <w:p>
            <w:pPr>
              <w:jc w:val="right"/>
              <w:ind w:right="28"/>
              <w:spacing w:after="0" w:line="101" w:lineRule="exact"/>
              <w:rPr>
                <w:sz w:val="20"/>
                <w:szCs w:val="20"/>
                <w:color w:val="auto"/>
              </w:rPr>
            </w:pPr>
            <w:r>
              <w:rPr>
                <w:rFonts w:ascii="Arial" w:cs="Arial" w:eastAsia="Arial" w:hAnsi="Arial"/>
                <w:sz w:val="10"/>
                <w:szCs w:val="10"/>
                <w:b w:val="1"/>
                <w:bCs w:val="1"/>
                <w:color w:val="auto"/>
              </w:rPr>
              <w:t>2010</w:t>
            </w:r>
          </w:p>
        </w:tc>
        <w:tc>
          <w:tcPr>
            <w:tcW w:w="1440" w:type="dxa"/>
            <w:vAlign w:val="bottom"/>
          </w:tcPr>
          <w:p>
            <w:pPr>
              <w:jc w:val="right"/>
              <w:ind w:right="288"/>
              <w:spacing w:after="0" w:line="101" w:lineRule="exact"/>
              <w:rPr>
                <w:sz w:val="20"/>
                <w:szCs w:val="20"/>
                <w:color w:val="auto"/>
              </w:rPr>
            </w:pPr>
            <w:r>
              <w:rPr>
                <w:rFonts w:ascii="Arial" w:cs="Arial" w:eastAsia="Arial" w:hAnsi="Arial"/>
                <w:sz w:val="10"/>
                <w:szCs w:val="10"/>
                <w:b w:val="1"/>
                <w:bCs w:val="1"/>
                <w:color w:val="auto"/>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284607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635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4680" w:space="720"/>
            <w:col w:w="4580"/>
          </w:cols>
          <w:pgMar w:left="900" w:top="716" w:right="101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Periodic settlements of active swap agreements(a)</w:t>
            </w:r>
          </w:p>
        </w:tc>
        <w:tc>
          <w:tcPr>
            <w:tcW w:w="4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w:t>
            </w: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w:t>
            </w: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Terminated swap agreements</w:t>
            </w:r>
          </w:p>
        </w:tc>
        <w:tc>
          <w:tcPr>
            <w:tcW w:w="4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4</w:t>
            </w:r>
          </w:p>
        </w:tc>
        <w:tc>
          <w:tcPr>
            <w:tcW w:w="4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15</w:t>
            </w:r>
          </w:p>
        </w:tc>
        <w:tc>
          <w:tcPr>
            <w:tcW w:w="4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r>
      <w:tr>
        <w:trPr>
          <w:trHeight w:val="20"/>
        </w:trPr>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39</w:t>
            </w: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r>
      <w:tr>
        <w:trPr>
          <w:trHeight w:val="108"/>
        </w:trPr>
        <w:tc>
          <w:tcPr>
            <w:tcW w:w="130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320" w:right="80" w:hanging="313"/>
        <w:spacing w:after="0" w:line="276" w:lineRule="auto"/>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These amounts represent the net of our periodic variable-rate interest obligations and the swap counterparties’ fixed-rate interest obligations. Our variable-rate obligations are based on a spread from the three-month LIBOR.</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Treasury Rate Locks</w:t>
      </w:r>
    </w:p>
    <w:p>
      <w:pPr>
        <w:spacing w:after="0" w:line="96"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During the third quarter of 2009, we entered into Treasury rate locks with a total notional amount of $200 million to hedge the risk of changes in semi-annual interest payments for a portion of the senior notes that the Company planned to issue in June 2010. The Treasury rate locks were terminated in the second quarter of 2010 contemporaneously with the actual issuance of senior notes, and we paid cash of $7 million upon settlement. As of September 30, 2010, our “Accumulated other comprehensive income” includes $4 million of deferred losses, net of taxes, associated with these Treasury rate locks that will be reclassified to “Interest expense” over the life of the related senior notes maturing in June 2020. There was no significant ineffectiveness associated with these hedges during 2010.</w:t>
      </w:r>
    </w:p>
    <w:p>
      <w:pPr>
        <w:spacing w:after="0" w:line="71"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Our “Accumulated other comprehensive income” also includes deferred losses, net of taxes, of $13 million as of September 30, 2010 and $16 million as of December 31, 2009 related to Treasury rate locks that had been executed in previous years in anticipation of senior note issuances. Our Treasury rate locks were designated as cash flow hedges and, accordingly, the deferred losses are being reclassified to earnings over the term of the hedged cash flows, which extend through 2032.</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type w:val="continuous"/>
        </w:sectPr>
      </w:pPr>
    </w:p>
    <w:bookmarkStart w:id="12" w:name="page13"/>
    <w:bookmarkEnd w:id="1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Forward-Starting Interest Rate Swaps</w:t>
      </w:r>
    </w:p>
    <w:p>
      <w:pPr>
        <w:spacing w:after="0" w:line="96"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The Company currently expects to issue fixed-rate debt in March 2011, November 2012 and March 2014 and has executed forward-starting interest rate swaps for these anticipated debt issuances with notional amounts of $150 million, $200 million and $175 million, respectively. We entered into the forward-starting interest rate swaps during the fourth quarter of 2009 to hedge the risk of changes in the anticipated semi-annual interest payments due to fluctuations in the forward ten-year LIBOR swap rate. Each of the forward-starting swaps has an effective date of the anticipated date of debt issuance and a term of ten years.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designated our forward-starting interest rate swaps as cash flow hedges. As of September 30, 2010, the fair value of these interest rate derivatives is comprised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 million of current liabilities and $39 million of long-term liabilities. We recognized pre-tax and after-tax losses of $22 million and $13 million, respectively, to other comprehensive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income for changes in the fair value of our forward-starting interest rate swaps during the three months ended September 30, 2010 and $68 million and $41 million, respectively, during the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nine months ended September 30, 2010. There was no significant ineffectiveness associated with these hedges during the three and nine months ended September 30, 2010.</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Credit-Risk-Related Contingent Features</w:t>
      </w:r>
    </w:p>
    <w:p>
      <w:pPr>
        <w:spacing w:after="0" w:line="96" w:lineRule="exact"/>
        <w:rPr>
          <w:sz w:val="20"/>
          <w:szCs w:val="20"/>
          <w:color w:val="auto"/>
        </w:rPr>
      </w:pPr>
    </w:p>
    <w:p>
      <w:pPr>
        <w:ind w:left="680" w:right="860" w:firstLine="399"/>
        <w:spacing w:after="0" w:line="334" w:lineRule="auto"/>
        <w:rPr>
          <w:sz w:val="20"/>
          <w:szCs w:val="20"/>
          <w:color w:val="auto"/>
        </w:rPr>
      </w:pPr>
      <w:r>
        <w:rPr>
          <w:rFonts w:ascii="Arial" w:cs="Arial" w:eastAsia="Arial" w:hAnsi="Arial"/>
          <w:sz w:val="11"/>
          <w:szCs w:val="11"/>
          <w:color w:val="auto"/>
        </w:rPr>
        <w:t>Certain of our derivative instruments contain provisions related to the Company’s credit rating. If the Company’s credit rating were to fall to specified levels below investment grade, the counterparties have the ability to terminate the derivative agreements, resulting in immediate settlement of all affected transactions. As of September 30, 2010, we had not experienced any credit events that would trigger these provisions. The net liabilities of our derivative instruments with credit-risk-related features were immaterial as of September 30, 2010.</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Exchange Derivatives</w:t>
      </w:r>
    </w:p>
    <w:p>
      <w:pPr>
        <w:spacing w:after="0" w:line="96" w:lineRule="exact"/>
        <w:rPr>
          <w:sz w:val="20"/>
          <w:szCs w:val="20"/>
          <w:color w:val="auto"/>
        </w:rPr>
      </w:pPr>
    </w:p>
    <w:p>
      <w:pPr>
        <w:ind w:left="680" w:right="920" w:firstLine="399"/>
        <w:spacing w:after="0" w:line="258" w:lineRule="auto"/>
        <w:rPr>
          <w:sz w:val="20"/>
          <w:szCs w:val="20"/>
          <w:color w:val="auto"/>
        </w:rPr>
      </w:pPr>
      <w:r>
        <w:rPr>
          <w:rFonts w:ascii="Arial" w:cs="Arial" w:eastAsia="Arial" w:hAnsi="Arial"/>
          <w:sz w:val="13"/>
          <w:szCs w:val="13"/>
          <w:color w:val="auto"/>
        </w:rPr>
        <w:t>We use foreign currency exchange rate derivatives to hedge our exposure to changes in exchange rates for anticipated intercompany cash transactions between Waste Management Holdings, Inc., a wholly-owned subsidiary we acquired in 1998 (“WM Holdings”), and its Canadian subsidiaries. As of September 30, 2010, we have foreign currency forward contracts outstanding for all of the anticipated cash flows associated with a debt arrangement between these wholly-owned subsidiaries. The hedged cash flows include C$370 million of principal, which is scheduled for repayment on December 31, 2010, and C$22 million of interest payments scheduled for December 31, 2010. We have designated our foreign currency derivatives as cash flow hedges.</w:t>
      </w:r>
    </w:p>
    <w:p>
      <w:pPr>
        <w:spacing w:after="0" w:line="71"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Gains or losses on the derivatives and the offsetting losses or gains on the hedged items attributable to foreign currency exchange risk are recognized in current earnings. We include gains and losses on our foreign currency forward contracts as adjustments to “Other income and expense,” a component of “Other, net,” which is the same financial statement line item where offsetting gains and losses on the related hedged items are recorded. The following table summarizes the pre-tax impacts of our foreign currency cash flow derivatives on our results of operations and comprehensive income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center"/>
              <w:ind w:left="188"/>
              <w:spacing w:after="0"/>
              <w:rPr>
                <w:sz w:val="20"/>
                <w:szCs w:val="20"/>
                <w:color w:val="auto"/>
              </w:rPr>
            </w:pPr>
            <w:r>
              <w:rPr>
                <w:rFonts w:ascii="Arial" w:cs="Arial" w:eastAsia="Arial" w:hAnsi="Arial"/>
                <w:sz w:val="10"/>
                <w:szCs w:val="10"/>
                <w:b w:val="1"/>
                <w:bCs w:val="1"/>
                <w:color w:val="auto"/>
                <w:w w:val="95"/>
              </w:rPr>
              <w:t>Amount of Gain or</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jc w:val="center"/>
              <w:ind w:left="188"/>
              <w:spacing w:after="0" w:line="108" w:lineRule="exact"/>
              <w:rPr>
                <w:sz w:val="20"/>
                <w:szCs w:val="20"/>
                <w:color w:val="auto"/>
              </w:rPr>
            </w:pPr>
            <w:r>
              <w:rPr>
                <w:rFonts w:ascii="Arial" w:cs="Arial" w:eastAsia="Arial" w:hAnsi="Arial"/>
                <w:sz w:val="10"/>
                <w:szCs w:val="10"/>
                <w:b w:val="1"/>
                <w:bCs w:val="1"/>
                <w:color w:val="auto"/>
                <w:w w:val="89"/>
              </w:rPr>
              <w:t>(Loss) Recognized</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500" w:type="dxa"/>
            <w:vAlign w:val="bottom"/>
            <w:vMerge w:val="restart"/>
          </w:tcPr>
          <w:p>
            <w:pPr>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9"/>
                <w:szCs w:val="9"/>
                <w:color w:val="auto"/>
              </w:rPr>
            </w:pPr>
          </w:p>
        </w:tc>
        <w:tc>
          <w:tcPr>
            <w:tcW w:w="1200" w:type="dxa"/>
            <w:vAlign w:val="bottom"/>
          </w:tcPr>
          <w:p>
            <w:pPr>
              <w:jc w:val="center"/>
              <w:ind w:left="188"/>
              <w:spacing w:after="0" w:line="108" w:lineRule="exact"/>
              <w:rPr>
                <w:sz w:val="20"/>
                <w:szCs w:val="20"/>
                <w:color w:val="auto"/>
              </w:rPr>
            </w:pPr>
            <w:r>
              <w:rPr>
                <w:rFonts w:ascii="Arial" w:cs="Arial" w:eastAsia="Arial" w:hAnsi="Arial"/>
                <w:sz w:val="10"/>
                <w:szCs w:val="10"/>
                <w:b w:val="1"/>
                <w:bCs w:val="1"/>
                <w:color w:val="auto"/>
                <w:w w:val="98"/>
              </w:rPr>
              <w:t>in OCI on</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80" w:type="dxa"/>
            <w:vAlign w:val="bottom"/>
            <w:vMerge w:val="restart"/>
          </w:tcPr>
          <w:p>
            <w:pPr>
              <w:spacing w:after="0"/>
              <w:rPr>
                <w:sz w:val="20"/>
                <w:szCs w:val="20"/>
                <w:color w:val="auto"/>
              </w:rPr>
            </w:pPr>
            <w:r>
              <w:rPr>
                <w:rFonts w:ascii="Arial" w:cs="Arial" w:eastAsia="Arial" w:hAnsi="Arial"/>
                <w:sz w:val="10"/>
                <w:szCs w:val="10"/>
                <w:b w:val="1"/>
                <w:bCs w:val="1"/>
                <w:color w:val="auto"/>
              </w:rPr>
              <w:t>Statement of Operations</w:t>
            </w:r>
          </w:p>
        </w:tc>
        <w:tc>
          <w:tcPr>
            <w:tcW w:w="24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jc w:val="center"/>
              <w:ind w:left="188"/>
              <w:spacing w:after="0" w:line="108" w:lineRule="exact"/>
              <w:rPr>
                <w:sz w:val="20"/>
                <w:szCs w:val="20"/>
                <w:color w:val="auto"/>
              </w:rPr>
            </w:pPr>
            <w:r>
              <w:rPr>
                <w:rFonts w:ascii="Arial" w:cs="Arial" w:eastAsia="Arial" w:hAnsi="Arial"/>
                <w:sz w:val="10"/>
                <w:szCs w:val="10"/>
                <w:b w:val="1"/>
                <w:bCs w:val="1"/>
                <w:color w:val="auto"/>
                <w:w w:val="97"/>
              </w:rPr>
              <w:t>Derivatives</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September 30,</w:t>
            </w:r>
          </w:p>
        </w:tc>
        <w:tc>
          <w:tcPr>
            <w:tcW w:w="180" w:type="dxa"/>
            <w:vAlign w:val="bottom"/>
          </w:tcPr>
          <w:p>
            <w:pPr>
              <w:spacing w:after="0"/>
              <w:rPr>
                <w:sz w:val="10"/>
                <w:szCs w:val="10"/>
                <w:color w:val="auto"/>
              </w:rPr>
            </w:pPr>
          </w:p>
        </w:tc>
        <w:tc>
          <w:tcPr>
            <w:tcW w:w="1200" w:type="dxa"/>
            <w:vAlign w:val="bottom"/>
            <w:tcBorders>
              <w:bottom w:val="single" w:sz="8" w:color="auto"/>
            </w:tcBorders>
          </w:tcPr>
          <w:p>
            <w:pPr>
              <w:jc w:val="center"/>
              <w:ind w:left="188"/>
              <w:spacing w:after="0"/>
              <w:rPr>
                <w:sz w:val="20"/>
                <w:szCs w:val="20"/>
                <w:color w:val="auto"/>
              </w:rPr>
            </w:pPr>
            <w:r>
              <w:rPr>
                <w:rFonts w:ascii="Arial" w:cs="Arial" w:eastAsia="Arial" w:hAnsi="Arial"/>
                <w:sz w:val="10"/>
                <w:szCs w:val="10"/>
                <w:b w:val="1"/>
                <w:bCs w:val="1"/>
                <w:color w:val="auto"/>
                <w:w w:val="97"/>
              </w:rPr>
              <w:t>(Effective Portion)</w:t>
            </w:r>
          </w:p>
        </w:tc>
        <w:tc>
          <w:tcPr>
            <w:tcW w:w="2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Classification</w:t>
            </w:r>
          </w:p>
        </w:tc>
        <w:tc>
          <w:tcPr>
            <w:tcW w:w="24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2010</w:t>
            </w:r>
          </w:p>
        </w:tc>
        <w:tc>
          <w:tcPr>
            <w:tcW w:w="1380" w:type="dxa"/>
            <w:vAlign w:val="bottom"/>
            <w:gridSpan w:val="2"/>
          </w:tcPr>
          <w:p>
            <w:pPr>
              <w:jc w:val="center"/>
              <w:ind w:left="334"/>
              <w:spacing w:after="0"/>
              <w:rPr>
                <w:sz w:val="20"/>
                <w:szCs w:val="20"/>
                <w:color w:val="auto"/>
              </w:rPr>
            </w:pPr>
            <w:r>
              <w:rPr>
                <w:rFonts w:ascii="Arial" w:cs="Arial" w:eastAsia="Arial" w:hAnsi="Arial"/>
                <w:sz w:val="13"/>
                <w:szCs w:val="13"/>
                <w:color w:val="auto"/>
                <w:w w:val="98"/>
              </w:rPr>
              <w:t>$(12)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tcPr>
          <w:p>
            <w:pPr>
              <w:ind w:left="840"/>
              <w:spacing w:after="0"/>
              <w:rPr>
                <w:sz w:val="20"/>
                <w:szCs w:val="20"/>
                <w:color w:val="auto"/>
              </w:rPr>
            </w:pPr>
            <w:r>
              <w:rPr>
                <w:rFonts w:ascii="Arial" w:cs="Arial" w:eastAsia="Arial" w:hAnsi="Arial"/>
                <w:sz w:val="13"/>
                <w:szCs w:val="13"/>
                <w:color w:val="auto"/>
              </w:rPr>
              <w:t>Other income (expense)</w:t>
            </w:r>
          </w:p>
        </w:tc>
        <w:tc>
          <w:tcPr>
            <w:tcW w:w="1720" w:type="dxa"/>
            <w:vAlign w:val="bottom"/>
            <w:gridSpan w:val="2"/>
          </w:tcPr>
          <w:p>
            <w:pPr>
              <w:jc w:val="center"/>
              <w:ind w:left="174"/>
              <w:spacing w:after="0"/>
              <w:rPr>
                <w:sz w:val="20"/>
                <w:szCs w:val="20"/>
                <w:color w:val="auto"/>
              </w:rPr>
            </w:pPr>
            <w:r>
              <w:rPr>
                <w:rFonts w:ascii="Arial" w:cs="Arial" w:eastAsia="Arial" w:hAnsi="Arial"/>
                <w:sz w:val="13"/>
                <w:szCs w:val="13"/>
                <w:color w:val="auto"/>
                <w:w w:val="92"/>
              </w:rPr>
              <w:t>$(12)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2009</w:t>
            </w:r>
          </w:p>
        </w:tc>
        <w:tc>
          <w:tcPr>
            <w:tcW w:w="1380" w:type="dxa"/>
            <w:vAlign w:val="bottom"/>
            <w:gridSpan w:val="2"/>
          </w:tcPr>
          <w:p>
            <w:pPr>
              <w:jc w:val="center"/>
              <w:ind w:left="334"/>
              <w:spacing w:after="0"/>
              <w:rPr>
                <w:sz w:val="20"/>
                <w:szCs w:val="20"/>
                <w:color w:val="auto"/>
              </w:rPr>
            </w:pPr>
            <w:r>
              <w:rPr>
                <w:rFonts w:ascii="Arial" w:cs="Arial" w:eastAsia="Arial" w:hAnsi="Arial"/>
                <w:sz w:val="13"/>
                <w:szCs w:val="13"/>
                <w:color w:val="auto"/>
                <w:w w:val="98"/>
              </w:rPr>
              <w:t>$(28)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tcPr>
          <w:p>
            <w:pPr>
              <w:ind w:left="840"/>
              <w:spacing w:after="0"/>
              <w:rPr>
                <w:sz w:val="20"/>
                <w:szCs w:val="20"/>
                <w:color w:val="auto"/>
              </w:rPr>
            </w:pPr>
            <w:r>
              <w:rPr>
                <w:rFonts w:ascii="Arial" w:cs="Arial" w:eastAsia="Arial" w:hAnsi="Arial"/>
                <w:sz w:val="13"/>
                <w:szCs w:val="13"/>
                <w:color w:val="auto"/>
              </w:rPr>
              <w:t>Other income (expense)</w:t>
            </w:r>
          </w:p>
        </w:tc>
        <w:tc>
          <w:tcPr>
            <w:tcW w:w="1720" w:type="dxa"/>
            <w:vAlign w:val="bottom"/>
            <w:gridSpan w:val="2"/>
          </w:tcPr>
          <w:p>
            <w:pPr>
              <w:jc w:val="center"/>
              <w:ind w:left="174"/>
              <w:spacing w:after="0"/>
              <w:rPr>
                <w:sz w:val="20"/>
                <w:szCs w:val="20"/>
                <w:color w:val="auto"/>
              </w:rPr>
            </w:pPr>
            <w:r>
              <w:rPr>
                <w:rFonts w:ascii="Arial" w:cs="Arial" w:eastAsia="Arial" w:hAnsi="Arial"/>
                <w:sz w:val="13"/>
                <w:szCs w:val="13"/>
                <w:color w:val="auto"/>
                <w:w w:val="92"/>
              </w:rPr>
              <w:t>$(28)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1"/>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13</w:t>
            </w: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Amount of Gain or</w:t>
            </w:r>
          </w:p>
        </w:tc>
        <w:tc>
          <w:tcPr>
            <w:tcW w:w="2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7"/>
              </w:rPr>
              <w:t>Amount of Gain or</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89"/>
              </w:rPr>
              <w:t>(Loss) Recognized</w:t>
            </w:r>
          </w:p>
        </w:tc>
        <w:tc>
          <w:tcPr>
            <w:tcW w:w="2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3500" w:type="dxa"/>
            <w:vAlign w:val="bottom"/>
            <w:vMerge w:val="restart"/>
          </w:tcPr>
          <w:p>
            <w:pPr>
              <w:spacing w:after="0"/>
              <w:rPr>
                <w:sz w:val="20"/>
                <w:szCs w:val="20"/>
                <w:color w:val="auto"/>
              </w:rPr>
            </w:pPr>
            <w:r>
              <w:rPr>
                <w:rFonts w:ascii="Arial" w:cs="Arial" w:eastAsia="Arial" w:hAnsi="Arial"/>
                <w:sz w:val="10"/>
                <w:szCs w:val="10"/>
                <w:b w:val="1"/>
                <w:bCs w:val="1"/>
                <w:color w:val="auto"/>
              </w:rPr>
              <w:t>Nine Months Ended</w:t>
            </w:r>
          </w:p>
        </w:tc>
        <w:tc>
          <w:tcPr>
            <w:tcW w:w="160" w:type="dxa"/>
            <w:vAlign w:val="bottom"/>
          </w:tcPr>
          <w:p>
            <w:pPr>
              <w:spacing w:after="0"/>
              <w:rPr>
                <w:sz w:val="9"/>
                <w:szCs w:val="9"/>
                <w:color w:val="auto"/>
              </w:rPr>
            </w:pPr>
          </w:p>
        </w:tc>
        <w:tc>
          <w:tcPr>
            <w:tcW w:w="14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8"/>
              </w:rPr>
              <w:t>in OCI on</w:t>
            </w:r>
          </w:p>
        </w:tc>
        <w:tc>
          <w:tcPr>
            <w:tcW w:w="260" w:type="dxa"/>
            <w:vAlign w:val="bottom"/>
          </w:tcPr>
          <w:p>
            <w:pPr>
              <w:spacing w:after="0"/>
              <w:rPr>
                <w:sz w:val="9"/>
                <w:szCs w:val="9"/>
                <w:color w:val="auto"/>
              </w:rPr>
            </w:pPr>
          </w:p>
        </w:tc>
        <w:tc>
          <w:tcPr>
            <w:tcW w:w="2880" w:type="dxa"/>
            <w:vAlign w:val="bottom"/>
            <w:vMerge w:val="restart"/>
          </w:tcPr>
          <w:p>
            <w:pPr>
              <w:spacing w:after="0"/>
              <w:rPr>
                <w:sz w:val="20"/>
                <w:szCs w:val="20"/>
                <w:color w:val="auto"/>
              </w:rPr>
            </w:pPr>
            <w:r>
              <w:rPr>
                <w:rFonts w:ascii="Arial" w:cs="Arial" w:eastAsia="Arial" w:hAnsi="Arial"/>
                <w:sz w:val="10"/>
                <w:szCs w:val="10"/>
                <w:b w:val="1"/>
                <w:bCs w:val="1"/>
                <w:color w:val="auto"/>
              </w:rPr>
              <w:t>Statement of Operations</w:t>
            </w:r>
          </w:p>
        </w:tc>
        <w:tc>
          <w:tcPr>
            <w:tcW w:w="240" w:type="dxa"/>
            <w:vAlign w:val="bottom"/>
          </w:tcPr>
          <w:p>
            <w:pPr>
              <w:spacing w:after="0"/>
              <w:rPr>
                <w:sz w:val="9"/>
                <w:szCs w:val="9"/>
                <w:color w:val="auto"/>
              </w:rPr>
            </w:pPr>
          </w:p>
        </w:tc>
        <w:tc>
          <w:tcPr>
            <w:tcW w:w="14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7"/>
              </w:rPr>
              <w:t>Derivatives</w:t>
            </w:r>
          </w:p>
        </w:tc>
        <w:tc>
          <w:tcPr>
            <w:tcW w:w="26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3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10"/>
                <w:szCs w:val="1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(Effective Portion)</w:t>
            </w:r>
          </w:p>
        </w:tc>
        <w:tc>
          <w:tcPr>
            <w:tcW w:w="260" w:type="dxa"/>
            <w:vAlign w:val="bottom"/>
          </w:tcPr>
          <w:p>
            <w:pPr>
              <w:spacing w:after="0"/>
              <w:rPr>
                <w:sz w:val="10"/>
                <w:szCs w:val="10"/>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Classification</w:t>
            </w:r>
          </w:p>
        </w:tc>
        <w:tc>
          <w:tcPr>
            <w:tcW w:w="240" w:type="dxa"/>
            <w:vAlign w:val="bottom"/>
          </w:tcPr>
          <w:p>
            <w:pPr>
              <w:spacing w:after="0"/>
              <w:rPr>
                <w:sz w:val="10"/>
                <w:szCs w:val="1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r>
        <w:trPr>
          <w:trHeight w:val="178"/>
        </w:trPr>
        <w:tc>
          <w:tcPr>
            <w:tcW w:w="3500" w:type="dxa"/>
            <w:vAlign w:val="bottom"/>
          </w:tcPr>
          <w:p>
            <w:pPr>
              <w:spacing w:after="0"/>
              <w:rPr>
                <w:sz w:val="20"/>
                <w:szCs w:val="20"/>
                <w:color w:val="auto"/>
              </w:rPr>
            </w:pPr>
            <w:r>
              <w:rPr>
                <w:rFonts w:ascii="Arial" w:cs="Arial" w:eastAsia="Arial" w:hAnsi="Arial"/>
                <w:sz w:val="13"/>
                <w:szCs w:val="13"/>
                <w:color w:val="auto"/>
              </w:rPr>
              <w:t>2010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4"/>
              <w:spacing w:after="0"/>
              <w:rPr>
                <w:sz w:val="20"/>
                <w:szCs w:val="20"/>
                <w:color w:val="auto"/>
              </w:rPr>
            </w:pPr>
            <w:r>
              <w:rPr>
                <w:rFonts w:ascii="Arial" w:cs="Arial" w:eastAsia="Arial" w:hAnsi="Arial"/>
                <w:sz w:val="13"/>
                <w:szCs w:val="13"/>
                <w:color w:val="auto"/>
              </w:rPr>
              <w:t>(7)</w:t>
            </w:r>
          </w:p>
        </w:tc>
        <w:tc>
          <w:tcPr>
            <w:tcW w:w="260" w:type="dxa"/>
            <w:vAlign w:val="bottom"/>
          </w:tcPr>
          <w:p>
            <w:pPr>
              <w:spacing w:after="0"/>
              <w:rPr>
                <w:sz w:val="15"/>
                <w:szCs w:val="15"/>
                <w:color w:val="auto"/>
              </w:rPr>
            </w:pPr>
          </w:p>
        </w:tc>
        <w:tc>
          <w:tcPr>
            <w:tcW w:w="2880" w:type="dxa"/>
            <w:vAlign w:val="bottom"/>
          </w:tcPr>
          <w:p>
            <w:pPr>
              <w:ind w:left="840"/>
              <w:spacing w:after="0"/>
              <w:rPr>
                <w:sz w:val="20"/>
                <w:szCs w:val="20"/>
                <w:color w:val="auto"/>
              </w:rPr>
            </w:pPr>
            <w:r>
              <w:rPr>
                <w:rFonts w:ascii="Arial" w:cs="Arial" w:eastAsia="Arial" w:hAnsi="Arial"/>
                <w:sz w:val="13"/>
                <w:szCs w:val="13"/>
                <w:color w:val="auto"/>
              </w:rPr>
              <w:t>Other income (expense)</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4"/>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5"/>
        </w:trPr>
        <w:tc>
          <w:tcPr>
            <w:tcW w:w="3500" w:type="dxa"/>
            <w:vAlign w:val="bottom"/>
          </w:tcPr>
          <w:p>
            <w:pPr>
              <w:spacing w:after="0"/>
              <w:rPr>
                <w:sz w:val="20"/>
                <w:szCs w:val="20"/>
                <w:color w:val="auto"/>
              </w:rPr>
            </w:pPr>
            <w:r>
              <w:rPr>
                <w:rFonts w:ascii="Arial" w:cs="Arial" w:eastAsia="Arial" w:hAnsi="Arial"/>
                <w:sz w:val="13"/>
                <w:szCs w:val="13"/>
                <w:color w:val="auto"/>
              </w:rPr>
              <w:t>2009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4"/>
              <w:spacing w:after="0"/>
              <w:rPr>
                <w:sz w:val="20"/>
                <w:szCs w:val="20"/>
                <w:color w:val="auto"/>
              </w:rPr>
            </w:pPr>
            <w:r>
              <w:rPr>
                <w:rFonts w:ascii="Arial" w:cs="Arial" w:eastAsia="Arial" w:hAnsi="Arial"/>
                <w:sz w:val="13"/>
                <w:szCs w:val="13"/>
                <w:color w:val="auto"/>
                <w:w w:val="86"/>
              </w:rPr>
              <w:t>(40)</w:t>
            </w:r>
          </w:p>
        </w:tc>
        <w:tc>
          <w:tcPr>
            <w:tcW w:w="260" w:type="dxa"/>
            <w:vAlign w:val="bottom"/>
          </w:tcPr>
          <w:p>
            <w:pPr>
              <w:spacing w:after="0"/>
              <w:rPr>
                <w:sz w:val="14"/>
                <w:szCs w:val="14"/>
                <w:color w:val="auto"/>
              </w:rPr>
            </w:pPr>
          </w:p>
        </w:tc>
        <w:tc>
          <w:tcPr>
            <w:tcW w:w="2880" w:type="dxa"/>
            <w:vAlign w:val="bottom"/>
          </w:tcPr>
          <w:p>
            <w:pPr>
              <w:ind w:left="840"/>
              <w:spacing w:after="0"/>
              <w:rPr>
                <w:sz w:val="20"/>
                <w:szCs w:val="20"/>
                <w:color w:val="auto"/>
              </w:rPr>
            </w:pPr>
            <w:r>
              <w:rPr>
                <w:rFonts w:ascii="Arial" w:cs="Arial" w:eastAsia="Arial" w:hAnsi="Arial"/>
                <w:sz w:val="13"/>
                <w:szCs w:val="13"/>
                <w:color w:val="auto"/>
              </w:rPr>
              <w:t>Other income (expense)</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4"/>
              <w:spacing w:after="0"/>
              <w:rPr>
                <w:sz w:val="20"/>
                <w:szCs w:val="20"/>
                <w:color w:val="auto"/>
              </w:rPr>
            </w:pPr>
            <w:r>
              <w:rPr>
                <w:rFonts w:ascii="Arial" w:cs="Arial" w:eastAsia="Arial" w:hAnsi="Arial"/>
                <w:sz w:val="13"/>
                <w:szCs w:val="13"/>
                <w:color w:val="auto"/>
                <w:w w:val="86"/>
              </w:rPr>
              <w:t>(40)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color w:val="auto"/>
        </w:rPr>
        <w:t>Amounts reported in other comprehensive income and accumulated other comprehensive income are reported net of tax. Adjustments to other comprehensive income for changes in the fair value of our foreign currency cash flow hedges resulted in the recognition of after-tax losses of $7 million and $4 million during the three and nine months ended September 30, 2010, respectively. After-tax losses reclassified from accumulated other comprehensive income into income were $7 million and $4 million during the three and nine months ended September 30, 2010, respectively. There was no significant ineffectiveness associated with these hedges during the three and nine months ended September 30, 2010.</w:t>
      </w:r>
    </w:p>
    <w:p>
      <w:pPr>
        <w:spacing w:after="0" w:line="53" w:lineRule="exact"/>
        <w:rPr>
          <w:sz w:val="20"/>
          <w:szCs w:val="20"/>
          <w:color w:val="auto"/>
        </w:rPr>
      </w:pPr>
    </w:p>
    <w:p>
      <w:pPr>
        <w:ind w:right="160" w:firstLine="399"/>
        <w:spacing w:after="0" w:line="305" w:lineRule="auto"/>
        <w:rPr>
          <w:sz w:val="20"/>
          <w:szCs w:val="20"/>
          <w:color w:val="auto"/>
        </w:rPr>
      </w:pPr>
      <w:r>
        <w:rPr>
          <w:rFonts w:ascii="Arial" w:cs="Arial" w:eastAsia="Arial" w:hAnsi="Arial"/>
          <w:sz w:val="11"/>
          <w:szCs w:val="11"/>
          <w:color w:val="auto"/>
        </w:rPr>
        <w:t>We recognized an after-tax loss to other comprehensive income for changes in the fair value of our foreign currency cash flow hedges of $18 million during the three months ended September 30, 2009 and $25 million during the nine months ended September 30, 2009. After-tax losses reclassified from accumulated other comprehensive income into income were</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$17 million and $25 million during the three and nine months ended September 30, 2009, respectively. There was no significant ineffectiveness associated with these hedges during the three and nine months ended September 30, 2009.</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Electricity Commodity Derivatives</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During 2010, we entered into “receive fixed, pay variable” electricity swaps to mitigate the variability in our revenues and cash flows caused by fluctuations in the market prices for electricity. These swaps are expected to hedge 672,360 megawatt hours, or approximately 26% of our Wheelabrator Group’s 2010 merchant electricity sales. The electricity swaps in place as of September 30, 2010 have maturities extending through December 2010. All financial statement impacts associated with these derivatives were immaterial as of and for the three and nine months ended September 30, 2010.</w:t>
      </w:r>
    </w:p>
    <w:p>
      <w:pPr>
        <w:spacing w:after="0" w:line="144" w:lineRule="exact"/>
        <w:rPr>
          <w:sz w:val="20"/>
          <w:szCs w:val="20"/>
          <w:color w:val="auto"/>
        </w:rPr>
      </w:pPr>
    </w:p>
    <w:p>
      <w:pPr>
        <w:ind w:left="320" w:hanging="313"/>
        <w:spacing w:after="0"/>
        <w:tabs>
          <w:tab w:leader="none" w:pos="32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right="80" w:firstLine="399"/>
        <w:spacing w:after="0" w:line="303" w:lineRule="auto"/>
        <w:rPr>
          <w:sz w:val="20"/>
          <w:szCs w:val="20"/>
          <w:color w:val="auto"/>
        </w:rPr>
      </w:pPr>
      <w:r>
        <w:rPr>
          <w:rFonts w:ascii="Arial" w:cs="Arial" w:eastAsia="Arial" w:hAnsi="Arial"/>
          <w:sz w:val="11"/>
          <w:szCs w:val="11"/>
          <w:color w:val="auto"/>
        </w:rPr>
        <w:t>Our effective tax rate for the three and nine months ended September 30, 2010 was 37.3% and 39.8%, respectively, compared with 31.2% and 35.2% for the comparable prior-year periods. We evaluate our effective tax rate at each interim period and adjust it accordingly as facts and circumstances warrant. The differences between federal income taxes computed at the federal statutory rate and reported income taxes for the three months ended September 30, 2010 were primarily due to the unfavorable impact of (i) state and local income taxes and</w:t>
      </w:r>
    </w:p>
    <w:p>
      <w:pPr>
        <w:ind w:right="80" w:firstLine="7"/>
        <w:spacing w:after="0" w:line="254" w:lineRule="auto"/>
        <w:tabs>
          <w:tab w:leader="none" w:pos="193"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adjustments to our accruals due to the filing of our 2009 income tax returns. These adjustments are offset in part by the favorable impact of federal low-income housing tax credits, other tax credits and audit settlements. In addition to the above, the effective tax rate for the nine months ended September 30, 2010 also includes an increase of $37 million to our provision for state deferred income taxes to reflect the impact of changes in the estimated tax rate at which existing temporary differences will be realized, which increased our effective tax rate for the nine-month period by 3.2 percentage points. Because the state deferred tax charges relate to existing temporary differences, they are not expected to impact our effective tax rate in future periods, absent prospective changes in income apportionment or state tax rates. The federal low-income housing tax credits decreased our effective tax rate for the three-month period by 1.0 percentage point and for the nine-month period by 1.1 percentage points.</w:t>
      </w:r>
    </w:p>
    <w:p>
      <w:pPr>
        <w:spacing w:after="0" w:line="75" w:lineRule="exact"/>
        <w:rPr>
          <w:sz w:val="20"/>
          <w:szCs w:val="20"/>
          <w:color w:val="auto"/>
        </w:rPr>
      </w:pPr>
    </w:p>
    <w:p>
      <w:pPr>
        <w:ind w:right="560" w:firstLine="399"/>
        <w:spacing w:after="0" w:line="320" w:lineRule="auto"/>
        <w:rPr>
          <w:sz w:val="20"/>
          <w:szCs w:val="20"/>
          <w:color w:val="auto"/>
        </w:rPr>
      </w:pPr>
      <w:r>
        <w:rPr>
          <w:rFonts w:ascii="Arial" w:cs="Arial" w:eastAsia="Arial" w:hAnsi="Arial"/>
          <w:sz w:val="12"/>
          <w:szCs w:val="12"/>
          <w:color w:val="auto"/>
        </w:rPr>
        <w:t>The most significant items affecting the reconciliation of income taxes computed at the federal statutory rate and reported income taxes for the three and nine months ended September 30, 2009 were (i) reductions to our provision for income taxes resulting from the finalization of our 2008 tax returns, tax audit settlements and a benefit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540"/>
        <w:spacing w:after="0" w:line="276" w:lineRule="auto"/>
        <w:rPr>
          <w:sz w:val="20"/>
          <w:szCs w:val="20"/>
          <w:color w:val="auto"/>
        </w:rPr>
      </w:pPr>
      <w:r>
        <w:rPr>
          <w:rFonts w:ascii="Arial" w:cs="Arial" w:eastAsia="Arial" w:hAnsi="Arial"/>
          <w:sz w:val="13"/>
          <w:szCs w:val="13"/>
          <w:color w:val="auto"/>
        </w:rPr>
        <w:t>related to the utilization of state net operating loss carryforwards and (ii) increases to our tax provision for the impacts of state and local income taxes and an adjustment to our net accumulated state deferred tax liabilities.</w:t>
      </w:r>
    </w:p>
    <w:p>
      <w:pPr>
        <w:spacing w:after="0" w:line="59"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i w:val="1"/>
          <w:iCs w:val="1"/>
          <w:color w:val="auto"/>
        </w:rPr>
        <w:t xml:space="preserve">Federal low-income housing tax credits </w:t>
      </w:r>
      <w:r>
        <w:rPr>
          <w:rFonts w:ascii="Arial" w:cs="Arial" w:eastAsia="Arial" w:hAnsi="Arial"/>
          <w:sz w:val="12"/>
          <w:szCs w:val="12"/>
          <w:color w:val="auto"/>
        </w:rPr>
        <w:t>— In April 2010, we acquired a noncontrolling interest in a limited liability company established to invest in and manage low-income</w:t>
      </w:r>
      <w:r>
        <w:rPr>
          <w:rFonts w:ascii="Arial" w:cs="Arial" w:eastAsia="Arial" w:hAnsi="Arial"/>
          <w:sz w:val="12"/>
          <w:szCs w:val="12"/>
          <w:i w:val="1"/>
          <w:iCs w:val="1"/>
          <w:color w:val="auto"/>
        </w:rPr>
        <w:t xml:space="preserve"> </w:t>
      </w:r>
      <w:r>
        <w:rPr>
          <w:rFonts w:ascii="Arial" w:cs="Arial" w:eastAsia="Arial" w:hAnsi="Arial"/>
          <w:sz w:val="12"/>
          <w:szCs w:val="12"/>
          <w:color w:val="auto"/>
        </w:rPr>
        <w:t>housing properties. Our consideration for this investment totaled $221 million, which was comprised of a $215 million note payable and an initial cash payment of $6 million. The entity’s low-income housing investments qualify for federal tax credits that are expected to be realized through 2020 in accordance with Section 42 of the Internal Revenue Code.</w:t>
      </w:r>
    </w:p>
    <w:p>
      <w:pPr>
        <w:spacing w:after="0" w:line="5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account for our investment in this entity using the equity method of accounting and recognize a charge to “Equity in net earnings (losses) of unconsolidated entities,” which is a component of “Other, net” within our Condensed Consolidated Statement of Operations, for reductions in the value of our investment. We recognized $4 million and $12 million of expense during the three and nine months ended September 30, 2010, respectively. We also recognized $3 million and $4 million of interest expense related to this investment during the current periods. As a result of this investment, our tax provision was reduced by $7 million (including $4 million of tax credits) for the three months ended September 30, 2010 and by $18 million (including $12 million of tax credits) for the nine months ended September 30, 2010.</w:t>
      </w:r>
    </w:p>
    <w:p>
      <w:pPr>
        <w:spacing w:after="0" w:line="71" w:lineRule="exact"/>
        <w:rPr>
          <w:sz w:val="20"/>
          <w:szCs w:val="20"/>
          <w:color w:val="auto"/>
        </w:rPr>
      </w:pPr>
    </w:p>
    <w:p>
      <w:pPr>
        <w:jc w:val="both"/>
        <w:ind w:firstLine="399"/>
        <w:spacing w:after="0" w:line="320" w:lineRule="auto"/>
        <w:rPr>
          <w:sz w:val="20"/>
          <w:szCs w:val="20"/>
          <w:color w:val="auto"/>
        </w:rPr>
      </w:pPr>
      <w:r>
        <w:rPr>
          <w:rFonts w:ascii="Arial" w:cs="Arial" w:eastAsia="Arial" w:hAnsi="Arial"/>
          <w:sz w:val="12"/>
          <w:szCs w:val="12"/>
          <w:i w:val="1"/>
          <w:iCs w:val="1"/>
          <w:color w:val="auto"/>
        </w:rPr>
        <w:t xml:space="preserve">Cash taxes </w:t>
      </w:r>
      <w:r>
        <w:rPr>
          <w:rFonts w:ascii="Arial" w:cs="Arial" w:eastAsia="Arial" w:hAnsi="Arial"/>
          <w:sz w:val="12"/>
          <w:szCs w:val="12"/>
          <w:color w:val="auto"/>
        </w:rPr>
        <w:t>— During the fourth quarter of 2009, we determined that a capital loss generated from the liquidation of a foreign subsidiary could be utilized to offset capital gains from</w:t>
      </w:r>
      <w:r>
        <w:rPr>
          <w:rFonts w:ascii="Arial" w:cs="Arial" w:eastAsia="Arial" w:hAnsi="Arial"/>
          <w:sz w:val="12"/>
          <w:szCs w:val="12"/>
          <w:i w:val="1"/>
          <w:iCs w:val="1"/>
          <w:color w:val="auto"/>
        </w:rPr>
        <w:t xml:space="preserve"> </w:t>
      </w:r>
      <w:r>
        <w:rPr>
          <w:rFonts w:ascii="Arial" w:cs="Arial" w:eastAsia="Arial" w:hAnsi="Arial"/>
          <w:sz w:val="12"/>
          <w:szCs w:val="12"/>
          <w:color w:val="auto"/>
        </w:rPr>
        <w:t>2006 and 2007 and recognized a reduction to our “Provision for income taxes.” During the third quarter of 2010, we received a federal tax refund of $65 million related to this capital loss.</w:t>
      </w:r>
    </w:p>
    <w:p>
      <w:pPr>
        <w:spacing w:after="0" w:line="35"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2"/>
          <w:szCs w:val="12"/>
          <w:i w:val="1"/>
          <w:iCs w:val="1"/>
          <w:color w:val="auto"/>
        </w:rPr>
        <w:t xml:space="preserve">Legislation updates </w:t>
      </w:r>
      <w:r>
        <w:rPr>
          <w:rFonts w:ascii="Arial" w:cs="Arial" w:eastAsia="Arial" w:hAnsi="Arial"/>
          <w:sz w:val="12"/>
          <w:szCs w:val="12"/>
          <w:color w:val="auto"/>
        </w:rPr>
        <w:t>— The Small Business Jobs Act, signed into law in September 2010, includes a provision extending bonus depreciation for assets placed in service in 2010. The</w:t>
      </w:r>
      <w:r>
        <w:rPr>
          <w:rFonts w:ascii="Arial" w:cs="Arial" w:eastAsia="Arial" w:hAnsi="Arial"/>
          <w:sz w:val="12"/>
          <w:szCs w:val="12"/>
          <w:i w:val="1"/>
          <w:iCs w:val="1"/>
          <w:color w:val="auto"/>
        </w:rPr>
        <w:t xml:space="preserve"> </w:t>
      </w:r>
      <w:r>
        <w:rPr>
          <w:rFonts w:ascii="Arial" w:cs="Arial" w:eastAsia="Arial" w:hAnsi="Arial"/>
          <w:sz w:val="12"/>
          <w:szCs w:val="12"/>
          <w:color w:val="auto"/>
        </w:rPr>
        <w:t>acceleration of deductions on current year capital expenditures will have no impact on our effective tax rate but is expected to reduce our 2010 cash taxes by approximately $60 million. The current year cash tax benefit will result in increased cash taxes in future periods when the deduction for these capital expenditures would have otherwise been realized.</w:t>
      </w:r>
    </w:p>
    <w:p>
      <w:pPr>
        <w:spacing w:after="0" w:line="5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Patient Protection and Affordable Care Act, which was signed into law in March 2010, includes a provision that eliminates the tax deductibility of retiree health care costs to the extent that retiree prescription drug benefits are reimbursed under Medicare Part D coverage. Although this provision of the Act does not take effect until 2013, we were required to recognize the full accounting impact of the change in law on our deferred tax assets during the first quarter of 2010, the period in which the law was enacted. The re-measurement of our deferred tax assets did not affect our financial position or results of operations as of and for the three and nine months ended September 30, 2010.</w:t>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16" w:right="1099" w:bottom="1440" w:gutter="0" w:footer="0" w:header="0"/>
        </w:sectPr>
      </w:pPr>
    </w:p>
    <w:bookmarkStart w:id="15" w:name="page16"/>
    <w:bookmarkEnd w:id="15"/>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73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380" w:type="dxa"/>
            <w:vAlign w:val="bottom"/>
          </w:tcPr>
          <w:p>
            <w:pPr>
              <w:ind w:left="280"/>
              <w:spacing w:after="0"/>
              <w:rPr>
                <w:sz w:val="20"/>
                <w:szCs w:val="20"/>
                <w:color w:val="auto"/>
              </w:rPr>
            </w:pPr>
            <w:r>
              <w:rPr>
                <w:rFonts w:ascii="Arial" w:cs="Arial" w:eastAsia="Arial" w:hAnsi="Arial"/>
                <w:sz w:val="13"/>
                <w:szCs w:val="13"/>
                <w:color w:val="auto"/>
              </w:rPr>
              <w:t>Comprehensive income was as follows (in millions):</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40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10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6"/>
              </w:rPr>
              <w:t>Nine Months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tcPr>
          <w:p>
            <w:pPr>
              <w:jc w:val="center"/>
              <w:ind w:right="76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tcPr>
          <w:p>
            <w:pPr>
              <w:jc w:val="center"/>
              <w:ind w:right="440"/>
              <w:spacing w:after="0" w:line="108"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September 30,</w:t>
            </w:r>
          </w:p>
        </w:tc>
        <w:tc>
          <w:tcPr>
            <w:tcW w:w="10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$ 258</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$ 292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$ 708</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$ 729</w:t>
            </w:r>
          </w:p>
        </w:tc>
        <w:tc>
          <w:tcPr>
            <w:tcW w:w="0" w:type="dxa"/>
            <w:vAlign w:val="bottom"/>
          </w:tcPr>
          <w:p>
            <w:pPr>
              <w:spacing w:after="0"/>
              <w:rPr>
                <w:sz w:val="1"/>
                <w:szCs w:val="1"/>
                <w:color w:val="auto"/>
              </w:rPr>
            </w:pPr>
          </w:p>
        </w:tc>
      </w:tr>
      <w:tr>
        <w:trPr>
          <w:trHeight w:val="156"/>
        </w:trPr>
        <w:tc>
          <w:tcPr>
            <w:tcW w:w="7500" w:type="dxa"/>
            <w:vAlign w:val="bottom"/>
            <w:gridSpan w:val="2"/>
          </w:tcPr>
          <w:p>
            <w:pPr>
              <w:spacing w:after="0"/>
              <w:rPr>
                <w:sz w:val="20"/>
                <w:szCs w:val="20"/>
                <w:color w:val="auto"/>
              </w:rPr>
            </w:pPr>
            <w:r>
              <w:rPr>
                <w:rFonts w:ascii="Arial" w:cs="Arial" w:eastAsia="Arial" w:hAnsi="Arial"/>
                <w:sz w:val="13"/>
                <w:szCs w:val="13"/>
                <w:color w:val="auto"/>
              </w:rPr>
              <w:t>Other comprehensive income (loss), net of taxes:</w:t>
            </w: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resulting from changes in fair value of derivative instruments, net of taxes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Realized losses on derivative instruments reclassified into earnings, net of taxes</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19</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on marketable securities, net of taxes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Foreign currency translation adjustments</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58</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funded status of post-retirement benefit obligations, net of taxes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Other comprehensive income (loss)</w:t>
            </w: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62</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Comprehensive income attributable to noncontrolling interests</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040" w:type="dxa"/>
            <w:vAlign w:val="bottom"/>
            <w:gridSpan w:val="3"/>
          </w:tcPr>
          <w:p>
            <w:pPr>
              <w:jc w:val="right"/>
              <w:ind w:right="340"/>
              <w:spacing w:after="0"/>
              <w:rPr>
                <w:sz w:val="20"/>
                <w:szCs w:val="20"/>
                <w:color w:val="auto"/>
              </w:rPr>
            </w:pPr>
            <w:r>
              <w:rPr>
                <w:rFonts w:ascii="Arial" w:cs="Arial" w:eastAsia="Arial" w:hAnsi="Arial"/>
                <w:sz w:val="13"/>
                <w:szCs w:val="13"/>
                <w:color w:val="auto"/>
              </w:rPr>
              <w:t>(18)</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attributable to Waste Management, Inc.</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$ 264</w:t>
            </w:r>
          </w:p>
        </w:tc>
        <w:tc>
          <w:tcPr>
            <w:tcW w:w="4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$ 336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$ 648</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$ 769</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components of accumulated other comprehensive income, which is included as a component of Waste Management, Inc. stockholders’ equity, were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3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Cumulative foreign currency translation adjustments</w:t>
            </w:r>
          </w:p>
        </w:tc>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Funded status of post-retirement benefit obligations, net of taxes</w:t>
            </w: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60" w:type="dxa"/>
            <w:vAlign w:val="bottom"/>
          </w:tcPr>
          <w:p>
            <w:pPr>
              <w:jc w:val="right"/>
              <w:ind w:right="2374"/>
              <w:spacing w:after="0"/>
              <w:rPr>
                <w:sz w:val="20"/>
                <w:szCs w:val="20"/>
                <w:color w:val="auto"/>
              </w:rPr>
            </w:pPr>
            <w:r>
              <w:rPr>
                <w:rFonts w:ascii="Arial" w:cs="Arial" w:eastAsia="Arial" w:hAnsi="Arial"/>
                <w:sz w:val="13"/>
                <w:szCs w:val="13"/>
                <w:color w:val="auto"/>
              </w:rPr>
              <w:t>16</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704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15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126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6"/>
              </w:rPr>
              <w:t>Nine Months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3"/>
          </w:tcPr>
          <w:p>
            <w:pPr>
              <w:jc w:val="center"/>
              <w:ind w:right="800"/>
              <w:spacing w:after="0" w:line="108" w:lineRule="exact"/>
              <w:rPr>
                <w:sz w:val="20"/>
                <w:szCs w:val="20"/>
                <w:color w:val="auto"/>
              </w:rPr>
            </w:pPr>
            <w:r>
              <w:rPr>
                <w:rFonts w:ascii="Arial" w:cs="Arial" w:eastAsia="Arial" w:hAnsi="Arial"/>
                <w:sz w:val="10"/>
                <w:szCs w:val="10"/>
                <w:b w:val="1"/>
                <w:bCs w:val="1"/>
                <w:color w:val="auto"/>
                <w:w w:val="98"/>
              </w:rPr>
              <w:t>Ended</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3"/>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September 30,</w:t>
            </w:r>
          </w:p>
        </w:tc>
        <w:tc>
          <w:tcPr>
            <w:tcW w:w="126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40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jc w:val="right"/>
              <w:ind w:right="34"/>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38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475.7</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490.6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475.7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490.6</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040" w:type="dxa"/>
            <w:vAlign w:val="bottom"/>
          </w:tcPr>
          <w:p>
            <w:pPr>
              <w:ind w:left="20"/>
              <w:spacing w:after="0"/>
              <w:rPr>
                <w:sz w:val="20"/>
                <w:szCs w:val="20"/>
                <w:color w:val="auto"/>
              </w:rPr>
            </w:pPr>
            <w:r>
              <w:rPr>
                <w:rFonts w:ascii="Arial" w:cs="Arial" w:eastAsia="Arial" w:hAnsi="Arial"/>
                <w:sz w:val="13"/>
                <w:szCs w:val="13"/>
                <w:color w:val="auto"/>
              </w:rPr>
              <w:t>Effect of using weighted average common shares outstanding</w:t>
            </w:r>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c>
          <w:tcPr>
            <w:tcW w:w="3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6.0</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477.3</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492.2</w:t>
            </w:r>
          </w:p>
        </w:tc>
        <w:tc>
          <w:tcPr>
            <w:tcW w:w="3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481.7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492.1</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040" w:type="dxa"/>
            <w:vAlign w:val="bottom"/>
          </w:tcPr>
          <w:p>
            <w:pPr>
              <w:ind w:left="20"/>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400" w:type="dxa"/>
            <w:vAlign w:val="bottom"/>
          </w:tcPr>
          <w:p>
            <w:pPr>
              <w:jc w:val="right"/>
              <w:spacing w:after="0"/>
              <w:rPr>
                <w:sz w:val="20"/>
                <w:szCs w:val="20"/>
                <w:color w:val="auto"/>
              </w:rPr>
            </w:pPr>
            <w:r>
              <w:rPr>
                <w:rFonts w:ascii="Arial" w:cs="Arial" w:eastAsia="Arial" w:hAnsi="Arial"/>
                <w:sz w:val="13"/>
                <w:szCs w:val="13"/>
                <w:color w:val="auto"/>
              </w:rPr>
              <w:t>3.7</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w:t>
            </w:r>
          </w:p>
        </w:tc>
        <w:tc>
          <w:tcPr>
            <w:tcW w:w="3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3.2</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481.0</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494.6</w:t>
            </w:r>
          </w:p>
        </w:tc>
        <w:tc>
          <w:tcPr>
            <w:tcW w:w="3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484.9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494.1</w:t>
            </w:r>
          </w:p>
        </w:tc>
        <w:tc>
          <w:tcPr>
            <w:tcW w:w="0" w:type="dxa"/>
            <w:vAlign w:val="bottom"/>
          </w:tcPr>
          <w:p>
            <w:pPr>
              <w:spacing w:after="0"/>
              <w:rPr>
                <w:sz w:val="1"/>
                <w:szCs w:val="1"/>
                <w:color w:val="auto"/>
              </w:rPr>
            </w:pPr>
          </w:p>
        </w:tc>
      </w:tr>
      <w:tr>
        <w:trPr>
          <w:trHeight w:val="29"/>
        </w:trPr>
        <w:tc>
          <w:tcPr>
            <w:tcW w:w="716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60" w:type="dxa"/>
            <w:vAlign w:val="bottom"/>
            <w:gridSpan w:val="2"/>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13.7</w:t>
            </w:r>
          </w:p>
        </w:tc>
        <w:tc>
          <w:tcPr>
            <w:tcW w:w="3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14.7</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58"/>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i w:val="1"/>
          <w:iCs w:val="1"/>
          <w:color w:val="auto"/>
        </w:rPr>
        <w:t xml:space="preserve">Financial instruments </w:t>
      </w:r>
      <w:r>
        <w:rPr>
          <w:rFonts w:ascii="Arial" w:cs="Arial" w:eastAsia="Arial" w:hAnsi="Arial"/>
          <w:sz w:val="12"/>
          <w:szCs w:val="12"/>
          <w:color w:val="auto"/>
        </w:rPr>
        <w:t>— We have obtained letters of credit, performance bonds and insurance policies and have established trust funds and issued financial guarantees to support tax-exempt bonds, contracts, performance of landfill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55" w:lineRule="exact"/>
        <w:rPr>
          <w:sz w:val="20"/>
          <w:szCs w:val="20"/>
          <w:color w:val="auto"/>
        </w:rPr>
      </w:pPr>
    </w:p>
    <w:p>
      <w:pPr>
        <w:ind w:right="200" w:firstLine="399"/>
        <w:spacing w:after="0" w:line="296" w:lineRule="auto"/>
        <w:rPr>
          <w:sz w:val="20"/>
          <w:szCs w:val="20"/>
          <w:color w:val="auto"/>
        </w:rPr>
      </w:pPr>
      <w:r>
        <w:rPr>
          <w:rFonts w:ascii="Arial" w:cs="Arial" w:eastAsia="Arial" w:hAnsi="Arial"/>
          <w:sz w:val="12"/>
          <w:szCs w:val="12"/>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50" w:lineRule="exact"/>
        <w:rPr>
          <w:sz w:val="20"/>
          <w:szCs w:val="20"/>
          <w:color w:val="auto"/>
        </w:rPr>
      </w:pPr>
    </w:p>
    <w:p>
      <w:pPr>
        <w:jc w:val="both"/>
        <w:ind w:right="18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in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70" w:lineRule="exact"/>
        <w:rPr>
          <w:sz w:val="20"/>
          <w:szCs w:val="20"/>
          <w:color w:val="auto"/>
        </w:rPr>
      </w:pPr>
    </w:p>
    <w:p>
      <w:pPr>
        <w:jc w:val="both"/>
        <w:ind w:right="220" w:firstLine="399"/>
        <w:spacing w:after="0" w:line="260"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70"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Additionally, WMI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560"/>
        <w:spacing w:after="0" w:line="276" w:lineRule="auto"/>
        <w:rPr>
          <w:sz w:val="20"/>
          <w:szCs w:val="20"/>
          <w:color w:val="auto"/>
        </w:rPr>
      </w:pPr>
      <w:r>
        <w:rPr>
          <w:rFonts w:ascii="Arial" w:cs="Arial" w:eastAsia="Arial" w:hAnsi="Arial"/>
          <w:sz w:val="13"/>
          <w:szCs w:val="13"/>
          <w:color w:val="auto"/>
        </w:rPr>
        <w:t>all of the senior debt of the other entity. No additional liabilities have been recorded for these intercompany guarantees because all of the underlying obligations are reflected in our Condensed Consolidated Balance Sheets.</w:t>
      </w:r>
    </w:p>
    <w:p>
      <w:pPr>
        <w:spacing w:after="0" w:line="59"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September 30, 2010 include (i) guarantees of unconsolidated entities’ financial obligations maturing through 2020 for maximum future payments of $12 million; and (ii) agreements guaranteeing the market value of homeowners’ properties adjacent to or near certain of our landfills. Our indemnification obligations generally arise in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and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58"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A significant portion of our operating costs and capital expenditures could be characterized as costs of environmental protection, as we are subject to an</w:t>
      </w:r>
      <w:r>
        <w:rPr>
          <w:rFonts w:ascii="Arial" w:cs="Arial" w:eastAsia="Arial" w:hAnsi="Arial"/>
          <w:sz w:val="13"/>
          <w:szCs w:val="13"/>
          <w:i w:val="1"/>
          <w:iCs w:val="1"/>
          <w:color w:val="auto"/>
        </w:rPr>
        <w:t xml:space="preserve"> </w:t>
      </w:r>
      <w:r>
        <w:rPr>
          <w:rFonts w:ascii="Arial" w:cs="Arial" w:eastAsia="Arial" w:hAnsi="Arial"/>
          <w:sz w:val="13"/>
          <w:szCs w:val="13"/>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71" w:lineRule="exact"/>
        <w:rPr>
          <w:sz w:val="20"/>
          <w:szCs w:val="20"/>
          <w:color w:val="auto"/>
        </w:rPr>
      </w:pPr>
    </w:p>
    <w:p>
      <w:pPr>
        <w:ind w:right="40" w:firstLine="399"/>
        <w:spacing w:after="0" w:line="281" w:lineRule="auto"/>
        <w:rPr>
          <w:sz w:val="20"/>
          <w:szCs w:val="20"/>
          <w:color w:val="auto"/>
        </w:rPr>
      </w:pPr>
      <w:r>
        <w:rPr>
          <w:rFonts w:ascii="Arial" w:cs="Arial" w:eastAsia="Arial" w:hAnsi="Arial"/>
          <w:sz w:val="12"/>
          <w:szCs w:val="12"/>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investigation of the extent of environmental impact and identification of likely site-remediation alternatives.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$150 million higher than the $323 million recorded in the Condensed Consolidated Financial Statements as of September 30, 2010. Our ongoing review of our remediation liabilities could result in revisions to our accruals that could cause upward or downward adjustments to income from operations. These adjustments could be material in any given period.</w:t>
      </w:r>
    </w:p>
    <w:p>
      <w:pPr>
        <w:spacing w:after="0" w:line="58"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As of September 30, 2010, we had been notified by the government that we are a PRP in connection with 75 locations listed on the EPA’s National Priorities List, or NPL. Of the 75 sites at which claims have been made against us, 17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 sharing agreement. We generally expect to receive any amounts due from other participating parties at or near the time that we make the remedial expenditures. The other 58 NPL sites that we do not own are at various procedural stages under the Comprehensive Environmental Response, Compensation and Liability Act of 1980, as amended, known as CERCLA or Superfund.</w:t>
      </w:r>
    </w:p>
    <w:p>
      <w:pPr>
        <w:spacing w:after="0" w:line="72"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could be substantial and could have a material adverse effect on our consolidated financial statements. At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67"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April 2002, two former participants in the ERISA plans of WM Holdings, filed a lawsuit in the U.S. District Court for the District of Columbia in a case entitled</w:t>
      </w:r>
      <w:r>
        <w:rPr>
          <w:rFonts w:ascii="Arial" w:cs="Arial" w:eastAsia="Arial" w:hAnsi="Arial"/>
          <w:sz w:val="12"/>
          <w:szCs w:val="12"/>
          <w:i w:val="1"/>
          <w:iCs w:val="1"/>
          <w:color w:val="auto"/>
        </w:rPr>
        <w:t xml:space="preserve"> William S. Harris, et al. v. James E. Koenig, et al</w:t>
      </w:r>
      <w:r>
        <w:rPr>
          <w:rFonts w:ascii="Arial" w:cs="Arial" w:eastAsia="Arial" w:hAnsi="Arial"/>
          <w:sz w:val="12"/>
          <w:szCs w:val="12"/>
          <w:color w:val="auto"/>
        </w:rPr>
        <w:t>. The lawsuit named as defendants WM Holdings; the members of WM Holdings’ Board of Directors prior to July 1998; the administrative</w:t>
      </w:r>
      <w:r>
        <w:rPr>
          <w:rFonts w:ascii="Arial" w:cs="Arial" w:eastAsia="Arial" w:hAnsi="Arial"/>
          <w:sz w:val="12"/>
          <w:szCs w:val="12"/>
          <w:i w:val="1"/>
          <w:iCs w:val="1"/>
          <w:color w:val="auto"/>
        </w:rPr>
        <w:t xml:space="preserve"> </w:t>
      </w:r>
      <w:r>
        <w:rPr>
          <w:rFonts w:ascii="Arial" w:cs="Arial" w:eastAsia="Arial" w:hAnsi="Arial"/>
          <w:sz w:val="12"/>
          <w:szCs w:val="12"/>
          <w:color w:val="auto"/>
        </w:rPr>
        <w:t>and investment committees of WM Holdings’ ERISA plans and their individual members; WMI’s retirement savings plan; the investment committees of WMI’s plan and its individual members; and State Street Bank &amp; Trust, the trustee and investment manager of the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The defendants filed motions to dismiss the complaints on the pleadings, and the Court granted in part and denied in part the defendants’ motions in the first quarter of 2009. However, in December 2009, the Court granted the plaintiffs’ motion for leave to file a fourth amended complaint to overcome the dismissal of certain claims and the motion for leave to file a substitute fourth amended complaint to add two new claims. Each of Mr. Pope, Mr. Rothmeier and Ms. San Juan Cafferty, members of our Board of Directors, was a member of the WM Holdings’ Board of Directors and therefore was a named defendant in these actions. Additionally, Mr. Simpson, our Chief Financial Officer, is a named defendant in these actions by virtue of his membership on the WMI ERISA plan Investment Committee at that time. The defendants again moved to dismiss the fourth amended complaint, and during the second quarter of 2010, the Court dismissed certain claims against individual defendants, including the claims against Messrs. Pope and Rothmeier and Ms. San Juan Cafferty. All of the remaining defendants intend to continue to defend themselves vigorously.</w:t>
      </w:r>
    </w:p>
    <w:p>
      <w:pPr>
        <w:spacing w:after="0" w:line="65"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Two separate wage and hour lawsuits were commenced in October 2006 and March 2007, respectively, that are pending against certain of our subsidiaries in California, each seeking class certification. The actions were coordinated to proceed in San Diego County Superior Court. Both lawsuits make the same general allegations that the defendants failed to comply with certain California wage and hour laws, including allegedly failing to provide meal and rest periods and failing to properly pay hourly and overtime wages. Additionally, in July 2008, we were named as a defendant in a purported class action in the Circuit Court of Bullock County, Alabama, which was subsequently removed to the United States District Court for the Northern District of Alabama. This suit pertains to our fuel and environmental charge and generally alleges that such charges were not properly disclosed, were unfair, and were contrary to contract. We filed a motion to dismiss that was partially granted during the third quarter of 2010, resulting in dismissal of the plaintiffs’ RICO and national class action claims. We deny the claims in all of these actions and intend to continue to oppose class certification and will vigorously defend these matters. Given the inherent uncertainties of litigation, the ultimate outcome of these cases cannot be predicted at this time, nor can possible damages, if any, be reasonably estimated.</w:t>
      </w:r>
    </w:p>
    <w:p>
      <w:pPr>
        <w:spacing w:after="0" w:line="59" w:lineRule="exact"/>
        <w:rPr>
          <w:sz w:val="20"/>
          <w:szCs w:val="20"/>
          <w:color w:val="auto"/>
        </w:rPr>
      </w:pPr>
    </w:p>
    <w:p>
      <w:pPr>
        <w:ind w:right="80" w:firstLine="399"/>
        <w:spacing w:after="0" w:line="282"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as noted above,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WMI’s charter and bylaws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President and Chief Executive Officer and its Chief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55"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 April 2010, we settled our previously disclosed lawsuit relating to a revenue management system. We received a one-time cash payment, and all parties dismissed their claims with prejudice. Additional information related to this settlement is discussed in Note 11.</w:t>
      </w:r>
    </w:p>
    <w:p>
      <w:pPr>
        <w:spacing w:after="0" w:line="59"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pending as of September 30, 2010 are disclosed in accordance with that requirement:</w:t>
      </w:r>
    </w:p>
    <w:p>
      <w:pPr>
        <w:spacing w:after="0" w:line="67" w:lineRule="exact"/>
        <w:rPr>
          <w:sz w:val="20"/>
          <w:szCs w:val="20"/>
          <w:color w:val="auto"/>
        </w:rPr>
      </w:pPr>
    </w:p>
    <w:p>
      <w:pPr>
        <w:ind w:left="400" w:right="60" w:firstLine="383"/>
        <w:spacing w:after="0" w:line="285" w:lineRule="auto"/>
        <w:rPr>
          <w:sz w:val="20"/>
          <w:szCs w:val="20"/>
          <w:color w:val="auto"/>
        </w:rPr>
      </w:pPr>
      <w:r>
        <w:rPr>
          <w:rFonts w:ascii="Arial" w:cs="Arial" w:eastAsia="Arial" w:hAnsi="Arial"/>
          <w:sz w:val="12"/>
          <w:szCs w:val="12"/>
          <w:color w:val="auto"/>
        </w:rPr>
        <w:t>On April 4, 2006, the EPA issued a Notice of Violation (“NOV”) to Waste Management of Hawaii, Inc., an indirect wholly-owned subsidiary of WMI,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55" w:lineRule="exact"/>
        <w:rPr>
          <w:sz w:val="20"/>
          <w:szCs w:val="20"/>
          <w:color w:val="auto"/>
        </w:rPr>
      </w:pPr>
    </w:p>
    <w:p>
      <w:pPr>
        <w:ind w:left="400" w:right="40" w:firstLine="383"/>
        <w:spacing w:after="0" w:line="320" w:lineRule="auto"/>
        <w:rPr>
          <w:sz w:val="20"/>
          <w:szCs w:val="20"/>
          <w:color w:val="auto"/>
        </w:rPr>
      </w:pPr>
      <w:r>
        <w:rPr>
          <w:rFonts w:ascii="Arial" w:cs="Arial" w:eastAsia="Arial" w:hAnsi="Arial"/>
          <w:sz w:val="12"/>
          <w:szCs w:val="12"/>
          <w:color w:val="auto"/>
        </w:rPr>
        <w:t>On April 8, July 15, and September 8, 2010, the EPA issued Notices of Violation to Chemical Waste Management, Inc.’s Kettleman Hills facility for alleged violations of the federal Toxic Substances Control Act. The EPA has indicated it will seek civil penalties for the violations alleged, which relate to handling and disposal of polychlorinated biphenyls.</w:t>
      </w:r>
    </w:p>
    <w:p>
      <w:pPr>
        <w:spacing w:after="0" w:line="35" w:lineRule="exact"/>
        <w:rPr>
          <w:sz w:val="20"/>
          <w:szCs w:val="20"/>
          <w:color w:val="auto"/>
        </w:rPr>
      </w:pPr>
    </w:p>
    <w:p>
      <w:pPr>
        <w:ind w:left="400" w:firstLine="383"/>
        <w:spacing w:after="0" w:line="289" w:lineRule="auto"/>
        <w:rPr>
          <w:sz w:val="20"/>
          <w:szCs w:val="20"/>
          <w:color w:val="auto"/>
        </w:rPr>
      </w:pPr>
      <w:r>
        <w:rPr>
          <w:rFonts w:ascii="Arial" w:cs="Arial" w:eastAsia="Arial" w:hAnsi="Arial"/>
          <w:sz w:val="12"/>
          <w:szCs w:val="12"/>
          <w:color w:val="auto"/>
        </w:rPr>
        <w:t>The Massachusetts Attorney General’s Office has commenced investigations into allegations of violations of the Clean Air Act, the Clean Water Act, solid waste regulations and permits at Wheelabrator Group facilities in Saugus and North Andover, Massachusetts. The Attorney General’s Office is also considering intervening in two private lawsuits alleging potential claims under the Massachusetts False Claims Act. No formal enforcement action has been brought against the Company, although we potentially could be subject to sanctions, including requirements to pay monetary penalties. We are cooperating with the Attorney General’s office in the investigations.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20" w:name="page21"/>
    <w:bookmarkEnd w:id="20"/>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60" w:firstLine="399"/>
        <w:spacing w:after="0" w:line="258" w:lineRule="auto"/>
        <w:rPr>
          <w:sz w:val="20"/>
          <w:szCs w:val="20"/>
          <w:color w:val="auto"/>
        </w:rPr>
      </w:pPr>
      <w:r>
        <w:rPr>
          <w:rFonts w:ascii="Arial" w:cs="Arial" w:eastAsia="Arial" w:hAnsi="Arial"/>
          <w:sz w:val="13"/>
          <w:szCs w:val="13"/>
          <w:i w:val="1"/>
          <w:iCs w:val="1"/>
          <w:color w:val="auto"/>
        </w:rPr>
        <w:t xml:space="preserve">Multi-Employer, Defined Benefit Pension Plans </w:t>
      </w:r>
      <w:r>
        <w:rPr>
          <w:rFonts w:ascii="Arial" w:cs="Arial" w:eastAsia="Arial" w:hAnsi="Arial"/>
          <w:sz w:val="13"/>
          <w:szCs w:val="13"/>
          <w:color w:val="auto"/>
        </w:rPr>
        <w:t>— Over 20% of our workforce is covered by collective bargaining agreements, which are with various union locals across the United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States. As a result of some of these agreements, certain of our subsidiaries are participating employers in a number of trustee-managed multi-employer, defined benefit pension plans for the affected employees. One of the multi-employer pension plans in which we participate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w:t>
      </w:r>
    </w:p>
    <w:p>
      <w:pPr>
        <w:spacing w:after="0" w:line="71" w:lineRule="exact"/>
        <w:rPr>
          <w:sz w:val="20"/>
          <w:szCs w:val="20"/>
          <w:color w:val="auto"/>
        </w:rPr>
      </w:pPr>
    </w:p>
    <w:p>
      <w:pPr>
        <w:jc w:val="both"/>
        <w:ind w:left="680" w:right="840" w:firstLine="399"/>
        <w:spacing w:after="0" w:line="285" w:lineRule="auto"/>
        <w:rPr>
          <w:sz w:val="20"/>
          <w:szCs w:val="20"/>
          <w:color w:val="auto"/>
        </w:rPr>
      </w:pPr>
      <w:r>
        <w:rPr>
          <w:rFonts w:ascii="Arial" w:cs="Arial" w:eastAsia="Arial" w:hAnsi="Arial"/>
          <w:sz w:val="12"/>
          <w:szCs w:val="12"/>
          <w:color w:val="auto"/>
        </w:rPr>
        <w:t>In connection with our ongoing re-negotiation of various collective bargaining agreements, we may discuss and negotiate for the complete or partial withdrawal from one or more of these pension plans. In 2010, we recognized $26 million of charges to “Operating” expenses for the agreed-upon withdrawals of five bargaining units from the Central States Pension Plan in connection with our negotiations of those units’ agreements. We do not believe that our withdrawals from multi-employer plans, individually or in the aggregate, will have a material adverse effect on our financial condition or liquidity. However, depending on the number of employees withdrawn in any future period and the financial condition of the multi-employer plans at the time of withdrawal, such withdrawals could result in material changes to our results of operations in the period of the withdrawal.</w:t>
      </w:r>
    </w:p>
    <w:p>
      <w:pPr>
        <w:spacing w:after="0" w:line="55" w:lineRule="exact"/>
        <w:rPr>
          <w:sz w:val="20"/>
          <w:szCs w:val="20"/>
          <w:color w:val="auto"/>
        </w:rPr>
      </w:pPr>
    </w:p>
    <w:p>
      <w:pPr>
        <w:ind w:left="680" w:right="840" w:firstLine="399"/>
        <w:spacing w:after="0" w:line="257"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We are currently in the examination phase of IRS audits for the tax years 2009 and 2010 and expect these audits to be completed within the next three and 15 months,</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1999. In the third quarter of 2010, we settled audits in Canada through the 2004 tax year and are not currently under audit for any subsequent tax years. To provide for certain potential tax exposures, we maintain a liability for unrecognized tax benefits, the balance of which management believes is adequate. Results of audit assessments by taxing authorities are not currently expected to have a material adverse impact on our results of operations or cash flows.</w:t>
      </w:r>
    </w:p>
    <w:p>
      <w:pPr>
        <w:spacing w:after="0" w:line="146" w:lineRule="exact"/>
        <w:rPr>
          <w:sz w:val="20"/>
          <w:szCs w:val="20"/>
          <w:color w:val="auto"/>
        </w:rPr>
      </w:pPr>
    </w:p>
    <w:p>
      <w:pPr>
        <w:ind w:left="1000" w:hanging="313"/>
        <w:spacing w:after="0"/>
        <w:tabs>
          <w:tab w:leader="none" w:pos="100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1040" w:firstLine="399"/>
        <w:spacing w:after="0" w:line="320" w:lineRule="auto"/>
        <w:rPr>
          <w:sz w:val="20"/>
          <w:szCs w:val="20"/>
          <w:color w:val="auto"/>
        </w:rPr>
      </w:pPr>
      <w:r>
        <w:rPr>
          <w:rFonts w:ascii="Arial" w:cs="Arial" w:eastAsia="Arial" w:hAnsi="Arial"/>
          <w:sz w:val="12"/>
          <w:szCs w:val="12"/>
          <w:color w:val="auto"/>
        </w:rPr>
        <w:t>In January 2009, we took steps to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left="680" w:right="920" w:firstLine="399"/>
        <w:spacing w:after="0" w:line="257" w:lineRule="auto"/>
        <w:rPr>
          <w:sz w:val="20"/>
          <w:szCs w:val="20"/>
          <w:color w:val="auto"/>
        </w:rPr>
      </w:pPr>
      <w:r>
        <w:rPr>
          <w:rFonts w:ascii="Arial" w:cs="Arial" w:eastAsia="Arial" w:hAnsi="Arial"/>
          <w:sz w:val="13"/>
          <w:szCs w:val="13"/>
          <w:color w:val="auto"/>
        </w:rPr>
        <w:t>This reorganization eliminated over 1,500 employee positions throughout the Company. During the three and nine months ended September 30, 2009, we recognized $3 million and $46 million, respectively, of pre-tax restructuring charges associated with this reorganization, of which $2 million and $40 million, respectively, were related to employee severance and benefit costs. During the remainder of 2009, we incurred an additional $4 million of pre-tax restructuring charges associated with this reorganization, of which $1 million was related to employee severance and benefit costs. The remaining charges were primarily related to operating lease obligations for property that will no longer be utilized. The following table summarizes the charges recognized for this restructuring by each of our current reportable segments and our Corporate and Other organization for the three and nine months ended September 30, 2009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380" w:type="dxa"/>
            <w:vAlign w:val="bottom"/>
          </w:tcPr>
          <w:p>
            <w:pPr>
              <w:jc w:val="right"/>
              <w:ind w:right="43"/>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Nine Months Ended</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380" w:type="dxa"/>
            <w:vAlign w:val="bottom"/>
          </w:tcPr>
          <w:p>
            <w:pPr>
              <w:jc w:val="right"/>
              <w:ind w:right="83"/>
              <w:spacing w:after="0"/>
              <w:rPr>
                <w:sz w:val="20"/>
                <w:szCs w:val="20"/>
                <w:color w:val="auto"/>
              </w:rPr>
            </w:pPr>
            <w:r>
              <w:rPr>
                <w:rFonts w:ascii="Arial" w:cs="Arial" w:eastAsia="Arial" w:hAnsi="Arial"/>
                <w:sz w:val="10"/>
                <w:szCs w:val="10"/>
                <w:b w:val="1"/>
                <w:bCs w:val="1"/>
                <w:color w:val="auto"/>
              </w:rPr>
              <w:t>September 30, 2009</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September 30, 2009</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4780" w:type="dxa"/>
            <w:vAlign w:val="bottom"/>
            <w:gridSpan w:val="2"/>
            <w:shd w:val="clear" w:color="auto" w:fill="CCEEFF"/>
          </w:tcPr>
          <w:p>
            <w:pPr>
              <w:jc w:val="right"/>
              <w:ind w:right="1243"/>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Midwest</w:t>
            </w:r>
          </w:p>
        </w:tc>
        <w:tc>
          <w:tcPr>
            <w:tcW w:w="3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3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Western</w:t>
            </w:r>
          </w:p>
        </w:tc>
        <w:tc>
          <w:tcPr>
            <w:tcW w:w="3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3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Corporate and Other</w:t>
            </w:r>
          </w:p>
        </w:tc>
        <w:tc>
          <w:tcPr>
            <w:tcW w:w="3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4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243"/>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0" w:type="dxa"/>
            <w:vAlign w:val="bottom"/>
          </w:tcPr>
          <w:p>
            <w:pPr>
              <w:jc w:val="right"/>
              <w:ind w:right="1274"/>
              <w:spacing w:after="0"/>
              <w:rPr>
                <w:sz w:val="20"/>
                <w:szCs w:val="20"/>
                <w:color w:val="auto"/>
              </w:rPr>
            </w:pPr>
            <w:r>
              <w:rPr>
                <w:rFonts w:ascii="Arial" w:cs="Arial" w:eastAsia="Arial" w:hAnsi="Arial"/>
                <w:sz w:val="13"/>
                <w:szCs w:val="13"/>
                <w:color w:val="auto"/>
              </w:rPr>
              <w:t>21</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346"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For the nine months ended September 30, 2010, we recognized $1 million of income related to the reversal of pre-tax restructuring charges. Through September 30, 2010, we have paid approximately $38 million of the employee severance and benefit costs incurred as a result of this restructuring. The length of time we are obligated to make severance payments varies, with the longest obligation continuing through the fourth quarter of 2010.</w:t>
      </w:r>
    </w:p>
    <w:p>
      <w:pPr>
        <w:spacing w:after="0" w:line="142"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1000" w:firstLine="399"/>
        <w:spacing w:after="0" w:line="322" w:lineRule="auto"/>
        <w:rPr>
          <w:sz w:val="20"/>
          <w:szCs w:val="20"/>
          <w:color w:val="auto"/>
        </w:rPr>
      </w:pPr>
      <w:r>
        <w:rPr>
          <w:rFonts w:ascii="Arial" w:cs="Arial" w:eastAsia="Arial" w:hAnsi="Arial"/>
          <w:sz w:val="11"/>
          <w:szCs w:val="11"/>
          <w:color w:val="auto"/>
        </w:rPr>
        <w:t>We currently manage and evaluate our operations primarily through our Eastern, Midwest, Southern, Western and Wheelabrator Groups. These five Groups are presented below as our reportable segments. Our four geographic operating Groups provide collection, transfer, disposal (in both solid waste and hazardous waste landfills) and recycling services. Our Wheelabrator Group provides waste-to-energy services and manages waste-to-energy facilities and independent power production plants. We serve commercial, industrial, municipal and residential customers throughout the United States and in Puerto Rico and Canada. The operations not managed through our five operating Groups are presented herein as “Other.”</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and nine months ended September 30 is shown in the following tables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Gross</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Intercompany</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6"/>
              </w:rPr>
              <w:t>Income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90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Revenues</w:t>
            </w:r>
          </w:p>
        </w:tc>
        <w:tc>
          <w:tcPr>
            <w:tcW w:w="80" w:type="dxa"/>
            <w:vAlign w:val="bottom"/>
          </w:tcPr>
          <w:p>
            <w:pPr>
              <w:spacing w:after="0"/>
              <w:rPr>
                <w:sz w:val="10"/>
                <w:szCs w:val="10"/>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Operations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Three Months Ended:</w:t>
            </w:r>
          </w:p>
        </w:tc>
        <w:tc>
          <w:tcPr>
            <w:tcW w:w="2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September 30, 2010</w:t>
            </w:r>
          </w:p>
        </w:tc>
        <w:tc>
          <w:tcPr>
            <w:tcW w:w="1840" w:type="dxa"/>
            <w:vAlign w:val="bottom"/>
            <w:tcBorders>
              <w:top w:val="single" w:sz="8" w:color="CCEEFF"/>
            </w:tcBorders>
          </w:tcPr>
          <w:p>
            <w:pPr>
              <w:spacing w:after="0"/>
              <w:rPr>
                <w:sz w:val="13"/>
                <w:szCs w:val="13"/>
                <w:color w:val="auto"/>
              </w:rPr>
            </w:pPr>
          </w:p>
        </w:tc>
        <w:tc>
          <w:tcPr>
            <w:tcW w:w="27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792</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673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2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903</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801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2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Other</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3,235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7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September 30, 2009</w:t>
            </w:r>
          </w:p>
        </w:tc>
        <w:tc>
          <w:tcPr>
            <w:tcW w:w="27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749</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2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801</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2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Other</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7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3,526</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720" w:type="dxa"/>
            <w:vAlign w:val="bottom"/>
          </w:tcPr>
          <w:p>
            <w:pPr>
              <w:jc w:val="right"/>
              <w:ind w:right="674"/>
              <w:spacing w:after="0"/>
              <w:rPr>
                <w:sz w:val="20"/>
                <w:szCs w:val="20"/>
                <w:color w:val="auto"/>
              </w:rPr>
            </w:pPr>
            <w:r>
              <w:rPr>
                <w:rFonts w:ascii="Arial" w:cs="Arial" w:eastAsia="Arial" w:hAnsi="Arial"/>
                <w:sz w:val="13"/>
                <w:szCs w:val="13"/>
                <w:color w:val="auto"/>
              </w:rPr>
              <w:t>22</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Gross</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Intercompany</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6"/>
              </w:rPr>
              <w:t>Income from</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90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Revenues</w:t>
            </w:r>
          </w:p>
        </w:tc>
        <w:tc>
          <w:tcPr>
            <w:tcW w:w="80" w:type="dxa"/>
            <w:vAlign w:val="bottom"/>
          </w:tcPr>
          <w:p>
            <w:pPr>
              <w:spacing w:after="0"/>
              <w:rPr>
                <w:sz w:val="10"/>
                <w:szCs w:val="10"/>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1180" w:type="dxa"/>
            <w:vAlign w:val="bottom"/>
            <w:tcBorders>
              <w:bottom w:val="single" w:sz="8" w:color="auto"/>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w w:val="92"/>
              </w:rPr>
              <w:t>Nine Months Ended:</w:t>
            </w:r>
          </w:p>
        </w:tc>
        <w:tc>
          <w:tcPr>
            <w:tcW w:w="4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b w:val="1"/>
                <w:bCs w:val="1"/>
                <w:color w:val="auto"/>
              </w:rPr>
              <w:t>September 30, 2010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2,266</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1,930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2,602</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2,299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2,372</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(328)</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2,044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660</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658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8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(1,474)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9,328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1,859</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10,802</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(1,474)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9,328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1,542</w:t>
            </w:r>
          </w:p>
        </w:tc>
        <w:tc>
          <w:tcPr>
            <w:tcW w:w="0" w:type="dxa"/>
            <w:vAlign w:val="bottom"/>
          </w:tcPr>
          <w:p>
            <w:pPr>
              <w:spacing w:after="0"/>
              <w:rPr>
                <w:sz w:val="1"/>
                <w:szCs w:val="1"/>
                <w:color w:val="auto"/>
              </w:rPr>
            </w:pPr>
          </w:p>
        </w:tc>
      </w:tr>
      <w:tr>
        <w:trPr>
          <w:trHeight w:val="166"/>
        </w:trPr>
        <w:tc>
          <w:tcPr>
            <w:tcW w:w="5800" w:type="dxa"/>
            <w:vAlign w:val="bottom"/>
            <w:gridSpan w:val="2"/>
          </w:tcPr>
          <w:p>
            <w:pPr>
              <w:spacing w:after="0"/>
              <w:rPr>
                <w:sz w:val="20"/>
                <w:szCs w:val="20"/>
                <w:color w:val="auto"/>
              </w:rPr>
            </w:pPr>
            <w:r>
              <w:rPr>
                <w:rFonts w:ascii="Arial" w:cs="Arial" w:eastAsia="Arial" w:hAnsi="Arial"/>
                <w:sz w:val="13"/>
                <w:szCs w:val="13"/>
                <w:b w:val="1"/>
                <w:bCs w:val="1"/>
                <w:color w:val="auto"/>
              </w:rPr>
              <w:t>September 30, 2009</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(404)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2,121</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(319)</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1,802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2,509</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2,343</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(310)</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2,033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627</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8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(1,467)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8,785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(1,467)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8,785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1,431</w:t>
            </w: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399"/>
        <w:spacing w:after="0" w:line="322" w:lineRule="auto"/>
        <w:rPr>
          <w:sz w:val="20"/>
          <w:szCs w:val="20"/>
          <w:color w:val="auto"/>
        </w:rPr>
      </w:pPr>
      <w:r>
        <w:rPr>
          <w:rFonts w:ascii="Arial" w:cs="Arial" w:eastAsia="Arial" w:hAnsi="Arial"/>
          <w:sz w:val="11"/>
          <w:szCs w:val="11"/>
          <w:color w:val="auto"/>
        </w:rPr>
        <w:t>Fluctuations in our operating results may be caused by many factors, including period-to-period changes in the relative contribution of revenue by each line of business and operating segment and by general economic conditions. In addition, our revenues and income from operations typically reflect seasonal patterns. Our operating revenues tend to be somewhat higher in the summer months, primarily due to the traditional seasonal increase in the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Additionally, certain destructive weather conditions that tend to occur during the second half of the year, such as hurricanes typically experienced by our Southern Group, can actually increase our revenues in the areas affected. However, for several reasons, including significant mobilization costs, such revenue often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1" w:lineRule="exact"/>
        <w:rPr>
          <w:sz w:val="20"/>
          <w:szCs w:val="20"/>
          <w:color w:val="auto"/>
        </w:rPr>
      </w:pPr>
    </w:p>
    <w:p>
      <w:pPr>
        <w:ind w:right="200" w:firstLine="399"/>
        <w:spacing w:after="0" w:line="303" w:lineRule="auto"/>
        <w:rPr>
          <w:sz w:val="20"/>
          <w:szCs w:val="20"/>
          <w:color w:val="auto"/>
        </w:rPr>
      </w:pPr>
      <w:r>
        <w:rPr>
          <w:rFonts w:ascii="Arial" w:cs="Arial" w:eastAsia="Arial" w:hAnsi="Arial"/>
          <w:sz w:val="11"/>
          <w:szCs w:val="11"/>
          <w:color w:val="auto"/>
        </w:rPr>
        <w:t>From time to time, the operating results of our reportable segments are significantly affected by unusual or infrequent transactions or events. During 2010, our Midwest Group recognized expense charges of $26 million as a result of employees of five bargaining units in Michigan and Ohio agreeing to our proposal to withdraw them from an under-funded multi-employer pension plan. During the second quarter of 2009, employees of a bargaining unit in New Jersey agreed to a similar proposal and our Eastern Group recognized expense of</w:t>
      </w:r>
    </w:p>
    <w:p>
      <w:pPr>
        <w:ind w:right="60"/>
        <w:spacing w:after="0" w:line="264" w:lineRule="auto"/>
        <w:rPr>
          <w:sz w:val="20"/>
          <w:szCs w:val="20"/>
          <w:color w:val="auto"/>
        </w:rPr>
      </w:pPr>
      <w:r>
        <w:rPr>
          <w:rFonts w:ascii="Arial" w:cs="Arial" w:eastAsia="Arial" w:hAnsi="Arial"/>
          <w:sz w:val="13"/>
          <w:szCs w:val="13"/>
          <w:color w:val="auto"/>
        </w:rPr>
        <w:t>$9 million. Refer to Note 8 for additional information related to our participation in multi-employer pension plans. Further, as disclosed in Note 9, the income from operations of each of our geographic Groups for the three and nine months ended September 30, 2009 was affected by our January 2009 reorganization.</w:t>
      </w:r>
    </w:p>
    <w:p>
      <w:pPr>
        <w:spacing w:after="0" w:line="67" w:lineRule="exact"/>
        <w:rPr>
          <w:sz w:val="20"/>
          <w:szCs w:val="20"/>
          <w:color w:val="auto"/>
        </w:rPr>
      </w:pPr>
    </w:p>
    <w:p>
      <w:pPr>
        <w:ind w:right="80" w:firstLine="399"/>
        <w:spacing w:after="0" w:line="316" w:lineRule="auto"/>
        <w:rPr>
          <w:sz w:val="20"/>
          <w:szCs w:val="20"/>
          <w:color w:val="auto"/>
        </w:rPr>
      </w:pPr>
      <w:r>
        <w:rPr>
          <w:rFonts w:ascii="Arial" w:cs="Arial" w:eastAsia="Arial" w:hAnsi="Arial"/>
          <w:sz w:val="11"/>
          <w:szCs w:val="11"/>
          <w:i w:val="1"/>
          <w:iCs w:val="1"/>
          <w:color w:val="auto"/>
        </w:rPr>
        <w:t xml:space="preserve">Segment assets </w:t>
      </w:r>
      <w:r>
        <w:rPr>
          <w:rFonts w:ascii="Arial" w:cs="Arial" w:eastAsia="Arial" w:hAnsi="Arial"/>
          <w:sz w:val="11"/>
          <w:szCs w:val="11"/>
          <w:color w:val="auto"/>
        </w:rPr>
        <w:t>— The total assets of our Wheelabrator segment increased $309 million, or 14%, from December 31, 2009 to September 30, 2010, primarily as a result of our</w:t>
      </w:r>
      <w:r>
        <w:rPr>
          <w:rFonts w:ascii="Arial" w:cs="Arial" w:eastAsia="Arial" w:hAnsi="Arial"/>
          <w:sz w:val="11"/>
          <w:szCs w:val="11"/>
          <w:i w:val="1"/>
          <w:iCs w:val="1"/>
          <w:color w:val="auto"/>
        </w:rPr>
        <w:t xml:space="preserve"> </w:t>
      </w:r>
      <w:r>
        <w:rPr>
          <w:rFonts w:ascii="Arial" w:cs="Arial" w:eastAsia="Arial" w:hAnsi="Arial"/>
          <w:sz w:val="11"/>
          <w:szCs w:val="11"/>
          <w:color w:val="auto"/>
        </w:rPr>
        <w:t>continued focus on the expansion of our waste-to-energy business. In the first quarter of 2010, we paid $142 million to acquire a 40% equity investment in Shanghai Environment Group (“SEG”), a subsidiary of Shanghai Chengtou Holding Co., Ltd. As a joint venture partner in SEG, we will participate in the operation and management of waste-to-energy and other waste services in the Chinese market. SEG will also focus on building new waste-to-energy facilities in China. In April 2010, we paid $150 million for the acquisition of a waste-to-energy facility in Portsmouth, Virginia. These investments did not have a significant impact on our operating revenues or income from operations for the three and nine months ended September 30, 2010.</w:t>
      </w:r>
    </w:p>
    <w:p>
      <w:pPr>
        <w:spacing w:after="0" w:line="117" w:lineRule="exact"/>
        <w:rPr>
          <w:sz w:val="20"/>
          <w:szCs w:val="20"/>
          <w:color w:val="auto"/>
        </w:rPr>
      </w:pPr>
    </w:p>
    <w:p>
      <w:pPr>
        <w:ind w:left="500" w:hanging="493"/>
        <w:spacing w:after="0"/>
        <w:tabs>
          <w:tab w:leader="none" w:pos="50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Through December 31, 2008, we capitalized $70 million of accumulated costs associated with the development of a new waste and recycling revenue 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$49 million of which was recognized during the first quarter of 2009 and $2 million of which was recognized during the fourth quarter of 2009, for the abandonment of the licensed software.</w:t>
      </w:r>
    </w:p>
    <w:p>
      <w:pPr>
        <w:spacing w:after="0" w:line="5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filed a lawsuit in March 2008 related to the revenue management software implementation that was suspended in 2007 and abandoned in 2009. In April 2010, we settled the lawsuit and received a one-time cash payment. The settlement, included in “(Income) expense from divestitures, asset impairments and unusual items,” resulted in an increase in income from operations for the nine months ended September 30, 2010 of $77 million.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500" w:hanging="493"/>
        <w:spacing w:after="0"/>
        <w:tabs>
          <w:tab w:leader="none" w:pos="50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September 30, 2010, our assets and liabilities that are measured at fair value on a recurring basis include the following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0"/>
                <w:szCs w:val="10"/>
                <w:b w:val="1"/>
                <w:bCs w:val="1"/>
                <w:color w:val="auto"/>
              </w:rPr>
              <w:t>Fair Value Measurements Using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Quoted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Prices in</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9"/>
              </w:rPr>
              <w:t>Active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72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rPr>
              <w:t>Markets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(Level 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461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461</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162</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Interest in available-for-sale securities of unconsolidated entities</w:t>
            </w: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113</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113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792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736</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59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derivatives</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Electricity commodity derivatives</w:t>
            </w: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right="300" w:firstLine="399"/>
        <w:spacing w:after="0" w:line="320" w:lineRule="auto"/>
        <w:rPr>
          <w:sz w:val="20"/>
          <w:szCs w:val="20"/>
          <w:color w:val="auto"/>
        </w:rPr>
      </w:pPr>
      <w:r>
        <w:rPr>
          <w:rFonts w:ascii="Arial" w:cs="Arial" w:eastAsia="Arial" w:hAnsi="Arial"/>
          <w:sz w:val="12"/>
          <w:szCs w:val="12"/>
          <w:color w:val="auto"/>
        </w:rPr>
        <w:t>At September 30, 2010, the carrying value of our debt was approximately $9.0 billion compared with $8.9 billion at December 31, 2009. The carrying value of our debt includes adjustments for both the unamortized fair value adjustments related to terminated hedge arrangements and fair value adjustments of debt instruments that are currently hedged.</w:t>
      </w:r>
    </w:p>
    <w:p>
      <w:pPr>
        <w:spacing w:after="0" w:line="35"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estimated fair value of our debt was approximately $9.8 billion at September 30, 2010 and approximately $9.3 billion at December 31, 2009. The estimated fair value of our senior notes is based on quoted market prices. The carrying value of remarketable debt approximates fair value due to the short-term nature of the interest rates. The fair value of our other debt is estimated using discounted cash flow analysis, based on rates we would currently pay for similar types of instruments. The increase in the fair value of our debt when comparing September 30, 2010 with December 31, 2009 is primarily related to a decrease in market interest rates for corporate debt securities, which caused an increase in the fair value of our publicly-traded senior notes.</w:t>
      </w:r>
    </w:p>
    <w:p>
      <w:pPr>
        <w:spacing w:after="0" w:line="71"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September 30, 2010 and December 31, 2009. These amounts have not been revalued since those dates, and current estimates of fair value could differ significantly from the amounts presented.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5" w:name="page26"/>
    <w:bookmarkEnd w:id="25"/>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September 30, 2010</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2,016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11,636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11,636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10,654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13,545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(26,922)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7,016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7,134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(26,922)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2,201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4,970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3,752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9,185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6,108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12,954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13,968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(26,922)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12,954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14,299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(26,922)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11,219</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13,558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23,484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(26,922)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21,339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26</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6" w:name="page27"/>
    <w:bookmarkEnd w:id="26"/>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11,541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10,174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12,770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6,524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580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670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4,398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13,418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11,353</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12,788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22,260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(25,247)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21,154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27</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7" w:name="page28"/>
    <w:bookmarkEnd w:id="27"/>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Three Months Ended September 30,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Costs and expenses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2,691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ind w:left="140"/>
              <w:spacing w:after="0"/>
              <w:rPr>
                <w:sz w:val="20"/>
                <w:szCs w:val="20"/>
                <w:color w:val="auto"/>
              </w:rPr>
            </w:pPr>
            <w:r>
              <w:rPr>
                <w:rFonts w:ascii="Arial" w:cs="Arial" w:eastAsia="Arial" w:hAnsi="Arial"/>
                <w:sz w:val="13"/>
                <w:szCs w:val="13"/>
                <w:color w:val="auto"/>
              </w:rPr>
              <w:t>Other income (expense):</w:t>
            </w:r>
          </w:p>
        </w:tc>
        <w:tc>
          <w:tcPr>
            <w:tcW w:w="1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298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2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$ 244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20" w:type="dxa"/>
            <w:vAlign w:val="bottom"/>
            <w:gridSpan w:val="7"/>
          </w:tcPr>
          <w:p>
            <w:pPr>
              <w:jc w:val="center"/>
              <w:ind w:left="14"/>
              <w:spacing w:after="0"/>
              <w:rPr>
                <w:sz w:val="20"/>
                <w:szCs w:val="20"/>
                <w:color w:val="auto"/>
              </w:rPr>
            </w:pPr>
            <w:r>
              <w:rPr>
                <w:rFonts w:ascii="Arial" w:cs="Arial" w:eastAsia="Arial" w:hAnsi="Arial"/>
                <w:sz w:val="13"/>
                <w:szCs w:val="13"/>
                <w:b w:val="1"/>
                <w:bCs w:val="1"/>
                <w:color w:val="auto"/>
                <w:w w:val="91"/>
              </w:rPr>
              <w:t>Three Months Ended September 30, 2009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20" w:type="dxa"/>
            <w:vAlign w:val="bottom"/>
            <w:gridSpan w:val="4"/>
          </w:tcPr>
          <w:p>
            <w:pPr>
              <w:jc w:val="center"/>
              <w:ind w:left="91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Costs and expenses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2,498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Other income (expense):</w:t>
            </w:r>
          </w:p>
        </w:tc>
        <w:tc>
          <w:tcPr>
            <w:tcW w:w="1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317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252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252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277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2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$ 277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28</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8" w:name="page29"/>
    <w:bookmarkEnd w:id="28"/>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Costs and expenses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7,786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Other income (expense):</w:t>
            </w:r>
          </w:p>
        </w:tc>
        <w:tc>
          <w:tcPr>
            <w:tcW w:w="1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819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836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578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808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0"/>
              </w:rPr>
              <w:t>Nine Months Ended September 30, 2009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00" w:type="dxa"/>
            <w:vAlign w:val="bottom"/>
            <w:gridSpan w:val="4"/>
          </w:tcPr>
          <w:p>
            <w:pPr>
              <w:jc w:val="center"/>
              <w:ind w:left="89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Costs and expenses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7,354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7,354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Other income (expense):</w:t>
            </w:r>
          </w:p>
        </w:tc>
        <w:tc>
          <w:tcPr>
            <w:tcW w:w="1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800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602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center"/>
              <w:ind w:right="35"/>
              <w:spacing w:after="0"/>
              <w:rPr>
                <w:sz w:val="20"/>
                <w:szCs w:val="20"/>
                <w:color w:val="auto"/>
              </w:rPr>
            </w:pPr>
            <w:r>
              <w:rPr>
                <w:rFonts w:ascii="Arial" w:cs="Arial" w:eastAsia="Arial" w:hAnsi="Arial"/>
                <w:sz w:val="13"/>
                <w:szCs w:val="13"/>
                <w:color w:val="auto"/>
                <w:w w:val="82"/>
              </w:rPr>
              <w:t>29</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9" w:name="page30"/>
    <w:bookmarkEnd w:id="29"/>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672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(1,655)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(617)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(454)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(636)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1,093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457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0" w:name="page31"/>
    <w:bookmarkEnd w:id="30"/>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CONDENSED CONSOLIDATING STATEMENTS OF CASH FLOWS — (Continued)</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679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(810)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(428)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(915)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509</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31</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500" w:hanging="493"/>
        <w:spacing w:after="0"/>
        <w:tabs>
          <w:tab w:leader="none" w:pos="5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 Pending Adoption</w:t>
      </w:r>
    </w:p>
    <w:p>
      <w:pPr>
        <w:spacing w:after="0" w:line="100"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are effective for the Company on January 1, 2011, although the FASB does permit early adoption of the guidance provided that it is retroactively 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 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32" w:name="page33"/>
    <w:bookmarkEnd w:id="32"/>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2009.</w:t>
      </w:r>
    </w:p>
    <w:p>
      <w:pPr>
        <w:spacing w:after="0" w:line="67" w:lineRule="exact"/>
        <w:rPr>
          <w:sz w:val="20"/>
          <w:szCs w:val="20"/>
          <w:color w:val="auto"/>
        </w:rPr>
      </w:pPr>
    </w:p>
    <w:p>
      <w:pPr>
        <w:jc w:val="both"/>
        <w:ind w:right="240" w:firstLine="399"/>
        <w:spacing w:after="0" w:line="296" w:lineRule="auto"/>
        <w:rPr>
          <w:sz w:val="20"/>
          <w:szCs w:val="20"/>
          <w:color w:val="auto"/>
        </w:rPr>
      </w:pPr>
      <w:r>
        <w:rPr>
          <w:rFonts w:ascii="Arial" w:cs="Arial" w:eastAsia="Arial" w:hAnsi="Arial"/>
          <w:sz w:val="12"/>
          <w:szCs w:val="12"/>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50" w:lineRule="exact"/>
        <w:rPr>
          <w:sz w:val="20"/>
          <w:szCs w:val="20"/>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or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Some of the risks that we face and that could affect our financial statements for 2010 and beyond and that could cause actual results to be materially different from those that may be set forth in forward-looking statements made by the Company include the following:</w:t>
      </w:r>
    </w:p>
    <w:p>
      <w:pPr>
        <w:spacing w:after="0" w:line="59" w:lineRule="exact"/>
        <w:rPr>
          <w:sz w:val="20"/>
          <w:szCs w:val="20"/>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volatility and deterioration in the credit markets, inflation and other general and local economic conditions may negatively affect the volumes of waste generated;</w:t>
      </w:r>
    </w:p>
    <w:p>
      <w:pPr>
        <w:spacing w:after="0" w:line="86" w:lineRule="exact"/>
        <w:rPr>
          <w:rFonts w:ascii="Arial" w:cs="Arial" w:eastAsia="Arial" w:hAnsi="Arial"/>
          <w:sz w:val="13"/>
          <w:szCs w:val="13"/>
          <w:color w:val="auto"/>
        </w:rPr>
      </w:pPr>
    </w:p>
    <w:p>
      <w:pPr>
        <w:ind w:left="600" w:right="400" w:hanging="190"/>
        <w:spacing w:after="0" w:line="320" w:lineRule="auto"/>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25" w:lineRule="exact"/>
        <w:rPr>
          <w:rFonts w:ascii="Arial" w:cs="Arial" w:eastAsia="Arial" w:hAnsi="Arial"/>
          <w:sz w:val="12"/>
          <w:szCs w:val="12"/>
          <w:color w:val="auto"/>
        </w:rPr>
      </w:pPr>
    </w:p>
    <w:p>
      <w:pPr>
        <w:ind w:left="60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49" w:lineRule="exact"/>
        <w:rPr>
          <w:rFonts w:ascii="Arial" w:cs="Arial" w:eastAsia="Arial" w:hAnsi="Arial"/>
          <w:sz w:val="13"/>
          <w:szCs w:val="13"/>
          <w:color w:val="auto"/>
        </w:rPr>
      </w:pPr>
    </w:p>
    <w:p>
      <w:pPr>
        <w:ind w:left="600" w:right="50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 or raise prices;</w:t>
      </w:r>
    </w:p>
    <w:p>
      <w:pPr>
        <w:spacing w:after="0" w:line="86" w:lineRule="exact"/>
        <w:rPr>
          <w:rFonts w:ascii="Arial" w:cs="Arial" w:eastAsia="Arial" w:hAnsi="Arial"/>
          <w:sz w:val="13"/>
          <w:szCs w:val="13"/>
          <w:color w:val="auto"/>
        </w:rPr>
      </w:pPr>
    </w:p>
    <w:p>
      <w:pPr>
        <w:ind w:left="600" w:right="60" w:hanging="190"/>
        <w:spacing w:after="0" w:line="264"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weather conditions cause our quarter-to-quarter results to fluctuate, and harsh weather or natural disasters may cause us to temporarily shut down operations;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33" w:name="page34"/>
    <w:bookmarkEnd w:id="33"/>
    <w:p>
      <w:pPr>
        <w:ind w:left="600" w:right="14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600" w:right="80" w:hanging="190"/>
        <w:spacing w:after="0" w:line="320" w:lineRule="auto"/>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5" w:lineRule="exact"/>
        <w:rPr>
          <w:rFonts w:ascii="Arial" w:cs="Arial" w:eastAsia="Arial" w:hAnsi="Arial"/>
          <w:sz w:val="12"/>
          <w:szCs w:val="12"/>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600" w:right="38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coverages could negatively impact our liquidity and increase our liabilities;</w:t>
      </w:r>
    </w:p>
    <w:p>
      <w:pPr>
        <w:spacing w:after="0" w:line="97" w:lineRule="exact"/>
        <w:rPr>
          <w:rFonts w:ascii="Arial" w:cs="Arial" w:eastAsia="Arial" w:hAnsi="Arial"/>
          <w:sz w:val="12"/>
          <w:szCs w:val="12"/>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ind w:left="600" w:right="4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49" w:lineRule="exact"/>
        <w:rPr>
          <w:rFonts w:ascii="Arial" w:cs="Arial" w:eastAsia="Arial" w:hAnsi="Arial"/>
          <w:sz w:val="13"/>
          <w:szCs w:val="13"/>
          <w:color w:val="auto"/>
        </w:rPr>
      </w:pPr>
    </w:p>
    <w:p>
      <w:pPr>
        <w:jc w:val="both"/>
        <w:ind w:left="600" w:right="140" w:hanging="190"/>
        <w:spacing w:after="0" w:line="264"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600" w:right="18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600" w:right="6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49" w:lineRule="exact"/>
        <w:rPr>
          <w:rFonts w:ascii="Arial" w:cs="Arial" w:eastAsia="Arial" w:hAnsi="Arial"/>
          <w:sz w:val="13"/>
          <w:szCs w:val="13"/>
          <w:color w:val="auto"/>
        </w:rPr>
      </w:pPr>
    </w:p>
    <w:p>
      <w:pPr>
        <w:ind w:left="600" w:right="48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may reduce or suspend capital expenditures, acquisition activity, dividend declarations or share repurchases if we suffer a significant reduction in cash flows; and</w:t>
      </w:r>
    </w:p>
    <w:p>
      <w:pPr>
        <w:spacing w:after="0" w:line="97" w:lineRule="exact"/>
        <w:rPr>
          <w:rFonts w:ascii="Arial" w:cs="Arial" w:eastAsia="Arial" w:hAnsi="Arial"/>
          <w:sz w:val="12"/>
          <w:szCs w:val="12"/>
          <w:color w:val="auto"/>
        </w:rPr>
      </w:pPr>
    </w:p>
    <w:p>
      <w:pPr>
        <w:ind w:left="600" w:right="40" w:hanging="190"/>
        <w:spacing w:after="0" w:line="276"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30" w:right="1099" w:bottom="1440" w:gutter="0" w:footer="0" w:header="0"/>
        </w:sectPr>
      </w:pPr>
    </w:p>
    <w:bookmarkStart w:id="34" w:name="page35"/>
    <w:bookmarkEnd w:id="34"/>
    <w:p>
      <w:pPr>
        <w:ind w:right="2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jc w:val="both"/>
        <w:ind w:right="20" w:firstLine="399"/>
        <w:spacing w:after="0" w:line="264" w:lineRule="auto"/>
        <w:rPr>
          <w:sz w:val="20"/>
          <w:szCs w:val="20"/>
          <w:color w:val="auto"/>
        </w:rPr>
      </w:pPr>
      <w:r>
        <w:rPr>
          <w:rFonts w:ascii="Arial" w:cs="Arial" w:eastAsia="Arial" w:hAnsi="Arial"/>
          <w:sz w:val="13"/>
          <w:szCs w:val="13"/>
          <w:color w:val="auto"/>
        </w:rPr>
        <w:t>During the three and nine months ended September 30, 2010, our results of operations reflect our discipline in pricing, cost control in our core operations and continued investment in our strategic plans and initiatives to grow into new markets, provide expanded service offerings and improve our information technology systems. Our results also reflect an improvement in the general economic environment. Highlights of our financial results for the current quarter include:</w:t>
      </w:r>
    </w:p>
    <w:p>
      <w:pPr>
        <w:spacing w:after="0" w:line="67" w:lineRule="exact"/>
        <w:rPr>
          <w:sz w:val="20"/>
          <w:szCs w:val="20"/>
          <w:color w:val="auto"/>
        </w:rPr>
      </w:pPr>
    </w:p>
    <w:p>
      <w:pPr>
        <w:ind w:left="600" w:hanging="190"/>
        <w:spacing w:after="0"/>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Revenues of $3,235 million compared with $3,023 million in the third quarter of 2009, an increase of $212 million, or 7.0%. This increase in revenues is primarily attributable to:</w:t>
      </w:r>
    </w:p>
    <w:p>
      <w:pPr>
        <w:spacing w:after="0" w:line="107" w:lineRule="exact"/>
        <w:rPr>
          <w:rFonts w:ascii="Arial" w:cs="Arial" w:eastAsia="Arial" w:hAnsi="Arial"/>
          <w:sz w:val="12"/>
          <w:szCs w:val="12"/>
          <w:color w:val="auto"/>
        </w:rPr>
      </w:pPr>
    </w:p>
    <w:p>
      <w:pPr>
        <w:ind w:left="820" w:right="300" w:hanging="214"/>
        <w:spacing w:after="0" w:line="276" w:lineRule="auto"/>
        <w:tabs>
          <w:tab w:leader="none" w:pos="8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Increases from recyclable commodity prices of $78 million; increases from our fuel surcharge program of $11 million; and increases from foreign currency translation of $9 million;</w:t>
      </w:r>
    </w:p>
    <w:p>
      <w:pPr>
        <w:spacing w:after="0" w:line="49" w:lineRule="exact"/>
        <w:rPr>
          <w:rFonts w:ascii="Arial" w:cs="Arial" w:eastAsia="Arial" w:hAnsi="Arial"/>
          <w:sz w:val="13"/>
          <w:szCs w:val="13"/>
          <w:color w:val="auto"/>
        </w:rPr>
      </w:pPr>
    </w:p>
    <w:p>
      <w:pPr>
        <w:ind w:left="820" w:right="420" w:hanging="214"/>
        <w:spacing w:after="0" w:line="276" w:lineRule="auto"/>
        <w:tabs>
          <w:tab w:leader="none" w:pos="8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Internal revenue growth from yield on collection and disposal business measured as a percentage of the related business of 2.3% in the current period, which increased revenue by $60 million; and</w:t>
      </w:r>
    </w:p>
    <w:p>
      <w:pPr>
        <w:spacing w:after="0" w:line="49" w:lineRule="exact"/>
        <w:rPr>
          <w:rFonts w:ascii="Arial" w:cs="Arial" w:eastAsia="Arial" w:hAnsi="Arial"/>
          <w:sz w:val="13"/>
          <w:szCs w:val="13"/>
          <w:color w:val="auto"/>
        </w:rPr>
      </w:pPr>
    </w:p>
    <w:p>
      <w:pPr>
        <w:ind w:left="820" w:hanging="214"/>
        <w:spacing w:after="0"/>
        <w:tabs>
          <w:tab w:leader="none" w:pos="8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Increases associated with acquisitions of $72 million;</w:t>
      </w:r>
    </w:p>
    <w:p>
      <w:pPr>
        <w:spacing w:after="0" w:line="96" w:lineRule="exact"/>
        <w:rPr>
          <w:rFonts w:ascii="Arial" w:cs="Arial" w:eastAsia="Arial" w:hAnsi="Arial"/>
          <w:sz w:val="13"/>
          <w:szCs w:val="13"/>
          <w:color w:val="auto"/>
        </w:rPr>
      </w:pPr>
    </w:p>
    <w:p>
      <w:pPr>
        <w:ind w:left="600" w:right="100" w:hanging="190"/>
        <w:spacing w:after="0" w:line="264"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Internal revenue growth from volume was negative 0.7% in the third quarter of 2010, compared with negative 8.9% in the third quarter of 2009. In addition to the lower rate of decline resulting from the improvement in the economy, our current period volume was favorably affected by revenues associated with oil spill clean-up activities along the Gulf Coast. The year-over-year decline in revenue due to volume was $22 million;</w:t>
      </w:r>
    </w:p>
    <w:p>
      <w:pPr>
        <w:spacing w:after="0" w:line="57" w:lineRule="exact"/>
        <w:rPr>
          <w:rFonts w:ascii="Arial" w:cs="Arial" w:eastAsia="Arial" w:hAnsi="Arial"/>
          <w:sz w:val="13"/>
          <w:szCs w:val="13"/>
          <w:color w:val="auto"/>
        </w:rPr>
      </w:pPr>
    </w:p>
    <w:p>
      <w:pPr>
        <w:ind w:left="600" w:right="120" w:hanging="190"/>
        <w:spacing w:after="0" w:line="264"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Operating expenses of $2,006 million, or 62.0% of revenues, compared with $1,856 million, or 61.4% of revenues, in the third quarter of 2009. This increase of $150 million, or 8.1%, is due primarily to higher customer rebates because of recyclable commodity prices, increases in subcontractor costs associated with oil spill clean-up activities along the Gulf Coast, an increase in maintenance performed at our waste-to-energy facilities and higher fuel prices;</w:t>
      </w:r>
    </w:p>
    <w:p>
      <w:pPr>
        <w:spacing w:after="0" w:line="57"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Selling, general and administrative expenses increased by $30 million, or 8.8%, from $339 million in the comparable prior year period to $369 million in the third quarter of 2010. These cost increases were due in part to support of the Company’s strategic growth plans and initiatives;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Income from operations of $544 million, or 16.8% of revenues, for the third quarter of 2010 compared with $525 million, or 17.4% of revenues, for the third quarter of 2009;</w:t>
      </w:r>
    </w:p>
    <w:p>
      <w:pPr>
        <w:spacing w:after="0" w:line="97" w:lineRule="exact"/>
        <w:rPr>
          <w:rFonts w:ascii="Arial" w:cs="Arial" w:eastAsia="Arial" w:hAnsi="Arial"/>
          <w:sz w:val="12"/>
          <w:szCs w:val="12"/>
          <w:color w:val="auto"/>
        </w:rPr>
      </w:pPr>
    </w:p>
    <w:p>
      <w:pPr>
        <w:jc w:val="both"/>
        <w:ind w:left="600" w:right="160" w:hanging="190"/>
        <w:spacing w:after="0" w:line="264"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Interest expense of $126 million compared with $104 million in the third quarter of 2009, an increase of $22 million, or 21.2%. This increase is primarily due to higher average debt balances, which have generally been incurred to support our strategic plans, and significantly higher costs related to the execution and maintenance of our revolving credit facility;</w:t>
      </w:r>
    </w:p>
    <w:p>
      <w:pPr>
        <w:spacing w:after="0" w:line="57" w:lineRule="exact"/>
        <w:rPr>
          <w:rFonts w:ascii="Arial" w:cs="Arial" w:eastAsia="Arial" w:hAnsi="Arial"/>
          <w:sz w:val="13"/>
          <w:szCs w:val="13"/>
          <w:color w:val="auto"/>
        </w:rPr>
      </w:pPr>
    </w:p>
    <w:p>
      <w:pPr>
        <w:ind w:left="600" w:right="100" w:hanging="190"/>
        <w:spacing w:after="0" w:line="276"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Net income attributable to Waste Management, Inc. of $244 million, or $0.51 per diluted share for the current quarter, as compared with $277 million, or $0.56 per diluted share, for the prior year period.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5" w:name="page36"/>
    <w:bookmarkEnd w:id="35"/>
    <w:p>
      <w:pPr>
        <w:ind w:right="520" w:firstLine="399"/>
        <w:spacing w:after="0" w:line="276" w:lineRule="auto"/>
        <w:rPr>
          <w:sz w:val="20"/>
          <w:szCs w:val="20"/>
          <w:color w:val="auto"/>
        </w:rPr>
      </w:pPr>
      <w:r>
        <w:rPr>
          <w:rFonts w:ascii="Arial" w:cs="Arial" w:eastAsia="Arial" w:hAnsi="Arial"/>
          <w:sz w:val="13"/>
          <w:szCs w:val="13"/>
          <w:color w:val="auto"/>
        </w:rPr>
        <w:t>The comparability of our results for the third quarter of 2010 with the third quarter of 2009 has been affected by certain items management believes are not representative or indicative of our results. The results of the third quarter of 2010 were affected by the following:</w:t>
      </w:r>
    </w:p>
    <w:p>
      <w:pPr>
        <w:spacing w:after="0" w:line="59" w:lineRule="exact"/>
        <w:rPr>
          <w:sz w:val="20"/>
          <w:szCs w:val="20"/>
          <w:color w:val="auto"/>
        </w:rPr>
      </w:pPr>
    </w:p>
    <w:p>
      <w:pPr>
        <w:ind w:left="600" w:right="14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recognition of pre-tax, non-cash charges aggregating $18 million related to remediation and closure costs at three closed sites, which had a negative impact of $0.02 on our diluted earnings per share;</w:t>
      </w:r>
    </w:p>
    <w:p>
      <w:pPr>
        <w:spacing w:after="0" w:line="49" w:lineRule="exact"/>
        <w:rPr>
          <w:rFonts w:ascii="Arial" w:cs="Arial" w:eastAsia="Arial" w:hAnsi="Arial"/>
          <w:sz w:val="13"/>
          <w:szCs w:val="13"/>
          <w:color w:val="auto"/>
        </w:rPr>
      </w:pPr>
    </w:p>
    <w:p>
      <w:pPr>
        <w:ind w:left="600" w:right="20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recognition of a non-cash, pretax charge of $6 million arising from the accounting effect of lower ten-year Treasury rates, which are used to discount remediation reserves and related recovery assets at our landfills. This charge had a negative impact of $0.01 on our diluted earnings per share; and</w:t>
      </w:r>
    </w:p>
    <w:p>
      <w:pPr>
        <w:spacing w:after="0" w:line="49" w:lineRule="exact"/>
        <w:rPr>
          <w:rFonts w:ascii="Arial" w:cs="Arial" w:eastAsia="Arial" w:hAnsi="Arial"/>
          <w:sz w:val="13"/>
          <w:szCs w:val="13"/>
          <w:color w:val="auto"/>
        </w:rPr>
      </w:pPr>
    </w:p>
    <w:p>
      <w:pPr>
        <w:ind w:left="600" w:right="16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recognition of net tax charges of $4 million due to adjustments relating to the finalization of our 2009 tax returns, partially offset by favorable tax audit settlements, which, combined, had a negative impact of $0.01 on our diluted earnings per share.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results of the third quarter of 2009 were affected by the following:</w:t>
      </w:r>
    </w:p>
    <w:p>
      <w:pPr>
        <w:spacing w:after="0" w:line="96" w:lineRule="exact"/>
        <w:rPr>
          <w:sz w:val="20"/>
          <w:szCs w:val="20"/>
          <w:color w:val="auto"/>
        </w:rPr>
      </w:pPr>
    </w:p>
    <w:p>
      <w:pPr>
        <w:jc w:val="both"/>
        <w:ind w:left="600" w:right="240" w:hanging="190"/>
        <w:spacing w:after="0" w:line="264"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recognition of a tax benefit of $14 million due to adjustments relating to the finalization of our 2008 tax returns and favorable tax audit settlements, partially offset by an increase to our provision for income taxes related to an increase in our net accumulated state deferred tax liabilities. These items had a positive impact of $0.03 on our diluted earnings per share; and</w:t>
      </w:r>
    </w:p>
    <w:p>
      <w:pPr>
        <w:spacing w:after="0" w:line="57" w:lineRule="exact"/>
        <w:rPr>
          <w:rFonts w:ascii="Arial" w:cs="Arial" w:eastAsia="Arial" w:hAnsi="Arial"/>
          <w:sz w:val="13"/>
          <w:szCs w:val="13"/>
          <w:color w:val="auto"/>
        </w:rPr>
      </w:pPr>
    </w:p>
    <w:p>
      <w:pPr>
        <w:ind w:left="600" w:right="140" w:hanging="190"/>
        <w:spacing w:after="0" w:line="276"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recognition of a pre-tax charge of $3 million related to our 2009 restructuring, which was primarily related to severance and benefit costs. The restructuring charge reduced diluted earnings per share for the quarter by $0.01.</w:t>
      </w:r>
    </w:p>
    <w:p>
      <w:pPr>
        <w:spacing w:after="0" w:line="59" w:lineRule="exact"/>
        <w:rPr>
          <w:sz w:val="20"/>
          <w:szCs w:val="20"/>
          <w:color w:val="auto"/>
        </w:rPr>
      </w:pPr>
    </w:p>
    <w:p>
      <w:pPr>
        <w:ind w:right="180" w:firstLine="399"/>
        <w:spacing w:after="0" w:line="260" w:lineRule="auto"/>
        <w:rPr>
          <w:sz w:val="20"/>
          <w:szCs w:val="20"/>
          <w:color w:val="auto"/>
        </w:rPr>
      </w:pPr>
      <w:r>
        <w:rPr>
          <w:rFonts w:ascii="Arial" w:cs="Arial" w:eastAsia="Arial" w:hAnsi="Arial"/>
          <w:sz w:val="13"/>
          <w:szCs w:val="13"/>
          <w:color w:val="auto"/>
        </w:rPr>
        <w:t>We are pleased about the lower rate of decline in internal revenue growth from volumes that we have experienced throughout 2010. However, we expect that throughout the fourth quarter of 2010 we will continue to face challenges related to the economy. Additionally, we are mindful of trends toward waste reduction at the source, diversion from landfills and customers seeking alternative methods of disposal. We are continuing to implement measures that we believe will grow our business, improve our current operations performance and enhance and expand our services.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Free Cash Flow</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36" w:name="page37"/>
    <w:bookmarkEnd w:id="36"/>
    <w:p>
      <w:pPr>
        <w:ind w:right="220" w:firstLine="399"/>
        <w:spacing w:after="0" w:line="276" w:lineRule="auto"/>
        <w:rPr>
          <w:sz w:val="20"/>
          <w:szCs w:val="20"/>
          <w:color w:val="auto"/>
        </w:rPr>
      </w:pPr>
      <w:r>
        <w:rPr>
          <w:rFonts w:ascii="Arial" w:cs="Arial" w:eastAsia="Arial" w:hAnsi="Arial"/>
          <w:sz w:val="13"/>
          <w:szCs w:val="13"/>
          <w:color w:val="auto"/>
        </w:rPr>
        <w:t>Our calculation of free cash flow and reconciliation to “Net cash provided by operating activities” is shown in the table below (in millions), and may not be calculated the same as similarly titled measures presented by other companies: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left="120"/>
              <w:spacing w:after="0"/>
              <w:rPr>
                <w:sz w:val="20"/>
                <w:szCs w:val="20"/>
                <w:color w:val="auto"/>
              </w:rPr>
            </w:pPr>
            <w:r>
              <w:rPr>
                <w:rFonts w:ascii="Arial" w:cs="Arial" w:eastAsia="Arial" w:hAnsi="Arial"/>
                <w:sz w:val="10"/>
                <w:szCs w:val="10"/>
                <w:b w:val="1"/>
                <w:bCs w:val="1"/>
                <w:color w:val="auto"/>
                <w:w w:val="97"/>
              </w:rPr>
              <w:t>Three Months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4"/>
          </w:tcPr>
          <w:p>
            <w:pPr>
              <w:jc w:val="center"/>
              <w:ind w:left="180"/>
              <w:spacing w:after="0"/>
              <w:rPr>
                <w:sz w:val="20"/>
                <w:szCs w:val="20"/>
                <w:color w:val="auto"/>
              </w:rPr>
            </w:pPr>
            <w:r>
              <w:rPr>
                <w:rFonts w:ascii="Arial" w:cs="Arial" w:eastAsia="Arial" w:hAnsi="Arial"/>
                <w:sz w:val="10"/>
                <w:szCs w:val="10"/>
                <w:b w:val="1"/>
                <w:bCs w:val="1"/>
                <w:color w:val="auto"/>
                <w:w w:val="96"/>
              </w:rPr>
              <w:t>Nine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51"/>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4"/>
          </w:tcPr>
          <w:p>
            <w:pPr>
              <w:jc w:val="center"/>
              <w:ind w:left="120"/>
              <w:spacing w:after="0"/>
              <w:rPr>
                <w:sz w:val="20"/>
                <w:szCs w:val="20"/>
                <w:color w:val="auto"/>
              </w:rPr>
            </w:pPr>
            <w:r>
              <w:rPr>
                <w:rFonts w:ascii="Arial" w:cs="Arial" w:eastAsia="Arial" w:hAnsi="Arial"/>
                <w:sz w:val="10"/>
                <w:szCs w:val="10"/>
                <w:b w:val="1"/>
                <w:bCs w:val="1"/>
                <w:color w:val="auto"/>
                <w:w w:val="93"/>
              </w:rPr>
              <w:t>September 30,</w:t>
            </w:r>
          </w:p>
        </w:tc>
        <w:tc>
          <w:tcPr>
            <w:tcW w:w="2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center"/>
              <w:ind w:left="200"/>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40"/>
              <w:spacing w:after="0" w:line="98" w:lineRule="exact"/>
              <w:rPr>
                <w:sz w:val="20"/>
                <w:szCs w:val="20"/>
                <w:color w:val="auto"/>
              </w:rPr>
            </w:pPr>
            <w:r>
              <w:rPr>
                <w:rFonts w:ascii="Arial" w:cs="Arial" w:eastAsia="Arial" w:hAnsi="Arial"/>
                <w:sz w:val="10"/>
                <w:szCs w:val="10"/>
                <w:b w:val="1"/>
                <w:bCs w:val="1"/>
                <w:color w:val="auto"/>
                <w:w w:val="89"/>
              </w:rPr>
              <w:t>2010</w:t>
            </w:r>
          </w:p>
        </w:tc>
        <w:tc>
          <w:tcPr>
            <w:tcW w:w="40" w:type="dxa"/>
            <w:vAlign w:val="bottom"/>
          </w:tcPr>
          <w:p>
            <w:pPr>
              <w:spacing w:after="0"/>
              <w:rPr>
                <w:sz w:val="8"/>
                <w:szCs w:val="8"/>
                <w:color w:val="auto"/>
              </w:rPr>
            </w:pPr>
          </w:p>
        </w:tc>
        <w:tc>
          <w:tcPr>
            <w:tcW w:w="760" w:type="dxa"/>
            <w:vAlign w:val="bottom"/>
            <w:gridSpan w:val="3"/>
          </w:tcPr>
          <w:p>
            <w:pPr>
              <w:jc w:val="right"/>
              <w:ind w:right="34"/>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2010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1,653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1,642</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(262)</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w w:val="92"/>
              </w:rPr>
              <w:t>(240)</w:t>
            </w:r>
          </w:p>
        </w:tc>
        <w:tc>
          <w:tcPr>
            <w:tcW w:w="12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424</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343</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952</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839</w:t>
            </w: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When comparing our cash flow from operating activities for the three months ended September 30, 2010 to the comparable prior year period, the current year increase is related to a $65 million federal tax refund in the third quarter of 2010 related to the liquidation of a foreign subsidiary in 2009, as well as an increase in our income from operations. In addition to the above, the comparability of our cash flow from operating activities for the nine-month periods ended September 30, 2010 and September 30, 2009 was affected by (i) a current year benefit of $77 million resulting from a one-time cash payment from a litigation settlement that occurred in April 2010; (ii) payments of $32 million in 2009 related to severance and benefit costs associated with our January 2009 restructuring; (iii) an increase in income tax payments of $45 million in 2010 compared with 2009; and (iv) an increase in our trade receivables in 2010 due to seasonal trends, which were not as significant in 2009.</w:t>
      </w:r>
    </w:p>
    <w:p>
      <w:pPr>
        <w:spacing w:after="0" w:line="72"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decrease in capital expenditures when comparing the nine months ended September 30, 2010 with the prior year period can generally be attributed to timing differences associated with cash payments for the previous years’ fourth quarter capital spending. We generally use a significant portion of our free cash flow on capital spending in the fourth quarter of each year. A less significant portion of our fourth quarter 2009 spending was paid in cash in 2010 than in the preceding year.</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i w:val="1"/>
          <w:iCs w:val="1"/>
          <w:color w:val="auto"/>
        </w:rPr>
        <w:t xml:space="preserve">Consolidation of Variable Interest Entities </w:t>
      </w:r>
      <w:r>
        <w:rPr>
          <w:rFonts w:ascii="Arial" w:cs="Arial" w:eastAsia="Arial" w:hAnsi="Arial"/>
          <w:sz w:val="12"/>
          <w:szCs w:val="12"/>
          <w:color w:val="auto"/>
        </w:rPr>
        <w:t>— In June 2009, the Financial Accounting Standards Board, or FASB, issued revised authoritative guidance associated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consolidation of variable interest entities. This revised guidance replaced the previous quantitative-based assessment for determining whether an enterprise is the primary beneficiary of a variable interest entity, and is, therefore, required to consolidate an entity, with an approach that is now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variable interest entity that could potentially be significant to such entity. This revised guidance also requires that the enterprise continually reassess whether it is the primary beneficiary of a variable interest entity rather than conducting a reassessment only upon the occurrence of specific events.</w:t>
      </w:r>
    </w:p>
    <w:p>
      <w:pPr>
        <w:spacing w:after="0" w:line="5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We adopted this revised guidance effective January 1, 2010. This change in accounting has not materially affected our financial position, results of operations or cash flows during the periods presented. For information related to our interests in variable interest entities, refer to Note 1 to the Condensed Consolidated Financial Statements.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New Accounting Pronouncement Pending Adoption</w:t>
      </w:r>
    </w:p>
    <w:p>
      <w:pPr>
        <w:spacing w:after="0" w:line="96" w:lineRule="exact"/>
        <w:rPr>
          <w:sz w:val="20"/>
          <w:szCs w:val="20"/>
          <w:color w:val="auto"/>
        </w:rPr>
      </w:pPr>
    </w:p>
    <w:p>
      <w:pPr>
        <w:ind w:right="140" w:firstLine="399"/>
        <w:spacing w:after="0" w:line="289"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consideration is allocated across the separately identifiable deliverables. The amendments to authoritative guidance associated with multiple-deliverable revenue arrangements are effective for the Company on January 1, 2011, although the FASB does permit early adoption of the guidance provided that it is retroactively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7" w:name="page38"/>
    <w:bookmarkEnd w:id="37"/>
    <w:p>
      <w:pPr>
        <w:ind w:left="680" w:right="820"/>
        <w:spacing w:after="0" w:line="260" w:lineRule="auto"/>
        <w:rPr>
          <w:sz w:val="20"/>
          <w:szCs w:val="20"/>
          <w:color w:val="auto"/>
        </w:rPr>
      </w:pPr>
      <w:r>
        <w:rPr>
          <w:rFonts w:ascii="Arial" w:cs="Arial" w:eastAsia="Arial" w:hAnsi="Arial"/>
          <w:sz w:val="13"/>
          <w:szCs w:val="13"/>
          <w:color w:val="auto"/>
        </w:rPr>
        <w:t>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 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right="800" w:firstLine="399"/>
        <w:spacing w:after="0" w:line="256"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reserves associated with our uninsured claims and reserves and recoveries associated with our insured claims, as described in Item 7 of our Annual Report on Form 10-K for the year ended December 31, 2009. Actual results could differ materially from the estimates and assumptions that we use in the preparation of our financial statements.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900" w:firstLine="399"/>
        <w:spacing w:after="0" w:line="289" w:lineRule="auto"/>
        <w:rPr>
          <w:sz w:val="20"/>
          <w:szCs w:val="20"/>
          <w:color w:val="auto"/>
        </w:rPr>
      </w:pPr>
      <w:r>
        <w:rPr>
          <w:rFonts w:ascii="Arial" w:cs="Arial" w:eastAsia="Arial" w:hAnsi="Arial"/>
          <w:sz w:val="12"/>
          <w:szCs w:val="12"/>
          <w:color w:val="auto"/>
        </w:rPr>
        <w:t>We manage and evaluate our principal operations through five Groups. Our four geographic Groups, comprised of our Eastern, Midwest, Southern and Western Groups, provide collection, transfer, recycling and disposal services. Our fifth Group is the Wheelabrator Group, which provides waste-to-energy services. We also provide additional services that are not managed through our five Groups, including recycling brokerage services, electronic recycling services, in-plant services and landfill gas-to-energy services. These operations are presented as “Other.” Shown below (in millions) is the contribution to revenues during each period provided by our five Groups and our Other waste services: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2010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2,214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Midwest</w:t>
            </w: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792</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749</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2,266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3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903</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836</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2,602</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Western</w:t>
            </w: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809</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801</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2,372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3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237</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660</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Other</w:t>
            </w: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248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688</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3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(503)</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(1,474)</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3,235</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3,023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9,328</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8,785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60" w:type="dxa"/>
            <w:vAlign w:val="bottom"/>
          </w:tcPr>
          <w:p>
            <w:pPr>
              <w:jc w:val="right"/>
              <w:ind w:right="1374"/>
              <w:spacing w:after="0"/>
              <w:rPr>
                <w:sz w:val="20"/>
                <w:szCs w:val="20"/>
                <w:color w:val="auto"/>
              </w:rPr>
            </w:pPr>
            <w:r>
              <w:rPr>
                <w:rFonts w:ascii="Arial" w:cs="Arial" w:eastAsia="Arial" w:hAnsi="Arial"/>
                <w:sz w:val="13"/>
                <w:szCs w:val="13"/>
                <w:color w:val="auto"/>
              </w:rPr>
              <w:t>38</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8" w:name="page39"/>
    <w:bookmarkEnd w:id="38"/>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2010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6,175</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674</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666</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1,900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1,929</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237</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660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836</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86</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226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(503)</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(1,474)</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(1,467)</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3,235</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3,023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9,328</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8,785</w:t>
            </w: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00" w:type="dxa"/>
            <w:vAlign w:val="bottom"/>
            <w:gridSpan w:val="4"/>
          </w:tcPr>
          <w:p>
            <w:pPr>
              <w:jc w:val="center"/>
              <w:ind w:right="900"/>
              <w:spacing w:after="0"/>
              <w:rPr>
                <w:sz w:val="20"/>
                <w:szCs w:val="20"/>
                <w:color w:val="auto"/>
              </w:rPr>
            </w:pPr>
            <w:r>
              <w:rPr>
                <w:rFonts w:ascii="Arial" w:cs="Arial" w:eastAsia="Arial" w:hAnsi="Arial"/>
                <w:sz w:val="10"/>
                <w:szCs w:val="10"/>
                <w:b w:val="1"/>
                <w:bCs w:val="1"/>
                <w:color w:val="auto"/>
                <w:w w:val="95"/>
              </w:rPr>
              <w:t>Period-to-Period Change</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0" w:type="dxa"/>
            <w:vAlign w:val="bottom"/>
            <w:gridSpan w:val="4"/>
          </w:tcPr>
          <w:p>
            <w:pPr>
              <w:jc w:val="center"/>
              <w:ind w:right="600"/>
              <w:spacing w:after="0"/>
              <w:rPr>
                <w:sz w:val="20"/>
                <w:szCs w:val="20"/>
                <w:color w:val="auto"/>
              </w:rPr>
            </w:pPr>
            <w:r>
              <w:rPr>
                <w:rFonts w:ascii="Arial" w:cs="Arial" w:eastAsia="Arial" w:hAnsi="Arial"/>
                <w:sz w:val="10"/>
                <w:szCs w:val="10"/>
                <w:b w:val="1"/>
                <w:bCs w:val="1"/>
                <w:color w:val="auto"/>
                <w:w w:val="95"/>
              </w:rPr>
              <w:t>Period-to-Period Change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0" w:type="dxa"/>
            <w:vAlign w:val="bottom"/>
            <w:gridSpan w:val="5"/>
          </w:tcPr>
          <w:p>
            <w:pPr>
              <w:jc w:val="center"/>
              <w:ind w:right="600"/>
              <w:spacing w:after="0" w:line="108" w:lineRule="exact"/>
              <w:rPr>
                <w:sz w:val="20"/>
                <w:szCs w:val="20"/>
                <w:color w:val="auto"/>
              </w:rPr>
            </w:pPr>
            <w:r>
              <w:rPr>
                <w:rFonts w:ascii="Arial" w:cs="Arial" w:eastAsia="Arial" w:hAnsi="Arial"/>
                <w:sz w:val="10"/>
                <w:szCs w:val="10"/>
                <w:b w:val="1"/>
                <w:bCs w:val="1"/>
                <w:color w:val="auto"/>
                <w:w w:val="96"/>
              </w:rPr>
              <w:t>for the Three Months Ended</w:t>
            </w:r>
          </w:p>
        </w:tc>
        <w:tc>
          <w:tcPr>
            <w:tcW w:w="160" w:type="dxa"/>
            <w:vAlign w:val="bottom"/>
          </w:tcPr>
          <w:p>
            <w:pPr>
              <w:spacing w:after="0"/>
              <w:rPr>
                <w:sz w:val="9"/>
                <w:szCs w:val="9"/>
                <w:color w:val="auto"/>
              </w:rPr>
            </w:pPr>
          </w:p>
        </w:tc>
        <w:tc>
          <w:tcPr>
            <w:tcW w:w="2140" w:type="dxa"/>
            <w:vAlign w:val="bottom"/>
            <w:gridSpan w:val="5"/>
          </w:tcPr>
          <w:p>
            <w:pPr>
              <w:jc w:val="center"/>
              <w:ind w:right="280"/>
              <w:spacing w:after="0" w:line="108" w:lineRule="exact"/>
              <w:rPr>
                <w:sz w:val="20"/>
                <w:szCs w:val="20"/>
                <w:color w:val="auto"/>
              </w:rPr>
            </w:pPr>
            <w:r>
              <w:rPr>
                <w:rFonts w:ascii="Arial" w:cs="Arial" w:eastAsia="Arial" w:hAnsi="Arial"/>
                <w:sz w:val="10"/>
                <w:szCs w:val="10"/>
                <w:b w:val="1"/>
                <w:bCs w:val="1"/>
                <w:color w:val="auto"/>
                <w:w w:val="95"/>
              </w:rPr>
              <w:t>for the Nine Months Ended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40" w:type="dxa"/>
            <w:vAlign w:val="bottom"/>
            <w:gridSpan w:val="3"/>
          </w:tcPr>
          <w:p>
            <w:pPr>
              <w:jc w:val="center"/>
              <w:ind w:right="106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3"/>
          </w:tcPr>
          <w:p>
            <w:pPr>
              <w:jc w:val="center"/>
              <w:ind w:right="76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40" w:type="dxa"/>
            <w:vAlign w:val="bottom"/>
            <w:gridSpan w:val="3"/>
          </w:tcPr>
          <w:p>
            <w:pPr>
              <w:jc w:val="center"/>
              <w:ind w:right="1060"/>
              <w:spacing w:after="0"/>
              <w:rPr>
                <w:sz w:val="20"/>
                <w:szCs w:val="20"/>
                <w:color w:val="auto"/>
              </w:rPr>
            </w:pPr>
            <w:r>
              <w:rPr>
                <w:rFonts w:ascii="Arial" w:cs="Arial" w:eastAsia="Arial" w:hAnsi="Arial"/>
                <w:sz w:val="10"/>
                <w:szCs w:val="10"/>
                <w:b w:val="1"/>
                <w:bCs w:val="1"/>
                <w:color w:val="auto"/>
                <w:w w:val="93"/>
              </w:rPr>
              <w:t>2010 vs. 2009</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3"/>
          </w:tcPr>
          <w:p>
            <w:pPr>
              <w:jc w:val="center"/>
              <w:ind w:right="760"/>
              <w:spacing w:after="0"/>
              <w:rPr>
                <w:sz w:val="20"/>
                <w:szCs w:val="20"/>
                <w:color w:val="auto"/>
              </w:rPr>
            </w:pPr>
            <w:r>
              <w:rPr>
                <w:rFonts w:ascii="Arial" w:cs="Arial" w:eastAsia="Arial" w:hAnsi="Arial"/>
                <w:sz w:val="10"/>
                <w:szCs w:val="10"/>
                <w:b w:val="1"/>
                <w:bCs w:val="1"/>
                <w:color w:val="auto"/>
                <w:w w:val="93"/>
              </w:rPr>
              <w:t>2010 vs. 2009</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4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660" w:type="dxa"/>
            <w:vAlign w:val="bottom"/>
            <w:gridSpan w:val="3"/>
            <w:vMerge w:val="restart"/>
          </w:tcPr>
          <w:p>
            <w:pPr>
              <w:jc w:val="right"/>
              <w:ind w:right="168"/>
              <w:spacing w:after="0"/>
              <w:rPr>
                <w:sz w:val="20"/>
                <w:szCs w:val="20"/>
                <w:color w:val="auto"/>
              </w:rPr>
            </w:pPr>
            <w:r>
              <w:rPr>
                <w:rFonts w:ascii="Arial" w:cs="Arial" w:eastAsia="Arial" w:hAnsi="Arial"/>
                <w:sz w:val="10"/>
                <w:szCs w:val="10"/>
                <w:b w:val="1"/>
                <w:bCs w:val="1"/>
                <w:color w:val="auto"/>
              </w:rPr>
              <w:t>Amount</w:t>
            </w:r>
          </w:p>
        </w:tc>
        <w:tc>
          <w:tcPr>
            <w:tcW w:w="640" w:type="dxa"/>
            <w:vAlign w:val="bottom"/>
          </w:tcPr>
          <w:p>
            <w:pPr>
              <w:spacing w:after="0"/>
              <w:rPr>
                <w:sz w:val="9"/>
                <w:szCs w:val="9"/>
                <w:color w:val="auto"/>
              </w:rPr>
            </w:pP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Total</w:t>
            </w:r>
          </w:p>
        </w:tc>
        <w:tc>
          <w:tcPr>
            <w:tcW w:w="660" w:type="dxa"/>
            <w:vAlign w:val="bottom"/>
            <w:gridSpan w:val="3"/>
            <w:vMerge w:val="restart"/>
          </w:tcPr>
          <w:p>
            <w:pPr>
              <w:jc w:val="right"/>
              <w:ind w:right="168"/>
              <w:spacing w:after="0"/>
              <w:rPr>
                <w:sz w:val="20"/>
                <w:szCs w:val="20"/>
                <w:color w:val="auto"/>
              </w:rPr>
            </w:pPr>
            <w:r>
              <w:rPr>
                <w:rFonts w:ascii="Arial" w:cs="Arial" w:eastAsia="Arial" w:hAnsi="Arial"/>
                <w:sz w:val="10"/>
                <w:szCs w:val="10"/>
                <w:b w:val="1"/>
                <w:bCs w:val="1"/>
                <w:color w:val="auto"/>
              </w:rPr>
              <w:t>Amount</w:t>
            </w:r>
          </w:p>
        </w:tc>
        <w:tc>
          <w:tcPr>
            <w:tcW w:w="640" w:type="dxa"/>
            <w:vAlign w:val="bottom"/>
          </w:tcPr>
          <w:p>
            <w:pPr>
              <w:spacing w:after="0"/>
              <w:rPr>
                <w:sz w:val="9"/>
                <w:szCs w:val="9"/>
                <w:color w:val="auto"/>
              </w:rPr>
            </w:pP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6"/>
              </w:rPr>
              <w:t>Company(a)</w:t>
            </w:r>
          </w:p>
        </w:tc>
        <w:tc>
          <w:tcPr>
            <w:tcW w:w="6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Company(a)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yield(b)</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153</w:t>
            </w:r>
          </w:p>
        </w:tc>
        <w:tc>
          <w:tcPr>
            <w:tcW w:w="19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5.0%</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555</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5080" w:type="dxa"/>
            <w:vAlign w:val="bottom"/>
            <w:gridSpan w:val="2"/>
          </w:tcPr>
          <w:p>
            <w:pPr>
              <w:spacing w:after="0"/>
              <w:rPr>
                <w:sz w:val="20"/>
                <w:szCs w:val="20"/>
                <w:color w:val="auto"/>
              </w:rPr>
            </w:pPr>
            <w:r>
              <w:rPr>
                <w:rFonts w:ascii="Arial" w:cs="Arial" w:eastAsia="Arial" w:hAnsi="Arial"/>
                <w:sz w:val="13"/>
                <w:szCs w:val="13"/>
                <w:color w:val="auto"/>
              </w:rPr>
              <w:t>Volume</w:t>
            </w:r>
          </w:p>
        </w:tc>
        <w:tc>
          <w:tcPr>
            <w:tcW w:w="200" w:type="dxa"/>
            <w:vAlign w:val="bottom"/>
          </w:tcPr>
          <w:p>
            <w:pPr>
              <w:spacing w:after="0"/>
              <w:rPr>
                <w:sz w:val="13"/>
                <w:szCs w:val="13"/>
                <w:color w:val="auto"/>
              </w:rPr>
            </w:pPr>
          </w:p>
        </w:tc>
        <w:tc>
          <w:tcPr>
            <w:tcW w:w="460" w:type="dxa"/>
            <w:vAlign w:val="bottom"/>
            <w:gridSpan w:val="2"/>
          </w:tcPr>
          <w:p>
            <w:pPr>
              <w:jc w:val="right"/>
              <w:ind w:right="68"/>
              <w:spacing w:after="0"/>
              <w:rPr>
                <w:sz w:val="20"/>
                <w:szCs w:val="20"/>
                <w:color w:val="auto"/>
              </w:rPr>
            </w:pPr>
            <w:r>
              <w:rPr>
                <w:rFonts w:ascii="Arial" w:cs="Arial" w:eastAsia="Arial" w:hAnsi="Arial"/>
                <w:sz w:val="13"/>
                <w:szCs w:val="13"/>
                <w:color w:val="auto"/>
              </w:rPr>
              <w:t>(22)</w:t>
            </w:r>
          </w:p>
        </w:tc>
        <w:tc>
          <w:tcPr>
            <w:tcW w:w="1940" w:type="dxa"/>
            <w:vAlign w:val="bottom"/>
            <w:gridSpan w:val="3"/>
          </w:tcPr>
          <w:p>
            <w:pPr>
              <w:jc w:val="right"/>
              <w:ind w:right="360"/>
              <w:spacing w:after="0"/>
              <w:rPr>
                <w:sz w:val="20"/>
                <w:szCs w:val="20"/>
                <w:color w:val="auto"/>
              </w:rPr>
            </w:pPr>
            <w:r>
              <w:rPr>
                <w:rFonts w:ascii="Arial" w:cs="Arial" w:eastAsia="Arial" w:hAnsi="Arial"/>
                <w:sz w:val="13"/>
                <w:szCs w:val="13"/>
                <w:color w:val="auto"/>
              </w:rPr>
              <w:t>(0.7)</w:t>
            </w:r>
          </w:p>
        </w:tc>
        <w:tc>
          <w:tcPr>
            <w:tcW w:w="160" w:type="dxa"/>
            <w:vAlign w:val="bottom"/>
          </w:tcPr>
          <w:p>
            <w:pPr>
              <w:spacing w:after="0"/>
              <w:rPr>
                <w:sz w:val="13"/>
                <w:szCs w:val="13"/>
                <w:color w:val="auto"/>
              </w:rPr>
            </w:pPr>
          </w:p>
        </w:tc>
        <w:tc>
          <w:tcPr>
            <w:tcW w:w="500" w:type="dxa"/>
            <w:vAlign w:val="bottom"/>
            <w:gridSpan w:val="2"/>
          </w:tcPr>
          <w:p>
            <w:pPr>
              <w:jc w:val="right"/>
              <w:ind w:right="68"/>
              <w:spacing w:after="0"/>
              <w:rPr>
                <w:sz w:val="20"/>
                <w:szCs w:val="20"/>
                <w:color w:val="auto"/>
              </w:rPr>
            </w:pPr>
            <w:r>
              <w:rPr>
                <w:rFonts w:ascii="Arial" w:cs="Arial" w:eastAsia="Arial" w:hAnsi="Arial"/>
                <w:sz w:val="13"/>
                <w:szCs w:val="13"/>
                <w:color w:val="auto"/>
              </w:rPr>
              <w:t>(250)</w:t>
            </w:r>
          </w:p>
        </w:tc>
        <w:tc>
          <w:tcPr>
            <w:tcW w:w="1640" w:type="dxa"/>
            <w:vAlign w:val="bottom"/>
            <w:gridSpan w:val="3"/>
          </w:tcPr>
          <w:p>
            <w:pPr>
              <w:jc w:val="right"/>
              <w:ind w:right="6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Internal revenue growth</w:t>
            </w: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131</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305</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508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200" w:type="dxa"/>
            <w:vAlign w:val="bottom"/>
          </w:tcPr>
          <w:p>
            <w:pPr>
              <w:spacing w:after="0"/>
              <w:rPr>
                <w:sz w:val="13"/>
                <w:szCs w:val="13"/>
                <w:color w:val="auto"/>
              </w:rPr>
            </w:pPr>
          </w:p>
        </w:tc>
        <w:tc>
          <w:tcPr>
            <w:tcW w:w="460" w:type="dxa"/>
            <w:vAlign w:val="bottom"/>
            <w:gridSpan w:val="2"/>
          </w:tcPr>
          <w:p>
            <w:pPr>
              <w:jc w:val="right"/>
              <w:ind w:right="108"/>
              <w:spacing w:after="0"/>
              <w:rPr>
                <w:sz w:val="20"/>
                <w:szCs w:val="20"/>
                <w:color w:val="auto"/>
              </w:rPr>
            </w:pPr>
            <w:r>
              <w:rPr>
                <w:rFonts w:ascii="Arial" w:cs="Arial" w:eastAsia="Arial" w:hAnsi="Arial"/>
                <w:sz w:val="13"/>
                <w:szCs w:val="13"/>
                <w:color w:val="auto"/>
              </w:rPr>
              <w:t>72</w:t>
            </w:r>
          </w:p>
        </w:tc>
        <w:tc>
          <w:tcPr>
            <w:tcW w:w="1940" w:type="dxa"/>
            <w:vAlign w:val="bottom"/>
            <w:gridSpan w:val="3"/>
          </w:tcPr>
          <w:p>
            <w:pPr>
              <w:jc w:val="right"/>
              <w:ind w:right="400"/>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3"/>
                <w:szCs w:val="13"/>
                <w:color w:val="auto"/>
              </w:rPr>
            </w:pPr>
          </w:p>
        </w:tc>
        <w:tc>
          <w:tcPr>
            <w:tcW w:w="500" w:type="dxa"/>
            <w:vAlign w:val="bottom"/>
            <w:gridSpan w:val="2"/>
          </w:tcPr>
          <w:p>
            <w:pPr>
              <w:jc w:val="right"/>
              <w:ind w:right="108"/>
              <w:spacing w:after="0"/>
              <w:rPr>
                <w:sz w:val="20"/>
                <w:szCs w:val="20"/>
                <w:color w:val="auto"/>
              </w:rPr>
            </w:pPr>
            <w:r>
              <w:rPr>
                <w:rFonts w:ascii="Arial" w:cs="Arial" w:eastAsia="Arial" w:hAnsi="Arial"/>
                <w:sz w:val="13"/>
                <w:szCs w:val="13"/>
                <w:color w:val="auto"/>
              </w:rPr>
              <w:t>182</w:t>
            </w:r>
          </w:p>
        </w:tc>
        <w:tc>
          <w:tcPr>
            <w:tcW w:w="1640" w:type="dxa"/>
            <w:vAlign w:val="bottom"/>
            <w:gridSpan w:val="3"/>
          </w:tcPr>
          <w:p>
            <w:pPr>
              <w:jc w:val="right"/>
              <w:ind w:right="1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5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Divestitures</w:t>
            </w: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w:t>
            </w:r>
          </w:p>
        </w:tc>
        <w:tc>
          <w:tcPr>
            <w:tcW w:w="6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8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200" w:type="dxa"/>
            <w:vAlign w:val="bottom"/>
          </w:tcPr>
          <w:p>
            <w:pPr>
              <w:spacing w:after="0"/>
              <w:rPr>
                <w:sz w:val="13"/>
                <w:szCs w:val="13"/>
                <w:color w:val="auto"/>
              </w:rPr>
            </w:pPr>
          </w:p>
        </w:tc>
        <w:tc>
          <w:tcPr>
            <w:tcW w:w="460" w:type="dxa"/>
            <w:vAlign w:val="bottom"/>
            <w:gridSpan w:val="2"/>
          </w:tcPr>
          <w:p>
            <w:pPr>
              <w:jc w:val="right"/>
              <w:ind w:right="108"/>
              <w:spacing w:after="0"/>
              <w:rPr>
                <w:sz w:val="20"/>
                <w:szCs w:val="20"/>
                <w:color w:val="auto"/>
              </w:rPr>
            </w:pPr>
            <w:r>
              <w:rPr>
                <w:rFonts w:ascii="Arial" w:cs="Arial" w:eastAsia="Arial" w:hAnsi="Arial"/>
                <w:sz w:val="13"/>
                <w:szCs w:val="13"/>
                <w:color w:val="auto"/>
              </w:rPr>
              <w:t>9</w:t>
            </w:r>
          </w:p>
        </w:tc>
        <w:tc>
          <w:tcPr>
            <w:tcW w:w="1940" w:type="dxa"/>
            <w:vAlign w:val="bottom"/>
            <w:gridSpan w:val="3"/>
          </w:tcPr>
          <w:p>
            <w:pPr>
              <w:jc w:val="right"/>
              <w:ind w:right="400"/>
              <w:spacing w:after="0"/>
              <w:rPr>
                <w:sz w:val="20"/>
                <w:szCs w:val="20"/>
                <w:color w:val="auto"/>
              </w:rPr>
            </w:pPr>
            <w:r>
              <w:rPr>
                <w:rFonts w:ascii="Arial" w:cs="Arial" w:eastAsia="Arial" w:hAnsi="Arial"/>
                <w:sz w:val="13"/>
                <w:szCs w:val="13"/>
                <w:color w:val="auto"/>
              </w:rPr>
              <w:t>0.3</w:t>
            </w:r>
          </w:p>
        </w:tc>
        <w:tc>
          <w:tcPr>
            <w:tcW w:w="160" w:type="dxa"/>
            <w:vAlign w:val="bottom"/>
          </w:tcPr>
          <w:p>
            <w:pPr>
              <w:spacing w:after="0"/>
              <w:rPr>
                <w:sz w:val="13"/>
                <w:szCs w:val="13"/>
                <w:color w:val="auto"/>
              </w:rPr>
            </w:pPr>
          </w:p>
        </w:tc>
        <w:tc>
          <w:tcPr>
            <w:tcW w:w="500" w:type="dxa"/>
            <w:vAlign w:val="bottom"/>
            <w:gridSpan w:val="2"/>
          </w:tcPr>
          <w:p>
            <w:pPr>
              <w:jc w:val="right"/>
              <w:ind w:right="108"/>
              <w:spacing w:after="0"/>
              <w:rPr>
                <w:sz w:val="20"/>
                <w:szCs w:val="20"/>
                <w:color w:val="auto"/>
              </w:rPr>
            </w:pPr>
            <w:r>
              <w:rPr>
                <w:rFonts w:ascii="Arial" w:cs="Arial" w:eastAsia="Arial" w:hAnsi="Arial"/>
                <w:sz w:val="13"/>
                <w:szCs w:val="13"/>
                <w:color w:val="auto"/>
              </w:rPr>
              <w:t>58</w:t>
            </w:r>
          </w:p>
        </w:tc>
        <w:tc>
          <w:tcPr>
            <w:tcW w:w="1640" w:type="dxa"/>
            <w:vAlign w:val="bottom"/>
            <w:gridSpan w:val="3"/>
          </w:tcPr>
          <w:p>
            <w:pPr>
              <w:jc w:val="right"/>
              <w:ind w:right="12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212</w:t>
            </w:r>
          </w:p>
        </w:tc>
        <w:tc>
          <w:tcPr>
            <w:tcW w:w="19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7.0%</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543</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320" w:hanging="393"/>
        <w:spacing w:after="0" w:line="276" w:lineRule="auto"/>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Calculated by dividing the amount of current period increase or decrease by the prior period’s total company revenue ($3,023 million and $8,785 million for the three- and nine-month periods, respectively) adjusted to exclude the impacts of divestitures for the current period ($2 million for the nine-month period).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9" w:name="page40"/>
    <w:bookmarkEnd w:id="39"/>
    <w:p>
      <w:pPr>
        <w:ind w:left="400" w:right="80" w:hanging="393"/>
        <w:spacing w:after="0" w:line="264" w:lineRule="auto"/>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4"/>
          </w:tcPr>
          <w:p>
            <w:pPr>
              <w:jc w:val="center"/>
              <w:ind w:right="600"/>
              <w:spacing w:after="0"/>
              <w:rPr>
                <w:sz w:val="20"/>
                <w:szCs w:val="20"/>
                <w:color w:val="auto"/>
              </w:rPr>
            </w:pPr>
            <w:r>
              <w:rPr>
                <w:rFonts w:ascii="Arial" w:cs="Arial" w:eastAsia="Arial" w:hAnsi="Arial"/>
                <w:sz w:val="10"/>
                <w:szCs w:val="10"/>
                <w:b w:val="1"/>
                <w:bCs w:val="1"/>
                <w:color w:val="auto"/>
                <w:w w:val="95"/>
              </w:rPr>
              <w:t>Period-to-Period Change</w:t>
            </w:r>
          </w:p>
        </w:tc>
        <w:tc>
          <w:tcPr>
            <w:tcW w:w="180" w:type="dxa"/>
            <w:vAlign w:val="bottom"/>
          </w:tcPr>
          <w:p>
            <w:pPr>
              <w:spacing w:after="0"/>
              <w:rPr>
                <w:sz w:val="10"/>
                <w:szCs w:val="10"/>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0"/>
                <w:szCs w:val="10"/>
                <w:b w:val="1"/>
                <w:bCs w:val="1"/>
                <w:color w:val="auto"/>
                <w:w w:val="95"/>
              </w:rPr>
              <w:t>Period-to-Period Change</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20" w:type="dxa"/>
            <w:vAlign w:val="bottom"/>
            <w:gridSpan w:val="4"/>
          </w:tcPr>
          <w:p>
            <w:pPr>
              <w:jc w:val="center"/>
              <w:ind w:right="600"/>
              <w:spacing w:after="0" w:line="108" w:lineRule="exact"/>
              <w:rPr>
                <w:sz w:val="20"/>
                <w:szCs w:val="20"/>
                <w:color w:val="auto"/>
              </w:rPr>
            </w:pPr>
            <w:r>
              <w:rPr>
                <w:rFonts w:ascii="Arial" w:cs="Arial" w:eastAsia="Arial" w:hAnsi="Arial"/>
                <w:sz w:val="10"/>
                <w:szCs w:val="10"/>
                <w:b w:val="1"/>
                <w:bCs w:val="1"/>
                <w:color w:val="auto"/>
                <w:w w:val="96"/>
              </w:rPr>
              <w:t>for the Three Months Ended</w:t>
            </w:r>
          </w:p>
        </w:tc>
        <w:tc>
          <w:tcPr>
            <w:tcW w:w="180" w:type="dxa"/>
            <w:vAlign w:val="bottom"/>
          </w:tcPr>
          <w:p>
            <w:pPr>
              <w:spacing w:after="0"/>
              <w:rPr>
                <w:sz w:val="9"/>
                <w:szCs w:val="9"/>
                <w:color w:val="auto"/>
              </w:rPr>
            </w:pPr>
          </w:p>
        </w:tc>
        <w:tc>
          <w:tcPr>
            <w:tcW w:w="2000" w:type="dxa"/>
            <w:vAlign w:val="bottom"/>
            <w:gridSpan w:val="5"/>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for the Nine Months Ended</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gridSpan w:val="3"/>
          </w:tcPr>
          <w:p>
            <w:pPr>
              <w:jc w:val="center"/>
              <w:ind w:right="92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3"/>
          </w:tcPr>
          <w:p>
            <w:pPr>
              <w:jc w:val="center"/>
              <w:ind w:right="740"/>
              <w:spacing w:after="0" w:line="108" w:lineRule="exact"/>
              <w:rPr>
                <w:sz w:val="20"/>
                <w:szCs w:val="20"/>
                <w:color w:val="auto"/>
              </w:rPr>
            </w:pPr>
            <w:r>
              <w:rPr>
                <w:rFonts w:ascii="Arial" w:cs="Arial" w:eastAsia="Arial" w:hAnsi="Arial"/>
                <w:sz w:val="10"/>
                <w:szCs w:val="10"/>
                <w:b w:val="1"/>
                <w:bCs w:val="1"/>
                <w:color w:val="auto"/>
                <w:w w:val="90"/>
              </w:rPr>
              <w:t>September 30,</w:t>
            </w: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gridSpan w:val="3"/>
          </w:tcPr>
          <w:p>
            <w:pPr>
              <w:jc w:val="center"/>
              <w:ind w:right="920"/>
              <w:spacing w:after="0"/>
              <w:rPr>
                <w:sz w:val="20"/>
                <w:szCs w:val="20"/>
                <w:color w:val="auto"/>
              </w:rPr>
            </w:pPr>
            <w:r>
              <w:rPr>
                <w:rFonts w:ascii="Arial" w:cs="Arial" w:eastAsia="Arial" w:hAnsi="Arial"/>
                <w:sz w:val="10"/>
                <w:szCs w:val="10"/>
                <w:b w:val="1"/>
                <w:bCs w:val="1"/>
                <w:color w:val="auto"/>
                <w:w w:val="93"/>
              </w:rPr>
              <w:t>2010 vs. 2009</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tcPr>
          <w:p>
            <w:pPr>
              <w:jc w:val="center"/>
              <w:ind w:right="740"/>
              <w:spacing w:after="0"/>
              <w:rPr>
                <w:sz w:val="20"/>
                <w:szCs w:val="20"/>
                <w:color w:val="auto"/>
              </w:rPr>
            </w:pPr>
            <w:r>
              <w:rPr>
                <w:rFonts w:ascii="Arial" w:cs="Arial" w:eastAsia="Arial" w:hAnsi="Arial"/>
                <w:sz w:val="10"/>
                <w:szCs w:val="10"/>
                <w:b w:val="1"/>
                <w:bCs w:val="1"/>
                <w:color w:val="auto"/>
                <w:w w:val="90"/>
              </w:rPr>
              <w:t>2010 vs. 2009</w:t>
            </w: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4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Amount</w:t>
            </w:r>
          </w:p>
        </w:tc>
        <w:tc>
          <w:tcPr>
            <w:tcW w:w="900" w:type="dxa"/>
            <w:vAlign w:val="bottom"/>
          </w:tcPr>
          <w:p>
            <w:pPr>
              <w:spacing w:after="0"/>
              <w:rPr>
                <w:sz w:val="9"/>
                <w:szCs w:val="9"/>
                <w:color w:val="auto"/>
              </w:rPr>
            </w:pPr>
          </w:p>
        </w:tc>
        <w:tc>
          <w:tcPr>
            <w:tcW w:w="110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3"/>
              </w:rPr>
              <w:t>Related</w:t>
            </w:r>
          </w:p>
        </w:tc>
        <w:tc>
          <w:tcPr>
            <w:tcW w:w="620" w:type="dxa"/>
            <w:vAlign w:val="bottom"/>
            <w:gridSpan w:val="3"/>
            <w:vMerge w:val="restart"/>
          </w:tcPr>
          <w:p>
            <w:pPr>
              <w:jc w:val="right"/>
              <w:ind w:right="200"/>
              <w:spacing w:after="0"/>
              <w:rPr>
                <w:sz w:val="20"/>
                <w:szCs w:val="20"/>
                <w:color w:val="auto"/>
              </w:rPr>
            </w:pPr>
            <w:r>
              <w:rPr>
                <w:rFonts w:ascii="Arial" w:cs="Arial" w:eastAsia="Arial" w:hAnsi="Arial"/>
                <w:sz w:val="10"/>
                <w:szCs w:val="10"/>
                <w:b w:val="1"/>
                <w:bCs w:val="1"/>
                <w:color w:val="auto"/>
              </w:rPr>
              <w:t>Amount</w:t>
            </w:r>
          </w:p>
        </w:tc>
        <w:tc>
          <w:tcPr>
            <w:tcW w:w="760" w:type="dxa"/>
            <w:vAlign w:val="bottom"/>
          </w:tcPr>
          <w:p>
            <w:pPr>
              <w:spacing w:after="0"/>
              <w:rPr>
                <w:sz w:val="9"/>
                <w:szCs w:val="9"/>
                <w:color w:val="auto"/>
              </w:rPr>
            </w:pPr>
          </w:p>
        </w:tc>
        <w:tc>
          <w:tcPr>
            <w:tcW w:w="8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Related</w:t>
            </w: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8"/>
              </w:rPr>
              <w:t>Business(i)</w:t>
            </w:r>
          </w:p>
        </w:tc>
        <w:tc>
          <w:tcPr>
            <w:tcW w:w="62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Business(i)</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20"/>
                <w:szCs w:val="20"/>
                <w:color w:val="auto"/>
              </w:rPr>
            </w:pPr>
            <w:r>
              <w:rPr>
                <w:rFonts w:ascii="Arial" w:cs="Arial" w:eastAsia="Arial" w:hAnsi="Arial"/>
                <w:sz w:val="13"/>
                <w:szCs w:val="13"/>
                <w:color w:val="auto"/>
              </w:rPr>
              <w:t>Average yield:</w:t>
            </w: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Collection, landfill and transfer</w:t>
            </w:r>
          </w:p>
        </w:tc>
        <w:tc>
          <w:tcPr>
            <w:tcW w:w="180" w:type="dxa"/>
            <w:vAlign w:val="bottom"/>
          </w:tcPr>
          <w:p>
            <w:pPr>
              <w:jc w:val="right"/>
              <w:ind w:right="39"/>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53</w:t>
            </w:r>
          </w:p>
        </w:tc>
        <w:tc>
          <w:tcPr>
            <w:tcW w:w="2000" w:type="dxa"/>
            <w:vAlign w:val="bottom"/>
            <w:gridSpan w:val="3"/>
          </w:tcPr>
          <w:p>
            <w:pPr>
              <w:jc w:val="right"/>
              <w:ind w:right="320"/>
              <w:spacing w:after="0"/>
              <w:rPr>
                <w:sz w:val="20"/>
                <w:szCs w:val="20"/>
                <w:color w:val="auto"/>
              </w:rPr>
            </w:pPr>
            <w:r>
              <w:rPr>
                <w:rFonts w:ascii="Arial" w:cs="Arial" w:eastAsia="Arial" w:hAnsi="Arial"/>
                <w:sz w:val="13"/>
                <w:szCs w:val="13"/>
                <w:color w:val="auto"/>
              </w:rPr>
              <w:t>2.1%</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152</w:t>
            </w:r>
          </w:p>
        </w:tc>
        <w:tc>
          <w:tcPr>
            <w:tcW w:w="1560" w:type="dxa"/>
            <w:vAlign w:val="bottom"/>
            <w:gridSpan w:val="3"/>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Waste-to-energy disposal</w:t>
            </w: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w:t>
            </w:r>
          </w:p>
        </w:tc>
        <w:tc>
          <w:tcPr>
            <w:tcW w:w="2000" w:type="dxa"/>
            <w:vAlign w:val="bottom"/>
            <w:gridSpan w:val="3"/>
          </w:tcPr>
          <w:p>
            <w:pPr>
              <w:jc w:val="right"/>
              <w:ind w:right="420"/>
              <w:spacing w:after="0"/>
              <w:rPr>
                <w:sz w:val="20"/>
                <w:szCs w:val="20"/>
                <w:color w:val="auto"/>
              </w:rPr>
            </w:pPr>
            <w:r>
              <w:rPr>
                <w:rFonts w:ascii="Arial" w:cs="Arial" w:eastAsia="Arial" w:hAnsi="Arial"/>
                <w:sz w:val="13"/>
                <w:szCs w:val="13"/>
                <w:color w:val="auto"/>
              </w:rPr>
              <w:t>6.7</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20</w:t>
            </w:r>
          </w:p>
        </w:tc>
        <w:tc>
          <w:tcPr>
            <w:tcW w:w="1560" w:type="dxa"/>
            <w:vAlign w:val="bottom"/>
            <w:gridSpan w:val="3"/>
          </w:tcPr>
          <w:p>
            <w:pPr>
              <w:jc w:val="right"/>
              <w:ind w:right="12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3"/>
                <w:szCs w:val="13"/>
                <w:color w:val="auto"/>
              </w:rPr>
              <w:t>Collection and disposal</w:t>
            </w: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0" w:type="dxa"/>
            <w:vAlign w:val="bottom"/>
            <w:gridSpan w:val="3"/>
            <w:vMerge w:val="restart"/>
          </w:tcPr>
          <w:p>
            <w:pPr>
              <w:jc w:val="right"/>
              <w:ind w:right="420"/>
              <w:spacing w:after="0"/>
              <w:rPr>
                <w:sz w:val="20"/>
                <w:szCs w:val="20"/>
                <w:color w:val="auto"/>
              </w:rPr>
            </w:pPr>
            <w:r>
              <w:rPr>
                <w:rFonts w:ascii="Arial" w:cs="Arial" w:eastAsia="Arial" w:hAnsi="Arial"/>
                <w:sz w:val="13"/>
                <w:szCs w:val="13"/>
                <w:color w:val="auto"/>
              </w:rPr>
              <w:t>2.3</w:t>
            </w: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line="20" w:lineRule="exact"/>
              <w:rPr>
                <w:sz w:val="1"/>
                <w:szCs w:val="1"/>
                <w:color w:val="auto"/>
              </w:rPr>
            </w:pPr>
          </w:p>
        </w:tc>
      </w:tr>
      <w:tr>
        <w:trPr>
          <w:trHeight w:val="149"/>
        </w:trPr>
        <w:tc>
          <w:tcPr>
            <w:tcW w:w="5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60</w:t>
            </w:r>
          </w:p>
        </w:tc>
        <w:tc>
          <w:tcPr>
            <w:tcW w:w="2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172</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Recycling commodities</w:t>
            </w:r>
          </w:p>
        </w:tc>
        <w:tc>
          <w:tcPr>
            <w:tcW w:w="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78</w:t>
            </w:r>
          </w:p>
        </w:tc>
        <w:tc>
          <w:tcPr>
            <w:tcW w:w="2000" w:type="dxa"/>
            <w:vAlign w:val="bottom"/>
            <w:gridSpan w:val="3"/>
          </w:tcPr>
          <w:p>
            <w:pPr>
              <w:jc w:val="right"/>
              <w:ind w:right="420"/>
              <w:spacing w:after="0"/>
              <w:rPr>
                <w:sz w:val="20"/>
                <w:szCs w:val="20"/>
                <w:color w:val="auto"/>
              </w:rPr>
            </w:pPr>
            <w:r>
              <w:rPr>
                <w:rFonts w:ascii="Arial" w:cs="Arial" w:eastAsia="Arial" w:hAnsi="Arial"/>
                <w:sz w:val="13"/>
                <w:szCs w:val="13"/>
                <w:color w:val="auto"/>
              </w:rPr>
              <w:t>38.8</w:t>
            </w:r>
          </w:p>
        </w:tc>
        <w:tc>
          <w:tcPr>
            <w:tcW w:w="1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340</w:t>
            </w:r>
          </w:p>
        </w:tc>
        <w:tc>
          <w:tcPr>
            <w:tcW w:w="1560" w:type="dxa"/>
            <w:vAlign w:val="bottom"/>
            <w:gridSpan w:val="3"/>
          </w:tcPr>
          <w:p>
            <w:pPr>
              <w:jc w:val="right"/>
              <w:ind w:right="120"/>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Electricity</w:t>
            </w:r>
          </w:p>
        </w:tc>
        <w:tc>
          <w:tcPr>
            <w:tcW w:w="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w:t>
            </w:r>
          </w:p>
        </w:tc>
        <w:tc>
          <w:tcPr>
            <w:tcW w:w="2000" w:type="dxa"/>
            <w:vAlign w:val="bottom"/>
            <w:gridSpan w:val="3"/>
          </w:tcPr>
          <w:p>
            <w:pPr>
              <w:jc w:val="right"/>
              <w:ind w:right="420"/>
              <w:spacing w:after="0"/>
              <w:rPr>
                <w:sz w:val="20"/>
                <w:szCs w:val="20"/>
                <w:color w:val="auto"/>
              </w:rPr>
            </w:pPr>
            <w:r>
              <w:rPr>
                <w:rFonts w:ascii="Arial" w:cs="Arial" w:eastAsia="Arial" w:hAnsi="Arial"/>
                <w:sz w:val="13"/>
                <w:szCs w:val="13"/>
                <w:color w:val="auto"/>
              </w:rPr>
              <w:t>5.6</w:t>
            </w:r>
          </w:p>
        </w:tc>
        <w:tc>
          <w:tcPr>
            <w:tcW w:w="18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1560" w:type="dxa"/>
            <w:vAlign w:val="bottom"/>
            <w:gridSpan w:val="3"/>
          </w:tcPr>
          <w:p>
            <w:pPr>
              <w:jc w:val="right"/>
              <w:ind w:right="6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Fuel surcharges and mandated fees</w:t>
            </w: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11</w:t>
            </w:r>
          </w:p>
        </w:tc>
        <w:tc>
          <w:tcPr>
            <w:tcW w:w="2000" w:type="dxa"/>
            <w:vAlign w:val="bottom"/>
            <w:gridSpan w:val="3"/>
          </w:tcPr>
          <w:p>
            <w:pPr>
              <w:jc w:val="right"/>
              <w:ind w:right="420"/>
              <w:spacing w:after="0"/>
              <w:rPr>
                <w:sz w:val="20"/>
                <w:szCs w:val="20"/>
                <w:color w:val="auto"/>
              </w:rPr>
            </w:pPr>
            <w:r>
              <w:rPr>
                <w:rFonts w:ascii="Arial" w:cs="Arial" w:eastAsia="Arial" w:hAnsi="Arial"/>
                <w:sz w:val="13"/>
                <w:szCs w:val="13"/>
                <w:color w:val="auto"/>
              </w:rPr>
              <w:t>10.8</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50</w:t>
            </w:r>
          </w:p>
        </w:tc>
        <w:tc>
          <w:tcPr>
            <w:tcW w:w="1560" w:type="dxa"/>
            <w:vAlign w:val="bottom"/>
            <w:gridSpan w:val="3"/>
          </w:tcPr>
          <w:p>
            <w:pPr>
              <w:jc w:val="right"/>
              <w:ind w:right="12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0" w:type="dxa"/>
            <w:vAlign w:val="bottom"/>
            <w:gridSpan w:val="3"/>
            <w:vMerge w:val="restart"/>
          </w:tcPr>
          <w:p>
            <w:pPr>
              <w:jc w:val="right"/>
              <w:ind w:right="420"/>
              <w:spacing w:after="0"/>
              <w:rPr>
                <w:sz w:val="20"/>
                <w:szCs w:val="20"/>
                <w:color w:val="auto"/>
              </w:rPr>
            </w:pPr>
            <w:r>
              <w:rPr>
                <w:rFonts w:ascii="Arial" w:cs="Arial" w:eastAsia="Arial" w:hAnsi="Arial"/>
                <w:sz w:val="13"/>
                <w:szCs w:val="13"/>
                <w:color w:val="auto"/>
              </w:rPr>
              <w:t>5.0</w:t>
            </w: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6.3</w:t>
            </w:r>
          </w:p>
        </w:tc>
        <w:tc>
          <w:tcPr>
            <w:tcW w:w="0" w:type="dxa"/>
            <w:vAlign w:val="bottom"/>
          </w:tcPr>
          <w:p>
            <w:pPr>
              <w:spacing w:after="0" w:line="20" w:lineRule="exact"/>
              <w:rPr>
                <w:sz w:val="1"/>
                <w:szCs w:val="1"/>
                <w:color w:val="auto"/>
              </w:rPr>
            </w:pPr>
          </w:p>
        </w:tc>
      </w:tr>
      <w:tr>
        <w:trPr>
          <w:trHeight w:val="158"/>
        </w:trPr>
        <w:tc>
          <w:tcPr>
            <w:tcW w:w="5300" w:type="dxa"/>
            <w:vAlign w:val="bottom"/>
            <w:vMerge w:val="continue"/>
          </w:tcPr>
          <w:p>
            <w:pPr>
              <w:spacing w:after="0"/>
              <w:rPr>
                <w:sz w:val="13"/>
                <w:szCs w:val="13"/>
                <w:color w:val="auto"/>
              </w:rPr>
            </w:pPr>
          </w:p>
        </w:tc>
        <w:tc>
          <w:tcPr>
            <w:tcW w:w="180" w:type="dxa"/>
            <w:vAlign w:val="bottom"/>
          </w:tcPr>
          <w:p>
            <w:pPr>
              <w:jc w:val="right"/>
              <w:ind w:right="39"/>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153</w:t>
            </w:r>
          </w:p>
        </w:tc>
        <w:tc>
          <w:tcPr>
            <w:tcW w:w="2000" w:type="dxa"/>
            <w:vAlign w:val="bottom"/>
            <w:gridSpan w:val="3"/>
            <w:vMerge w:val="continue"/>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555</w:t>
            </w:r>
          </w:p>
        </w:tc>
        <w:tc>
          <w:tcPr>
            <w:tcW w:w="1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right="260" w:hanging="393"/>
        <w:spacing w:after="0" w:line="371" w:lineRule="auto"/>
        <w:tabs>
          <w:tab w:leader="none" w:pos="4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and nine months ended September 30, 2009 adjusted to exclude the impacts of divestitures: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Denominator</w:t>
            </w: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Three Months</w:t>
            </w:r>
          </w:p>
        </w:tc>
        <w:tc>
          <w:tcPr>
            <w:tcW w:w="140" w:type="dxa"/>
            <w:vAlign w:val="bottom"/>
          </w:tcPr>
          <w:p>
            <w:pPr>
              <w:spacing w:after="0"/>
              <w:rPr>
                <w:sz w:val="7"/>
                <w:szCs w:val="7"/>
                <w:color w:val="auto"/>
              </w:rPr>
            </w:pPr>
          </w:p>
        </w:tc>
        <w:tc>
          <w:tcPr>
            <w:tcW w:w="840" w:type="dxa"/>
            <w:vAlign w:val="bottom"/>
          </w:tcPr>
          <w:p>
            <w:pPr>
              <w:jc w:val="center"/>
              <w:ind w:right="79"/>
              <w:spacing w:after="0" w:line="81" w:lineRule="exact"/>
              <w:rPr>
                <w:sz w:val="20"/>
                <w:szCs w:val="20"/>
                <w:color w:val="auto"/>
              </w:rPr>
            </w:pPr>
            <w:r>
              <w:rPr>
                <w:rFonts w:ascii="Arial" w:cs="Arial" w:eastAsia="Arial" w:hAnsi="Arial"/>
                <w:sz w:val="9"/>
                <w:szCs w:val="9"/>
                <w:b w:val="1"/>
                <w:bCs w:val="1"/>
                <w:color w:val="auto"/>
              </w:rPr>
              <w:t>Nine Months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Ended</w:t>
            </w:r>
          </w:p>
        </w:tc>
        <w:tc>
          <w:tcPr>
            <w:tcW w:w="140" w:type="dxa"/>
            <w:vAlign w:val="bottom"/>
          </w:tcPr>
          <w:p>
            <w:pPr>
              <w:spacing w:after="0"/>
              <w:rPr>
                <w:sz w:val="9"/>
                <w:szCs w:val="9"/>
                <w:color w:val="auto"/>
              </w:rPr>
            </w:pPr>
          </w:p>
        </w:tc>
        <w:tc>
          <w:tcPr>
            <w:tcW w:w="9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September 30</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September 30</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Related business revenues: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Collection, landfill and transfer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2,545</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7,502</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Waste-to-energy disposal</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Collection and disposal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2,649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7,808</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Recycling commodity</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Electricity</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Company</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3,023</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8,783</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Our revenues increased $212 million, or 7.0%, for the three months ended September 30, 2010 as compared with the prior year period; and $543 million, or 6.2%, for the nine months ended September 30, 2010 as compared with the prior year period. During the three- and nine-month periods, our current period revenue growth has been driven by (i) market factors, including higher recyclable commodity prices; foreign currency translation, which affects revenues from our Canadian operations; and higher diesel prices, which increase revenues provided by our fuel surcharge program; (ii) revenue growth from average yield on our collection and disposal operations; and (iii) acquisitions. Offsetting these revenue increases were revenue declines due to lower volumes, which have generally resulted from pricing competition and continued reductions in consumer and business spending, which results in less waste being generated.</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0" w:name="page41"/>
    <w:bookmarkEnd w:id="40"/>
    <w:p>
      <w:pPr>
        <w:ind w:left="200"/>
        <w:spacing w:after="0"/>
        <w:rPr>
          <w:sz w:val="20"/>
          <w:szCs w:val="20"/>
          <w:color w:val="auto"/>
        </w:rPr>
      </w:pPr>
      <w:r>
        <w:rPr>
          <w:rFonts w:ascii="Arial" w:cs="Arial" w:eastAsia="Arial" w:hAnsi="Arial"/>
          <w:sz w:val="13"/>
          <w:szCs w:val="13"/>
          <w:i w:val="1"/>
          <w:iCs w:val="1"/>
          <w:color w:val="auto"/>
        </w:rPr>
        <w:t>Average yield</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Collection and disposal average yield </w:t>
      </w:r>
      <w:r>
        <w:rPr>
          <w:rFonts w:ascii="Arial" w:cs="Arial" w:eastAsia="Arial" w:hAnsi="Arial"/>
          <w:sz w:val="13"/>
          <w:szCs w:val="13"/>
          <w:color w:val="auto"/>
        </w:rPr>
        <w:t>— This measure reflects the effect on our revenue from the pricing activities of our collection, transfer, landfill and waste-to-energy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firstLine="399"/>
        <w:spacing w:after="0" w:line="278" w:lineRule="auto"/>
        <w:rPr>
          <w:sz w:val="20"/>
          <w:szCs w:val="20"/>
          <w:color w:val="auto"/>
        </w:rPr>
      </w:pPr>
      <w:r>
        <w:rPr>
          <w:rFonts w:ascii="Arial" w:cs="Arial" w:eastAsia="Arial" w:hAnsi="Arial"/>
          <w:sz w:val="12"/>
          <w:szCs w:val="12"/>
          <w:color w:val="auto"/>
        </w:rPr>
        <w:t>Our revenue growth from collection and disposal average yield was $60 million, or 2.3% for the three months ended September 30, 2010 as compared with the prior year period; and $172 million, or 2.2% for the nine months ended September 30, 2010 as compared with the prior year period. Our revenue growth from collection and disposal average yield demonstrates our commitment to our pricing strategies despite the current economic environment. This increase in revenue from yield was primarily driven by our collection operations, which experienced yield growth in all lines of business and in every geographic operating Group. The increase in collection revenues due to pricing was partially offset by revenue declines from lower collection volumes during the three-month period; however, during the nine-month period, collection revenue declines from lower collection volumes more than offset the increase in collection revenues due to pricing. We have found that increasing our yield in today’s market is a challenge given the reduced volume levels resulting from the economic slowdown. However, revenue growth from yield on base business and a focus on controlling variable costs have provided margin improvements in our collection line of business. Additionally, a significant portion of our collection revenues is generated under long-term agreements with municipalities or similar local or regional authorities. These agreements generally tie pricing adjustments to inflation indices, which have been extremely low in recent periods. We consider all of these trends in executing our pricing strategies, but are committed to maintaining pricing discipline in order to improve yield on our base business.</w:t>
      </w:r>
    </w:p>
    <w:p>
      <w:pPr>
        <w:spacing w:after="0" w:line="63"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Revenues from our environmental fee, which are included in average yield on collection and disposal, increased by $12 million for the three-month period and by $21 million for the nine-month period. These revenues were $69 million and $186 million during the three and nine months ended September 30, 2010, respectively, and $57 million and $165 million in the comparable prior year periods.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Recycling commodities </w:t>
      </w:r>
      <w:r>
        <w:rPr>
          <w:rFonts w:ascii="Arial" w:cs="Arial" w:eastAsia="Arial" w:hAnsi="Arial"/>
          <w:sz w:val="12"/>
          <w:szCs w:val="12"/>
          <w:color w:val="auto"/>
        </w:rPr>
        <w:t>— Increases in the prices of the recycling commodities we process resulted in an increase in revenues of $78 million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September 30, 2010 and $340 million for the nine months ended September 30, 2010 as compared with the prior year periods. During the fourth quarter of 2008 and the first quarter of 2009,</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recycling commodity prices were sharply lower as a result of a significant decrease in the demand for commodities both domestically and internationally. However, since the first quarter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2009, prices for recyclable commodities have increased significantly. For the first nine months of this year, overall commodity prices have increased approximately 68% as compared 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first nine months of last year.</w:t>
      </w:r>
    </w:p>
    <w:p>
      <w:pPr>
        <w:spacing w:after="0" w:line="89"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i w:val="1"/>
          <w:iCs w:val="1"/>
          <w:color w:val="auto"/>
        </w:rPr>
        <w:t xml:space="preserve">Electricity </w:t>
      </w:r>
      <w:r>
        <w:rPr>
          <w:rFonts w:ascii="Arial" w:cs="Arial" w:eastAsia="Arial" w:hAnsi="Arial"/>
          <w:sz w:val="13"/>
          <w:szCs w:val="13"/>
          <w:color w:val="auto"/>
        </w:rPr>
        <w:t>— The changes in revenue from yield provided by our waste-to-energy business are largely due to fluctuations in rates we can receive for electricity under our power</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 contracts and in merchant transactions. In most of the markets in which we operate, electricity prices correlate with natural gas prices. For the nine months ended September 30, 2010, we experienced declines in revenue from yield at our waste-to-energy facilities of $7 million, due to the expiration of certain above-market contracts, resulting in greater exposure to market pricing. During the three and nine months ended September 30, 2010, approximately 46% of the electricity revenue at our waste-to-energy facilities was subject to current market rates, compared with 46% and 35% during the three and nine months ended September 30, 2009, respectively. Our waste-to-energy facilities’ exposure to market price volatility will continue to increase as additional long-term contracts expire; however, we are beginning to see an improvement in market pricing. In addition, we expect to increase hedging activities in the future to reduce our exposure to market volatility. For the three months ended September 30, 2010, we experienced increases in revenue from yield at our waste-to-energy facilities of $4 million as compared with the prior year period.</w:t>
      </w:r>
    </w:p>
    <w:p>
      <w:pPr>
        <w:spacing w:after="0" w:line="76" w:lineRule="exact"/>
        <w:rPr>
          <w:sz w:val="20"/>
          <w:szCs w:val="20"/>
          <w:color w:val="auto"/>
        </w:rPr>
      </w:pPr>
    </w:p>
    <w:p>
      <w:pPr>
        <w:jc w:val="both"/>
        <w:ind w:right="160" w:firstLine="399"/>
        <w:spacing w:after="0" w:line="264" w:lineRule="auto"/>
        <w:rPr>
          <w:sz w:val="20"/>
          <w:szCs w:val="20"/>
          <w:color w:val="auto"/>
        </w:rPr>
      </w:pPr>
      <w:r>
        <w:rPr>
          <w:rFonts w:ascii="Arial" w:cs="Arial" w:eastAsia="Arial" w:hAnsi="Arial"/>
          <w:sz w:val="13"/>
          <w:szCs w:val="13"/>
          <w:i w:val="1"/>
          <w:iCs w:val="1"/>
          <w:color w:val="auto"/>
        </w:rPr>
        <w:t xml:space="preserve">Fuel surcharges and mandated fees — </w:t>
      </w:r>
      <w:r>
        <w:rPr>
          <w:rFonts w:ascii="Arial" w:cs="Arial" w:eastAsia="Arial" w:hAnsi="Arial"/>
          <w:sz w:val="13"/>
          <w:szCs w:val="13"/>
          <w:color w:val="auto"/>
        </w:rPr>
        <w:t>Revenue predominantly generated by our fuel surcharge program increased by $11 million and $50 million during the three and nine months</w:t>
      </w:r>
      <w:r>
        <w:rPr>
          <w:rFonts w:ascii="Arial" w:cs="Arial" w:eastAsia="Arial" w:hAnsi="Arial"/>
          <w:sz w:val="13"/>
          <w:szCs w:val="13"/>
          <w:i w:val="1"/>
          <w:iCs w:val="1"/>
          <w:color w:val="auto"/>
        </w:rPr>
        <w:t xml:space="preserve"> </w:t>
      </w:r>
      <w:r>
        <w:rPr>
          <w:rFonts w:ascii="Arial" w:cs="Arial" w:eastAsia="Arial" w:hAnsi="Arial"/>
          <w:sz w:val="13"/>
          <w:szCs w:val="13"/>
          <w:color w:val="auto"/>
        </w:rPr>
        <w:t>ended September 30, 2010, respectively. This increase is directly attributable to higher national average prices of diesel fuel that we use for our fuel surcharge program. The mandated fees included in this line item are primarily related to the pass-through to customers of fees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1" w:name="page42"/>
    <w:bookmarkEnd w:id="41"/>
    <w:p>
      <w:pPr>
        <w:ind w:right="500"/>
        <w:spacing w:after="0" w:line="276" w:lineRule="auto"/>
        <w:rPr>
          <w:sz w:val="20"/>
          <w:szCs w:val="20"/>
          <w:color w:val="auto"/>
        </w:rPr>
      </w:pPr>
      <w:r>
        <w:rPr>
          <w:rFonts w:ascii="Arial" w:cs="Arial" w:eastAsia="Arial" w:hAnsi="Arial"/>
          <w:sz w:val="13"/>
          <w:szCs w:val="13"/>
          <w:color w:val="auto"/>
        </w:rPr>
        <w:t>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59"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i w:val="1"/>
          <w:iCs w:val="1"/>
          <w:color w:val="auto"/>
        </w:rPr>
        <w:t xml:space="preserve">Volume </w:t>
      </w:r>
      <w:r>
        <w:rPr>
          <w:rFonts w:ascii="Arial" w:cs="Arial" w:eastAsia="Arial" w:hAnsi="Arial"/>
          <w:sz w:val="12"/>
          <w:szCs w:val="12"/>
          <w:color w:val="auto"/>
        </w:rPr>
        <w:t>— Our revenue decline due to volume was $22 million, or 0.7%, and $250 million, or 2.8%, for the three and nine months ended September 30, 2010, respectively. This is a</w:t>
      </w:r>
      <w:r>
        <w:rPr>
          <w:rFonts w:ascii="Arial" w:cs="Arial" w:eastAsia="Arial" w:hAnsi="Arial"/>
          <w:sz w:val="12"/>
          <w:szCs w:val="12"/>
          <w:i w:val="1"/>
          <w:iCs w:val="1"/>
          <w:color w:val="auto"/>
        </w:rPr>
        <w:t xml:space="preserve"> </w:t>
      </w:r>
      <w:r>
        <w:rPr>
          <w:rFonts w:ascii="Arial" w:cs="Arial" w:eastAsia="Arial" w:hAnsi="Arial"/>
          <w:sz w:val="12"/>
          <w:szCs w:val="12"/>
          <w:color w:val="auto"/>
        </w:rPr>
        <w:t>notable improvement in the rate of revenue decline from the prior-year period when revenue declines due to volume were $314 million, or 8.9%, and $878 million, or 8.6%, for the three and nine months ended September 30, 2009, respectively, and was also a sequential improvement compared with the second quarter of this year.</w:t>
      </w:r>
    </w:p>
    <w:p>
      <w:pPr>
        <w:spacing w:after="0" w:line="50"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Volume declines are generally attributable to economic conditions, increased pricing, competition and recent trends of waste reduction and diversion by consumers. Additionally, we had certain infrequent items this year that affected our volumes, including severe weather conditions experienced during the first quarter, which lowered volumes, and oil spill clean-up activities along the Gulf Coast during the second and third quarters, which increased volumes.</w:t>
      </w:r>
    </w:p>
    <w:p>
      <w:pPr>
        <w:spacing w:after="0" w:line="67"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Volume declines from our collection business accounted for $21 million and $195 million of the total volume-related revenue decline for the three and nine months ended September 30, 2010, respectively. Throughout 2010, we have experienced commercial and residential collection volume declines that we attribute to the overall weakness in the economy, as well as the effects of pricing and competition. Our industrial collection operations continue to be affected by the current economic environment due to the construction slowdown across the United States. The overall volume decline in the collection line of business was offset in part by an increase in volumes associated with oil spill clean-up activities along the Gulf Coast during the second and third quarters of this year.</w:t>
      </w:r>
    </w:p>
    <w:p>
      <w:pPr>
        <w:spacing w:after="0" w:line="71"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For the nine months ended September 30, 2010, we experienced a $12 million decline in third party revenue due to lower volumes at our landfills primarily as a result of volume declines in our more economically-sensitive construction and demolition business, particularly in the first quarter of 2010, partially offset by an increase in special waste volumes. For the three-month period ended September 30, 2010, revenue from third party volumes at our landfills increased $13 million over the comparable prior-year period. The increase was principally due to higher special waste volumes in our Eastern, Midwest and Southern geographic Groups. This is the first quarter since the third quarter of 2008 in which we have seen a year-over-year increase in revenue from third-party volumes at our landfills. Additionally, our sequential year-over-year quarterly revenue declines due to lower volumes in the construction and demolition waste stream declined at a significantly less rapid pace. Lower third party volumes in our transfer station operations also caused revenue declines for the three- and nine-month periods, and can generally be attributed to economic conditions and the effects of pricing and competition.</w:t>
      </w:r>
    </w:p>
    <w:p>
      <w:pPr>
        <w:spacing w:after="0" w:line="58"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We are pleased with the lessening rate of revenue decline due to lower volumes. However, (i) the continued weakness of the overall economic environment, particularly in the construction and demolition business, which tends to improve at a slower pace; (ii) recent trends of waste reduction and diversion by consumers; and (iii) pricing competition are presenting challenges to maintaining and growing volumes.</w:t>
      </w:r>
    </w:p>
    <w:p>
      <w:pPr>
        <w:spacing w:after="0" w:line="67"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i w:val="1"/>
          <w:iCs w:val="1"/>
          <w:color w:val="auto"/>
        </w:rPr>
        <w:t xml:space="preserve">Acquisitions and divestitures </w:t>
      </w:r>
      <w:r>
        <w:rPr>
          <w:rFonts w:ascii="Arial" w:cs="Arial" w:eastAsia="Arial" w:hAnsi="Arial"/>
          <w:sz w:val="13"/>
          <w:szCs w:val="13"/>
          <w:color w:val="auto"/>
        </w:rPr>
        <w:t>— Revenue increases from acquisitions were principally in (i) the collection and recycling lines of business, reflecting our continued focus on accretive</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acquisitions that will complement our core solid waste operations; and (ii) our “Other” businesses, demonstrating our current focus on identifying strategic growth opportunities in new, complementary lines of business.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Our operating expenses increased by $150 million, or 8.1%, and $516 million, or 9.6%, when comparing the three and nine months ended September 30, 2010 with the comparable prior-year periods, respectively. Our operating expenses as a percentage of revenues increased from 61.4% in the third quarter of 2009 to 62.0% in the current quarter, and increased from 61.1% for the nine months ended September 30, 2009 to 63.1% for the nine months ended September 30, 2010. The increases in our operating expenses during the three and nine months ended</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September 30, 2010, which were partially offset by the impact of continued volume declines, can largely be attributed to the following:</w:t>
      </w:r>
    </w:p>
    <w:p>
      <w:pPr>
        <w:spacing w:after="0" w:line="96" w:lineRule="exact"/>
        <w:rPr>
          <w:sz w:val="20"/>
          <w:szCs w:val="20"/>
          <w:color w:val="auto"/>
        </w:rPr>
      </w:pPr>
    </w:p>
    <w:p>
      <w:pPr>
        <w:ind w:left="600" w:right="180" w:hanging="190"/>
        <w:spacing w:after="0" w:line="260" w:lineRule="auto"/>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Higher market prices for recyclable commodities — </w:t>
      </w:r>
      <w:r>
        <w:rPr>
          <w:rFonts w:ascii="Arial" w:cs="Arial" w:eastAsia="Arial" w:hAnsi="Arial"/>
          <w:sz w:val="13"/>
          <w:szCs w:val="13"/>
          <w:color w:val="auto"/>
        </w:rPr>
        <w:t>Overall, market prices for recyclable commodities are approximately 68% higher than prior year levels on a year-to-date</w:t>
      </w:r>
      <w:r>
        <w:rPr>
          <w:rFonts w:ascii="Arial" w:cs="Arial" w:eastAsia="Arial" w:hAnsi="Arial"/>
          <w:sz w:val="13"/>
          <w:szCs w:val="13"/>
          <w:i w:val="1"/>
          <w:iCs w:val="1"/>
          <w:color w:val="auto"/>
        </w:rPr>
        <w:t xml:space="preserve"> </w:t>
      </w:r>
      <w:r>
        <w:rPr>
          <w:rFonts w:ascii="Arial" w:cs="Arial" w:eastAsia="Arial" w:hAnsi="Arial"/>
          <w:sz w:val="13"/>
          <w:szCs w:val="13"/>
          <w:color w:val="auto"/>
        </w:rPr>
        <w:t>basis. The year-over-year increase is the result of the recovery in recyclable commodity prices from the near-historic lows reached in late 2008 and early 2009. This increase in market prices was the driver of the current quarter and year-to-date increases in cost of goods sold, primarily customer rebates, as presented in the table below and has also resulted in increased revenues and earnings this year.</w:t>
      </w:r>
    </w:p>
    <w:p>
      <w:pPr>
        <w:spacing w:after="0" w:line="59" w:lineRule="exact"/>
        <w:rPr>
          <w:rFonts w:ascii="Arial" w:cs="Arial" w:eastAsia="Arial" w:hAnsi="Arial"/>
          <w:sz w:val="13"/>
          <w:szCs w:val="13"/>
          <w:color w:val="auto"/>
        </w:rPr>
      </w:pPr>
    </w:p>
    <w:p>
      <w:pPr>
        <w:ind w:left="600" w:right="40" w:hanging="190"/>
        <w:spacing w:after="0" w:line="296" w:lineRule="auto"/>
        <w:tabs>
          <w:tab w:leader="none" w:pos="600"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Fuel cost increases — </w:t>
      </w:r>
      <w:r>
        <w:rPr>
          <w:rFonts w:ascii="Arial" w:cs="Arial" w:eastAsia="Arial" w:hAnsi="Arial"/>
          <w:sz w:val="12"/>
          <w:szCs w:val="12"/>
          <w:color w:val="auto"/>
        </w:rPr>
        <w:t>On average, diesel fuel prices increased 24% from $2.37 per gallon in the first nine months of 2009 to $2.94 per gallon in the first nine months of 2010.</w:t>
      </w:r>
      <w:r>
        <w:rPr>
          <w:rFonts w:ascii="Arial" w:cs="Arial" w:eastAsia="Arial" w:hAnsi="Arial"/>
          <w:sz w:val="12"/>
          <w:szCs w:val="12"/>
          <w:i w:val="1"/>
          <w:iCs w:val="1"/>
          <w:color w:val="auto"/>
        </w:rPr>
        <w:t xml:space="preserve"> </w:t>
      </w:r>
      <w:r>
        <w:rPr>
          <w:rFonts w:ascii="Arial" w:cs="Arial" w:eastAsia="Arial" w:hAnsi="Arial"/>
          <w:sz w:val="12"/>
          <w:szCs w:val="12"/>
          <w:color w:val="auto"/>
        </w:rPr>
        <w:t>Higher fuel costs caused increases in both our direct fuel costs and in the fuel component of our subcontractor costs for the three and nine months ended September 30, 2010. The unfavorable impact of year-over-year increases in fuel prices on our operating costs is offset in part by increased revenues attributable to our fuel surcharge program.</w:t>
      </w:r>
    </w:p>
    <w:p>
      <w:pPr>
        <w:spacing w:after="0" w:line="39" w:lineRule="exact"/>
        <w:rPr>
          <w:rFonts w:ascii="Arial" w:cs="Arial" w:eastAsia="Arial" w:hAnsi="Arial"/>
          <w:sz w:val="12"/>
          <w:szCs w:val="12"/>
          <w:color w:val="auto"/>
        </w:rPr>
      </w:pPr>
    </w:p>
    <w:p>
      <w:pPr>
        <w:ind w:left="600" w:right="260" w:hanging="190"/>
        <w:spacing w:after="0" w:line="276" w:lineRule="auto"/>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and growth initiatives </w:t>
      </w:r>
      <w:r>
        <w:rPr>
          <w:rFonts w:ascii="Arial" w:cs="Arial" w:eastAsia="Arial" w:hAnsi="Arial"/>
          <w:sz w:val="13"/>
          <w:szCs w:val="13"/>
          <w:color w:val="auto"/>
        </w:rPr>
        <w:t>— We have experienced cost increases attributable to recently acquired businesses and, to a lesser extent, our various growth and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initiatives. These cost increases have affected each of the operating cost categories identified in the table below.</w:t>
      </w:r>
    </w:p>
    <w:p>
      <w:pPr>
        <w:spacing w:after="0" w:line="49" w:lineRule="exact"/>
        <w:rPr>
          <w:rFonts w:ascii="Arial" w:cs="Arial" w:eastAsia="Arial" w:hAnsi="Arial"/>
          <w:sz w:val="13"/>
          <w:szCs w:val="13"/>
          <w:color w:val="auto"/>
        </w:rPr>
      </w:pPr>
    </w:p>
    <w:p>
      <w:pPr>
        <w:jc w:val="both"/>
        <w:ind w:left="600" w:hanging="190"/>
        <w:spacing w:after="0" w:line="296" w:lineRule="auto"/>
        <w:tabs>
          <w:tab w:leader="none" w:pos="600"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Strengthening of the Canadian dollar </w:t>
      </w:r>
      <w:r>
        <w:rPr>
          <w:rFonts w:ascii="Arial" w:cs="Arial" w:eastAsia="Arial" w:hAnsi="Arial"/>
          <w:sz w:val="12"/>
          <w:szCs w:val="12"/>
          <w:color w:val="auto"/>
        </w:rPr>
        <w:t>— When comparing the average exchange rate for the three and nine months ended September 30, 2010 with the comparative 2009 periods,</w:t>
      </w:r>
      <w:r>
        <w:rPr>
          <w:rFonts w:ascii="Arial" w:cs="Arial" w:eastAsia="Arial" w:hAnsi="Arial"/>
          <w:sz w:val="12"/>
          <w:szCs w:val="12"/>
          <w:i w:val="1"/>
          <w:iCs w:val="1"/>
          <w:color w:val="auto"/>
        </w:rPr>
        <w:t xml:space="preserve"> </w:t>
      </w:r>
      <w:r>
        <w:rPr>
          <w:rFonts w:ascii="Arial" w:cs="Arial" w:eastAsia="Arial" w:hAnsi="Arial"/>
          <w:sz w:val="12"/>
          <w:szCs w:val="12"/>
          <w:color w:val="auto"/>
        </w:rPr>
        <w:t>the Canadian rate strengthened by 6% and 13% respectively. The strengthening of the Canadian dollar increased our total operating expenses by $7 million and $45 million for the three and nine months ended September 30, 2010, respectively. Foreign currency translation has increased our expenses in all operating cost categories.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major components of our operating expenses, including the impact of foreign currency translation, for the three- and nine-month periods ended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September 30 (dollars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142"/>
              <w:spacing w:after="0"/>
              <w:rPr>
                <w:sz w:val="20"/>
                <w:szCs w:val="20"/>
                <w:color w:val="auto"/>
              </w:rPr>
            </w:pPr>
            <w:r>
              <w:rPr>
                <w:rFonts w:ascii="Arial" w:cs="Arial" w:eastAsia="Arial" w:hAnsi="Arial"/>
                <w:sz w:val="10"/>
                <w:szCs w:val="10"/>
                <w:b w:val="1"/>
                <w:bCs w:val="1"/>
                <w:color w:val="auto"/>
                <w:w w:val="97"/>
              </w:rPr>
              <w:t>Three Months</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left="122"/>
              <w:spacing w:after="0"/>
              <w:rPr>
                <w:sz w:val="20"/>
                <w:szCs w:val="20"/>
                <w:color w:val="auto"/>
              </w:rPr>
            </w:pPr>
            <w:r>
              <w:rPr>
                <w:rFonts w:ascii="Arial" w:cs="Arial" w:eastAsia="Arial" w:hAnsi="Arial"/>
                <w:sz w:val="10"/>
                <w:szCs w:val="10"/>
                <w:b w:val="1"/>
                <w:bCs w:val="1"/>
                <w:color w:val="auto"/>
                <w:w w:val="97"/>
              </w:rPr>
              <w:t>Period-to-</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tcPr>
          <w:p>
            <w:pPr>
              <w:jc w:val="center"/>
              <w:ind w:left="162"/>
              <w:spacing w:after="0"/>
              <w:rPr>
                <w:sz w:val="20"/>
                <w:szCs w:val="20"/>
                <w:color w:val="auto"/>
              </w:rPr>
            </w:pPr>
            <w:r>
              <w:rPr>
                <w:rFonts w:ascii="Arial" w:cs="Arial" w:eastAsia="Arial" w:hAnsi="Arial"/>
                <w:sz w:val="10"/>
                <w:szCs w:val="10"/>
                <w:b w:val="1"/>
                <w:bCs w:val="1"/>
                <w:color w:val="auto"/>
                <w:w w:val="96"/>
              </w:rPr>
              <w:t>Nine Months</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left="102"/>
              <w:spacing w:after="0"/>
              <w:rPr>
                <w:sz w:val="20"/>
                <w:szCs w:val="20"/>
                <w:color w:val="auto"/>
              </w:rPr>
            </w:pPr>
            <w:r>
              <w:rPr>
                <w:rFonts w:ascii="Arial" w:cs="Arial" w:eastAsia="Arial" w:hAnsi="Arial"/>
                <w:sz w:val="10"/>
                <w:szCs w:val="10"/>
                <w:b w:val="1"/>
                <w:bCs w:val="1"/>
                <w:color w:val="auto"/>
                <w:w w:val="97"/>
              </w:rPr>
              <w:t>Period-to-</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tcPr>
          <w:p>
            <w:pPr>
              <w:jc w:val="center"/>
              <w:ind w:right="113"/>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8"/>
              </w:rPr>
              <w:t>Ended</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142"/>
              <w:spacing w:after="0"/>
              <w:rPr>
                <w:sz w:val="20"/>
                <w:szCs w:val="20"/>
                <w:color w:val="auto"/>
              </w:rPr>
            </w:pPr>
            <w:r>
              <w:rPr>
                <w:rFonts w:ascii="Arial" w:cs="Arial" w:eastAsia="Arial" w:hAnsi="Arial"/>
                <w:sz w:val="10"/>
                <w:szCs w:val="10"/>
                <w:b w:val="1"/>
                <w:bCs w:val="1"/>
                <w:color w:val="auto"/>
                <w:w w:val="93"/>
              </w:rPr>
              <w:t>September 30,</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w w:val="89"/>
              </w:rPr>
              <w:t>2010</w:t>
            </w:r>
          </w:p>
        </w:tc>
        <w:tc>
          <w:tcPr>
            <w:tcW w:w="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3"/>
          </w:tcPr>
          <w:p>
            <w:pPr>
              <w:jc w:val="right"/>
              <w:ind w:right="21"/>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w w:val="89"/>
              </w:rPr>
              <w:t>2010</w:t>
            </w: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w w:val="80"/>
              </w:rPr>
              <w:t>2009</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576</w:t>
            </w:r>
          </w:p>
        </w:tc>
        <w:tc>
          <w:tcPr>
            <w:tcW w:w="500" w:type="dxa"/>
            <w:vAlign w:val="bottom"/>
            <w:gridSpan w:val="2"/>
            <w:shd w:val="clear" w:color="auto" w:fill="CCEEFF"/>
          </w:tcPr>
          <w:p>
            <w:pPr>
              <w:jc w:val="right"/>
              <w:ind w:right="3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566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rPr>
              <w:t>10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9"/>
              </w:rPr>
              <w:t>1,723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1,688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rPr>
              <w:t>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Transfer and disposal costs</w:t>
            </w: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243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242</w:t>
            </w:r>
          </w:p>
        </w:tc>
        <w:tc>
          <w:tcPr>
            <w:tcW w:w="80" w:type="dxa"/>
            <w:vAlign w:val="bottom"/>
          </w:tcPr>
          <w:p>
            <w:pPr>
              <w:spacing w:after="0"/>
              <w:rPr>
                <w:sz w:val="12"/>
                <w:szCs w:val="12"/>
                <w:color w:val="auto"/>
              </w:rPr>
            </w:pPr>
          </w:p>
        </w:tc>
        <w:tc>
          <w:tcPr>
            <w:tcW w:w="680" w:type="dxa"/>
            <w:vAlign w:val="bottom"/>
            <w:gridSpan w:val="2"/>
          </w:tcPr>
          <w:p>
            <w:pPr>
              <w:jc w:val="right"/>
              <w:ind w:right="408"/>
              <w:spacing w:after="0"/>
              <w:rPr>
                <w:sz w:val="20"/>
                <w:szCs w:val="20"/>
                <w:color w:val="auto"/>
              </w:rPr>
            </w:pPr>
            <w:r>
              <w:rPr>
                <w:rFonts w:ascii="Arial" w:cs="Arial" w:eastAsia="Arial" w:hAnsi="Arial"/>
                <w:sz w:val="12"/>
                <w:szCs w:val="12"/>
                <w:color w:val="auto"/>
              </w:rPr>
              <w:t>1</w:t>
            </w: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712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701</w:t>
            </w:r>
          </w:p>
        </w:tc>
        <w:tc>
          <w:tcPr>
            <w:tcW w:w="80" w:type="dxa"/>
            <w:vAlign w:val="bottom"/>
          </w:tcPr>
          <w:p>
            <w:pPr>
              <w:spacing w:after="0"/>
              <w:rPr>
                <w:sz w:val="12"/>
                <w:szCs w:val="12"/>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2"/>
                <w:szCs w:val="12"/>
                <w:color w:val="auto"/>
              </w:rPr>
              <w:t>11</w:t>
            </w:r>
          </w:p>
        </w:tc>
        <w:tc>
          <w:tcPr>
            <w:tcW w:w="340" w:type="dxa"/>
            <w:vAlign w:val="bottom"/>
            <w:gridSpan w:val="2"/>
          </w:tcPr>
          <w:p>
            <w:pPr>
              <w:jc w:val="right"/>
              <w:ind w:right="100"/>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Maintenance and repairs</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265</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247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rPr>
              <w:t>18</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795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774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rPr>
              <w:t>21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Subcontractor costs</w:t>
            </w: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217</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180</w:t>
            </w:r>
          </w:p>
        </w:tc>
        <w:tc>
          <w:tcPr>
            <w:tcW w:w="80" w:type="dxa"/>
            <w:vAlign w:val="bottom"/>
          </w:tcPr>
          <w:p>
            <w:pPr>
              <w:spacing w:after="0"/>
              <w:rPr>
                <w:sz w:val="12"/>
                <w:szCs w:val="12"/>
                <w:color w:val="auto"/>
              </w:rPr>
            </w:pPr>
          </w:p>
        </w:tc>
        <w:tc>
          <w:tcPr>
            <w:tcW w:w="680" w:type="dxa"/>
            <w:vAlign w:val="bottom"/>
            <w:gridSpan w:val="2"/>
          </w:tcPr>
          <w:p>
            <w:pPr>
              <w:jc w:val="right"/>
              <w:ind w:right="408"/>
              <w:spacing w:after="0"/>
              <w:rPr>
                <w:sz w:val="20"/>
                <w:szCs w:val="20"/>
                <w:color w:val="auto"/>
              </w:rPr>
            </w:pPr>
            <w:r>
              <w:rPr>
                <w:rFonts w:ascii="Arial" w:cs="Arial" w:eastAsia="Arial" w:hAnsi="Arial"/>
                <w:sz w:val="12"/>
                <w:szCs w:val="12"/>
                <w:color w:val="auto"/>
              </w:rPr>
              <w:t>37</w:t>
            </w: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20.6</w:t>
            </w: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577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530</w:t>
            </w:r>
          </w:p>
        </w:tc>
        <w:tc>
          <w:tcPr>
            <w:tcW w:w="80" w:type="dxa"/>
            <w:vAlign w:val="bottom"/>
          </w:tcPr>
          <w:p>
            <w:pPr>
              <w:spacing w:after="0"/>
              <w:rPr>
                <w:sz w:val="12"/>
                <w:szCs w:val="12"/>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2"/>
                <w:szCs w:val="12"/>
                <w:color w:val="auto"/>
              </w:rPr>
              <w:t>47</w:t>
            </w:r>
          </w:p>
        </w:tc>
        <w:tc>
          <w:tcPr>
            <w:tcW w:w="340" w:type="dxa"/>
            <w:vAlign w:val="bottom"/>
            <w:gridSpan w:val="2"/>
          </w:tcPr>
          <w:p>
            <w:pPr>
              <w:jc w:val="right"/>
              <w:ind w:right="100"/>
              <w:spacing w:after="0"/>
              <w:rPr>
                <w:sz w:val="20"/>
                <w:szCs w:val="20"/>
                <w:color w:val="auto"/>
              </w:rPr>
            </w:pPr>
            <w:r>
              <w:rPr>
                <w:rFonts w:ascii="Arial" w:cs="Arial" w:eastAsia="Arial" w:hAnsi="Arial"/>
                <w:sz w:val="12"/>
                <w:szCs w:val="12"/>
                <w:color w:val="auto"/>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Cost of goods sold</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201</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134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rPr>
              <w:t>67</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50.0</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555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334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w w:val="89"/>
              </w:rPr>
              <w:t>221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66.2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Fuel</w:t>
            </w: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122</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110</w:t>
            </w:r>
          </w:p>
        </w:tc>
        <w:tc>
          <w:tcPr>
            <w:tcW w:w="80" w:type="dxa"/>
            <w:vAlign w:val="bottom"/>
          </w:tcPr>
          <w:p>
            <w:pPr>
              <w:spacing w:after="0"/>
              <w:rPr>
                <w:sz w:val="12"/>
                <w:szCs w:val="12"/>
                <w:color w:val="auto"/>
              </w:rPr>
            </w:pPr>
          </w:p>
        </w:tc>
        <w:tc>
          <w:tcPr>
            <w:tcW w:w="680" w:type="dxa"/>
            <w:vAlign w:val="bottom"/>
            <w:gridSpan w:val="2"/>
          </w:tcPr>
          <w:p>
            <w:pPr>
              <w:jc w:val="right"/>
              <w:ind w:right="408"/>
              <w:spacing w:after="0"/>
              <w:rPr>
                <w:sz w:val="20"/>
                <w:szCs w:val="20"/>
                <w:color w:val="auto"/>
              </w:rPr>
            </w:pPr>
            <w:r>
              <w:rPr>
                <w:rFonts w:ascii="Arial" w:cs="Arial" w:eastAsia="Arial" w:hAnsi="Arial"/>
                <w:sz w:val="12"/>
                <w:szCs w:val="12"/>
                <w:color w:val="auto"/>
              </w:rPr>
              <w:t>12</w:t>
            </w: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366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297</w:t>
            </w:r>
          </w:p>
        </w:tc>
        <w:tc>
          <w:tcPr>
            <w:tcW w:w="80" w:type="dxa"/>
            <w:vAlign w:val="bottom"/>
          </w:tcPr>
          <w:p>
            <w:pPr>
              <w:spacing w:after="0"/>
              <w:rPr>
                <w:sz w:val="12"/>
                <w:szCs w:val="12"/>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2"/>
                <w:szCs w:val="12"/>
                <w:color w:val="auto"/>
              </w:rPr>
              <w:t>69</w:t>
            </w:r>
          </w:p>
        </w:tc>
        <w:tc>
          <w:tcPr>
            <w:tcW w:w="34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23.2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Disposal and franchise fees and taxes</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152</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441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436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rPr>
              <w:t>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Landfill operating costs</w:t>
            </w: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73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64</w:t>
            </w:r>
          </w:p>
        </w:tc>
        <w:tc>
          <w:tcPr>
            <w:tcW w:w="80" w:type="dxa"/>
            <w:vAlign w:val="bottom"/>
          </w:tcPr>
          <w:p>
            <w:pPr>
              <w:spacing w:after="0"/>
              <w:rPr>
                <w:sz w:val="12"/>
                <w:szCs w:val="12"/>
                <w:color w:val="auto"/>
              </w:rPr>
            </w:pPr>
          </w:p>
        </w:tc>
        <w:tc>
          <w:tcPr>
            <w:tcW w:w="680" w:type="dxa"/>
            <w:vAlign w:val="bottom"/>
            <w:gridSpan w:val="2"/>
          </w:tcPr>
          <w:p>
            <w:pPr>
              <w:jc w:val="right"/>
              <w:ind w:right="408"/>
              <w:spacing w:after="0"/>
              <w:rPr>
                <w:sz w:val="20"/>
                <w:szCs w:val="20"/>
                <w:color w:val="auto"/>
              </w:rPr>
            </w:pPr>
            <w:r>
              <w:rPr>
                <w:rFonts w:ascii="Arial" w:cs="Arial" w:eastAsia="Arial" w:hAnsi="Arial"/>
                <w:sz w:val="12"/>
                <w:szCs w:val="12"/>
                <w:color w:val="auto"/>
              </w:rPr>
              <w:t>9</w:t>
            </w: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14.1</w:t>
            </w: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248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151</w:t>
            </w:r>
          </w:p>
        </w:tc>
        <w:tc>
          <w:tcPr>
            <w:tcW w:w="80" w:type="dxa"/>
            <w:vAlign w:val="bottom"/>
          </w:tcPr>
          <w:p>
            <w:pPr>
              <w:spacing w:after="0"/>
              <w:rPr>
                <w:sz w:val="12"/>
                <w:szCs w:val="12"/>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2"/>
                <w:szCs w:val="12"/>
                <w:color w:val="auto"/>
              </w:rPr>
              <w:t>97</w:t>
            </w:r>
          </w:p>
        </w:tc>
        <w:tc>
          <w:tcPr>
            <w:tcW w:w="34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Risk management</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8"/>
              <w:spacing w:after="0"/>
              <w:rPr>
                <w:sz w:val="20"/>
                <w:szCs w:val="20"/>
                <w:color w:val="auto"/>
              </w:rPr>
            </w:pPr>
            <w:r>
              <w:rPr>
                <w:rFonts w:ascii="Arial" w:cs="Arial" w:eastAsia="Arial" w:hAnsi="Arial"/>
                <w:sz w:val="12"/>
                <w:szCs w:val="12"/>
                <w:color w:val="auto"/>
              </w:rPr>
              <w:t>(6)</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89"/>
              </w:rPr>
              <w:t>(10.3)</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2"/>
                <w:szCs w:val="12"/>
                <w:color w:val="auto"/>
              </w:rPr>
              <w:t>(7)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Other</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103</w:t>
            </w:r>
          </w:p>
        </w:tc>
        <w:tc>
          <w:tcPr>
            <w:tcW w:w="80" w:type="dxa"/>
            <w:vAlign w:val="bottom"/>
          </w:tcPr>
          <w:p>
            <w:pPr>
              <w:spacing w:after="0"/>
              <w:rPr>
                <w:sz w:val="12"/>
                <w:szCs w:val="12"/>
                <w:color w:val="auto"/>
              </w:rPr>
            </w:pPr>
          </w:p>
        </w:tc>
        <w:tc>
          <w:tcPr>
            <w:tcW w:w="680" w:type="dxa"/>
            <w:vAlign w:val="bottom"/>
            <w:gridSpan w:val="2"/>
          </w:tcPr>
          <w:p>
            <w:pPr>
              <w:jc w:val="right"/>
              <w:ind w:right="408"/>
              <w:spacing w:after="0"/>
              <w:rPr>
                <w:sz w:val="20"/>
                <w:szCs w:val="20"/>
                <w:color w:val="auto"/>
              </w:rPr>
            </w:pPr>
            <w:r>
              <w:rPr>
                <w:rFonts w:ascii="Arial" w:cs="Arial" w:eastAsia="Arial" w:hAnsi="Arial"/>
                <w:sz w:val="12"/>
                <w:szCs w:val="12"/>
                <w:color w:val="auto"/>
              </w:rPr>
              <w:t>2</w:t>
            </w:r>
          </w:p>
        </w:tc>
        <w:tc>
          <w:tcPr>
            <w:tcW w:w="660" w:type="dxa"/>
            <w:vAlign w:val="bottom"/>
            <w:gridSpan w:val="2"/>
          </w:tcPr>
          <w:p>
            <w:pPr>
              <w:jc w:val="right"/>
              <w:ind w:right="400"/>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315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298</w:t>
            </w:r>
          </w:p>
        </w:tc>
        <w:tc>
          <w:tcPr>
            <w:tcW w:w="80" w:type="dxa"/>
            <w:vAlign w:val="bottom"/>
          </w:tcPr>
          <w:p>
            <w:pPr>
              <w:spacing w:after="0"/>
              <w:rPr>
                <w:sz w:val="12"/>
                <w:szCs w:val="12"/>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2"/>
                <w:szCs w:val="12"/>
                <w:color w:val="auto"/>
              </w:rPr>
              <w:t>17</w:t>
            </w:r>
          </w:p>
        </w:tc>
        <w:tc>
          <w:tcPr>
            <w:tcW w:w="340" w:type="dxa"/>
            <w:vAlign w:val="bottom"/>
            <w:gridSpan w:val="2"/>
          </w:tcPr>
          <w:p>
            <w:pPr>
              <w:jc w:val="right"/>
              <w:ind w:right="100"/>
              <w:spacing w:after="0"/>
              <w:rPr>
                <w:sz w:val="20"/>
                <w:szCs w:val="20"/>
                <w:color w:val="auto"/>
              </w:rPr>
            </w:pPr>
            <w:r>
              <w:rPr>
                <w:rFonts w:ascii="Arial" w:cs="Arial" w:eastAsia="Arial" w:hAnsi="Arial"/>
                <w:sz w:val="12"/>
                <w:szCs w:val="12"/>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2,006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79"/>
              </w:rPr>
              <w:t>1,856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w w:val="99"/>
              </w:rPr>
              <w:t>150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9"/>
              </w:rPr>
              <w:t>5,883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5,367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2"/>
                <w:szCs w:val="12"/>
                <w:color w:val="auto"/>
                <w:w w:val="89"/>
              </w:rPr>
              <w:t>516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Significant changes in our operating expenses by category are discussed below:</w:t>
      </w:r>
    </w:p>
    <w:p>
      <w:pPr>
        <w:spacing w:after="0" w:line="96" w:lineRule="exact"/>
        <w:rPr>
          <w:sz w:val="20"/>
          <w:szCs w:val="20"/>
          <w:color w:val="auto"/>
        </w:rPr>
      </w:pPr>
    </w:p>
    <w:p>
      <w:pPr>
        <w:ind w:left="600" w:hanging="190"/>
        <w:spacing w:after="0" w:line="258"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 year-to-date increase was due largely to $26 million in charges incurred by our Midwest Group as a result of bargaining unit employees in</w:t>
      </w:r>
      <w:r>
        <w:rPr>
          <w:rFonts w:ascii="Arial" w:cs="Arial" w:eastAsia="Arial" w:hAnsi="Arial"/>
          <w:sz w:val="13"/>
          <w:szCs w:val="13"/>
          <w:i w:val="1"/>
          <w:iCs w:val="1"/>
          <w:color w:val="auto"/>
        </w:rPr>
        <w:t xml:space="preserve"> </w:t>
      </w:r>
      <w:r>
        <w:rPr>
          <w:rFonts w:ascii="Arial" w:cs="Arial" w:eastAsia="Arial" w:hAnsi="Arial"/>
          <w:sz w:val="13"/>
          <w:szCs w:val="13"/>
          <w:color w:val="auto"/>
        </w:rPr>
        <w:t>Michigan and Ohio agreeing to our proposal to withdraw them from an under-funded multi-employer pension plan, largely recognized during the first quarter of 2010. In the second quarter of 2009, we recognized a charge of $9 million related to bargaining unit employees in New Jersey agreeing to a similar proposal. Our 2010 expenses also increased as a result of (i) higher salaries and wages due to merit increases that were effective in July 2009 for hourly employees and in April 2010 for both salaried and hourly employees; (ii) additional expenses incurred for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3" w:name="page44"/>
    <w:bookmarkEnd w:id="43"/>
    <w:p>
      <w:pPr>
        <w:ind w:left="600" w:right="180"/>
        <w:spacing w:after="0" w:line="276" w:lineRule="auto"/>
        <w:rPr>
          <w:sz w:val="20"/>
          <w:szCs w:val="20"/>
          <w:color w:val="auto"/>
        </w:rPr>
      </w:pPr>
      <w:r>
        <w:rPr>
          <w:rFonts w:ascii="Arial" w:cs="Arial" w:eastAsia="Arial" w:hAnsi="Arial"/>
          <w:sz w:val="13"/>
          <w:szCs w:val="13"/>
          <w:color w:val="auto"/>
        </w:rPr>
        <w:t>acquisitions and growth opportunities; and (iii) the strengthening Canadian dollar. These cost increases were offset, in part, by cost savings that have been achieved as volumes declined.</w:t>
      </w:r>
    </w:p>
    <w:p>
      <w:pPr>
        <w:spacing w:after="0" w:line="59" w:lineRule="exact"/>
        <w:rPr>
          <w:sz w:val="20"/>
          <w:szCs w:val="20"/>
          <w:color w:val="auto"/>
        </w:rPr>
      </w:pPr>
    </w:p>
    <w:p>
      <w:pPr>
        <w:ind w:left="600" w:right="80" w:hanging="190"/>
        <w:spacing w:after="0" w:line="264"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Maintenance and repairs </w:t>
      </w:r>
      <w:r>
        <w:rPr>
          <w:rFonts w:ascii="Arial" w:cs="Arial" w:eastAsia="Arial" w:hAnsi="Arial"/>
          <w:sz w:val="13"/>
          <w:szCs w:val="13"/>
          <w:color w:val="auto"/>
        </w:rPr>
        <w:t>— Increases in these costs during the three and nine months ended September 30, 2010 were primarily attributable to increased maintenance performed</w:t>
      </w:r>
      <w:r>
        <w:rPr>
          <w:rFonts w:ascii="Arial" w:cs="Arial" w:eastAsia="Arial" w:hAnsi="Arial"/>
          <w:sz w:val="13"/>
          <w:szCs w:val="13"/>
          <w:i w:val="1"/>
          <w:iCs w:val="1"/>
          <w:color w:val="auto"/>
        </w:rPr>
        <w:t xml:space="preserve"> </w:t>
      </w:r>
      <w:r>
        <w:rPr>
          <w:rFonts w:ascii="Arial" w:cs="Arial" w:eastAsia="Arial" w:hAnsi="Arial"/>
          <w:sz w:val="13"/>
          <w:szCs w:val="13"/>
          <w:color w:val="auto"/>
        </w:rPr>
        <w:t>at our waste-to-energy facilities during the current year, which included (i) needed repairs and maintenance expense at a recently acquired facility in Portsmouth, Virginia; and (ii) accelerated maintenance expenses at certain of our waste-to-energy facilities.</w:t>
      </w:r>
    </w:p>
    <w:p>
      <w:pPr>
        <w:spacing w:after="0" w:line="57" w:lineRule="exact"/>
        <w:rPr>
          <w:rFonts w:ascii="Arial" w:cs="Arial" w:eastAsia="Arial" w:hAnsi="Arial"/>
          <w:sz w:val="13"/>
          <w:szCs w:val="13"/>
          <w:color w:val="auto"/>
        </w:rPr>
      </w:pPr>
    </w:p>
    <w:p>
      <w:pPr>
        <w:ind w:left="600" w:right="20" w:hanging="190"/>
        <w:spacing w:after="0" w:line="264"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Subcontractor costs </w:t>
      </w:r>
      <w:r>
        <w:rPr>
          <w:rFonts w:ascii="Arial" w:cs="Arial" w:eastAsia="Arial" w:hAnsi="Arial"/>
          <w:sz w:val="13"/>
          <w:szCs w:val="13"/>
          <w:color w:val="auto"/>
        </w:rPr>
        <w:t>— The current year increase in subcontractor costs is largely the result of oil spill clean-up activities along the Gulf Coast and is also attributable to the higher</w:t>
      </w:r>
      <w:r>
        <w:rPr>
          <w:rFonts w:ascii="Arial" w:cs="Arial" w:eastAsia="Arial" w:hAnsi="Arial"/>
          <w:sz w:val="13"/>
          <w:szCs w:val="13"/>
          <w:i w:val="1"/>
          <w:iCs w:val="1"/>
          <w:color w:val="auto"/>
        </w:rPr>
        <w:t xml:space="preserve"> </w:t>
      </w:r>
      <w:r>
        <w:rPr>
          <w:rFonts w:ascii="Arial" w:cs="Arial" w:eastAsia="Arial" w:hAnsi="Arial"/>
          <w:sz w:val="13"/>
          <w:szCs w:val="13"/>
          <w:color w:val="auto"/>
        </w:rPr>
        <w:t>diesel fuel prices previously discussed. We incurred $32 million and $39 million of subcontractor costs during the three and nine months ended September 30, 2010, respectively, related to oil spill clean-up activities.</w:t>
      </w:r>
    </w:p>
    <w:p>
      <w:pPr>
        <w:spacing w:after="0" w:line="57" w:lineRule="exact"/>
        <w:rPr>
          <w:rFonts w:ascii="Arial" w:cs="Arial" w:eastAsia="Arial" w:hAnsi="Arial"/>
          <w:sz w:val="13"/>
          <w:szCs w:val="13"/>
          <w:color w:val="auto"/>
        </w:rPr>
      </w:pPr>
    </w:p>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The significant increase was from higher customer rebates as a result of the improvement in recycling commodity pricing discussed above.</w:t>
      </w:r>
    </w:p>
    <w:p>
      <w:pPr>
        <w:spacing w:after="0" w:line="86" w:lineRule="exact"/>
        <w:rPr>
          <w:rFonts w:ascii="Arial" w:cs="Arial" w:eastAsia="Arial" w:hAnsi="Arial"/>
          <w:sz w:val="13"/>
          <w:szCs w:val="13"/>
          <w:color w:val="auto"/>
        </w:rPr>
      </w:pPr>
    </w:p>
    <w:p>
      <w:pPr>
        <w:ind w:left="600" w:right="80" w:hanging="190"/>
        <w:spacing w:after="0" w:line="276"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Fuel </w:t>
      </w:r>
      <w:r>
        <w:rPr>
          <w:rFonts w:ascii="Arial" w:cs="Arial" w:eastAsia="Arial" w:hAnsi="Arial"/>
          <w:sz w:val="13"/>
          <w:szCs w:val="13"/>
          <w:color w:val="auto"/>
        </w:rPr>
        <w:t>— Higher direct costs for diesel fuel were due to an increase in market prices on a year-over-year basis of 13% and 24% for the three and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2010.</w:t>
      </w:r>
    </w:p>
    <w:p>
      <w:pPr>
        <w:spacing w:after="0" w:line="49" w:lineRule="exact"/>
        <w:rPr>
          <w:rFonts w:ascii="Arial" w:cs="Arial" w:eastAsia="Arial" w:hAnsi="Arial"/>
          <w:sz w:val="13"/>
          <w:szCs w:val="13"/>
          <w:color w:val="auto"/>
        </w:rPr>
      </w:pPr>
    </w:p>
    <w:p>
      <w:pPr>
        <w:ind w:left="600" w:right="60" w:hanging="190"/>
        <w:spacing w:after="0" w:line="296" w:lineRule="auto"/>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Landfill operating costs </w:t>
      </w:r>
      <w:r>
        <w:rPr>
          <w:rFonts w:ascii="Arial" w:cs="Arial" w:eastAsia="Arial" w:hAnsi="Arial"/>
          <w:sz w:val="12"/>
          <w:szCs w:val="12"/>
          <w:color w:val="auto"/>
        </w:rPr>
        <w:t>— Increases in these costs in the current year were due, in part, to the recognition of net charges for estimates associated with environmental remediation</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of $13 million for two closed sites and $50 million for four closed sites during the three and nine months ended September 30, 2010, respectively. The Company recognized unfavorable remedial adjustments of a smaller magnitude during the three and nine months ended September 30, 2009.</w:t>
      </w:r>
    </w:p>
    <w:p>
      <w:pPr>
        <w:spacing w:after="0" w:line="49" w:lineRule="exact"/>
        <w:rPr>
          <w:rFonts w:ascii="Arial" w:cs="Arial" w:eastAsia="Arial" w:hAnsi="Arial"/>
          <w:sz w:val="12"/>
          <w:szCs w:val="12"/>
          <w:color w:val="auto"/>
        </w:rPr>
      </w:pPr>
    </w:p>
    <w:p>
      <w:pPr>
        <w:ind w:left="600" w:right="60"/>
        <w:spacing w:after="0" w:line="257" w:lineRule="auto"/>
        <w:rPr>
          <w:rFonts w:ascii="Arial" w:cs="Arial" w:eastAsia="Arial" w:hAnsi="Arial"/>
          <w:sz w:val="12"/>
          <w:szCs w:val="12"/>
          <w:color w:val="auto"/>
        </w:rPr>
      </w:pPr>
      <w:r>
        <w:rPr>
          <w:rFonts w:ascii="Arial" w:cs="Arial" w:eastAsia="Arial" w:hAnsi="Arial"/>
          <w:sz w:val="13"/>
          <w:szCs w:val="13"/>
          <w:color w:val="auto"/>
        </w:rPr>
        <w:t>Additionally, the increases were attributable to (i) the prior year recognition of favorable adjustments of $32 million during the nine months ended September 30, 2009 due to higher United States Treasury rates, which are used to estimate the present value of our environmental remediation obligations and recovery assets; and (ii) the current year recognition of unfavorable adjustments of $6 million and $14 million during the three and nine months ended September 30, 2010, respectively, due to the decreases in United States Treasury rates. During the first and second quarters of 2009, the discount rate used to estimate the present value of our environmental remediation obligations and recovery assets was increased from 2.25% to 2.75% and from 2.75% to 3.50%, respectively. During the second and third quarters of 2010, the applicable discount rate decreased from 3.75% to 3.00% and from 3.00% to 2.50%, respectively.</w:t>
      </w:r>
    </w:p>
    <w:p>
      <w:pPr>
        <w:spacing w:after="0" w:line="71" w:lineRule="exact"/>
        <w:rPr>
          <w:rFonts w:ascii="Arial" w:cs="Arial" w:eastAsia="Arial" w:hAnsi="Arial"/>
          <w:sz w:val="12"/>
          <w:szCs w:val="12"/>
          <w:color w:val="auto"/>
        </w:rPr>
      </w:pPr>
    </w:p>
    <w:p>
      <w:pPr>
        <w:ind w:left="600" w:right="40" w:hanging="190"/>
        <w:spacing w:after="0" w:line="257"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increase in costs when comparing the three and nine months ended September 30, 2010 with the comparable prior year amounts was attributable, in part, to (i) our</w:t>
      </w:r>
      <w:r>
        <w:rPr>
          <w:rFonts w:ascii="Arial" w:cs="Arial" w:eastAsia="Arial" w:hAnsi="Arial"/>
          <w:sz w:val="13"/>
          <w:szCs w:val="13"/>
          <w:i w:val="1"/>
          <w:iCs w:val="1"/>
          <w:color w:val="auto"/>
        </w:rPr>
        <w:t xml:space="preserve"> </w:t>
      </w:r>
      <w:r>
        <w:rPr>
          <w:rFonts w:ascii="Arial" w:cs="Arial" w:eastAsia="Arial" w:hAnsi="Arial"/>
          <w:sz w:val="13"/>
          <w:szCs w:val="13"/>
          <w:color w:val="auto"/>
        </w:rPr>
        <w:t>various growth and business development initiatives, (ii) oil spill clean-up activities along the Gulf Coast, and (iii) recently acquired businesses. These cost increases were partially offset by (i) an increase in gains recognized from the sale of surplus real estate assets; (ii) the receipt of an insurance claim for business interruption and property damages in the third quarter of 2010 related to an outage resulting from the failure of a generator that occurred in the second quarter of 2010 at one of our waste-to-energy facilities; and (iii) gains recognized during the third quarter of 2010 associated with the reversal of certain contingent liabilities related to several recent acquisitions for which the contingency period has now lapsed.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Our selling, general and administrative expenses increased by $30 million, or 8.8%, and $66 million, or 6.6%, when comparing the three and nine months ended September 30, 2010 with the comparable prior-year periods. The increases are largely due to (i) increased costs of $12 million and $40 million during the three- and nine-month periods, respectively, incurred to support our strategic plan to grow into new markets and provide expanded service offerings; and (ii) increased costs of $7 million and $16 million during the three- and nine-month periods, respectively, resulting from improvements we are making to our information technology systems. Our selling, general and administrative expenses as a percentage of revenues increased from 11.2% for the third quarter of 2009 to 11.4% for the third quarter of 2010, and were 11.4% for both the nine months ended September 30, 2009 and 2010.</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44" w:name="page45"/>
    <w:bookmarkEnd w:id="44"/>
    <w:p>
      <w:pPr>
        <w:ind w:left="400"/>
        <w:spacing w:after="0"/>
        <w:rPr>
          <w:sz w:val="20"/>
          <w:szCs w:val="20"/>
          <w:color w:val="auto"/>
        </w:rPr>
      </w:pPr>
      <w:r>
        <w:rPr>
          <w:rFonts w:ascii="Arial" w:cs="Arial" w:eastAsia="Arial" w:hAnsi="Arial"/>
          <w:sz w:val="11"/>
          <w:szCs w:val="11"/>
          <w:color w:val="auto"/>
        </w:rPr>
        <w:t>The following table summarizes the major components of our selling, general and administrative costs for the three- and nine-month periods ended September 30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13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4"/>
              </w:rPr>
              <w:t>Three Months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center"/>
              <w:ind w:right="660"/>
              <w:spacing w:after="0"/>
              <w:rPr>
                <w:sz w:val="20"/>
                <w:szCs w:val="20"/>
                <w:color w:val="auto"/>
              </w:rPr>
            </w:pPr>
            <w:r>
              <w:rPr>
                <w:rFonts w:ascii="Arial" w:cs="Arial" w:eastAsia="Arial" w:hAnsi="Arial"/>
                <w:sz w:val="10"/>
                <w:szCs w:val="10"/>
                <w:b w:val="1"/>
                <w:bCs w:val="1"/>
                <w:color w:val="auto"/>
                <w:w w:val="93"/>
              </w:rPr>
              <w:t>Period-to-</w:t>
            </w:r>
          </w:p>
        </w:tc>
        <w:tc>
          <w:tcPr>
            <w:tcW w:w="100" w:type="dxa"/>
            <w:vAlign w:val="bottom"/>
          </w:tcPr>
          <w:p>
            <w:pPr>
              <w:spacing w:after="0"/>
              <w:rPr>
                <w:sz w:val="10"/>
                <w:szCs w:val="10"/>
                <w:color w:val="auto"/>
              </w:rPr>
            </w:pPr>
          </w:p>
        </w:tc>
        <w:tc>
          <w:tcPr>
            <w:tcW w:w="780" w:type="dxa"/>
            <w:vAlign w:val="bottom"/>
            <w:gridSpan w:val="2"/>
          </w:tcPr>
          <w:p>
            <w:pPr>
              <w:jc w:val="center"/>
              <w:ind w:left="140"/>
              <w:spacing w:after="0"/>
              <w:rPr>
                <w:sz w:val="20"/>
                <w:szCs w:val="20"/>
                <w:color w:val="auto"/>
              </w:rPr>
            </w:pPr>
            <w:r>
              <w:rPr>
                <w:rFonts w:ascii="Arial" w:cs="Arial" w:eastAsia="Arial" w:hAnsi="Arial"/>
                <w:sz w:val="10"/>
                <w:szCs w:val="10"/>
                <w:b w:val="1"/>
                <w:bCs w:val="1"/>
                <w:color w:val="auto"/>
                <w:w w:val="96"/>
              </w:rPr>
              <w:t>Nine Months</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jc w:val="center"/>
              <w:ind w:right="720"/>
              <w:spacing w:after="0" w:line="108" w:lineRule="exact"/>
              <w:rPr>
                <w:sz w:val="20"/>
                <w:szCs w:val="20"/>
                <w:color w:val="auto"/>
              </w:rPr>
            </w:pPr>
            <w:r>
              <w:rPr>
                <w:rFonts w:ascii="Arial" w:cs="Arial" w:eastAsia="Arial" w:hAnsi="Arial"/>
                <w:sz w:val="10"/>
                <w:szCs w:val="10"/>
                <w:b w:val="1"/>
                <w:bCs w:val="1"/>
                <w:color w:val="auto"/>
                <w:w w:val="98"/>
              </w:rPr>
              <w:t>Ended</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left="120"/>
              <w:spacing w:after="0" w:line="108" w:lineRule="exact"/>
              <w:rPr>
                <w:sz w:val="20"/>
                <w:szCs w:val="20"/>
                <w:color w:val="auto"/>
              </w:rPr>
            </w:pPr>
            <w:r>
              <w:rPr>
                <w:rFonts w:ascii="Arial" w:cs="Arial" w:eastAsia="Arial" w:hAnsi="Arial"/>
                <w:sz w:val="10"/>
                <w:szCs w:val="10"/>
                <w:b w:val="1"/>
                <w:bCs w:val="1"/>
                <w:color w:val="auto"/>
                <w:w w:val="91"/>
              </w:rPr>
              <w:t>Ended</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54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6"/>
              </w:rPr>
              <w:t>Period</w:t>
            </w:r>
          </w:p>
        </w:tc>
        <w:tc>
          <w:tcPr>
            <w:tcW w:w="100" w:type="dxa"/>
            <w:vAlign w:val="bottom"/>
          </w:tcPr>
          <w:p>
            <w:pPr>
              <w:spacing w:after="0"/>
              <w:rPr>
                <w:sz w:val="10"/>
                <w:szCs w:val="10"/>
                <w:color w:val="auto"/>
              </w:rPr>
            </w:pPr>
          </w:p>
        </w:tc>
        <w:tc>
          <w:tcPr>
            <w:tcW w:w="1460" w:type="dxa"/>
            <w:vAlign w:val="bottom"/>
            <w:gridSpan w:val="4"/>
          </w:tcPr>
          <w:p>
            <w:pPr>
              <w:jc w:val="center"/>
              <w:ind w:right="500"/>
              <w:spacing w:after="0"/>
              <w:rPr>
                <w:sz w:val="20"/>
                <w:szCs w:val="20"/>
                <w:color w:val="auto"/>
              </w:rPr>
            </w:pPr>
            <w:r>
              <w:rPr>
                <w:rFonts w:ascii="Arial" w:cs="Arial" w:eastAsia="Arial" w:hAnsi="Arial"/>
                <w:sz w:val="10"/>
                <w:szCs w:val="10"/>
                <w:b w:val="1"/>
                <w:bCs w:val="1"/>
                <w:color w:val="auto"/>
                <w:w w:val="93"/>
              </w:rPr>
              <w:t>September 30,</w:t>
            </w:r>
          </w:p>
        </w:tc>
        <w:tc>
          <w:tcPr>
            <w:tcW w:w="2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5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tcPr>
          <w:p>
            <w:pPr>
              <w:jc w:val="center"/>
              <w:ind w:right="680"/>
              <w:spacing w:after="0" w:line="98" w:lineRule="exact"/>
              <w:rPr>
                <w:sz w:val="20"/>
                <w:szCs w:val="20"/>
                <w:color w:val="auto"/>
              </w:rPr>
            </w:pPr>
            <w:r>
              <w:rPr>
                <w:rFonts w:ascii="Arial" w:cs="Arial" w:eastAsia="Arial" w:hAnsi="Arial"/>
                <w:sz w:val="10"/>
                <w:szCs w:val="10"/>
                <w:b w:val="1"/>
                <w:bCs w:val="1"/>
                <w:color w:val="auto"/>
                <w:w w:val="92"/>
              </w:rPr>
              <w:t>Change</w:t>
            </w: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$ 220</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$ 194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6"/>
              </w:rPr>
              <w:t>$ 26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630</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$ 576</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86"/>
              </w:rPr>
              <w:t>$ 54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Professional fees</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46</w:t>
            </w:r>
          </w:p>
        </w:tc>
        <w:tc>
          <w:tcPr>
            <w:tcW w:w="1060" w:type="dxa"/>
            <w:vAlign w:val="bottom"/>
            <w:gridSpan w:val="3"/>
          </w:tcPr>
          <w:p>
            <w:pPr>
              <w:jc w:val="right"/>
              <w:ind w:right="400"/>
              <w:spacing w:after="0"/>
              <w:rPr>
                <w:sz w:val="20"/>
                <w:szCs w:val="20"/>
                <w:color w:val="auto"/>
              </w:rPr>
            </w:pPr>
            <w:r>
              <w:rPr>
                <w:rFonts w:ascii="Arial" w:cs="Arial" w:eastAsia="Arial" w:hAnsi="Arial"/>
                <w:sz w:val="13"/>
                <w:szCs w:val="13"/>
                <w:color w:val="auto"/>
              </w:rPr>
              <w:t>44</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129</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122</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rPr>
              <w:t>7</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w:t>
            </w: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8"/>
              </w:rPr>
              <w:t>(21.4)</w:t>
            </w:r>
          </w:p>
        </w:tc>
        <w:tc>
          <w:tcPr>
            <w:tcW w:w="0" w:type="dxa"/>
            <w:vAlign w:val="bottom"/>
          </w:tcPr>
          <w:p>
            <w:pPr>
              <w:spacing w:after="0"/>
              <w:rPr>
                <w:sz w:val="1"/>
                <w:szCs w:val="1"/>
                <w:color w:val="auto"/>
              </w:rPr>
            </w:pP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Other</w:t>
            </w:r>
          </w:p>
        </w:tc>
        <w:tc>
          <w:tcPr>
            <w:tcW w:w="300" w:type="dxa"/>
            <w:vAlign w:val="bottom"/>
          </w:tcPr>
          <w:p>
            <w:pPr>
              <w:jc w:val="right"/>
              <w:spacing w:after="0"/>
              <w:rPr>
                <w:sz w:val="20"/>
                <w:szCs w:val="20"/>
                <w:color w:val="auto"/>
              </w:rPr>
            </w:pPr>
            <w:r>
              <w:rPr>
                <w:rFonts w:ascii="Arial" w:cs="Arial" w:eastAsia="Arial" w:hAnsi="Arial"/>
                <w:sz w:val="13"/>
                <w:szCs w:val="13"/>
                <w:color w:val="auto"/>
              </w:rPr>
              <w:t>92</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91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273</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259</w:t>
            </w:r>
          </w:p>
        </w:tc>
        <w:tc>
          <w:tcPr>
            <w:tcW w:w="740" w:type="dxa"/>
            <w:vAlign w:val="bottom"/>
            <w:gridSpan w:val="2"/>
          </w:tcPr>
          <w:p>
            <w:pPr>
              <w:jc w:val="right"/>
              <w:ind w:right="448"/>
              <w:spacing w:after="0"/>
              <w:rPr>
                <w:sz w:val="20"/>
                <w:szCs w:val="20"/>
                <w:color w:val="auto"/>
              </w:rPr>
            </w:pPr>
            <w:r>
              <w:rPr>
                <w:rFonts w:ascii="Arial" w:cs="Arial" w:eastAsia="Arial" w:hAnsi="Arial"/>
                <w:sz w:val="13"/>
                <w:szCs w:val="13"/>
                <w:color w:val="auto"/>
              </w:rPr>
              <w:t>14</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$ 369</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$ 339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6"/>
              </w:rPr>
              <w:t>$ 30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1,065</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$ 999</w:t>
            </w:r>
          </w:p>
        </w:tc>
        <w:tc>
          <w:tcPr>
            <w:tcW w:w="7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86"/>
              </w:rPr>
              <w:t>$ 66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i w:val="1"/>
          <w:iCs w:val="1"/>
          <w:color w:val="auto"/>
        </w:rPr>
        <w:t xml:space="preserve">Labor and related benefits </w:t>
      </w:r>
      <w:r>
        <w:rPr>
          <w:rFonts w:ascii="Arial" w:cs="Arial" w:eastAsia="Arial" w:hAnsi="Arial"/>
          <w:sz w:val="12"/>
          <w:szCs w:val="12"/>
          <w:color w:val="auto"/>
        </w:rPr>
        <w:t>— In 2010, our labor and related benefits costs have increased due to (i) higher salaried and hourly wages from our growth initiatives and annual merit</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increases; (ii) higher non-cash compensation costs incurred for equity awards granted under our long-term incentive plans during the first half of 2010; (iii) increased contract labor costs as a result of our current focus on optimizing our information technology systems; (iv) increased severance costs; and (v) an increase in bonus expense in the third quarter of 2010. In the second quarter of 2009, all of the compensation costs previously recognized for our 2008 performance share units were reversed based on a determination at that point in time that it was no longer probable that the targets established for that award would be met, which is a contributing factor to the increase in non-cash compensation costs. Additionally, stock option equity awards granted during the first quarter of 2010 provide for continued vesting for three years following an employee’s retirement. Because retirement-eligible employees are not required to provide any future service to vest in these awards, we recognized all of the compensation expense associated with their awards immediately. We did not incur similar charges in the prior year because this retirement provision was not included in any of the equity awards that were granted in 2009.</w:t>
      </w:r>
    </w:p>
    <w:p>
      <w:pPr>
        <w:spacing w:after="0" w:line="59"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Changes in our professional fees are attributed to current period increases in consulting fees for both the three- and nine-month periods, driven primarily by</w:t>
      </w:r>
      <w:r>
        <w:rPr>
          <w:rFonts w:ascii="Arial" w:cs="Arial" w:eastAsia="Arial" w:hAnsi="Arial"/>
          <w:sz w:val="13"/>
          <w:szCs w:val="13"/>
          <w:i w:val="1"/>
          <w:iCs w:val="1"/>
          <w:color w:val="auto"/>
        </w:rPr>
        <w:t xml:space="preserve"> </w:t>
      </w:r>
      <w:r>
        <w:rPr>
          <w:rFonts w:ascii="Arial" w:cs="Arial" w:eastAsia="Arial" w:hAnsi="Arial"/>
          <w:sz w:val="13"/>
          <w:szCs w:val="13"/>
          <w:color w:val="auto"/>
        </w:rPr>
        <w:t>improvements we are making to our information technology systems and our strategic plan to grow into new markets and provide expanded service offerings; offset largely by (i) higher costs during 2009 related to our efforts to expand our waste-to-energy business in China, Europe and the United States; and (ii) a reduction in legal fees for the three and nine months ended September 30, 2010 as compared with the respective prior year periods.</w:t>
      </w:r>
    </w:p>
    <w:p>
      <w:pPr>
        <w:spacing w:after="0" w:line="70"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i w:val="1"/>
          <w:iCs w:val="1"/>
          <w:color w:val="auto"/>
        </w:rPr>
        <w:t xml:space="preserve">Provision for bad debts </w:t>
      </w:r>
      <w:r>
        <w:rPr>
          <w:rFonts w:ascii="Arial" w:cs="Arial" w:eastAsia="Arial" w:hAnsi="Arial"/>
          <w:sz w:val="12"/>
          <w:szCs w:val="12"/>
          <w:color w:val="auto"/>
        </w:rPr>
        <w:t>— Our provision for bad debts for the nine months ended September 30, 2009, and particularly for the three months ended March 31, 2009, was significantly</w:t>
      </w:r>
      <w:r>
        <w:rPr>
          <w:rFonts w:ascii="Arial" w:cs="Arial" w:eastAsia="Arial" w:hAnsi="Arial"/>
          <w:sz w:val="12"/>
          <w:szCs w:val="12"/>
          <w:i w:val="1"/>
          <w:iCs w:val="1"/>
          <w:color w:val="auto"/>
        </w:rPr>
        <w:t xml:space="preserve"> </w:t>
      </w:r>
      <w:r>
        <w:rPr>
          <w:rFonts w:ascii="Arial" w:cs="Arial" w:eastAsia="Arial" w:hAnsi="Arial"/>
          <w:sz w:val="12"/>
          <w:szCs w:val="12"/>
          <w:color w:val="auto"/>
        </w:rPr>
        <w:t>higher than what we generally recognize due to the Company’s assessment in 2009 of the weak economic and market environment and the resulting impacts on our collection risk. We believe those risks have moderated. Accordingly, our provision for bad debts recognized for the nine months ended September 30, 2010 is significantly lower than the prior year period. Additionally, the reduction in our provision for bad debts reflects management’s continued focus on the collection of our receivables.</w:t>
      </w:r>
    </w:p>
    <w:p>
      <w:pPr>
        <w:spacing w:after="0" w:line="53"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We experienced current year increases in our (i) marketing and advertising costs, due in part to our strategic plan to grow into new markets and provide expanded service</w:t>
      </w:r>
      <w:r>
        <w:rPr>
          <w:rFonts w:ascii="Arial" w:cs="Arial" w:eastAsia="Arial" w:hAnsi="Arial"/>
          <w:sz w:val="13"/>
          <w:szCs w:val="13"/>
          <w:i w:val="1"/>
          <w:iCs w:val="1"/>
          <w:color w:val="auto"/>
        </w:rPr>
        <w:t xml:space="preserve"> </w:t>
      </w:r>
      <w:r>
        <w:rPr>
          <w:rFonts w:ascii="Arial" w:cs="Arial" w:eastAsia="Arial" w:hAnsi="Arial"/>
          <w:sz w:val="13"/>
          <w:szCs w:val="13"/>
          <w:color w:val="auto"/>
        </w:rPr>
        <w:t>offerings, and (ii) computer costs, due in part to improvements we are making to our information technology systems. These increases were offset partially by favorable litigation settlements, primarily in the third quarter of 2010.</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5" w:name="page46"/>
    <w:bookmarkEnd w:id="45"/>
    <w:p>
      <w:pPr>
        <w:ind w:left="20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components of our depreciation and amortization costs for the three- and nine-month periods ended September 30 (dollars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0"/>
                <w:szCs w:val="10"/>
                <w:b w:val="1"/>
                <w:bCs w:val="1"/>
                <w:color w:val="auto"/>
                <w:w w:val="97"/>
              </w:rPr>
              <w:t>Three Months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6"/>
              </w:rPr>
              <w:t>Nine Months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97"/>
              </w:rPr>
              <w:t>Period-to-</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6"/>
              </w:rPr>
              <w:t>Period</w:t>
            </w:r>
          </w:p>
        </w:tc>
        <w:tc>
          <w:tcPr>
            <w:tcW w:w="0" w:type="dxa"/>
            <w:vAlign w:val="bottom"/>
          </w:tcPr>
          <w:p>
            <w:pPr>
              <w:spacing w:after="0"/>
              <w:rPr>
                <w:sz w:val="1"/>
                <w:szCs w:val="1"/>
                <w:color w:val="auto"/>
              </w:rPr>
            </w:pPr>
          </w:p>
        </w:tc>
      </w:tr>
      <w:tr>
        <w:trPr>
          <w:trHeight w:val="98"/>
        </w:trPr>
        <w:tc>
          <w:tcPr>
            <w:tcW w:w="482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6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tcPr>
          <w:p>
            <w:pPr>
              <w:jc w:val="center"/>
              <w:ind w:right="360"/>
              <w:spacing w:after="0" w:line="98" w:lineRule="exact"/>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$ 195</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$ 586</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$ 585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300" w:type="dxa"/>
            <w:vAlign w:val="bottom"/>
          </w:tcPr>
          <w:p>
            <w:pPr>
              <w:jc w:val="right"/>
              <w:spacing w:after="0"/>
              <w:rPr>
                <w:sz w:val="20"/>
                <w:szCs w:val="20"/>
                <w:color w:val="auto"/>
              </w:rPr>
            </w:pPr>
            <w:r>
              <w:rPr>
                <w:rFonts w:ascii="Arial" w:cs="Arial" w:eastAsia="Arial" w:hAnsi="Arial"/>
                <w:sz w:val="13"/>
                <w:szCs w:val="13"/>
                <w:color w:val="auto"/>
              </w:rPr>
              <w:t>112</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620" w:type="dxa"/>
            <w:vAlign w:val="bottom"/>
            <w:gridSpan w:val="2"/>
          </w:tcPr>
          <w:p>
            <w:pPr>
              <w:jc w:val="right"/>
              <w:ind w:right="428"/>
              <w:spacing w:after="0"/>
              <w:rPr>
                <w:sz w:val="20"/>
                <w:szCs w:val="20"/>
                <w:color w:val="auto"/>
              </w:rPr>
            </w:pPr>
            <w:r>
              <w:rPr>
                <w:rFonts w:ascii="Arial" w:cs="Arial" w:eastAsia="Arial" w:hAnsi="Arial"/>
                <w:sz w:val="13"/>
                <w:szCs w:val="13"/>
                <w:color w:val="auto"/>
                <w:w w:val="82"/>
              </w:rPr>
              <w:t>12</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12.0</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301</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13</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42.9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11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5.3%</w:t>
            </w: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line="20" w:lineRule="exact"/>
              <w:rPr>
                <w:sz w:val="1"/>
                <w:szCs w:val="1"/>
                <w:color w:val="auto"/>
              </w:rPr>
            </w:pPr>
          </w:p>
        </w:tc>
      </w:tr>
      <w:tr>
        <w:trPr>
          <w:trHeight w:val="156"/>
        </w:trPr>
        <w:tc>
          <w:tcPr>
            <w:tcW w:w="48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$ 317</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$ 301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28"/>
              <w:spacing w:after="0"/>
              <w:rPr>
                <w:sz w:val="20"/>
                <w:szCs w:val="20"/>
                <w:color w:val="auto"/>
              </w:rPr>
            </w:pPr>
            <w:r>
              <w:rPr>
                <w:rFonts w:ascii="Arial" w:cs="Arial" w:eastAsia="Arial" w:hAnsi="Arial"/>
                <w:sz w:val="13"/>
                <w:szCs w:val="13"/>
                <w:color w:val="auto"/>
                <w:w w:val="82"/>
              </w:rPr>
              <w:t>16</w:t>
            </w:r>
          </w:p>
        </w:tc>
        <w:tc>
          <w:tcPr>
            <w:tcW w:w="640" w:type="dxa"/>
            <w:vAlign w:val="bottom"/>
            <w:gridSpan w:val="2"/>
            <w:vMerge w:val="continue"/>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$ 917</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$ 892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25</w:t>
            </w: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8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increase in amortization expense of landfill airspace is largely due to adjustments to the amortization rates at various landfill sites. These adjustments were principally attributable to increases in cost estimates. The increase in amortization expense of intangible assets is due to our focus on the growth and development of our business through acquisitions and other investments. The current year increases are primarily related to the amortization of definite-lived operating permits acquired by our Healthcare Solutions operations and customer lists acquired by our Southern and Midwest Groups.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right="240" w:firstLine="399"/>
        <w:spacing w:after="0" w:line="320" w:lineRule="auto"/>
        <w:rPr>
          <w:sz w:val="20"/>
          <w:szCs w:val="20"/>
          <w:color w:val="auto"/>
        </w:rPr>
      </w:pPr>
      <w:r>
        <w:rPr>
          <w:rFonts w:ascii="Arial" w:cs="Arial" w:eastAsia="Arial" w:hAnsi="Arial"/>
          <w:sz w:val="12"/>
          <w:szCs w:val="12"/>
          <w:color w:val="auto"/>
        </w:rPr>
        <w:t>In January 2009, we took steps to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This reorganization eliminated over 1,500 employee positions throughout the Company. During the three and nine months ended September 30, 2009, we recognized $3 million and $46 million, respectively, of pre-tax restructuring charges associated with this reorganization, of which $2 million and $40 million, respectively, were related to employee severance and benefit costs. During the remainder of 2009, we incurred an additional $4 million of pre-tax restructuring charges associated with this reorganization, of which $1 million was related to employee severance and benefit costs. The remaining charges were primarily related to operating lease obligations for property that will no longer be utilized.</w:t>
      </w:r>
    </w:p>
    <w:p>
      <w:pPr>
        <w:spacing w:after="0" w:line="53"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For the nine months ended September 30, 2010, we recognized $1 million of income related to the reversal of pre-tax restructuring charges. Through September 30, 2010, we have paid approximately $38 million of the employee severance and benefit costs incurred as a result of this restructuring. The length of time we are obligated to make severance payments varies, with the longest obligation continuing through the fourth quarter of 2010.</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Through December 31, 2008, we capitalized $70 million of accumulated costs associated with the development of a new waste and recycling revenue 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$49 million of which was recognized during the first quarter of 2009 and $2 million of which was recognized during the fourth quarter of 2009, for the abandonment of the licensed software.</w:t>
      </w:r>
    </w:p>
    <w:p>
      <w:pPr>
        <w:spacing w:after="0" w:line="59"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We filed a lawsuit in March 2008 related to the revenue management software implementation that was suspended in 2007 and abandoned in 2009. In April 2010, we settled the lawsuit and received a one-time cash</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6" w:name="page47"/>
    <w:bookmarkEnd w:id="46"/>
    <w:p>
      <w:pPr>
        <w:ind w:right="320"/>
        <w:spacing w:after="0" w:line="276" w:lineRule="auto"/>
        <w:rPr>
          <w:sz w:val="20"/>
          <w:szCs w:val="20"/>
          <w:color w:val="auto"/>
        </w:rPr>
      </w:pPr>
      <w:r>
        <w:rPr>
          <w:rFonts w:ascii="Arial" w:cs="Arial" w:eastAsia="Arial" w:hAnsi="Arial"/>
          <w:sz w:val="13"/>
          <w:szCs w:val="13"/>
          <w:color w:val="auto"/>
        </w:rPr>
        <w:t>payment. The settlement, included in “(Income) expense from divestitures, asset impairments and unusual items,” resulted in an increase in income from operations for the nine months ended September 30, 2010 of $77 million.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The following table summarizes income from operations by reportable segment for the three- and nine-month periods ended September 30 and provides explanations of significant factors contributing to the identified variances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98"/>
              <w:spacing w:after="0"/>
              <w:rPr>
                <w:sz w:val="20"/>
                <w:szCs w:val="20"/>
                <w:color w:val="auto"/>
              </w:rPr>
            </w:pPr>
            <w:r>
              <w:rPr>
                <w:rFonts w:ascii="Arial" w:cs="Arial" w:eastAsia="Arial" w:hAnsi="Arial"/>
                <w:sz w:val="10"/>
                <w:szCs w:val="10"/>
                <w:b w:val="1"/>
                <w:bCs w:val="1"/>
                <w:color w:val="auto"/>
                <w:w w:val="97"/>
              </w:rPr>
              <w:t>Three Months</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left="116"/>
              <w:spacing w:after="0"/>
              <w:rPr>
                <w:sz w:val="20"/>
                <w:szCs w:val="20"/>
                <w:color w:val="auto"/>
              </w:rPr>
            </w:pPr>
            <w:r>
              <w:rPr>
                <w:rFonts w:ascii="Arial" w:cs="Arial" w:eastAsia="Arial" w:hAnsi="Arial"/>
                <w:sz w:val="10"/>
                <w:szCs w:val="10"/>
                <w:b w:val="1"/>
                <w:bCs w:val="1"/>
                <w:color w:val="auto"/>
                <w:w w:val="93"/>
              </w:rPr>
              <w:t>Period-to-</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6"/>
              </w:rPr>
              <w:t>Nine Months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1"/>
              </w:rPr>
              <w:t>Ended</w:t>
            </w: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98"/>
              <w:spacing w:after="0"/>
              <w:rPr>
                <w:sz w:val="20"/>
                <w:szCs w:val="20"/>
                <w:color w:val="auto"/>
              </w:rPr>
            </w:pPr>
            <w:r>
              <w:rPr>
                <w:rFonts w:ascii="Arial" w:cs="Arial" w:eastAsia="Arial" w:hAnsi="Arial"/>
                <w:sz w:val="10"/>
                <w:szCs w:val="10"/>
                <w:b w:val="1"/>
                <w:bCs w:val="1"/>
                <w:color w:val="auto"/>
                <w:w w:val="93"/>
              </w:rPr>
              <w:t>September 30,</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9"/>
              </w:rPr>
              <w:t>Period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2010</w:t>
            </w: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3"/>
          </w:tcPr>
          <w:p>
            <w:pPr>
              <w:jc w:val="right"/>
              <w:ind w:right="14"/>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89"/>
              </w:rPr>
              <w:t>2010</w:t>
            </w: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2009</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Change</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138</w:t>
            </w:r>
          </w:p>
        </w:tc>
        <w:tc>
          <w:tcPr>
            <w:tcW w:w="60" w:type="dxa"/>
            <w:vAlign w:val="bottom"/>
          </w:tcPr>
          <w:p>
            <w:pPr>
              <w:spacing w:after="0"/>
              <w:rPr>
                <w:sz w:val="13"/>
                <w:szCs w:val="13"/>
                <w:color w:val="auto"/>
              </w:rPr>
            </w:pPr>
          </w:p>
        </w:tc>
        <w:tc>
          <w:tcPr>
            <w:tcW w:w="48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138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390</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8"/>
              <w:spacing w:after="0"/>
              <w:rPr>
                <w:sz w:val="20"/>
                <w:szCs w:val="20"/>
                <w:color w:val="auto"/>
              </w:rPr>
            </w:pPr>
            <w:r>
              <w:rPr>
                <w:rFonts w:ascii="Arial" w:cs="Arial" w:eastAsia="Arial" w:hAnsi="Arial"/>
                <w:sz w:val="13"/>
                <w:szCs w:val="13"/>
                <w:color w:val="auto"/>
              </w:rPr>
              <w:t>41</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23</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18.3</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372</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327</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45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218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193</w:t>
            </w:r>
          </w:p>
        </w:tc>
        <w:tc>
          <w:tcPr>
            <w:tcW w:w="8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25</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13.0</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624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581</w:t>
            </w:r>
          </w:p>
        </w:tc>
        <w:tc>
          <w:tcPr>
            <w:tcW w:w="80" w:type="dxa"/>
            <w:vAlign w:val="bottom"/>
          </w:tcPr>
          <w:p>
            <w:pPr>
              <w:spacing w:after="0"/>
              <w:rPr>
                <w:sz w:val="13"/>
                <w:szCs w:val="13"/>
                <w:color w:val="auto"/>
              </w:rPr>
            </w:pPr>
          </w:p>
        </w:tc>
        <w:tc>
          <w:tcPr>
            <w:tcW w:w="680" w:type="dxa"/>
            <w:vAlign w:val="bottom"/>
            <w:gridSpan w:val="2"/>
          </w:tcPr>
          <w:p>
            <w:pPr>
              <w:jc w:val="right"/>
              <w:ind w:right="408"/>
              <w:spacing w:after="0"/>
              <w:rPr>
                <w:sz w:val="20"/>
                <w:szCs w:val="20"/>
                <w:color w:val="auto"/>
              </w:rPr>
            </w:pPr>
            <w:r>
              <w:rPr>
                <w:rFonts w:ascii="Arial" w:cs="Arial" w:eastAsia="Arial" w:hAnsi="Arial"/>
                <w:sz w:val="13"/>
                <w:szCs w:val="13"/>
                <w:color w:val="auto"/>
              </w:rPr>
              <w:t>43</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5</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416</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415</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rPr>
              <w:t>(7)</w:t>
            </w:r>
          </w:p>
        </w:tc>
        <w:tc>
          <w:tcPr>
            <w:tcW w:w="660" w:type="dxa"/>
            <w:vAlign w:val="bottom"/>
            <w:gridSpan w:val="2"/>
          </w:tcPr>
          <w:p>
            <w:pPr>
              <w:jc w:val="right"/>
              <w:ind w:right="360"/>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150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167</w:t>
            </w:r>
          </w:p>
        </w:tc>
        <w:tc>
          <w:tcPr>
            <w:tcW w:w="80" w:type="dxa"/>
            <w:vAlign w:val="bottom"/>
          </w:tcPr>
          <w:p>
            <w:pPr>
              <w:spacing w:after="0"/>
              <w:rPr>
                <w:sz w:val="13"/>
                <w:szCs w:val="13"/>
                <w:color w:val="auto"/>
              </w:rPr>
            </w:pPr>
          </w:p>
        </w:tc>
        <w:tc>
          <w:tcPr>
            <w:tcW w:w="680" w:type="dxa"/>
            <w:vAlign w:val="bottom"/>
            <w:gridSpan w:val="2"/>
          </w:tcPr>
          <w:p>
            <w:pPr>
              <w:jc w:val="right"/>
              <w:ind w:right="368"/>
              <w:spacing w:after="0"/>
              <w:rPr>
                <w:sz w:val="20"/>
                <w:szCs w:val="20"/>
                <w:color w:val="auto"/>
              </w:rPr>
            </w:pPr>
            <w:r>
              <w:rPr>
                <w:rFonts w:ascii="Arial" w:cs="Arial" w:eastAsia="Arial" w:hAnsi="Arial"/>
                <w:sz w:val="13"/>
                <w:szCs w:val="13"/>
                <w:color w:val="auto"/>
              </w:rPr>
              <w:t>(17)</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(10.2)</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(6)</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18.8</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6.3</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6.4</w:t>
            </w:r>
          </w:p>
        </w:tc>
        <w:tc>
          <w:tcPr>
            <w:tcW w:w="0" w:type="dxa"/>
            <w:vAlign w:val="bottom"/>
          </w:tcPr>
          <w:p>
            <w:pPr>
              <w:spacing w:after="0" w:line="20" w:lineRule="exact"/>
              <w:rPr>
                <w:sz w:val="1"/>
                <w:szCs w:val="1"/>
                <w:color w:val="auto"/>
              </w:rPr>
            </w:pPr>
          </w:p>
        </w:tc>
      </w:tr>
      <w:tr>
        <w:trPr>
          <w:trHeight w:val="156"/>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680</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640</w:t>
            </w:r>
          </w:p>
        </w:tc>
        <w:tc>
          <w:tcPr>
            <w:tcW w:w="8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40</w:t>
            </w: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1,859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1,748</w:t>
            </w:r>
          </w:p>
        </w:tc>
        <w:tc>
          <w:tcPr>
            <w:tcW w:w="80" w:type="dxa"/>
            <w:vAlign w:val="bottom"/>
          </w:tcPr>
          <w:p>
            <w:pPr>
              <w:spacing w:after="0"/>
              <w:rPr>
                <w:sz w:val="13"/>
                <w:szCs w:val="13"/>
                <w:color w:val="auto"/>
              </w:rPr>
            </w:pPr>
          </w:p>
        </w:tc>
        <w:tc>
          <w:tcPr>
            <w:tcW w:w="680" w:type="dxa"/>
            <w:vAlign w:val="bottom"/>
            <w:gridSpan w:val="2"/>
          </w:tcPr>
          <w:p>
            <w:pPr>
              <w:jc w:val="right"/>
              <w:ind w:right="408"/>
              <w:spacing w:after="0"/>
              <w:rPr>
                <w:sz w:val="20"/>
                <w:szCs w:val="20"/>
                <w:color w:val="auto"/>
              </w:rPr>
            </w:pPr>
            <w:r>
              <w:rPr>
                <w:rFonts w:ascii="Arial" w:cs="Arial" w:eastAsia="Arial" w:hAnsi="Arial"/>
                <w:sz w:val="13"/>
                <w:szCs w:val="13"/>
                <w:color w:val="auto"/>
                <w:w w:val="92"/>
              </w:rPr>
              <w:t>111</w:t>
            </w:r>
          </w:p>
        </w:tc>
        <w:tc>
          <w:tcPr>
            <w:tcW w:w="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85"/>
              </w:rPr>
              <w:t>(115)</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94"/>
              </w:rPr>
              <w:t>(21)</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18.3</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(317)</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3.6%</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line="20" w:lineRule="exact"/>
              <w:rPr>
                <w:sz w:val="1"/>
                <w:szCs w:val="1"/>
                <w:color w:val="auto"/>
              </w:rPr>
            </w:pPr>
          </w:p>
        </w:tc>
      </w:tr>
      <w:tr>
        <w:trPr>
          <w:trHeight w:val="156"/>
        </w:trPr>
        <w:tc>
          <w:tcPr>
            <w:tcW w:w="432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544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525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19</w:t>
            </w:r>
          </w:p>
        </w:tc>
        <w:tc>
          <w:tcPr>
            <w:tcW w:w="66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1,542</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1,431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8"/>
              <w:spacing w:after="0"/>
              <w:rPr>
                <w:sz w:val="20"/>
                <w:szCs w:val="20"/>
                <w:color w:val="auto"/>
              </w:rPr>
            </w:pPr>
            <w:r>
              <w:rPr>
                <w:rFonts w:ascii="Arial" w:cs="Arial" w:eastAsia="Arial" w:hAnsi="Arial"/>
                <w:sz w:val="13"/>
                <w:szCs w:val="13"/>
                <w:color w:val="auto"/>
                <w:w w:val="92"/>
              </w:rPr>
              <w:t>111</w:t>
            </w:r>
          </w:p>
        </w:tc>
        <w:tc>
          <w:tcPr>
            <w:tcW w:w="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560" w:firstLine="399"/>
        <w:spacing w:after="0" w:line="276" w:lineRule="auto"/>
        <w:rPr>
          <w:sz w:val="20"/>
          <w:szCs w:val="20"/>
          <w:color w:val="auto"/>
        </w:rPr>
      </w:pPr>
      <w:r>
        <w:rPr>
          <w:rFonts w:ascii="Arial" w:cs="Arial" w:eastAsia="Arial" w:hAnsi="Arial"/>
          <w:sz w:val="13"/>
          <w:szCs w:val="13"/>
          <w:i w:val="1"/>
          <w:iCs w:val="1"/>
          <w:color w:val="auto"/>
        </w:rPr>
        <w:t xml:space="preserve">Reportable Segments — </w:t>
      </w:r>
      <w:r>
        <w:rPr>
          <w:rFonts w:ascii="Arial" w:cs="Arial" w:eastAsia="Arial" w:hAnsi="Arial"/>
          <w:sz w:val="13"/>
          <w:szCs w:val="13"/>
          <w:color w:val="auto"/>
        </w:rPr>
        <w:t>During the three and nine months ended September 30, 2010, the results of operations of each of our geographic Groups improved as a result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following:</w:t>
      </w:r>
    </w:p>
    <w:p>
      <w:pPr>
        <w:spacing w:after="0" w:line="59" w:lineRule="exact"/>
        <w:rPr>
          <w:sz w:val="20"/>
          <w:szCs w:val="20"/>
          <w:color w:val="auto"/>
        </w:rPr>
      </w:pPr>
    </w:p>
    <w:p>
      <w:pPr>
        <w:ind w:left="600" w:hanging="190"/>
        <w:spacing w:after="0"/>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significant year-over-year improvement in market prices for recyclable commodities;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revenue growth from yield on our base business;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accretive benefits of recent acquisitions.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These improvements in the geographic Groups’ 2010 results were offset, in part, by a decrease in income from operations caused by the following:</w:t>
      </w:r>
    </w:p>
    <w:p>
      <w:pPr>
        <w:spacing w:after="0" w:line="96" w:lineRule="exact"/>
        <w:rPr>
          <w:sz w:val="20"/>
          <w:szCs w:val="20"/>
          <w:color w:val="auto"/>
        </w:rPr>
      </w:pPr>
    </w:p>
    <w:p>
      <w:pPr>
        <w:ind w:left="600" w:right="60" w:hanging="190"/>
        <w:spacing w:after="0" w:line="276" w:lineRule="auto"/>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continued volume declines due to economic conditions, increased pricing, competition, recent trends of waste reduction, waste diversion by consumers and severe winter weather experienced during the first quarter of 2010;</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increasing direct and indirect costs for diesel fuel, which have outpaced the related revenue growth from our fuel surcharge program;</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higher salaries and wages due to annual merit increases that were effective in July 2009 for hourly employees and in April 2010 for both salaried and hourly employees; and</w:t>
      </w:r>
    </w:p>
    <w:p>
      <w:pPr>
        <w:spacing w:after="0" w:line="97" w:lineRule="exact"/>
        <w:rPr>
          <w:rFonts w:ascii="Arial" w:cs="Arial" w:eastAsia="Arial" w:hAnsi="Arial"/>
          <w:sz w:val="12"/>
          <w:szCs w:val="12"/>
          <w:color w:val="auto"/>
        </w:rPr>
      </w:pPr>
    </w:p>
    <w:p>
      <w:pPr>
        <w:ind w:left="600" w:hanging="190"/>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increased overtime and landfill operating costs due to severe winter weather experienced during the first quarter of 2010.</w:t>
      </w:r>
    </w:p>
    <w:p>
      <w:pPr>
        <w:spacing w:after="0" w:line="96" w:lineRule="exact"/>
        <w:rPr>
          <w:sz w:val="20"/>
          <w:szCs w:val="20"/>
          <w:color w:val="auto"/>
        </w:rPr>
      </w:pPr>
    </w:p>
    <w:p>
      <w:pPr>
        <w:jc w:val="both"/>
        <w:ind w:right="40" w:firstLine="399"/>
        <w:spacing w:after="0" w:line="285" w:lineRule="auto"/>
        <w:rPr>
          <w:sz w:val="20"/>
          <w:szCs w:val="20"/>
          <w:color w:val="auto"/>
        </w:rPr>
      </w:pPr>
      <w:r>
        <w:rPr>
          <w:rFonts w:ascii="Arial" w:cs="Arial" w:eastAsia="Arial" w:hAnsi="Arial"/>
          <w:sz w:val="12"/>
          <w:szCs w:val="12"/>
          <w:color w:val="auto"/>
        </w:rPr>
        <w:t>Although each of the geographic Groups have been significantly affected by the above items, our Eastern and Midwest Groups saw much more significant 2010 earnings growth than our Southern and Western Groups largely because (i) the slowdown in construction activities, which has driven our industrial collection volume declines, is more significant in the Southern and Western portions of the United States; (ii) recycling activities are less prevalent in the South, which made that Group’s earnings growth from recyclable commodity price recovery in the current year less significant; (iii) a more significant portion of the Western Group’s collection revenues are subject to long-term franchise agreements that tie pricing adjustments to inflation indices, which have been extremely low, and in some cases negative, in recent periods; and (iv) the Western Group has experienced more significant volume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declines, particularly in the economically-sensitive special waste business where volumes have shown year-over-year improvement in our other geographic Groups.</w:t>
      </w:r>
    </w:p>
    <w:p>
      <w:pPr>
        <w:spacing w:after="0" w:line="96" w:lineRule="exact"/>
        <w:rPr>
          <w:sz w:val="20"/>
          <w:szCs w:val="20"/>
          <w:color w:val="auto"/>
        </w:rPr>
      </w:pPr>
    </w:p>
    <w:p>
      <w:pPr>
        <w:ind w:right="360" w:firstLine="399"/>
        <w:spacing w:after="0" w:line="320" w:lineRule="auto"/>
        <w:rPr>
          <w:sz w:val="20"/>
          <w:szCs w:val="20"/>
          <w:color w:val="auto"/>
        </w:rPr>
      </w:pPr>
      <w:r>
        <w:rPr>
          <w:rFonts w:ascii="Arial" w:cs="Arial" w:eastAsia="Arial" w:hAnsi="Arial"/>
          <w:sz w:val="12"/>
          <w:szCs w:val="12"/>
          <w:color w:val="auto"/>
        </w:rPr>
        <w:t>The comparability of each of our geographic Groups’ operating results for the periods was also affected by (i) the restructuring charges we recognized during the three and nine months ended September 30, 2009; and (ii) a significantly higher provision for bad debts during 2009 due to the economic and market conditions at that time.</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Other significant items affecting the comparability of our Groups’ results of operations for the three and nine-month periods ended September 30, 2010 and 2009 are summarized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400" w:firstLine="383"/>
        <w:spacing w:after="0" w:line="276" w:lineRule="auto"/>
        <w:rPr>
          <w:sz w:val="20"/>
          <w:szCs w:val="20"/>
          <w:color w:val="auto"/>
        </w:rPr>
      </w:pPr>
      <w:r>
        <w:rPr>
          <w:rFonts w:ascii="Arial" w:cs="Arial" w:eastAsia="Arial" w:hAnsi="Arial"/>
          <w:sz w:val="13"/>
          <w:szCs w:val="13"/>
          <w:i w:val="1"/>
          <w:iCs w:val="1"/>
          <w:color w:val="auto"/>
        </w:rPr>
        <w:t xml:space="preserve">Eastern </w:t>
      </w:r>
      <w:r>
        <w:rPr>
          <w:rFonts w:ascii="Arial" w:cs="Arial" w:eastAsia="Arial" w:hAnsi="Arial"/>
          <w:sz w:val="13"/>
          <w:szCs w:val="13"/>
          <w:color w:val="auto"/>
        </w:rPr>
        <w:t>— During the second quarter of 2009, the Group recognized a charge of $9 million related to employees of a bargaining unit in New Jersey agreeing to our proposal to</w:t>
      </w:r>
      <w:r>
        <w:rPr>
          <w:rFonts w:ascii="Arial" w:cs="Arial" w:eastAsia="Arial" w:hAnsi="Arial"/>
          <w:sz w:val="13"/>
          <w:szCs w:val="13"/>
          <w:i w:val="1"/>
          <w:iCs w:val="1"/>
          <w:color w:val="auto"/>
        </w:rPr>
        <w:t xml:space="preserve"> </w:t>
      </w:r>
      <w:r>
        <w:rPr>
          <w:rFonts w:ascii="Arial" w:cs="Arial" w:eastAsia="Arial" w:hAnsi="Arial"/>
          <w:sz w:val="13"/>
          <w:szCs w:val="13"/>
          <w:color w:val="auto"/>
        </w:rPr>
        <w:t>withdraw them from an under-funded, multi-employer pension plan.</w:t>
      </w:r>
    </w:p>
    <w:p>
      <w:pPr>
        <w:spacing w:after="0" w:line="59" w:lineRule="exact"/>
        <w:rPr>
          <w:sz w:val="20"/>
          <w:szCs w:val="20"/>
          <w:color w:val="auto"/>
        </w:rPr>
      </w:pPr>
    </w:p>
    <w:p>
      <w:pPr>
        <w:ind w:left="400" w:right="180" w:firstLine="383"/>
        <w:spacing w:after="0" w:line="320" w:lineRule="auto"/>
        <w:rPr>
          <w:sz w:val="20"/>
          <w:szCs w:val="20"/>
          <w:color w:val="auto"/>
        </w:rPr>
      </w:pPr>
      <w:r>
        <w:rPr>
          <w:rFonts w:ascii="Arial" w:cs="Arial" w:eastAsia="Arial" w:hAnsi="Arial"/>
          <w:sz w:val="12"/>
          <w:szCs w:val="12"/>
          <w:i w:val="1"/>
          <w:iCs w:val="1"/>
          <w:color w:val="auto"/>
        </w:rPr>
        <w:t xml:space="preserve">Midwest </w:t>
      </w:r>
      <w:r>
        <w:rPr>
          <w:rFonts w:ascii="Arial" w:cs="Arial" w:eastAsia="Arial" w:hAnsi="Arial"/>
          <w:sz w:val="12"/>
          <w:szCs w:val="12"/>
          <w:color w:val="auto"/>
        </w:rPr>
        <w:t>— The income from operations of our Midwest Group for the nine months ended September 30, 2010 was significantly affected by the recognition of charges of</w:t>
      </w:r>
      <w:r>
        <w:rPr>
          <w:rFonts w:ascii="Arial" w:cs="Arial" w:eastAsia="Arial" w:hAnsi="Arial"/>
          <w:sz w:val="12"/>
          <w:szCs w:val="12"/>
          <w:i w:val="1"/>
          <w:iCs w:val="1"/>
          <w:color w:val="auto"/>
        </w:rPr>
        <w:t xml:space="preserve"> </w:t>
      </w:r>
      <w:r>
        <w:rPr>
          <w:rFonts w:ascii="Arial" w:cs="Arial" w:eastAsia="Arial" w:hAnsi="Arial"/>
          <w:sz w:val="12"/>
          <w:szCs w:val="12"/>
          <w:color w:val="auto"/>
        </w:rPr>
        <w:t>$26 million as a result of employees of five bargaining units in Michigan and Ohio agreeing to our proposal to withdraw them from an under-funded, multi-employer pension plan.</w:t>
      </w:r>
    </w:p>
    <w:p>
      <w:pPr>
        <w:spacing w:after="0" w:line="35" w:lineRule="exact"/>
        <w:rPr>
          <w:sz w:val="20"/>
          <w:szCs w:val="20"/>
          <w:color w:val="auto"/>
        </w:rPr>
      </w:pPr>
    </w:p>
    <w:p>
      <w:pPr>
        <w:ind w:left="400" w:right="100" w:firstLine="383"/>
        <w:spacing w:after="0" w:line="280" w:lineRule="auto"/>
        <w:rPr>
          <w:sz w:val="20"/>
          <w:szCs w:val="20"/>
          <w:color w:val="auto"/>
        </w:rPr>
      </w:pPr>
      <w:r>
        <w:rPr>
          <w:rFonts w:ascii="Arial" w:cs="Arial" w:eastAsia="Arial" w:hAnsi="Arial"/>
          <w:sz w:val="12"/>
          <w:szCs w:val="12"/>
          <w:i w:val="1"/>
          <w:iCs w:val="1"/>
          <w:color w:val="auto"/>
        </w:rPr>
        <w:t xml:space="preserve">Southern </w:t>
      </w:r>
      <w:r>
        <w:rPr>
          <w:rFonts w:ascii="Arial" w:cs="Arial" w:eastAsia="Arial" w:hAnsi="Arial"/>
          <w:sz w:val="12"/>
          <w:szCs w:val="12"/>
          <w:color w:val="auto"/>
        </w:rPr>
        <w:t>— Additional volumes from oil spill clean-up activities along the Gulf Coast favorably impacted the Group’s income from operations for the three and nine months</w:t>
      </w:r>
      <w:r>
        <w:rPr>
          <w:rFonts w:ascii="Arial" w:cs="Arial" w:eastAsia="Arial" w:hAnsi="Arial"/>
          <w:sz w:val="12"/>
          <w:szCs w:val="12"/>
          <w:i w:val="1"/>
          <w:iCs w:val="1"/>
          <w:color w:val="auto"/>
        </w:rPr>
        <w:t xml:space="preserve"> </w:t>
      </w:r>
      <w:r>
        <w:rPr>
          <w:rFonts w:ascii="Arial" w:cs="Arial" w:eastAsia="Arial" w:hAnsi="Arial"/>
          <w:sz w:val="12"/>
          <w:szCs w:val="12"/>
          <w:color w:val="auto"/>
        </w:rPr>
        <w:t>ended September 30, 2010 by $14 million and $20 million, respectively. The operating results for the nine months ended September 30, 2009 were negatively affected by (i) a</w:t>
      </w:r>
    </w:p>
    <w:p>
      <w:pPr>
        <w:ind w:left="400"/>
        <w:spacing w:after="0" w:line="258" w:lineRule="auto"/>
        <w:rPr>
          <w:sz w:val="20"/>
          <w:szCs w:val="20"/>
          <w:color w:val="auto"/>
        </w:rPr>
      </w:pPr>
      <w:r>
        <w:rPr>
          <w:rFonts w:ascii="Arial" w:cs="Arial" w:eastAsia="Arial" w:hAnsi="Arial"/>
          <w:sz w:val="13"/>
          <w:szCs w:val="13"/>
          <w:color w:val="auto"/>
        </w:rPr>
        <w:t>$7 million increase in landfill amortization expense and environmental remediation operating costs during the second quarter of 2009 that resulted from changes in certain estimates related to final capping, closure, post-closure and remedial obligations; and (ii) the recognition of a $2 million impairment charge during the second quarter of 2009 due to a change in the expectations for the operating life of a landfill.</w:t>
      </w:r>
    </w:p>
    <w:p>
      <w:pPr>
        <w:spacing w:after="0" w:line="71" w:lineRule="exact"/>
        <w:rPr>
          <w:sz w:val="20"/>
          <w:szCs w:val="20"/>
          <w:color w:val="auto"/>
        </w:rPr>
      </w:pPr>
    </w:p>
    <w:p>
      <w:pPr>
        <w:jc w:val="both"/>
        <w:ind w:left="400" w:right="40" w:firstLine="383"/>
        <w:spacing w:after="0" w:line="264" w:lineRule="auto"/>
        <w:rPr>
          <w:sz w:val="20"/>
          <w:szCs w:val="20"/>
          <w:color w:val="auto"/>
        </w:rPr>
      </w:pPr>
      <w:r>
        <w:rPr>
          <w:rFonts w:ascii="Arial" w:cs="Arial" w:eastAsia="Arial" w:hAnsi="Arial"/>
          <w:sz w:val="13"/>
          <w:szCs w:val="13"/>
          <w:i w:val="1"/>
          <w:iCs w:val="1"/>
          <w:color w:val="auto"/>
        </w:rPr>
        <w:t xml:space="preserve">Western </w:t>
      </w:r>
      <w:r>
        <w:rPr>
          <w:rFonts w:ascii="Arial" w:cs="Arial" w:eastAsia="Arial" w:hAnsi="Arial"/>
          <w:sz w:val="13"/>
          <w:szCs w:val="13"/>
          <w:color w:val="auto"/>
        </w:rPr>
        <w:t>— Favorably affecting the comparison of the first nine months of 2010 with the respective prior-year period was the recognition of several adjustments resulting from</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estimates associated with our obligations for landfill final capping, closure and post-closure. These adjustments were primarily related to a closed landfill in Los Angeles, California for which the Group recognized $7 million of additional landfill amortization expense during the third quarter of 2009.</w:t>
      </w:r>
    </w:p>
    <w:p>
      <w:pPr>
        <w:spacing w:after="0" w:line="67" w:lineRule="exact"/>
        <w:rPr>
          <w:sz w:val="20"/>
          <w:szCs w:val="20"/>
          <w:color w:val="auto"/>
        </w:rPr>
      </w:pPr>
    </w:p>
    <w:p>
      <w:pPr>
        <w:ind w:left="400" w:right="80" w:firstLine="383"/>
        <w:spacing w:after="0" w:line="257"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 The decrease in the income from operations of our Wheelabrator Group for the nine months ended September 30, 2010 as compared to the respective prior</w:t>
      </w:r>
      <w:r>
        <w:rPr>
          <w:rFonts w:ascii="Arial" w:cs="Arial" w:eastAsia="Arial" w:hAnsi="Arial"/>
          <w:sz w:val="13"/>
          <w:szCs w:val="13"/>
          <w:i w:val="1"/>
          <w:iCs w:val="1"/>
          <w:color w:val="auto"/>
        </w:rPr>
        <w:t xml:space="preserve"> </w:t>
      </w:r>
      <w:r>
        <w:rPr>
          <w:rFonts w:ascii="Arial" w:cs="Arial" w:eastAsia="Arial" w:hAnsi="Arial"/>
          <w:sz w:val="13"/>
          <w:szCs w:val="13"/>
          <w:color w:val="auto"/>
        </w:rPr>
        <w:t>year period was driven by (i) changes in contracts at two of our facilities that increased our exposure to current energy market prices; and (ii) an increase in maintenance-related outages as compared with the prior year, which resulted in decreased electricity generation and increased plant maintenance costs. These increases are attributable in part to needed repair and maintenance expenses at our facility in Portsmouth, Virginia that we acquired in April 2010, and to accelerated maintenance expenses at certain of our facilities. These unfavorable items were partially offset by the favorable impact of (i) expenses associated with international and domestic business development activities that did not recur this year; and (ii) increased revenues from the sale of metals.</w:t>
      </w:r>
    </w:p>
    <w:p>
      <w:pPr>
        <w:spacing w:after="0" w:line="72" w:lineRule="exact"/>
        <w:rPr>
          <w:sz w:val="20"/>
          <w:szCs w:val="20"/>
          <w:color w:val="auto"/>
        </w:rPr>
      </w:pPr>
    </w:p>
    <w:p>
      <w:pPr>
        <w:ind w:left="400" w:right="80" w:firstLine="383"/>
        <w:spacing w:after="0" w:line="260" w:lineRule="auto"/>
        <w:rPr>
          <w:sz w:val="20"/>
          <w:szCs w:val="20"/>
          <w:color w:val="auto"/>
        </w:rPr>
      </w:pPr>
      <w:r>
        <w:rPr>
          <w:rFonts w:ascii="Arial" w:cs="Arial" w:eastAsia="Arial" w:hAnsi="Arial"/>
          <w:sz w:val="13"/>
          <w:szCs w:val="13"/>
          <w:color w:val="auto"/>
        </w:rPr>
        <w:t>The decrease in the income from operations of our Wheelabrator Group for the three months ended September 30, 2010 as compared to the respective prior year period was driven by the factors discussed above and offset partially by (i) the favorable impact of higher energy market prices during the current quarter as compared with the third quarter of 2009; (ii) the favorable impact from receipt of an insurance claim for business interruption and property damages during the third quarter of 2010 associated with an outage at one of our facilities from May 2 to August 4, 2010 as a result of a generator failure.</w:t>
      </w:r>
    </w:p>
    <w:p>
      <w:pPr>
        <w:spacing w:after="0" w:line="7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Significant items affecting the comparability of the remaining components of our results of operations for the three-and nine-month periods ended September 30, 2010 and 2009 are summarized below:</w:t>
      </w:r>
    </w:p>
    <w:p>
      <w:pPr>
        <w:spacing w:after="0" w:line="59" w:lineRule="exact"/>
        <w:rPr>
          <w:sz w:val="20"/>
          <w:szCs w:val="20"/>
          <w:color w:val="auto"/>
        </w:rPr>
      </w:pPr>
    </w:p>
    <w:p>
      <w:pPr>
        <w:ind w:left="400" w:right="240" w:firstLine="383"/>
        <w:spacing w:after="0" w:line="320"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The changes in operating results for our “Other” businesses during the three and nine months ended September 30, 2010 are the result of (i) improvements in our</w:t>
      </w:r>
      <w:r>
        <w:rPr>
          <w:rFonts w:ascii="Arial" w:cs="Arial" w:eastAsia="Arial" w:hAnsi="Arial"/>
          <w:sz w:val="12"/>
          <w:szCs w:val="12"/>
          <w:i w:val="1"/>
          <w:iCs w:val="1"/>
          <w:color w:val="auto"/>
        </w:rPr>
        <w:t xml:space="preserve"> </w:t>
      </w:r>
      <w:r>
        <w:rPr>
          <w:rFonts w:ascii="Arial" w:cs="Arial" w:eastAsia="Arial" w:hAnsi="Arial"/>
          <w:sz w:val="12"/>
          <w:szCs w:val="12"/>
          <w:color w:val="auto"/>
        </w:rPr>
        <w:t>recycling brokerage business as a result of higher recycling commodity prices so far this year and (ii) the unfavorable effect of additional costs in the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48" w:name="page49"/>
    <w:bookmarkEnd w:id="48"/>
    <w:p>
      <w:pPr>
        <w:ind w:left="400"/>
        <w:spacing w:after="0"/>
        <w:rPr>
          <w:sz w:val="20"/>
          <w:szCs w:val="20"/>
          <w:color w:val="auto"/>
        </w:rPr>
      </w:pPr>
      <w:r>
        <w:rPr>
          <w:rFonts w:ascii="Arial" w:cs="Arial" w:eastAsia="Arial" w:hAnsi="Arial"/>
          <w:sz w:val="13"/>
          <w:szCs w:val="13"/>
          <w:color w:val="auto"/>
        </w:rPr>
        <w:t>current year to support the Company’s strategic plan to grow into new markets and provide expanded service offerings.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Corporate and Other — </w:t>
      </w:r>
      <w:r>
        <w:rPr>
          <w:rFonts w:ascii="Arial" w:cs="Arial" w:eastAsia="Arial" w:hAnsi="Arial"/>
          <w:sz w:val="13"/>
          <w:szCs w:val="13"/>
          <w:color w:val="auto"/>
        </w:rPr>
        <w:t>Significant items affecting the comparability of expenses are as follows:</w:t>
      </w:r>
    </w:p>
    <w:p>
      <w:pPr>
        <w:spacing w:after="0" w:line="96" w:lineRule="exact"/>
        <w:rPr>
          <w:sz w:val="20"/>
          <w:szCs w:val="20"/>
          <w:color w:val="auto"/>
        </w:rPr>
      </w:pPr>
    </w:p>
    <w:p>
      <w:pPr>
        <w:ind w:left="600" w:hanging="190"/>
        <w:spacing w:after="0" w:line="264"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benefit of $126 million associated with the revenue management software implementation that was suspended in 2007 and abandoned in 2009, comprised of (i) a current year benefit of $77 million resulting from a one-time cash payment from a litigation settlement that occurred in April 2010 and (ii) a $49 million charge recognized in the prior year for the abandonment of the licensed software;</w:t>
      </w:r>
    </w:p>
    <w:p>
      <w:pPr>
        <w:spacing w:after="0" w:line="57" w:lineRule="exact"/>
        <w:rPr>
          <w:rFonts w:ascii="Arial" w:cs="Arial" w:eastAsia="Arial" w:hAnsi="Arial"/>
          <w:sz w:val="13"/>
          <w:szCs w:val="13"/>
          <w:color w:val="auto"/>
        </w:rPr>
      </w:pPr>
    </w:p>
    <w:p>
      <w:pPr>
        <w:ind w:left="600" w:right="100" w:hanging="190"/>
        <w:spacing w:after="0" w:line="276"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recognition of net charges of $50 million during the nine months ended September 30, 2010 for estimates associated with environmental remediation liabilities at four closed sites;</w:t>
      </w:r>
    </w:p>
    <w:p>
      <w:pPr>
        <w:spacing w:after="0" w:line="49" w:lineRule="exact"/>
        <w:rPr>
          <w:rFonts w:ascii="Arial" w:cs="Arial" w:eastAsia="Arial" w:hAnsi="Arial"/>
          <w:sz w:val="13"/>
          <w:szCs w:val="13"/>
          <w:color w:val="auto"/>
        </w:rPr>
      </w:pPr>
    </w:p>
    <w:p>
      <w:pPr>
        <w:ind w:left="600" w:right="260" w:hanging="190"/>
        <w:spacing w:after="0" w:line="264"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prior year recognition of favorable adjustments of $32 million due to increases in United States Treasury rates, which are used to estimate the present value of our environmental remediation obligations and recovery assets. During the first quarter of 2009, the discount rate used was increased from 2.25% to 2.75% and during the second quarter of 2009, the discount rate used was increased from 2.75% to 3.50%; and</w:t>
      </w:r>
    </w:p>
    <w:p>
      <w:pPr>
        <w:spacing w:after="0" w:line="57" w:lineRule="exact"/>
        <w:rPr>
          <w:rFonts w:ascii="Arial" w:cs="Arial" w:eastAsia="Arial" w:hAnsi="Arial"/>
          <w:sz w:val="13"/>
          <w:szCs w:val="13"/>
          <w:color w:val="auto"/>
        </w:rPr>
      </w:pPr>
    </w:p>
    <w:p>
      <w:pPr>
        <w:jc w:val="both"/>
        <w:ind w:left="600" w:right="140" w:hanging="190"/>
        <w:spacing w:after="0" w:line="264"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current year-to-date recognition of unfavorable adjustments of $13 million due to the decrease in United States Treasury rates. The discount rate used to estimate the present value of our environmental remediation obligations and recovery assets was decreased from 3.75% to 3.00% and 3.00% to 2.50% during the second and third quarters of 2010, respectively.</w:t>
      </w:r>
    </w:p>
    <w:p>
      <w:pPr>
        <w:spacing w:after="0" w:line="67" w:lineRule="exact"/>
        <w:rPr>
          <w:sz w:val="20"/>
          <w:szCs w:val="20"/>
          <w:color w:val="auto"/>
        </w:rPr>
      </w:pPr>
    </w:p>
    <w:p>
      <w:pPr>
        <w:ind w:right="660" w:firstLine="399"/>
        <w:spacing w:after="0" w:line="276" w:lineRule="auto"/>
        <w:rPr>
          <w:sz w:val="20"/>
          <w:szCs w:val="20"/>
          <w:color w:val="auto"/>
        </w:rPr>
      </w:pPr>
      <w:r>
        <w:rPr>
          <w:rFonts w:ascii="Arial" w:cs="Arial" w:eastAsia="Arial" w:hAnsi="Arial"/>
          <w:sz w:val="13"/>
          <w:szCs w:val="13"/>
          <w:color w:val="auto"/>
        </w:rPr>
        <w:t>Further impacting the comparison of the current year results with the prior year are (i) prior year restructuring charges; (ii) current year cost increases related to our equity compensation, consulting fees and bonus expense; and (iii) a favorable litigation settlement during the third quarter of 2010.</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Renewable Energy Operations</w:t>
      </w:r>
    </w:p>
    <w:p>
      <w:pPr>
        <w:spacing w:after="0" w:line="96"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We have extracted value from the waste streams we manage for years, and we are focusing on increasing our ability to do so, particularly in the field of clean and renewable energy. Most significantly, our current operations produce renewable energy through the waste-to-energy facilities that are managed by our Wheelabrator Group and our landfill gas-to-energy operations. We are actively seeking opportunities to enhance our existing renewable energy service offerings to ensure that we can respond to the shifting demands of consumers and to ensure that we are acting as a leader in environmental stewardship.</w:t>
      </w:r>
    </w:p>
    <w:p>
      <w:pPr>
        <w:spacing w:after="0" w:line="70"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We are disclosing the following supplemental information related to the operating results of our renewable energy operations for 2010 (in millions) because we believe that it provides information related to the significance of our current renewable energy operations, the profitability of these operations and the costs we are incurring to develop these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9"/>
                <w:szCs w:val="9"/>
                <w:b w:val="1"/>
                <w:bCs w:val="1"/>
                <w:color w:val="auto"/>
                <w:w w:val="91"/>
              </w:rPr>
              <w:t>Three Months Ended September 30, 2010</w:t>
            </w: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9"/>
                <w:szCs w:val="9"/>
                <w:b w:val="1"/>
                <w:bCs w:val="1"/>
                <w:color w:val="auto"/>
                <w:w w:val="91"/>
              </w:rPr>
              <w:t>Nine Months Ended September 30, 2010</w:t>
            </w: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13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right"/>
              <w:ind w:right="280"/>
              <w:spacing w:after="0" w:line="75" w:lineRule="exact"/>
              <w:rPr>
                <w:sz w:val="20"/>
                <w:szCs w:val="20"/>
                <w:color w:val="auto"/>
              </w:rPr>
            </w:pPr>
            <w:r>
              <w:rPr>
                <w:rFonts w:ascii="Arial" w:cs="Arial" w:eastAsia="Arial" w:hAnsi="Arial"/>
                <w:sz w:val="8"/>
                <w:szCs w:val="8"/>
                <w:b w:val="1"/>
                <w:bCs w:val="1"/>
                <w:color w:val="auto"/>
              </w:rPr>
              <w:t>Landfill Gas-</w:t>
            </w:r>
          </w:p>
        </w:tc>
        <w:tc>
          <w:tcPr>
            <w:tcW w:w="780" w:type="dxa"/>
            <w:vAlign w:val="bottom"/>
          </w:tcPr>
          <w:p>
            <w:pPr>
              <w:jc w:val="right"/>
              <w:ind w:right="132"/>
              <w:spacing w:after="0" w:line="75" w:lineRule="exact"/>
              <w:rPr>
                <w:sz w:val="20"/>
                <w:szCs w:val="20"/>
                <w:color w:val="auto"/>
              </w:rPr>
            </w:pPr>
            <w:r>
              <w:rPr>
                <w:rFonts w:ascii="Arial" w:cs="Arial" w:eastAsia="Arial" w:hAnsi="Arial"/>
                <w:sz w:val="8"/>
                <w:szCs w:val="8"/>
                <w:b w:val="1"/>
                <w:bCs w:val="1"/>
                <w:color w:val="auto"/>
              </w:rPr>
              <w:t>Growth</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right"/>
              <w:ind w:right="280"/>
              <w:spacing w:after="0" w:line="75" w:lineRule="exact"/>
              <w:rPr>
                <w:sz w:val="20"/>
                <w:szCs w:val="20"/>
                <w:color w:val="auto"/>
              </w:rPr>
            </w:pPr>
            <w:r>
              <w:rPr>
                <w:rFonts w:ascii="Arial" w:cs="Arial" w:eastAsia="Arial" w:hAnsi="Arial"/>
                <w:sz w:val="8"/>
                <w:szCs w:val="8"/>
                <w:b w:val="1"/>
                <w:bCs w:val="1"/>
                <w:color w:val="auto"/>
              </w:rPr>
              <w:t>Landfill Gas-</w:t>
            </w:r>
          </w:p>
        </w:tc>
        <w:tc>
          <w:tcPr>
            <w:tcW w:w="80" w:type="dxa"/>
            <w:vAlign w:val="bottom"/>
          </w:tcPr>
          <w:p>
            <w:pPr>
              <w:spacing w:after="0"/>
              <w:rPr>
                <w:sz w:val="6"/>
                <w:szCs w:val="6"/>
                <w:color w:val="auto"/>
              </w:rPr>
            </w:pPr>
          </w:p>
        </w:tc>
        <w:tc>
          <w:tcPr>
            <w:tcW w:w="1000" w:type="dxa"/>
            <w:vAlign w:val="bottom"/>
            <w:gridSpan w:val="2"/>
          </w:tcPr>
          <w:p>
            <w:pPr>
              <w:jc w:val="right"/>
              <w:ind w:right="480"/>
              <w:spacing w:after="0" w:line="75" w:lineRule="exact"/>
              <w:rPr>
                <w:sz w:val="20"/>
                <w:szCs w:val="20"/>
                <w:color w:val="auto"/>
              </w:rPr>
            </w:pPr>
            <w:r>
              <w:rPr>
                <w:rFonts w:ascii="Arial" w:cs="Arial" w:eastAsia="Arial" w:hAnsi="Arial"/>
                <w:sz w:val="8"/>
                <w:szCs w:val="8"/>
                <w:b w:val="1"/>
                <w:bCs w:val="1"/>
                <w:color w:val="auto"/>
              </w:rPr>
              <w:t>Growth</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11"/>
        </w:trPr>
        <w:tc>
          <w:tcPr>
            <w:tcW w:w="1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ind w:right="69"/>
              <w:spacing w:after="0"/>
              <w:rPr>
                <w:sz w:val="20"/>
                <w:szCs w:val="20"/>
                <w:color w:val="auto"/>
              </w:rPr>
            </w:pPr>
            <w:r>
              <w:rPr>
                <w:rFonts w:ascii="Arial" w:cs="Arial" w:eastAsia="Arial" w:hAnsi="Arial"/>
                <w:sz w:val="9"/>
                <w:szCs w:val="9"/>
                <w:b w:val="1"/>
                <w:bCs w:val="1"/>
                <w:color w:val="auto"/>
              </w:rPr>
              <w:t>Wheelabrator</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4"/>
              </w:rPr>
              <w:t>to-Energy(a)</w:t>
            </w:r>
          </w:p>
        </w:tc>
        <w:tc>
          <w:tcPr>
            <w:tcW w:w="780" w:type="dxa"/>
            <w:vAlign w:val="bottom"/>
          </w:tcPr>
          <w:p>
            <w:pPr>
              <w:jc w:val="right"/>
              <w:spacing w:after="0"/>
              <w:rPr>
                <w:sz w:val="20"/>
                <w:szCs w:val="20"/>
                <w:color w:val="auto"/>
              </w:rPr>
            </w:pPr>
            <w:r>
              <w:rPr>
                <w:rFonts w:ascii="Arial" w:cs="Arial" w:eastAsia="Arial" w:hAnsi="Arial"/>
                <w:sz w:val="9"/>
                <w:szCs w:val="9"/>
                <w:b w:val="1"/>
                <w:bCs w:val="1"/>
                <w:color w:val="auto"/>
              </w:rPr>
              <w:t>Opportunities(b)</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Wheelabrator</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4"/>
              </w:rPr>
              <w:t>to-Energy(a)</w:t>
            </w:r>
          </w:p>
        </w:tc>
        <w:tc>
          <w:tcPr>
            <w:tcW w:w="80" w:type="dxa"/>
            <w:vAlign w:val="bottom"/>
          </w:tcPr>
          <w:p>
            <w:pPr>
              <w:spacing w:after="0"/>
              <w:rPr>
                <w:sz w:val="9"/>
                <w:szCs w:val="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6"/>
              </w:rPr>
              <w:t>Opportunities(b)</w:t>
            </w:r>
          </w:p>
        </w:tc>
        <w:tc>
          <w:tcPr>
            <w:tcW w:w="3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Total</w:t>
            </w:r>
          </w:p>
        </w:tc>
      </w:tr>
      <w:tr>
        <w:trPr>
          <w:trHeight w:val="29"/>
        </w:trPr>
        <w:tc>
          <w:tcPr>
            <w:tcW w:w="1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32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 revenues (including intercompany)</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237</w:t>
            </w:r>
          </w:p>
        </w:tc>
        <w:tc>
          <w:tcPr>
            <w:tcW w:w="2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32</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5"/>
              </w:rPr>
              <w:t>269</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660</w:t>
            </w:r>
          </w:p>
        </w:tc>
        <w:tc>
          <w:tcPr>
            <w:tcW w:w="2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$ 751</w:t>
            </w:r>
          </w:p>
        </w:tc>
      </w:tr>
      <w:tr>
        <w:trPr>
          <w:trHeight w:val="108"/>
        </w:trPr>
        <w:tc>
          <w:tcPr>
            <w:tcW w:w="3240" w:type="dxa"/>
            <w:vAlign w:val="bottom"/>
            <w:gridSpan w:val="2"/>
          </w:tcPr>
          <w:p>
            <w:pPr>
              <w:spacing w:after="0" w:line="108" w:lineRule="exact"/>
              <w:rPr>
                <w:sz w:val="20"/>
                <w:szCs w:val="20"/>
                <w:color w:val="auto"/>
              </w:rPr>
            </w:pPr>
            <w:r>
              <w:rPr>
                <w:rFonts w:ascii="Arial" w:cs="Arial" w:eastAsia="Arial" w:hAnsi="Arial"/>
                <w:sz w:val="10"/>
                <w:szCs w:val="10"/>
                <w:color w:val="auto"/>
              </w:rPr>
              <w:t>Costs and expenses:</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2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129</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5"/>
              </w:rPr>
              <w:t>143</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391</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36</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428</w:t>
            </w:r>
          </w:p>
        </w:tc>
      </w:tr>
      <w:tr>
        <w:trPr>
          <w:trHeight w:val="108"/>
        </w:trPr>
        <w:tc>
          <w:tcPr>
            <w:tcW w:w="3240" w:type="dxa"/>
            <w:vAlign w:val="bottom"/>
            <w:gridSpan w:val="2"/>
          </w:tcPr>
          <w:p>
            <w:pPr>
              <w:spacing w:after="0" w:line="108" w:lineRule="exact"/>
              <w:rPr>
                <w:sz w:val="20"/>
                <w:szCs w:val="20"/>
                <w:color w:val="auto"/>
              </w:rPr>
            </w:pPr>
            <w:r>
              <w:rPr>
                <w:rFonts w:ascii="Arial" w:cs="Arial" w:eastAsia="Arial" w:hAnsi="Arial"/>
                <w:sz w:val="10"/>
                <w:szCs w:val="10"/>
                <w:color w:val="auto"/>
              </w:rPr>
              <w:t>Selling, general &amp; administrative</w:t>
            </w: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17</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3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10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3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55</w:t>
            </w:r>
          </w:p>
        </w:tc>
      </w:tr>
      <w:tr>
        <w:trPr>
          <w:trHeight w:val="108"/>
        </w:trPr>
        <w:tc>
          <w:tcPr>
            <w:tcW w:w="32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24</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69</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86</w:t>
            </w:r>
          </w:p>
        </w:tc>
      </w:tr>
      <w:tr>
        <w:trPr>
          <w:trHeight w:val="108"/>
        </w:trPr>
        <w:tc>
          <w:tcPr>
            <w:tcW w:w="1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170</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w:t>
            </w:r>
          </w:p>
        </w:tc>
        <w:tc>
          <w:tcPr>
            <w:tcW w:w="200" w:type="dxa"/>
            <w:vAlign w:val="bottom"/>
          </w:tcPr>
          <w:p>
            <w:pPr>
              <w:spacing w:after="0"/>
              <w:rPr>
                <w:sz w:val="9"/>
                <w:szCs w:val="9"/>
                <w:color w:val="auto"/>
              </w:rPr>
            </w:pPr>
          </w:p>
        </w:tc>
        <w:tc>
          <w:tcPr>
            <w:tcW w:w="78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192</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510</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w:t>
            </w:r>
          </w:p>
        </w:tc>
        <w:tc>
          <w:tcPr>
            <w:tcW w:w="180" w:type="dxa"/>
            <w:vAlign w:val="bottom"/>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569</w:t>
            </w:r>
          </w:p>
        </w:tc>
        <w:tc>
          <w:tcPr>
            <w:tcW w:w="100" w:type="dxa"/>
            <w:vAlign w:val="bottom"/>
          </w:tcPr>
          <w:p>
            <w:pPr>
              <w:spacing w:after="0"/>
              <w:rPr>
                <w:sz w:val="9"/>
                <w:szCs w:val="9"/>
                <w:color w:val="auto"/>
              </w:rPr>
            </w:pPr>
          </w:p>
        </w:tc>
      </w:tr>
      <w:tr>
        <w:trPr>
          <w:trHeight w:val="117"/>
        </w:trPr>
        <w:tc>
          <w:tcPr>
            <w:tcW w:w="324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Income (loss) from operations</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67</w:t>
            </w:r>
          </w:p>
        </w:tc>
        <w:tc>
          <w:tcPr>
            <w:tcW w:w="2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97"/>
              </w:rPr>
              <w:t>(2)</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150</w:t>
            </w:r>
          </w:p>
        </w:tc>
        <w:tc>
          <w:tcPr>
            <w:tcW w:w="2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$ 182</w:t>
            </w:r>
          </w:p>
        </w:tc>
      </w:tr>
      <w:tr>
        <w:trPr>
          <w:trHeight w:val="108"/>
        </w:trPr>
        <w:tc>
          <w:tcPr>
            <w:tcW w:w="130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400" w:right="380" w:hanging="393"/>
        <w:spacing w:after="0" w:line="276" w:lineRule="auto"/>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9" w:name="page50"/>
    <w:bookmarkEnd w:id="49"/>
    <w:p>
      <w:pPr>
        <w:ind w:left="400"/>
        <w:spacing w:after="0"/>
        <w:rPr>
          <w:sz w:val="20"/>
          <w:szCs w:val="20"/>
          <w:color w:val="auto"/>
        </w:rPr>
      </w:pPr>
      <w:r>
        <w:rPr>
          <w:rFonts w:ascii="Arial" w:cs="Arial" w:eastAsia="Arial" w:hAnsi="Arial"/>
          <w:sz w:val="13"/>
          <w:szCs w:val="13"/>
          <w:color w:val="auto"/>
        </w:rPr>
        <w:t>to third party owner/operators. The operating results of our landfill gas-to-energy business are included within our geographic reportable segments and “Other.”</w:t>
      </w:r>
    </w:p>
    <w:p>
      <w:pPr>
        <w:spacing w:after="0" w:line="47" w:lineRule="exact"/>
        <w:rPr>
          <w:sz w:val="20"/>
          <w:szCs w:val="20"/>
          <w:color w:val="auto"/>
        </w:rPr>
      </w:pPr>
    </w:p>
    <w:p>
      <w:pPr>
        <w:ind w:left="400" w:right="180" w:hanging="393"/>
        <w:spacing w:after="0" w:line="264" w:lineRule="auto"/>
        <w:tabs>
          <w:tab w:leader="none" w:pos="4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businesses and entities we have acquired or invested in through our organic growth group’s business development efforts. These businesses include a landfill gas to LNG facility; landfill gas to diesel fuels technologies; organic waste streams to fuels technologies; and other engineered fuels technologies. The operating results of our Growth Opportunities are included within “Other” in our assessment of our income from operations by segment.</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Our interest expense was $126 million and $354 million for the three and nine months ended September 30, 2010, respectively, compared with $104 million and $316 million for the three and nine months ended September 30, 2009, respectively. The significant increase in our interest expense in 2010 is primarily due to (i) higher average debt balances, the incremental portion of which have generally been incurred to support our strategic plans, (ii) significantly higher costs related to the execution and maintenance of our revolving credit facility and (iii) a decrease in benefits to interest expense provided by our active interest rate swaps as a result of our election to terminate swaps with a notional amount of $350 million in December 2009 and the scheduled maturity of interest rate swaps with a notional amount of $600 million in August 2010. These increases in interest expense were offset, in part, by a decline in market interest rates, which has reduced the interest costs of our Canadian credit facility and our tax-exempt borrowings.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right="160" w:firstLine="399"/>
        <w:spacing w:after="0" w:line="296" w:lineRule="auto"/>
        <w:rPr>
          <w:sz w:val="20"/>
          <w:szCs w:val="20"/>
          <w:color w:val="auto"/>
        </w:rPr>
      </w:pPr>
      <w:r>
        <w:rPr>
          <w:rFonts w:ascii="Arial" w:cs="Arial" w:eastAsia="Arial" w:hAnsi="Arial"/>
          <w:sz w:val="12"/>
          <w:szCs w:val="12"/>
          <w:color w:val="auto"/>
        </w:rPr>
        <w:t>Interest income was $1 million and $3 million for the three and nine months ended September 30, 2010 compared with $3 million and $10 million for the three and nine months ended September 30, 2009, respectively. The decrease in interest income is primarily related to a decline in market interest rates. Although our average cash and cash equivalents balances have increased year-over-year, record-low short-term interest rates have resulted in insignificant interest being generated on current balances.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We recorded a provision for income taxes of $153 million during the third quarter of 2010, representing an effective tax rate of 37.3%, compared with a provision for income taxes of $133 million during the third quarter of 2009, representing a 31.2% effective tax rate. Our effective tax rate for the nine months ended September 30, 2010 was 39.8% compared with 35.2% for the nine months ended September 30, 2009.</w:t>
      </w:r>
    </w:p>
    <w:p>
      <w:pPr>
        <w:spacing w:after="0" w:line="67" w:lineRule="exact"/>
        <w:rPr>
          <w:sz w:val="20"/>
          <w:szCs w:val="20"/>
          <w:color w:val="auto"/>
        </w:rPr>
      </w:pPr>
    </w:p>
    <w:p>
      <w:pPr>
        <w:ind w:right="20" w:firstLine="399"/>
        <w:spacing w:after="0" w:line="300" w:lineRule="auto"/>
        <w:rPr>
          <w:sz w:val="20"/>
          <w:szCs w:val="20"/>
          <w:color w:val="auto"/>
        </w:rPr>
      </w:pPr>
      <w:r>
        <w:rPr>
          <w:rFonts w:ascii="Arial" w:cs="Arial" w:eastAsia="Arial" w:hAnsi="Arial"/>
          <w:sz w:val="11"/>
          <w:szCs w:val="11"/>
          <w:color w:val="auto"/>
        </w:rPr>
        <w:t>The increase in our provision for income taxes when comparing the three months ended September 30, 2010, with the comparable prior year period is due to (i) adjustments recorded in each year relating to the finalization of tax returns, which increased our provision for income taxes by $4 million in 2010 and decreased our provision for income taxes by $11 million in 2009; (ii) tax audit settlements, which reduced our provision for income taxes by $2 million in 2010 and by $9 million in 2009; (iii) a $5 million benefit in 2009 related to the utilization of state net operating loss carry-forwards; and (iv) an increase in our effective state and local tax rate in 2010. The year-over-year increase in the third quarter resulting from these items was partially offset by the favorable impact of federal low-income housing tax credits in 2010 and an unfavorable adjustment in 2009 related to our net accumulated state deferred tax liabilities. In addition to the above, the increase in our provision for income taxes for the nine months ended September 30, 2010, as compared with the comparable prior year period, is due to a</w:t>
      </w:r>
    </w:p>
    <w:p>
      <w:pPr>
        <w:spacing w:after="0" w:line="2"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$37 million increase in our provision during the second quarter of 2010 for state deferred income taxes to reflect the impact of changes in the estimated tax rate at which existing temporary differences will be realized.</w:t>
      </w:r>
    </w:p>
    <w:p>
      <w:pPr>
        <w:spacing w:after="0" w:line="67" w:lineRule="exact"/>
        <w:rPr>
          <w:sz w:val="20"/>
          <w:szCs w:val="20"/>
          <w:color w:val="auto"/>
        </w:rPr>
      </w:pPr>
    </w:p>
    <w:p>
      <w:pPr>
        <w:ind w:right="360" w:firstLine="399"/>
        <w:spacing w:after="0" w:line="320" w:lineRule="auto"/>
        <w:rPr>
          <w:sz w:val="20"/>
          <w:szCs w:val="20"/>
          <w:color w:val="auto"/>
        </w:rPr>
      </w:pPr>
      <w:r>
        <w:rPr>
          <w:rFonts w:ascii="Arial" w:cs="Arial" w:eastAsia="Arial" w:hAnsi="Arial"/>
          <w:sz w:val="12"/>
          <w:szCs w:val="12"/>
          <w:color w:val="auto"/>
        </w:rPr>
        <w:t>Our investment in federal low-income housing reduced our provision for income taxes by $7 million and $18 million for the three and nine months ended September 30, 2010, respectively. Refer to Note 5 to the Condensed Consolidated Financial Statements for more information related to our federal low-income housing investment.</w:t>
      </w:r>
    </w:p>
    <w:p>
      <w:pPr>
        <w:spacing w:after="0" w:line="35" w:lineRule="exact"/>
        <w:rPr>
          <w:sz w:val="20"/>
          <w:szCs w:val="20"/>
          <w:color w:val="auto"/>
        </w:rPr>
      </w:pPr>
    </w:p>
    <w:p>
      <w:pPr>
        <w:ind w:right="480" w:firstLine="399"/>
        <w:spacing w:after="0" w:line="276" w:lineRule="auto"/>
        <w:rPr>
          <w:sz w:val="20"/>
          <w:szCs w:val="20"/>
          <w:color w:val="auto"/>
        </w:rPr>
      </w:pPr>
      <w:r>
        <w:rPr>
          <w:rFonts w:ascii="Arial" w:cs="Arial" w:eastAsia="Arial" w:hAnsi="Arial"/>
          <w:sz w:val="13"/>
          <w:szCs w:val="13"/>
          <w:color w:val="auto"/>
        </w:rPr>
        <w:t>The Small Business Jobs Act, signed into law in September 2010, includes a provision extending bonus depreciation for assets placed in service in 2010. The acceleration of deductions on current year capital expenditures will have no impact on our effective tax rate but is expected to reduce our 2010 cash taxes by</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50" w:name="page51"/>
    <w:bookmarkEnd w:id="50"/>
    <w:p>
      <w:pPr>
        <w:spacing w:after="0" w:line="276" w:lineRule="auto"/>
        <w:rPr>
          <w:sz w:val="20"/>
          <w:szCs w:val="20"/>
          <w:color w:val="auto"/>
        </w:rPr>
      </w:pPr>
      <w:r>
        <w:rPr>
          <w:rFonts w:ascii="Arial" w:cs="Arial" w:eastAsia="Arial" w:hAnsi="Arial"/>
          <w:sz w:val="13"/>
          <w:szCs w:val="13"/>
          <w:color w:val="auto"/>
        </w:rPr>
        <w:t>approximately $60 million. The current year cash tax benefit will result in increased cash taxes in future periods when the deduction for these capital expenditures would have otherwise been realized.</w:t>
      </w:r>
    </w:p>
    <w:p>
      <w:pPr>
        <w:spacing w:after="0" w:line="59"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The Patient Protection and Affordable Care Act, which was signed into law in March 2010, includes a provision that eliminates the tax deductibility of retiree health care costs to the extent that retiree prescription drug benefits are reimbursed under Medicare Part D coverage. Although this provision of the Act does not take effect until 2013, we were required to recognize the full accounting impact of the change in law on our deferred tax assets during the first quarter of 2010, the period in which the law was enacted. The remeasurement of our deferred tax assets did not affect our financial position or results of operations as of or for the three and nine months ended September 30, 2010.</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Noncontrolling Interests</w:t>
      </w:r>
    </w:p>
    <w:p>
      <w:pPr>
        <w:spacing w:after="0" w:line="96"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Net income attributable to noncontrolling interests was $14 million and $36 million for the three and nine months ended September 30, 2010, respectively, compared with $15 million and $50 million for the three and nine months ended September 30, 2009, respectively. The comparison of these amounts for the reported periods has been affected by (i) our January 2010 acquisition of a controlling financial interest in a portable self-storage business; and (ii) the deconsolidation of certain capping, closure, post-closure and environmental remediation trusts as a result of our implementation of authoritative accounting guidance, effective January 1, 2010, associated with variable interest entities.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is a summary of our cash and cash equivalents, restricted trust and escrow accounts and debt balances as of September 30, 2010 and December 31, 2009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166"/>
        </w:trPr>
        <w:tc>
          <w:tcPr>
            <w:tcW w:w="7500" w:type="dxa"/>
            <w:vAlign w:val="bottom"/>
            <w:gridSpan w:val="2"/>
          </w:tcPr>
          <w:p>
            <w:pPr>
              <w:spacing w:after="0"/>
              <w:rPr>
                <w:sz w:val="20"/>
                <w:szCs w:val="20"/>
                <w:color w:val="auto"/>
              </w:rPr>
            </w:pPr>
            <w:r>
              <w:rPr>
                <w:rFonts w:ascii="Arial" w:cs="Arial" w:eastAsia="Arial" w:hAnsi="Arial"/>
                <w:sz w:val="13"/>
                <w:szCs w:val="13"/>
                <w:color w:val="auto"/>
              </w:rPr>
              <w:t>Restricted trust and escrow accounts:</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Tax-exempt bond funds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Capping, closure, post-closure and environmental remediation funds(a)</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restricted trust and escrow accounts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00" w:type="dxa"/>
            <w:vAlign w:val="bottom"/>
            <w:gridSpan w:val="2"/>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65"/>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w:t>
            </w: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Current portion of long-term debt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161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8,798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8,124</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long-term debt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8,959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8,873</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hanging="393"/>
        <w:spacing w:after="0" w:line="258" w:lineRule="auto"/>
        <w:tabs>
          <w:tab w:leader="none" w:pos="4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decrease in restricted trust and escrow accounts from December 31, 2009 is due to our implementation of revised accounting guidance related to the consolidation of variable interest entities. Effective January 1, 2010, we were required to deconsolidate trusts for which power over significant activities is shared, which reduced our restricted trust and escrow accounts by $109 million. Beginning in 2010, our interests in these variable interest entities have been accounted for as investments in unconsolidated entities and receivables. The fair value of our investments and related receivables in these entities was $113 million as of September 30, 2010. These amounts are recorded in “Other receivables” and as long-term “Other assets” in our Condensed Consolidated Balance Sheet.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1" w:name="page52"/>
    <w:bookmarkEnd w:id="51"/>
    <w:p>
      <w:pPr>
        <w:ind w:left="400"/>
        <w:spacing w:after="0"/>
        <w:rPr>
          <w:sz w:val="20"/>
          <w:szCs w:val="20"/>
          <w:color w:val="auto"/>
        </w:rPr>
      </w:pPr>
      <w:r>
        <w:rPr>
          <w:rFonts w:ascii="Arial" w:cs="Arial" w:eastAsia="Arial" w:hAnsi="Arial"/>
          <w:sz w:val="12"/>
          <w:szCs w:val="12"/>
          <w:color w:val="auto"/>
        </w:rPr>
        <w:t>As of September 30, 2010, we had $477 million of debt maturing within twelve months, including U.S. $208 million under our Canadian credit facility and $147 million of</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7.65% senior notes that mature in March 2011. The amount reported as the current portion of long-term debt as of September 30, 2010 excludes $316 million of these scheduled repayments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because we have the intent and ability to refinance portions of our current maturities on a long-term basis.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summary of our cash flows for the nine-month periods ended September 30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Nine Months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100"/>
              <w:spacing w:after="0" w:line="108" w:lineRule="exact"/>
              <w:rPr>
                <w:sz w:val="20"/>
                <w:szCs w:val="20"/>
                <w:color w:val="auto"/>
              </w:rPr>
            </w:pPr>
            <w:r>
              <w:rPr>
                <w:rFonts w:ascii="Arial" w:cs="Arial" w:eastAsia="Arial" w:hAnsi="Arial"/>
                <w:sz w:val="10"/>
                <w:szCs w:val="10"/>
                <w:b w:val="1"/>
                <w:bCs w:val="1"/>
                <w:color w:val="auto"/>
              </w:rPr>
              <w:t>Ended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2"/>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1,642</w:t>
            </w:r>
          </w:p>
        </w:tc>
        <w:tc>
          <w:tcPr>
            <w:tcW w:w="0" w:type="dxa"/>
            <w:vAlign w:val="bottom"/>
          </w:tcPr>
          <w:p>
            <w:pPr>
              <w:spacing w:after="0"/>
              <w:rPr>
                <w:sz w:val="1"/>
                <w:szCs w:val="1"/>
                <w:color w:val="auto"/>
              </w:rPr>
            </w:pPr>
          </w:p>
        </w:tc>
      </w:tr>
      <w:tr>
        <w:trPr>
          <w:trHeight w:val="29"/>
        </w:trPr>
        <w:tc>
          <w:tcPr>
            <w:tcW w:w="84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4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(1,175)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(830)</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 We generated $1,653 million of cash flows from operating activities during the nine-month period ended September 30, 2010,</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with $1,642 million during the nine-month period ended September 30, 2009. The $11 million increase was driven principally by (i) an increase in income from operations, primarily attributable to a favorable cash benefit of $77 million resulting from a litigation settlement in April 2010; (ii) a $65 million federal tax refund in the third quarter of 2010 related to the liquidation of a foreign subsidiary in 2009; and (iii) prior year payments of $32 million related to severance and benefit costs associated with our January 2009 restructuring. The increases were largely offset by an increase in income tax payments of $45 million and an increase in our trade receivables due to seasonal trends, which were not as significant in 2009.</w:t>
      </w:r>
    </w:p>
    <w:p>
      <w:pPr>
        <w:spacing w:after="0" w:line="55" w:lineRule="exact"/>
        <w:rPr>
          <w:sz w:val="20"/>
          <w:szCs w:val="20"/>
          <w:color w:val="auto"/>
        </w:rPr>
      </w:pPr>
    </w:p>
    <w:p>
      <w:pPr>
        <w:ind w:right="20" w:firstLine="399"/>
        <w:spacing w:after="0" w:line="371" w:lineRule="auto"/>
        <w:rPr>
          <w:sz w:val="20"/>
          <w:szCs w:val="20"/>
          <w:color w:val="auto"/>
        </w:rPr>
      </w:pPr>
      <w:r>
        <w:rPr>
          <w:rFonts w:ascii="Arial" w:cs="Arial" w:eastAsia="Arial" w:hAnsi="Arial"/>
          <w:sz w:val="11"/>
          <w:szCs w:val="11"/>
          <w:i w:val="1"/>
          <w:iCs w:val="1"/>
          <w:color w:val="auto"/>
        </w:rPr>
        <w:t xml:space="preserve">Net Cash Used in Investing Activities </w:t>
      </w:r>
      <w:r>
        <w:rPr>
          <w:rFonts w:ascii="Arial" w:cs="Arial" w:eastAsia="Arial" w:hAnsi="Arial"/>
          <w:sz w:val="11"/>
          <w:szCs w:val="11"/>
          <w:color w:val="auto"/>
        </w:rPr>
        <w:t>— During the first nine months of 2010, net cash used in investing activities was $1,175 million, compared with $830 million during the first</w:t>
      </w:r>
      <w:r>
        <w:rPr>
          <w:rFonts w:ascii="Arial" w:cs="Arial" w:eastAsia="Arial" w:hAnsi="Arial"/>
          <w:sz w:val="11"/>
          <w:szCs w:val="11"/>
          <w:i w:val="1"/>
          <w:iCs w:val="1"/>
          <w:color w:val="auto"/>
        </w:rPr>
        <w:t xml:space="preserve"> </w:t>
      </w:r>
      <w:r>
        <w:rPr>
          <w:rFonts w:ascii="Arial" w:cs="Arial" w:eastAsia="Arial" w:hAnsi="Arial"/>
          <w:sz w:val="11"/>
          <w:szCs w:val="11"/>
          <w:color w:val="auto"/>
        </w:rPr>
        <w:t>nine months of 2009. The most significant items affecting the comparison of our investing cash flows for the nine-month periods ended September 30, 2010 and 2009 are summarized below:</w:t>
      </w:r>
    </w:p>
    <w:p>
      <w:pPr>
        <w:spacing w:after="0" w:line="12" w:lineRule="exact"/>
        <w:rPr>
          <w:sz w:val="20"/>
          <w:szCs w:val="20"/>
          <w:color w:val="auto"/>
        </w:rPr>
      </w:pPr>
    </w:p>
    <w:p>
      <w:pPr>
        <w:ind w:left="600" w:right="40" w:hanging="190"/>
        <w:spacing w:after="0" w:line="260" w:lineRule="auto"/>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Investments in unconsolidated entities </w:t>
      </w:r>
      <w:r>
        <w:rPr>
          <w:rFonts w:ascii="Arial" w:cs="Arial" w:eastAsia="Arial" w:hAnsi="Arial"/>
          <w:sz w:val="13"/>
          <w:szCs w:val="13"/>
          <w:color w:val="auto"/>
        </w:rPr>
        <w:t>— We made $162 million of cash investments in unconsolidated entities during the first nine months of 2010. These cash investments were</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related to a $142 million payment made to acquire a 40% equity investment in Shanghai Environment Group (“SEG”), a subsidiary of Shanghai Chengtou Holding Co., Ltd. As a joint venture partner in SEG, we will participate in the operation and management of waste-to-energy and other waste services in the Chinese market. SEG will also focus on building new waste-to-energy facilities in China.</w:t>
      </w:r>
    </w:p>
    <w:p>
      <w:pPr>
        <w:spacing w:after="0" w:line="59" w:lineRule="exact"/>
        <w:rPr>
          <w:rFonts w:ascii="Arial" w:cs="Arial" w:eastAsia="Arial" w:hAnsi="Arial"/>
          <w:sz w:val="13"/>
          <w:szCs w:val="13"/>
          <w:color w:val="auto"/>
        </w:rPr>
      </w:pPr>
    </w:p>
    <w:p>
      <w:pPr>
        <w:ind w:left="600" w:right="200" w:hanging="190"/>
        <w:spacing w:after="0" w:line="260" w:lineRule="auto"/>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spent $737 million during the first nine months of 2010 for capital expenditures compared with $823 million in the first nine months of 2009, a</w:t>
      </w:r>
      <w:r>
        <w:rPr>
          <w:rFonts w:ascii="Arial" w:cs="Arial" w:eastAsia="Arial" w:hAnsi="Arial"/>
          <w:sz w:val="13"/>
          <w:szCs w:val="13"/>
          <w:i w:val="1"/>
          <w:iCs w:val="1"/>
          <w:color w:val="auto"/>
        </w:rPr>
        <w:t xml:space="preserve"> </w:t>
      </w:r>
      <w:r>
        <w:rPr>
          <w:rFonts w:ascii="Arial" w:cs="Arial" w:eastAsia="Arial" w:hAnsi="Arial"/>
          <w:sz w:val="13"/>
          <w:szCs w:val="13"/>
          <w:color w:val="auto"/>
        </w:rPr>
        <w:t>decrease of $86 million. The decrease can generally be attributed to timing differences associated with cash payments for the previous years’ fourth quarter capital spending. Approximately $145 million of our fourth quarter 2009 spending was paid in cash in 2010 compared with approximately $245 million of our fourth quarter 2008 spending that was paid in the first quarter of 2009.</w:t>
      </w:r>
    </w:p>
    <w:p>
      <w:pPr>
        <w:spacing w:after="0" w:line="59" w:lineRule="exact"/>
        <w:rPr>
          <w:rFonts w:ascii="Arial" w:cs="Arial" w:eastAsia="Arial" w:hAnsi="Arial"/>
          <w:sz w:val="13"/>
          <w:szCs w:val="13"/>
          <w:color w:val="auto"/>
        </w:rPr>
      </w:pPr>
    </w:p>
    <w:p>
      <w:pPr>
        <w:ind w:left="600" w:right="120" w:hanging="190"/>
        <w:spacing w:after="0" w:line="296" w:lineRule="auto"/>
        <w:tabs>
          <w:tab w:leader="none" w:pos="60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Acquisitions </w:t>
      </w:r>
      <w:r>
        <w:rPr>
          <w:rFonts w:ascii="Arial" w:cs="Arial" w:eastAsia="Arial" w:hAnsi="Arial"/>
          <w:sz w:val="12"/>
          <w:szCs w:val="12"/>
          <w:color w:val="auto"/>
        </w:rPr>
        <w:t>— Our spending on acquisitions increased from $127 million for the nine months ended September 30, 2009 to $343 million for the nine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September 30, 2010. During the second quarter of 2010, we paid approximately $150 million to acquire a waste-to-energy facility in Portsmouth, Virginia. We continue to focus on accretive acquisitions and growth opportunities that will contribute to improved future results of operations and enhance and expand our existing service offerings.</w:t>
      </w:r>
    </w:p>
    <w:p>
      <w:pPr>
        <w:spacing w:after="0" w:line="39" w:lineRule="exact"/>
        <w:rPr>
          <w:rFonts w:ascii="Arial" w:cs="Arial" w:eastAsia="Arial" w:hAnsi="Arial"/>
          <w:sz w:val="12"/>
          <w:szCs w:val="12"/>
          <w:color w:val="auto"/>
        </w:rPr>
      </w:pPr>
    </w:p>
    <w:p>
      <w:pPr>
        <w:ind w:left="600" w:right="40" w:hanging="190"/>
        <w:spacing w:after="0" w:line="264" w:lineRule="auto"/>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Net receipts from restricted funds — </w:t>
      </w:r>
      <w:r>
        <w:rPr>
          <w:rFonts w:ascii="Arial" w:cs="Arial" w:eastAsia="Arial" w:hAnsi="Arial"/>
          <w:sz w:val="13"/>
          <w:szCs w:val="13"/>
          <w:color w:val="auto"/>
        </w:rPr>
        <w:t>Net funds received from our restricted trust and escrow accounts contributed $36 million to our investing activities in the first nine months of</w:t>
      </w:r>
      <w:r>
        <w:rPr>
          <w:rFonts w:ascii="Arial" w:cs="Arial" w:eastAsia="Arial" w:hAnsi="Arial"/>
          <w:sz w:val="13"/>
          <w:szCs w:val="13"/>
          <w:i w:val="1"/>
          <w:iCs w:val="1"/>
          <w:color w:val="auto"/>
        </w:rPr>
        <w:t xml:space="preserve"> </w:t>
      </w:r>
      <w:r>
        <w:rPr>
          <w:rFonts w:ascii="Arial" w:cs="Arial" w:eastAsia="Arial" w:hAnsi="Arial"/>
          <w:sz w:val="13"/>
          <w:szCs w:val="13"/>
          <w:color w:val="auto"/>
        </w:rPr>
        <w:t>2010 compared with $98 million in the first nine months of 2009. The year-over-year decrease in cash received from our restricted trust and escrow accounts is due to a decrease in tax-exempt borrowings.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2" w:name="page53"/>
    <w:bookmarkEnd w:id="52"/>
    <w:p>
      <w:pPr>
        <w:ind w:right="20" w:firstLine="399"/>
        <w:spacing w:after="0" w:line="264"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Net cash used in financing activities was $1,069 million for the nine months ended September 30, 2010, compared with $683 million during</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comparable prior year period. The most significant items affecting the comparison of our financing cash flows for the nine-month periods ended September 30, 2010 and 2009 are summarized below:</w:t>
      </w:r>
    </w:p>
    <w:p>
      <w:pPr>
        <w:spacing w:after="0" w:line="67" w:lineRule="exact"/>
        <w:rPr>
          <w:sz w:val="20"/>
          <w:szCs w:val="20"/>
          <w:color w:val="auto"/>
        </w:rPr>
      </w:pPr>
    </w:p>
    <w:p>
      <w:pPr>
        <w:ind w:left="600" w:right="240" w:hanging="190"/>
        <w:spacing w:after="0" w:line="285" w:lineRule="auto"/>
        <w:tabs>
          <w:tab w:leader="none" w:pos="60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Share repurchases and dividend payments </w:t>
      </w:r>
      <w:r>
        <w:rPr>
          <w:rFonts w:ascii="Arial" w:cs="Arial" w:eastAsia="Arial" w:hAnsi="Arial"/>
          <w:sz w:val="12"/>
          <w:szCs w:val="12"/>
          <w:color w:val="auto"/>
        </w:rPr>
        <w:t>— We repurchased 13.4 million shares of our common stock for $445 million during the first nine months of 2010.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$2 million of our third quarter 2010 share repurchases was paid in October 2010. In the latter part of 2008, we determined that, given the state of the financial markets and the economy, it would be prudent to temporarily suspend our share repurchases. Accordingly, we did not repurchase any shares of our common stock during the first half of 2009. After assessing the stabilization of the capital markets and economic conditions, we resumed our share repurchases in the third quarter of 2009 and repurchased $2.4 million shares of our common stock for $70 million. Approximately $5 million of our third quarter 2009 share repurchases was paid in October 2009.</w:t>
      </w:r>
    </w:p>
    <w:p>
      <w:pPr>
        <w:spacing w:after="0" w:line="55" w:lineRule="exact"/>
        <w:rPr>
          <w:rFonts w:ascii="Arial" w:cs="Arial" w:eastAsia="Arial" w:hAnsi="Arial"/>
          <w:sz w:val="12"/>
          <w:szCs w:val="12"/>
          <w:color w:val="auto"/>
        </w:rPr>
      </w:pPr>
    </w:p>
    <w:p>
      <w:pPr>
        <w:ind w:left="600" w:right="20"/>
        <w:spacing w:after="0" w:line="296" w:lineRule="auto"/>
        <w:rPr>
          <w:rFonts w:ascii="Arial" w:cs="Arial" w:eastAsia="Arial" w:hAnsi="Arial"/>
          <w:sz w:val="12"/>
          <w:szCs w:val="12"/>
          <w:color w:val="auto"/>
        </w:rPr>
      </w:pPr>
      <w:r>
        <w:rPr>
          <w:rFonts w:ascii="Arial" w:cs="Arial" w:eastAsia="Arial" w:hAnsi="Arial"/>
          <w:sz w:val="12"/>
          <w:szCs w:val="12"/>
          <w:color w:val="auto"/>
        </w:rPr>
        <w:t>We paid $454 million in aggregate cash dividends during the nine months ended September 30, 2010, compared with $428 million in the comparable 2009 period. The increase in dividend payments is due to our quarterly per share dividend increasing from $0.29 in 2009 to $0.315 in 2010 and additional common stock outstanding from our equity-based compensation programs, offset in part by a reduction in our common stock outstanding as a result of our share repurchase program.</w:t>
      </w:r>
    </w:p>
    <w:p>
      <w:pPr>
        <w:spacing w:after="0" w:line="49" w:lineRule="exact"/>
        <w:rPr>
          <w:rFonts w:ascii="Arial" w:cs="Arial" w:eastAsia="Arial" w:hAnsi="Arial"/>
          <w:sz w:val="12"/>
          <w:szCs w:val="12"/>
          <w:color w:val="auto"/>
        </w:rPr>
      </w:pPr>
    </w:p>
    <w:p>
      <w:pPr>
        <w:ind w:left="600" w:right="320"/>
        <w:spacing w:after="0" w:line="371" w:lineRule="auto"/>
        <w:rPr>
          <w:rFonts w:ascii="Arial" w:cs="Arial" w:eastAsia="Arial" w:hAnsi="Arial"/>
          <w:sz w:val="12"/>
          <w:szCs w:val="12"/>
          <w:color w:val="auto"/>
        </w:rPr>
      </w:pPr>
      <w:r>
        <w:rPr>
          <w:rFonts w:ascii="Arial" w:cs="Arial" w:eastAsia="Arial" w:hAnsi="Arial"/>
          <w:sz w:val="11"/>
          <w:szCs w:val="11"/>
          <w:color w:val="auto"/>
        </w:rPr>
        <w:t>Share repurchases during the remainder of 2010 will be made at the discretion of management, and the Board of Directors will declare dividends at their discretion, with any decisions dependent on various factors, including our net earnings, financial condition, cash required for future acquisitions and other factors the Board may deem relevant.</w:t>
      </w:r>
    </w:p>
    <w:p>
      <w:pPr>
        <w:spacing w:after="0" w:line="11" w:lineRule="exact"/>
        <w:rPr>
          <w:rFonts w:ascii="Arial" w:cs="Arial" w:eastAsia="Arial" w:hAnsi="Arial"/>
          <w:sz w:val="12"/>
          <w:szCs w:val="12"/>
          <w:color w:val="auto"/>
        </w:rPr>
      </w:pPr>
    </w:p>
    <w:p>
      <w:pPr>
        <w:ind w:left="600" w:hanging="190"/>
        <w:spacing w:after="0"/>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Debt borrowings and repayments — </w:t>
      </w:r>
      <w:r>
        <w:rPr>
          <w:rFonts w:ascii="Arial" w:cs="Arial" w:eastAsia="Arial" w:hAnsi="Arial"/>
          <w:sz w:val="13"/>
          <w:szCs w:val="13"/>
          <w:color w:val="auto"/>
        </w:rPr>
        <w:t>The following summarizes our most significant cash borrowings and debt repayments made during each period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Nine Months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6"/>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r>
      <w:tr>
        <w:trPr>
          <w:trHeight w:val="98"/>
        </w:trPr>
        <w:tc>
          <w:tcPr>
            <w:tcW w:w="85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Canadian credit facility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183</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Senior notes</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592</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793</w:t>
            </w:r>
          </w:p>
        </w:tc>
      </w:tr>
      <w:tr>
        <w:trPr>
          <w:trHeight w:val="20"/>
        </w:trPr>
        <w:tc>
          <w:tcPr>
            <w:tcW w:w="8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775</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1,026</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Revolving credit facility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(310)</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(236)</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Senior notes</w:t>
            </w:r>
          </w:p>
        </w:tc>
        <w:tc>
          <w:tcPr>
            <w:tcW w:w="80" w:type="dxa"/>
            <w:vAlign w:val="bottom"/>
          </w:tcPr>
          <w:p>
            <w:pPr>
              <w:spacing w:after="0"/>
              <w:rPr>
                <w:sz w:val="13"/>
                <w:szCs w:val="13"/>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3"/>
                <w:szCs w:val="13"/>
                <w:color w:val="auto"/>
              </w:rPr>
              <w:t>(600)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(500)</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Tax exempt bonds</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(52)</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Tax exempt project bonds</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debt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(44)</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r>
      <w:tr>
        <w:trPr>
          <w:trHeight w:val="20"/>
        </w:trPr>
        <w:tc>
          <w:tcPr>
            <w:tcW w:w="8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8"/>
              <w:spacing w:after="0"/>
              <w:rPr>
                <w:sz w:val="20"/>
                <w:szCs w:val="20"/>
                <w:color w:val="auto"/>
              </w:rPr>
            </w:pPr>
            <w:r>
              <w:rPr>
                <w:rFonts w:ascii="Arial" w:cs="Arial" w:eastAsia="Arial" w:hAnsi="Arial"/>
                <w:sz w:val="13"/>
                <w:szCs w:val="13"/>
                <w:color w:val="auto"/>
              </w:rPr>
              <w:t>(932)</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(1,142)</w:t>
            </w:r>
          </w:p>
        </w:tc>
      </w:tr>
      <w:tr>
        <w:trPr>
          <w:trHeight w:val="20"/>
        </w:trPr>
        <w:tc>
          <w:tcPr>
            <w:tcW w:w="8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Net borrowings (repayments)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(157)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w:t>
            </w:r>
          </w:p>
        </w:tc>
      </w:tr>
      <w:tr>
        <w:trPr>
          <w:trHeight w:val="29"/>
        </w:trPr>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Refer to Note 3 to the Condensed Consolidated Financial Statements for additional information related to our debt borrowings and repayments.</w:t>
      </w:r>
    </w:p>
    <w:p>
      <w:pPr>
        <w:spacing w:after="0" w:line="96" w:lineRule="exact"/>
        <w:rPr>
          <w:sz w:val="20"/>
          <w:szCs w:val="20"/>
          <w:color w:val="auto"/>
        </w:rPr>
      </w:pPr>
    </w:p>
    <w:p>
      <w:pPr>
        <w:ind w:left="600" w:right="40" w:hanging="190"/>
        <w:spacing w:after="0" w:line="296" w:lineRule="auto"/>
        <w:tabs>
          <w:tab w:leader="none" w:pos="600" w:val="left"/>
        </w:tabs>
        <w:numPr>
          <w:ilvl w:val="0"/>
          <w:numId w:val="38"/>
        </w:numPr>
        <w:rPr>
          <w:rFonts w:ascii="Arial" w:cs="Arial" w:eastAsia="Arial" w:hAnsi="Arial"/>
          <w:sz w:val="12"/>
          <w:szCs w:val="12"/>
          <w:color w:val="auto"/>
        </w:rPr>
      </w:pPr>
      <w:r>
        <w:rPr>
          <w:rFonts w:ascii="Arial" w:cs="Arial" w:eastAsia="Arial" w:hAnsi="Arial"/>
          <w:sz w:val="12"/>
          <w:szCs w:val="12"/>
          <w:i w:val="1"/>
          <w:iCs w:val="1"/>
          <w:color w:val="auto"/>
        </w:rPr>
        <w:t xml:space="preserve">Other — </w:t>
      </w:r>
      <w:r>
        <w:rPr>
          <w:rFonts w:ascii="Arial" w:cs="Arial" w:eastAsia="Arial" w:hAnsi="Arial"/>
          <w:sz w:val="12"/>
          <w:szCs w:val="12"/>
          <w:color w:val="auto"/>
        </w:rPr>
        <w:t>Net cash used in other financing activities was $17 million during the first nine months of 2010 compared with $51 million in the comparable prior year period. In 2010,</w:t>
      </w:r>
      <w:r>
        <w:rPr>
          <w:rFonts w:ascii="Arial" w:cs="Arial" w:eastAsia="Arial" w:hAnsi="Arial"/>
          <w:sz w:val="12"/>
          <w:szCs w:val="12"/>
          <w:i w:val="1"/>
          <w:iCs w:val="1"/>
          <w:color w:val="auto"/>
        </w:rPr>
        <w:t xml:space="preserve"> </w:t>
      </w:r>
      <w:r>
        <w:rPr>
          <w:rFonts w:ascii="Arial" w:cs="Arial" w:eastAsia="Arial" w:hAnsi="Arial"/>
          <w:sz w:val="12"/>
          <w:szCs w:val="12"/>
          <w:color w:val="auto"/>
        </w:rPr>
        <w:t>these activities primarily related to $13 million of financing costs paid to execute our new $2.0 billion revolving credit facility. In 2009, the significant use of cash was driven by changes in our accrued liabilities for checks written in excess of cash balances due to the timing of cash deposits or payments.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8 to the Condensed Consolidated Financial Statements. These arrangements have not materially affected our financial position, results of operations or liquidity during the nine months ended September 30, 2010 nor are they expected to have a material impact on our future financial position, results of operations or liquidity.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Our operating revenues normally tend to be somewhat higher in the summer months, primarily due to the traditional seasonal increase in the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67"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Additionally, certain destructive weather conditions that tend to occur during the second half of the year, such as hurricanes typically experienced by our Southern Group, can actually increase our revenues in the areas affected. However, for several reasons, including significant mobilization costs, such revenue often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1" w:lineRule="exact"/>
        <w:rPr>
          <w:sz w:val="20"/>
          <w:szCs w:val="20"/>
          <w:color w:val="auto"/>
        </w:rPr>
      </w:pPr>
    </w:p>
    <w:p>
      <w:pPr>
        <w:jc w:val="both"/>
        <w:ind w:right="20" w:firstLine="399"/>
        <w:spacing w:after="0" w:line="322" w:lineRule="auto"/>
        <w:rPr>
          <w:sz w:val="20"/>
          <w:szCs w:val="20"/>
          <w:color w:val="auto"/>
        </w:rPr>
      </w:pPr>
      <w:r>
        <w:rPr>
          <w:rFonts w:ascii="Arial" w:cs="Arial" w:eastAsia="Arial" w:hAnsi="Arial"/>
          <w:sz w:val="11"/>
          <w:szCs w:val="11"/>
          <w:color w:val="auto"/>
        </w:rPr>
        <w:t>While inflationary increases in costs, including the cost of diesel fuel, have affected our operating margins in recent periods, we believe that inflation generally has not had, and in the near future is not expected to have, any material adverse effect on our results of operations. However, a significant portion of our collection revenues are generated under long-term franchise agreements with municipalities or similar local or regional authorities. These agreements generally provide for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13"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right="420" w:firstLine="399"/>
        <w:spacing w:after="0" w:line="276" w:lineRule="auto"/>
        <w:rPr>
          <w:sz w:val="20"/>
          <w:szCs w:val="20"/>
          <w:color w:val="auto"/>
        </w:rPr>
      </w:pPr>
      <w:r>
        <w:rPr>
          <w:rFonts w:ascii="Arial" w:cs="Arial" w:eastAsia="Arial" w:hAnsi="Arial"/>
          <w:sz w:val="13"/>
          <w:szCs w:val="13"/>
          <w:color w:val="auto"/>
        </w:rPr>
        <w:t>Information about market risks as of September 30, 2010, does not differ materially from that discussed under Item 7A in our Annual Report on Form 10-K for the year ended December 31, 2009.</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Effectiveness of Controls and Procedures</w:t>
      </w:r>
    </w:p>
    <w:p>
      <w:pPr>
        <w:spacing w:after="0" w:line="100"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2010 (the end of the period covered by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jc w:val="both"/>
        <w:ind w:right="20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September 30, 2010. We determined that there were no changes in our internal control over financial reporting during the quarter ended September 30, 2010 that have materially affected, or are reasonably likely to materially affect, our internal control over financial reporting.</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8,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2009 in response to Item 1A to Part I of Form 10-K.</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Board of Directors has approved a capital allocation program that provides for a maximum of $1.3 billion in combined cash dividends and common stock repurchases in 2010.</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All of the common stock repurchases made in 2010 have been pursuant to this capital allocation program.</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common stock repurchases made during the third quarter of 2010:</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Total Number of</w:t>
            </w:r>
          </w:p>
        </w:tc>
        <w:tc>
          <w:tcPr>
            <w:tcW w:w="280" w:type="dxa"/>
            <w:vAlign w:val="bottom"/>
          </w:tcPr>
          <w:p>
            <w:pPr>
              <w:spacing w:after="0"/>
              <w:rPr>
                <w:sz w:val="10"/>
                <w:szCs w:val="10"/>
                <w:color w:val="auto"/>
              </w:rPr>
            </w:pPr>
          </w:p>
        </w:tc>
        <w:tc>
          <w:tcPr>
            <w:tcW w:w="2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Average</w:t>
            </w:r>
          </w:p>
        </w:tc>
        <w:tc>
          <w:tcPr>
            <w:tcW w:w="2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108"/>
        </w:trPr>
        <w:tc>
          <w:tcPr>
            <w:tcW w:w="2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220" w:type="dxa"/>
            <w:vAlign w:val="bottom"/>
          </w:tcPr>
          <w:p>
            <w:pPr>
              <w:spacing w:after="0"/>
              <w:rPr>
                <w:sz w:val="9"/>
                <w:szCs w:val="9"/>
                <w:color w:val="auto"/>
              </w:rPr>
            </w:pPr>
          </w:p>
        </w:tc>
        <w:tc>
          <w:tcPr>
            <w:tcW w:w="12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9"/>
                <w:szCs w:val="9"/>
                <w:color w:val="auto"/>
              </w:rPr>
            </w:pPr>
          </w:p>
        </w:tc>
        <w:tc>
          <w:tcPr>
            <w:tcW w:w="11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Price Paid</w:t>
            </w: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Announced Plans or</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May Yet be Purchased Under</w:t>
            </w:r>
          </w:p>
        </w:tc>
        <w:tc>
          <w:tcPr>
            <w:tcW w:w="0" w:type="dxa"/>
            <w:vAlign w:val="bottom"/>
          </w:tcPr>
          <w:p>
            <w:pPr>
              <w:spacing w:after="0"/>
              <w:rPr>
                <w:sz w:val="1"/>
                <w:szCs w:val="1"/>
                <w:color w:val="auto"/>
              </w:rPr>
            </w:pPr>
          </w:p>
        </w:tc>
      </w:tr>
      <w:tr>
        <w:trPr>
          <w:trHeight w:val="125"/>
        </w:trPr>
        <w:tc>
          <w:tcPr>
            <w:tcW w:w="2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3"/>
              </w:rPr>
              <w:t>Purchased</w:t>
            </w:r>
          </w:p>
        </w:tc>
        <w:tc>
          <w:tcPr>
            <w:tcW w:w="120" w:type="dxa"/>
            <w:vAlign w:val="bottom"/>
          </w:tcPr>
          <w:p>
            <w:pPr>
              <w:spacing w:after="0"/>
              <w:rPr>
                <w:sz w:val="10"/>
                <w:szCs w:val="1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Share(a)</w:t>
            </w:r>
          </w:p>
        </w:tc>
        <w:tc>
          <w:tcPr>
            <w:tcW w:w="2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Programs</w:t>
            </w:r>
          </w:p>
        </w:tc>
        <w:tc>
          <w:tcPr>
            <w:tcW w:w="280" w:type="dxa"/>
            <w:vAlign w:val="bottom"/>
          </w:tcPr>
          <w:p>
            <w:pPr>
              <w:spacing w:after="0"/>
              <w:rPr>
                <w:sz w:val="10"/>
                <w:szCs w:val="1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the Plans or Programs(b)</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1 — 31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2,136,700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32.75</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2,136,700</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478 Million</w:t>
            </w:r>
          </w:p>
        </w:tc>
        <w:tc>
          <w:tcPr>
            <w:tcW w:w="0" w:type="dxa"/>
            <w:vAlign w:val="bottom"/>
          </w:tcPr>
          <w:p>
            <w:pPr>
              <w:spacing w:after="0"/>
              <w:rPr>
                <w:sz w:val="1"/>
                <w:szCs w:val="1"/>
                <w:color w:val="auto"/>
              </w:rPr>
            </w:pPr>
          </w:p>
        </w:tc>
      </w:tr>
      <w:tr>
        <w:trPr>
          <w:trHeight w:val="157"/>
        </w:trPr>
        <w:tc>
          <w:tcPr>
            <w:tcW w:w="2900" w:type="dxa"/>
            <w:vAlign w:val="bottom"/>
            <w:gridSpan w:val="2"/>
          </w:tcPr>
          <w:p>
            <w:pPr>
              <w:spacing w:after="0"/>
              <w:rPr>
                <w:sz w:val="20"/>
                <w:szCs w:val="20"/>
                <w:color w:val="auto"/>
              </w:rPr>
            </w:pPr>
            <w:r>
              <w:rPr>
                <w:rFonts w:ascii="Arial" w:cs="Arial" w:eastAsia="Arial" w:hAnsi="Arial"/>
                <w:sz w:val="13"/>
                <w:szCs w:val="13"/>
                <w:color w:val="auto"/>
              </w:rPr>
              <w:t>August 1 — 31</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1,302,601</w:t>
            </w:r>
          </w:p>
        </w:tc>
        <w:tc>
          <w:tcPr>
            <w:tcW w:w="3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33.74</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1,302,601</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tcPr>
          <w:p>
            <w:pPr>
              <w:ind w:left="1380"/>
              <w:spacing w:after="0"/>
              <w:rPr>
                <w:sz w:val="20"/>
                <w:szCs w:val="20"/>
                <w:color w:val="auto"/>
              </w:rPr>
            </w:pPr>
            <w:r>
              <w:rPr>
                <w:rFonts w:ascii="Arial" w:cs="Arial" w:eastAsia="Arial" w:hAnsi="Arial"/>
                <w:sz w:val="13"/>
                <w:szCs w:val="13"/>
                <w:color w:val="auto"/>
              </w:rPr>
              <w:t>434 Million</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September 1 — 30</w:t>
            </w:r>
          </w:p>
        </w:tc>
        <w:tc>
          <w:tcPr>
            <w:tcW w:w="22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983,800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34.58</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983,800</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401 Million</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33.45</w:t>
            </w:r>
          </w:p>
        </w:tc>
        <w:tc>
          <w:tcPr>
            <w:tcW w:w="1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4,423,101</w:t>
            </w:r>
          </w:p>
        </w:tc>
        <w:tc>
          <w:tcPr>
            <w:tcW w:w="3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4,423,101</w:t>
            </w: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hanging="393"/>
        <w:spacing w:after="0"/>
        <w:tabs>
          <w:tab w:leader="none" w:pos="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400" w:hanging="393"/>
        <w:spacing w:after="0" w:line="260" w:lineRule="auto"/>
        <w:tabs>
          <w:tab w:leader="none" w:pos="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For each period presented, the maximum dollar value of shares that may yet be purchased under the program has been provided net of the $454 million of dividends declared and paid in 2010. However, this amount does not include the impact of dividend payments we expect to make throughout the remainder of 2010 as a result of future dividend declarations. The approximate maximum dollar value of shares that may yet be purchased under the program is not necessarily an indication of the amount we intend to repurchase during the remainder of the year.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9240" w:type="dxa"/>
            <w:vAlign w:val="bottom"/>
            <w:gridSpan w:val="3"/>
          </w:tcPr>
          <w:p>
            <w:pPr>
              <w:ind w:left="80"/>
              <w:spacing w:after="0"/>
              <w:rPr>
                <w:sz w:val="20"/>
                <w:szCs w:val="20"/>
                <w:color w:val="auto"/>
              </w:rPr>
            </w:pPr>
            <w:r>
              <w:rPr>
                <w:rFonts w:ascii="Arial" w:cs="Arial" w:eastAsia="Arial" w:hAnsi="Arial"/>
                <w:sz w:val="13"/>
                <w:szCs w:val="13"/>
                <w:b w:val="1"/>
                <w:bCs w:val="1"/>
                <w:i w:val="1"/>
                <w:iCs w:val="1"/>
                <w:color w:val="auto"/>
              </w:rPr>
              <w:t>Exhibits.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Arial" w:cs="Arial" w:eastAsia="Arial" w:hAnsi="Arial"/>
                <w:sz w:val="10"/>
                <w:szCs w:val="10"/>
                <w:b w:val="1"/>
                <w:bCs w:val="1"/>
                <w:color w:val="auto"/>
              </w:rPr>
              <w:t>Exhibit</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0" w:type="dxa"/>
            <w:vAlign w:val="bottom"/>
            <w:vMerge w:val="restart"/>
          </w:tcPr>
          <w:p>
            <w:pPr>
              <w:ind w:left="404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No.</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60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Arial" w:cs="Arial" w:eastAsia="Arial" w:hAnsi="Arial"/>
                <w:sz w:val="13"/>
                <w:szCs w:val="13"/>
                <w:color w:val="auto"/>
              </w:rPr>
              <w:t>31.1</w:t>
            </w:r>
          </w:p>
        </w:tc>
        <w:tc>
          <w:tcPr>
            <w:tcW w:w="240" w:type="dxa"/>
            <w:vAlign w:val="bottom"/>
          </w:tcPr>
          <w:p>
            <w:pPr>
              <w:spacing w:after="0"/>
              <w:rPr>
                <w:sz w:val="15"/>
                <w:szCs w:val="15"/>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w w:val="94"/>
              </w:rPr>
              <w:t>—  Certification Pursuant to Rule 13a — 14(a) and 15d — 14(a) under the Securities Exchange Act of 1934, as amended, of David P. Steiner, President and Chief</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Executive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460"/>
              <w:spacing w:after="0"/>
              <w:rPr>
                <w:sz w:val="20"/>
                <w:szCs w:val="20"/>
                <w:color w:val="auto"/>
              </w:rPr>
            </w:pPr>
            <w:r>
              <w:rPr>
                <w:rFonts w:ascii="Arial" w:cs="Arial" w:eastAsia="Arial" w:hAnsi="Arial"/>
                <w:sz w:val="13"/>
                <w:szCs w:val="13"/>
                <w:color w:val="auto"/>
              </w:rPr>
              <w:t>31.2</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w w:val="91"/>
              </w:rPr>
              <w:t>—  Certification Pursuant to Rule 13a — 14(a) and 15d — 14(a) under the Securities Exchange Act of 1934, as amended, of Robert G. Simpson, Senior Vice President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and Chief Financial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460"/>
              <w:spacing w:after="0"/>
              <w:rPr>
                <w:sz w:val="20"/>
                <w:szCs w:val="20"/>
                <w:color w:val="auto"/>
              </w:rPr>
            </w:pPr>
            <w:r>
              <w:rPr>
                <w:rFonts w:ascii="Arial" w:cs="Arial" w:eastAsia="Arial" w:hAnsi="Arial"/>
                <w:sz w:val="13"/>
                <w:szCs w:val="13"/>
                <w:color w:val="auto"/>
              </w:rPr>
              <w:t>32.1</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Certification Pursuant to 18 U.S.C. §1350 of David P. Steiner, President and Chief Executive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tcPr>
          <w:p>
            <w:pPr>
              <w:ind w:left="460"/>
              <w:spacing w:after="0"/>
              <w:rPr>
                <w:sz w:val="20"/>
                <w:szCs w:val="20"/>
                <w:color w:val="auto"/>
              </w:rPr>
            </w:pPr>
            <w:r>
              <w:rPr>
                <w:rFonts w:ascii="Arial" w:cs="Arial" w:eastAsia="Arial" w:hAnsi="Arial"/>
                <w:sz w:val="13"/>
                <w:szCs w:val="13"/>
                <w:color w:val="auto"/>
              </w:rPr>
              <w:t>32.2</w:t>
            </w:r>
          </w:p>
        </w:tc>
        <w:tc>
          <w:tcPr>
            <w:tcW w:w="240" w:type="dxa"/>
            <w:vAlign w:val="bottom"/>
          </w:tcPr>
          <w:p>
            <w:pPr>
              <w:spacing w:after="0"/>
              <w:rPr>
                <w:sz w:val="13"/>
                <w:szCs w:val="13"/>
                <w:color w:val="auto"/>
              </w:rPr>
            </w:pP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101.INS</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Instance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101.SCH</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Schema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101.CAL</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Calculation Linkbase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101.DEF</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Definition Linkbase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101.LAB</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Label Linkbase Document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101.PRE</w:t>
            </w:r>
          </w:p>
        </w:tc>
        <w:tc>
          <w:tcPr>
            <w:tcW w:w="9000" w:type="dxa"/>
            <w:vAlign w:val="bottom"/>
            <w:gridSpan w:val="2"/>
          </w:tcPr>
          <w:p>
            <w:pPr>
              <w:ind w:left="160"/>
              <w:spacing w:after="0"/>
              <w:rPr>
                <w:sz w:val="20"/>
                <w:szCs w:val="20"/>
                <w:color w:val="auto"/>
              </w:rPr>
            </w:pPr>
            <w:r>
              <w:rPr>
                <w:rFonts w:ascii="Arial" w:cs="Arial" w:eastAsia="Arial" w:hAnsi="Arial"/>
                <w:sz w:val="13"/>
                <w:szCs w:val="13"/>
                <w:color w:val="auto"/>
              </w:rPr>
              <w:t>—  XBRL Taxonomy Extension Presentation Linkbase Document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0" w:type="dxa"/>
            <w:vAlign w:val="bottom"/>
            <w:gridSpan w:val="2"/>
          </w:tcPr>
          <w:p>
            <w:pPr>
              <w:ind w:left="3960"/>
              <w:spacing w:after="0"/>
              <w:rPr>
                <w:sz w:val="20"/>
                <w:szCs w:val="20"/>
                <w:color w:val="auto"/>
              </w:rPr>
            </w:pPr>
            <w:r>
              <w:rPr>
                <w:rFonts w:ascii="Arial" w:cs="Arial" w:eastAsia="Arial" w:hAnsi="Arial"/>
                <w:sz w:val="13"/>
                <w:szCs w:val="13"/>
                <w:color w:val="auto"/>
              </w:rPr>
              <w:t>56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56" w:name="page57"/>
    <w:bookmarkEnd w:id="56"/>
    <w:p>
      <w:pPr>
        <w:jc w:val="center"/>
        <w:ind w:right="86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00" w:type="dxa"/>
            <w:vAlign w:val="bottom"/>
          </w:tcPr>
          <w:p>
            <w:pPr>
              <w:spacing w:after="0"/>
              <w:rPr>
                <w:sz w:val="14"/>
                <w:szCs w:val="14"/>
                <w:color w:val="auto"/>
              </w:rPr>
            </w:pPr>
          </w:p>
        </w:tc>
        <w:tc>
          <w:tcPr>
            <w:tcW w:w="5560" w:type="dxa"/>
            <w:vAlign w:val="bottom"/>
          </w:tcPr>
          <w:p>
            <w:pPr>
              <w:ind w:left="1280"/>
              <w:spacing w:after="0"/>
              <w:rPr>
                <w:sz w:val="20"/>
                <w:szCs w:val="20"/>
                <w:color w:val="auto"/>
              </w:rPr>
            </w:pPr>
            <w:r>
              <w:rPr>
                <w:rFonts w:ascii="Arial" w:cs="Arial" w:eastAsia="Arial" w:hAnsi="Arial"/>
                <w:sz w:val="13"/>
                <w:szCs w:val="13"/>
                <w:color w:val="auto"/>
              </w:rPr>
              <w:t>WASTE MANAGEMENT, INC.</w:t>
            </w:r>
          </w:p>
        </w:tc>
      </w:tr>
      <w:tr>
        <w:trPr>
          <w:trHeight w:val="487"/>
        </w:trPr>
        <w:tc>
          <w:tcPr>
            <w:tcW w:w="5300" w:type="dxa"/>
            <w:vAlign w:val="bottom"/>
          </w:tcPr>
          <w:p>
            <w:pPr>
              <w:jc w:val="center"/>
              <w:ind w:left="4634"/>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34"/>
              <w:spacing w:after="0"/>
              <w:rPr>
                <w:sz w:val="20"/>
                <w:szCs w:val="20"/>
                <w:color w:val="auto"/>
              </w:rPr>
            </w:pPr>
            <w:r>
              <w:rPr>
                <w:rFonts w:ascii="Arial" w:cs="Arial" w:eastAsia="Arial" w:hAnsi="Arial"/>
                <w:sz w:val="13"/>
                <w:szCs w:val="13"/>
                <w:color w:val="auto"/>
                <w:w w:val="95"/>
              </w:rPr>
              <w:t>/s/ ROBERT G. SIMPSON</w:t>
            </w:r>
          </w:p>
        </w:tc>
      </w:tr>
      <w:tr>
        <w:trPr>
          <w:trHeight w:val="144"/>
        </w:trPr>
        <w:tc>
          <w:tcPr>
            <w:tcW w:w="53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90"/>
              </w:rPr>
              <w:t>Robert G. Simpson</w:t>
            </w:r>
          </w:p>
        </w:tc>
      </w:tr>
      <w:tr>
        <w:trPr>
          <w:trHeight w:val="157"/>
        </w:trPr>
        <w:tc>
          <w:tcPr>
            <w:tcW w:w="5300" w:type="dxa"/>
            <w:vAlign w:val="bottom"/>
          </w:tcPr>
          <w:p>
            <w:pPr>
              <w:spacing w:after="0"/>
              <w:rPr>
                <w:sz w:val="13"/>
                <w:szCs w:val="13"/>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0"/>
              </w:rPr>
              <w:t>Senior Vice President and</w:t>
            </w:r>
          </w:p>
        </w:tc>
      </w:tr>
      <w:tr>
        <w:trPr>
          <w:trHeight w:val="157"/>
        </w:trPr>
        <w:tc>
          <w:tcPr>
            <w:tcW w:w="5300" w:type="dxa"/>
            <w:vAlign w:val="bottom"/>
          </w:tcPr>
          <w:p>
            <w:pPr>
              <w:spacing w:after="0"/>
              <w:rPr>
                <w:sz w:val="13"/>
                <w:szCs w:val="13"/>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6"/>
              </w:rPr>
              <w:t>Chief Financial Officer</w:t>
            </w:r>
          </w:p>
        </w:tc>
      </w:tr>
      <w:tr>
        <w:trPr>
          <w:trHeight w:val="165"/>
        </w:trPr>
        <w:tc>
          <w:tcPr>
            <w:tcW w:w="53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5300" w:type="dxa"/>
            <w:vAlign w:val="bottom"/>
          </w:tcPr>
          <w:p>
            <w:pPr>
              <w:spacing w:after="0"/>
              <w:rPr>
                <w:sz w:val="24"/>
                <w:szCs w:val="24"/>
                <w:color w:val="auto"/>
              </w:rPr>
            </w:pPr>
          </w:p>
        </w:tc>
        <w:tc>
          <w:tcPr>
            <w:tcW w:w="5560" w:type="dxa"/>
            <w:vAlign w:val="bottom"/>
          </w:tcPr>
          <w:p>
            <w:pPr>
              <w:ind w:left="1280"/>
              <w:spacing w:after="0"/>
              <w:rPr>
                <w:sz w:val="20"/>
                <w:szCs w:val="20"/>
                <w:color w:val="auto"/>
              </w:rPr>
            </w:pPr>
            <w:r>
              <w:rPr>
                <w:rFonts w:ascii="Arial" w:cs="Arial" w:eastAsia="Arial" w:hAnsi="Arial"/>
                <w:sz w:val="13"/>
                <w:szCs w:val="13"/>
                <w:color w:val="auto"/>
              </w:rPr>
              <w:t>WASTE MANAGEMENT, INC.</w:t>
            </w:r>
          </w:p>
        </w:tc>
      </w:tr>
      <w:tr>
        <w:trPr>
          <w:trHeight w:val="482"/>
        </w:trPr>
        <w:tc>
          <w:tcPr>
            <w:tcW w:w="5300" w:type="dxa"/>
            <w:vAlign w:val="bottom"/>
          </w:tcPr>
          <w:p>
            <w:pPr>
              <w:jc w:val="center"/>
              <w:ind w:left="4634"/>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300" w:type="dxa"/>
            <w:vAlign w:val="bottom"/>
          </w:tcPr>
          <w:p>
            <w:pPr>
              <w:spacing w:after="0"/>
              <w:rPr>
                <w:sz w:val="12"/>
                <w:szCs w:val="12"/>
                <w:color w:val="auto"/>
              </w:rPr>
            </w:pPr>
          </w:p>
        </w:tc>
        <w:tc>
          <w:tcPr>
            <w:tcW w:w="5560" w:type="dxa"/>
            <w:vAlign w:val="bottom"/>
          </w:tcPr>
          <w:p>
            <w:pPr>
              <w:jc w:val="center"/>
              <w:ind w:right="814"/>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300" w:type="dxa"/>
            <w:vAlign w:val="bottom"/>
          </w:tcPr>
          <w:p>
            <w:pPr>
              <w:spacing w:after="0"/>
              <w:rPr>
                <w:sz w:val="13"/>
                <w:szCs w:val="13"/>
                <w:color w:val="auto"/>
              </w:rPr>
            </w:pPr>
          </w:p>
        </w:tc>
        <w:tc>
          <w:tcPr>
            <w:tcW w:w="5560" w:type="dxa"/>
            <w:vAlign w:val="bottom"/>
          </w:tcPr>
          <w:p>
            <w:pPr>
              <w:jc w:val="center"/>
              <w:ind w:right="794"/>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300" w:type="dxa"/>
            <w:vAlign w:val="bottom"/>
          </w:tcPr>
          <w:p>
            <w:pPr>
              <w:spacing w:after="0"/>
              <w:rPr>
                <w:sz w:val="13"/>
                <w:szCs w:val="13"/>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3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5300" w:type="dxa"/>
            <w:vAlign w:val="bottom"/>
          </w:tcPr>
          <w:p>
            <w:pPr>
              <w:spacing w:after="0"/>
              <w:rPr>
                <w:sz w:val="20"/>
                <w:szCs w:val="20"/>
                <w:color w:val="auto"/>
              </w:rPr>
            </w:pPr>
            <w:r>
              <w:rPr>
                <w:rFonts w:ascii="Arial" w:cs="Arial" w:eastAsia="Arial" w:hAnsi="Arial"/>
                <w:sz w:val="13"/>
                <w:szCs w:val="13"/>
                <w:color w:val="auto"/>
              </w:rPr>
              <w:t>Date: October 28, 2010</w:t>
            </w:r>
          </w:p>
        </w:tc>
        <w:tc>
          <w:tcPr>
            <w:tcW w:w="5560" w:type="dxa"/>
            <w:vAlign w:val="bottom"/>
          </w:tcPr>
          <w:p>
            <w:pPr>
              <w:spacing w:after="0"/>
              <w:rPr>
                <w:sz w:val="24"/>
                <w:szCs w:val="24"/>
                <w:color w:val="auto"/>
              </w:rPr>
            </w:pPr>
          </w:p>
        </w:tc>
      </w:tr>
      <w:tr>
        <w:trPr>
          <w:trHeight w:val="442"/>
        </w:trPr>
        <w:tc>
          <w:tcPr>
            <w:tcW w:w="5300" w:type="dxa"/>
            <w:vAlign w:val="bottom"/>
          </w:tcPr>
          <w:p>
            <w:pPr>
              <w:jc w:val="center"/>
              <w:ind w:left="4634"/>
              <w:spacing w:after="0"/>
              <w:rPr>
                <w:sz w:val="20"/>
                <w:szCs w:val="20"/>
                <w:color w:val="auto"/>
              </w:rPr>
            </w:pPr>
            <w:r>
              <w:rPr>
                <w:rFonts w:ascii="Arial" w:cs="Arial" w:eastAsia="Arial" w:hAnsi="Arial"/>
                <w:sz w:val="13"/>
                <w:szCs w:val="13"/>
                <w:color w:val="auto"/>
                <w:w w:val="82"/>
              </w:rPr>
              <w:t>57</w:t>
            </w:r>
          </w:p>
        </w:tc>
        <w:tc>
          <w:tcPr>
            <w:tcW w:w="5560" w:type="dxa"/>
            <w:vAlign w:val="bottom"/>
          </w:tcPr>
          <w:p>
            <w:pPr>
              <w:spacing w:after="0"/>
              <w:rPr>
                <w:sz w:val="24"/>
                <w:szCs w:val="24"/>
                <w:color w:val="auto"/>
              </w:rPr>
            </w:pPr>
          </w:p>
        </w:tc>
      </w:tr>
    </w:tbl>
    <w:p>
      <w:pPr>
        <w:sectPr>
          <w:pgSz w:w="11900" w:h="16838" w:orient="portrait"/>
          <w:cols w:equalWidth="0" w:num="1">
            <w:col w:w="10860"/>
          </w:cols>
          <w:pgMar w:left="900" w:top="746" w:right="139" w:bottom="1440" w:gutter="0" w:footer="0" w:header="0"/>
        </w:sectPr>
      </w:pPr>
    </w:p>
    <w:bookmarkStart w:id="57" w:name="page58"/>
    <w:bookmarkEnd w:id="57"/>
    <w:p>
      <w:pPr>
        <w:spacing w:after="0"/>
        <w:rPr>
          <w:sz w:val="20"/>
          <w:szCs w:val="20"/>
          <w:color w:val="auto"/>
        </w:rPr>
      </w:pPr>
      <w:r>
        <w:rPr>
          <w:rFonts w:ascii="Arial" w:cs="Arial" w:eastAsia="Arial" w:hAnsi="Arial"/>
          <w:sz w:val="13"/>
          <w:szCs w:val="13"/>
          <w:color w:val="auto"/>
        </w:rPr>
        <w:t>CONFIDENTIAL</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300" w:hanging="138"/>
        <w:spacing w:after="0"/>
        <w:tabs>
          <w:tab w:leader="none" w:pos="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260" w:firstLine="162"/>
        <w:spacing w:after="0" w:line="276" w:lineRule="auto"/>
        <w:tabs>
          <w:tab w:leader="none" w:pos="292"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49" w:lineRule="exact"/>
        <w:rPr>
          <w:rFonts w:ascii="Arial" w:cs="Arial" w:eastAsia="Arial" w:hAnsi="Arial"/>
          <w:sz w:val="13"/>
          <w:szCs w:val="13"/>
          <w:color w:val="auto"/>
        </w:rPr>
      </w:pPr>
    </w:p>
    <w:p>
      <w:pPr>
        <w:ind w:left="220" w:right="480" w:firstLine="172"/>
        <w:spacing w:after="0" w:line="276" w:lineRule="auto"/>
        <w:tabs>
          <w:tab w:leader="none" w:pos="507" w:val="left"/>
        </w:tabs>
        <w:numPr>
          <w:ilvl w:val="1"/>
          <w:numId w:val="4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15" w:val="left"/>
        </w:tabs>
        <w:numPr>
          <w:ilvl w:val="1"/>
          <w:numId w:val="4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07" w:val="left"/>
        </w:tabs>
        <w:numPr>
          <w:ilvl w:val="1"/>
          <w:numId w:val="4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280" w:firstLine="172"/>
        <w:spacing w:after="0" w:line="276" w:lineRule="auto"/>
        <w:tabs>
          <w:tab w:leader="none" w:pos="515" w:val="left"/>
        </w:tabs>
        <w:numPr>
          <w:ilvl w:val="1"/>
          <w:numId w:val="4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07" w:val="left"/>
        </w:tabs>
        <w:numPr>
          <w:ilvl w:val="1"/>
          <w:numId w:val="4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Date: October 28, 2010</w:t>
      </w:r>
    </w:p>
    <w:p>
      <w:pPr>
        <w:sectPr>
          <w:pgSz w:w="11900" w:h="16838" w:orient="portrait"/>
          <w:cols w:equalWidth="0" w:num="1">
            <w:col w:w="11460"/>
          </w:cols>
          <w:pgMar w:left="220" w:top="131" w:right="219" w:bottom="1440" w:gutter="0" w:footer="0" w:header="0"/>
        </w:sectPr>
      </w:pPr>
    </w:p>
    <w:bookmarkStart w:id="58" w:name="page59"/>
    <w:bookmarkEnd w:id="58"/>
    <w:p>
      <w:pPr>
        <w:spacing w:after="0"/>
        <w:rPr>
          <w:sz w:val="20"/>
          <w:szCs w:val="20"/>
          <w:color w:val="auto"/>
        </w:rPr>
      </w:pPr>
      <w:r>
        <w:rPr>
          <w:rFonts w:ascii="Arial" w:cs="Arial" w:eastAsia="Arial" w:hAnsi="Arial"/>
          <w:sz w:val="13"/>
          <w:szCs w:val="13"/>
          <w:color w:val="auto"/>
        </w:rPr>
        <w:t>CONFIDENTIAL</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300" w:hanging="138"/>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260" w:firstLine="162"/>
        <w:spacing w:after="0" w:line="276" w:lineRule="auto"/>
        <w:tabs>
          <w:tab w:leader="none" w:pos="292"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49" w:lineRule="exact"/>
        <w:rPr>
          <w:rFonts w:ascii="Arial" w:cs="Arial" w:eastAsia="Arial" w:hAnsi="Arial"/>
          <w:sz w:val="13"/>
          <w:szCs w:val="13"/>
          <w:color w:val="auto"/>
        </w:rPr>
      </w:pPr>
    </w:p>
    <w:p>
      <w:pPr>
        <w:ind w:left="220" w:right="480" w:firstLine="172"/>
        <w:spacing w:after="0" w:line="276" w:lineRule="auto"/>
        <w:tabs>
          <w:tab w:leader="none" w:pos="507" w:val="left"/>
        </w:tabs>
        <w:numPr>
          <w:ilvl w:val="1"/>
          <w:numId w:val="4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15" w:val="left"/>
        </w:tabs>
        <w:numPr>
          <w:ilvl w:val="1"/>
          <w:numId w:val="4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07" w:val="left"/>
        </w:tabs>
        <w:numPr>
          <w:ilvl w:val="1"/>
          <w:numId w:val="4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280" w:firstLine="172"/>
        <w:spacing w:after="0" w:line="276" w:lineRule="auto"/>
        <w:tabs>
          <w:tab w:leader="none" w:pos="515" w:val="left"/>
        </w:tabs>
        <w:numPr>
          <w:ilvl w:val="1"/>
          <w:numId w:val="4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07" w:val="left"/>
        </w:tabs>
        <w:numPr>
          <w:ilvl w:val="1"/>
          <w:numId w:val="4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60286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Date: October 28, 2010</w:t>
      </w:r>
    </w:p>
    <w:p>
      <w:pPr>
        <w:sectPr>
          <w:pgSz w:w="11900" w:h="16838" w:orient="portrait"/>
          <w:cols w:equalWidth="0" w:num="1">
            <w:col w:w="11460"/>
          </w:cols>
          <w:pgMar w:left="220" w:top="131" w:right="21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CONFIDENTIAL</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30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quarter ended September 30, 2010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580" w:hanging="188"/>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October 28, 2010</w:t>
      </w:r>
    </w:p>
    <w:p>
      <w:pPr>
        <w:sectPr>
          <w:pgSz w:w="11900" w:h="16838" w:orient="portrait"/>
          <w:cols w:equalWidth="0" w:num="1">
            <w:col w:w="11460"/>
          </w:cols>
          <w:pgMar w:left="220" w:top="131" w:right="219" w:bottom="1440" w:gutter="0" w:footer="0" w:header="0"/>
        </w:sectPr>
      </w:pPr>
    </w:p>
    <w:bookmarkStart w:id="60" w:name="page61"/>
    <w:bookmarkEnd w:id="60"/>
    <w:p>
      <w:pPr>
        <w:spacing w:after="0"/>
        <w:rPr>
          <w:sz w:val="20"/>
          <w:szCs w:val="20"/>
          <w:color w:val="auto"/>
        </w:rPr>
      </w:pPr>
      <w:r>
        <w:rPr>
          <w:rFonts w:ascii="Arial" w:cs="Arial" w:eastAsia="Arial" w:hAnsi="Arial"/>
          <w:sz w:val="13"/>
          <w:szCs w:val="13"/>
          <w:color w:val="auto"/>
        </w:rPr>
        <w:t>CONFIDENTIAL</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30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quarter ended September 30, 2010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580" w:hanging="188"/>
        <w:spacing w:after="0"/>
        <w:tabs>
          <w:tab w:leader="none" w:pos="5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60286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October 28, 2010</w:t>
      </w:r>
    </w:p>
    <w:sectPr>
      <w:pgSz w:w="11900" w:h="16838" w:orient="portrait"/>
      <w:cols w:equalWidth="0" w:num="1">
        <w:col w:w="11460"/>
      </w:cols>
      <w:pgMar w:left="220" w:top="1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decimal"/>
      <w:start w:val="3"/>
    </w:lvl>
  </w:abstractNum>
  <w:abstractNum w:abstractNumId="6">
    <w:nsid w:val="79838CB2"/>
    <w:multiLevelType w:val="hybridMultilevel"/>
    <w:lvl w:ilvl="0">
      <w:lvlJc w:val="left"/>
      <w:lvlText w:val="%1."/>
      <w:numFmt w:val="decimal"/>
      <w:start w:val="4"/>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decimal"/>
      <w:start w:val="5"/>
    </w:lvl>
  </w:abstractNum>
  <w:abstractNum w:abstractNumId="9">
    <w:nsid w:val="189A769B"/>
    <w:multiLevelType w:val="hybridMultilevel"/>
    <w:lvl w:ilvl="0">
      <w:lvlJc w:val="left"/>
      <w:lvlText w:val="(%1)"/>
      <w:numFmt w:val="lowerRoman"/>
      <w:start w:val="2"/>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1."/>
      <w:numFmt w:val="decimal"/>
      <w:start w:val="9"/>
    </w:lvl>
  </w:abstractNum>
  <w:abstractNum w:abstractNumId="12">
    <w:nsid w:val="2CA88611"/>
    <w:multiLevelType w:val="hybridMultilevel"/>
    <w:lvl w:ilvl="0">
      <w:lvlJc w:val="left"/>
      <w:lvlText w:val="%1."/>
      <w:numFmt w:val="decimal"/>
      <w:start w:val="10"/>
    </w:lvl>
  </w:abstractNum>
  <w:abstractNum w:abstractNumId="13">
    <w:nsid w:val="836C40E"/>
    <w:multiLevelType w:val="hybridMultilevel"/>
    <w:lvl w:ilvl="0">
      <w:lvlJc w:val="left"/>
      <w:lvlText w:val="%1."/>
      <w:numFmt w:val="decimal"/>
      <w:start w:val="11"/>
    </w:lvl>
  </w:abstractNum>
  <w:abstractNum w:abstractNumId="14">
    <w:nsid w:val="2901D82"/>
    <w:multiLevelType w:val="hybridMultilevel"/>
    <w:lvl w:ilvl="0">
      <w:lvlJc w:val="left"/>
      <w:lvlText w:val="%1."/>
      <w:numFmt w:val="decimal"/>
      <w:start w:val="12"/>
    </w:lvl>
  </w:abstractNum>
  <w:abstractNum w:abstractNumId="15">
    <w:nsid w:val="3A95F874"/>
    <w:multiLevelType w:val="hybridMultilevel"/>
    <w:lvl w:ilvl="0">
      <w:lvlJc w:val="left"/>
      <w:lvlText w:val="%1."/>
      <w:numFmt w:val="decimal"/>
      <w:start w:val="13"/>
    </w:lvl>
  </w:abstractNum>
  <w:abstractNum w:abstractNumId="16">
    <w:nsid w:val="8138641"/>
    <w:multiLevelType w:val="hybridMultilevel"/>
    <w:lvl w:ilvl="0">
      <w:lvlJc w:val="left"/>
      <w:lvlText w:val="%1."/>
      <w:numFmt w:val="decimal"/>
      <w:start w:val="14"/>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lvl w:ilvl="1">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2"/>
    </w:lvl>
  </w:abstractNum>
  <w:abstractNum w:abstractNumId="25">
    <w:nsid w:val="419AC241"/>
    <w:multiLevelType w:val="hybridMultilevel"/>
    <w:lvl w:ilvl="0">
      <w:lvlJc w:val="left"/>
      <w:lvlText w:val="(%1)"/>
      <w:numFmt w:val="lowerRoman"/>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lowerLetter"/>
      <w:start w:val="2"/>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2019-12-10T08:04:36Z</dcterms:created>
  <dcterms:modified xsi:type="dcterms:W3CDTF">2019-12-10T08:04:36Z</dcterms:modified>
</cp:coreProperties>
</file>