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UNITED STATES</w:t>
      </w:r>
    </w:p>
    <w:p>
      <w:pPr>
        <w:jc w:val="center"/>
        <w:ind w:righ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2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Date of Report: June 19, 2001</w:t>
      </w:r>
    </w:p>
    <w:p>
      <w:pPr>
        <w:spacing w:after="0" w:line="200" w:lineRule="exact"/>
        <w:rPr>
          <w:sz w:val="24"/>
          <w:szCs w:val="24"/>
          <w:color w:val="auto"/>
        </w:rPr>
      </w:pPr>
    </w:p>
    <w:p>
      <w:pPr>
        <w:spacing w:after="0" w:line="20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WASTE MANAGEMENT, INC.</w:t>
      </w:r>
    </w:p>
    <w:p>
      <w:pPr>
        <w:jc w:val="center"/>
        <w:ind w:right="23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760"/>
          </w:cols>
          <w:pgMar w:left="240" w:top="244" w:right="8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4220" w:space="420"/>
            <w:col w:w="2540" w:space="300"/>
            <w:col w:w="3280"/>
          </w:cols>
          <w:pgMar w:left="240" w:top="244" w:right="8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1001 Fannin Street, Suite 4000</w:t>
      </w:r>
    </w:p>
    <w:p>
      <w:pPr>
        <w:ind w:left="190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760" w:space="720"/>
            <w:col w:w="3280"/>
          </w:cols>
          <w:pgMar w:left="240" w:top="244" w:right="89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760"/>
          </w:cols>
          <w:pgMar w:left="240" w:top="244" w:right="899"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244" w:right="8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ITEM</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1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OTHER EVENTS.</w:t>
            </w:r>
          </w:p>
        </w:tc>
      </w:tr>
    </w:tbl>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Waste Management, Inc. (NYSE: WMI) issued a press release on June 19, 2001 entitled "Waste Management Comments on Arthur Andersen's Settlement with the SEC." The settlement relates to an investigation by the SEC involving the February 1998 restatement of financial statements of Waste Management Holdings, Inc. for the calendar years from 1993 through 1996, which were audited by Arthur Andersen. Waste Management Holdings, Inc. is a wholly-owned subsidiary of the Company that was known as Waste Management, Inc. before its acquisition by the Company in July 1998. As stated in the press release, the Company has cooperated fully with the SEC in the investigation, and does not believe that the SEC will seek any action against the Company in connection with the events detailed in the Arthur Andersen settlement.</w:t>
      </w:r>
    </w:p>
    <w:p>
      <w:pPr>
        <w:spacing w:after="0" w:line="21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A copy of the full text of the press release dated June 19, 2001 is attached hereto as Exhibit 99.</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580" w:right="2319" w:hanging="624"/>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Press Release dated June 19, 2001 described in Item 5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19,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Linda J. Smith</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Linda J. Smith</w:t>
      </w:r>
    </w:p>
    <w:p>
      <w:pPr>
        <w:ind w:left="86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3080" w:space="720"/>
            <w:col w:w="6099"/>
          </w:cols>
          <w:pgMar w:left="560" w:top="312" w:right="1440" w:bottom="1440" w:gutter="0" w:footer="0" w:header="0"/>
          <w:type w:val="continuous"/>
        </w:sectPr>
      </w:pPr>
    </w:p>
    <w:p>
      <w:pPr>
        <w:spacing w:after="0" w:line="7" w:lineRule="exact"/>
        <w:rPr>
          <w:sz w:val="20"/>
          <w:szCs w:val="20"/>
          <w:color w:val="auto"/>
        </w:rPr>
      </w:pPr>
    </w:p>
    <w:p>
      <w:pPr>
        <w:ind w:left="2120" w:right="1779" w:hanging="1273"/>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Press Release dated June 19, 2001 described in Item 5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[WASTE MANAGEMENT, INC. LETTERHEAD]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WASTE MANAGEMENT COMMENTS ON ARTHUR ANDERSEN'S SETTLEMENT WITH THE SEC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HOUSTON, JUNE 19, 2001 -- Waste Management, Inc. (NYSE: WMI) responded today to the announcement that its outside auditor, Arthur Andersen LLP, had reached a settlement with the Securities Exchange Commission regarding audits done for a wholly-owned subsidiary of Waste Management, Inc. for the calendar years in the period from 1993 through 1996 and the 1998 restatement of such subsidiary's financial statements. The subsidiary, which at that time was known as Waste Management, Inc. (Old Waste Management), was merged with a wholly-owned subsidiary of USA Waste Services, Inc. in 1998, and changed its name to Waste Management Holdings, Inc. USA Waste Services, Inc. then changed its name to Waste Management, Inc. (New Waste Management).</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"Although the Company was never a party to the proceedings that the SEC instituted against Arthur Andersen, we are pleased that the matter was resolved to the satisfaction of both the SEC and Arthur Andersen," said A. Maurice Myers, Chairman, Chief Executive Officer and President of Waste Management. "The former officers of the Old Waste Management that were referenced in Arthur Andersen's settlement with the SEC are no longer at Waste Management, and we have worked hard to put in place a new management team that can both prevent the problems of the past and focus attention on enhancing our position as the industry's leading provider of comprehensive waste management services. Arthur Andersen's resolution of its issues with the SEC is another major step in accomplishing that goal and in putting the issues surrounding the February 1998 restatement behind us."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settlement relates to an investigation by the SEC involving Old Waste Management's 1998 restatement of its prior financial statements for the calendar years from 1993 through 1996, which were audited by Arthur Andersen. Waste Management has cooperated fully with the SEC in the investigation, and does not believe that the SEC will seek any action against Waste Management in connection with the events detailed in the Arthur Andersen settlement. "Waste Management has resolved most of the litigation arising out of the 1998 restatement, including</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settlement of a shareholder class action suit in Chicago and a recent agreement to settle a class action pending in federal court in Boston by individuals who sold their companies to Old Waste Management between 1990 and 1997 in return for Old Waste Management's common stock", said Mr. Myers. "The Company is continuing to work diligently to bring the remaining suits or proceedings arising out of the 1998 restatement to a conclusion in the near future."</w:t>
      </w:r>
    </w:p>
    <w:p>
      <w:pPr>
        <w:spacing w:after="0" w:line="21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comprehensive waste management services. Based in Houston, the Company serves municipal, commercial, industrial, and residential customers throughout North America.</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statements contained in this press release include statements that are "forward-looking statements." Outlined below are some of the risks that the Company faces and that could affect our financial statements for 2001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w:t>
      </w:r>
    </w:p>
    <w:p>
      <w:pPr>
        <w:spacing w:after="0" w:line="182"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investigations;</w:t>
      </w:r>
    </w:p>
    <w:p>
      <w:pPr>
        <w:spacing w:after="0" w:line="206"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other audits and regulatory developments;</w:t>
      </w:r>
    </w:p>
    <w:p>
      <w:pPr>
        <w:spacing w:after="0" w:line="208" w:lineRule="exact"/>
        <w:rPr>
          <w:rFonts w:ascii="Courier New" w:cs="Courier New" w:eastAsia="Courier New" w:hAnsi="Courier New"/>
          <w:sz w:val="18"/>
          <w:szCs w:val="18"/>
          <w:color w:val="auto"/>
        </w:rPr>
      </w:pPr>
    </w:p>
    <w:p>
      <w:pPr>
        <w:ind w:left="1060" w:right="1779" w:hanging="525"/>
        <w:spacing w:after="0" w:line="275"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82" w:lineRule="exact"/>
        <w:rPr>
          <w:rFonts w:ascii="Courier New" w:cs="Courier New" w:eastAsia="Courier New" w:hAnsi="Courier New"/>
          <w:sz w:val="16"/>
          <w:szCs w:val="16"/>
          <w:color w:val="auto"/>
        </w:rPr>
      </w:pPr>
    </w:p>
    <w:p>
      <w:pPr>
        <w:ind w:left="1060" w:right="219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improve the productivity of acquired operations and use our asset base and strategic position to operate more efficiently;</w:t>
      </w:r>
    </w:p>
    <w:p>
      <w:pPr>
        <w:spacing w:after="0" w:line="169" w:lineRule="exact"/>
        <w:rPr>
          <w:rFonts w:ascii="Courier New" w:cs="Courier New" w:eastAsia="Courier New" w:hAnsi="Courier New"/>
          <w:sz w:val="16"/>
          <w:szCs w:val="16"/>
          <w:color w:val="auto"/>
        </w:rPr>
      </w:pPr>
    </w:p>
    <w:p>
      <w:pPr>
        <w:ind w:left="1060" w:right="1999" w:hanging="525"/>
        <w:spacing w:after="0" w:line="279"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accurately assess all of the pre-existing liabilities of companies we have acquired and to successfully integrate the operations of acquired companies with our existing operations;</w:t>
      </w:r>
    </w:p>
    <w:p>
      <w:pPr>
        <w:spacing w:after="0" w:line="178"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 down operations and uncompleted acquisitions or development or expansion projects;</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to asset impairments or further impairments to long-lived assets resulting from changes in circumstances or future business events or decisions;</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the weather has on our quarter to quarter results, as well as the effect of extremely harsh weather on our operations;</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price fluctuations of recyclable materials processed by the Company;</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ectPr>
          <w:pgSz w:w="11900" w:h="16838" w:orient="portrait"/>
          <w:cols w:equalWidth="0" w:num="1">
            <w:col w:w="10219"/>
          </w:cols>
          <w:pgMar w:left="240" w:top="312" w:right="1440" w:bottom="97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9" w:lineRule="exact"/>
        <w:rPr>
          <w:sz w:val="20"/>
          <w:szCs w:val="20"/>
          <w:color w:val="auto"/>
        </w:rPr>
      </w:pPr>
    </w:p>
    <w:p>
      <w:pPr>
        <w:ind w:left="1060" w:right="199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defaults under our credit agreements if cash flows are less than we expect or capital expenditures are more than we expect, and the possibility that we can not obtain additional capital on acceptable terms if needed;</w:t>
      </w:r>
    </w:p>
    <w:p>
      <w:pPr>
        <w:spacing w:after="0" w:line="207" w:lineRule="exact"/>
        <w:rPr>
          <w:rFonts w:ascii="Courier New" w:cs="Courier New" w:eastAsia="Courier New" w:hAnsi="Courier New"/>
          <w:sz w:val="18"/>
          <w:szCs w:val="18"/>
          <w:color w:val="auto"/>
        </w:rPr>
      </w:pPr>
    </w:p>
    <w:p>
      <w:pPr>
        <w:ind w:left="1060" w:right="2319" w:hanging="525"/>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diversions of management's attention and increases in operating expenses due to efforts by labor unions to organize our employees;</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general economic conditions; and</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successfully deploy our new enterprise-wide software systems.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 information regarding these and/or other factors that could materially affect results and the accuracy of the forward-looking statements contained herein may be found in Part I, Item 1 and Part II, Item 7 of the Company's Annual Report on Form 10-K for the year ended December 31, 2000 and in Part I, Item 2 of the Company's Quarterly Report on Form 10-Q for the three months ended March 31, 2001.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1"/>
      <w:numFmt w:val="decimal"/>
      <w:start w:val="99"/>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2019-12-20T03:43:50Z</dcterms:created>
  <dcterms:modified xsi:type="dcterms:W3CDTF">2019-12-20T03:43:50Z</dcterms:modified>
</cp:coreProperties>
</file>