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399"/>
        <w:spacing w:after="0"/>
        <w:rPr>
          <w:sz w:val="20"/>
          <w:szCs w:val="20"/>
          <w:color w:val="auto"/>
        </w:rPr>
      </w:pPr>
      <w:r>
        <w:rPr>
          <w:rFonts w:ascii="Arial" w:cs="Arial" w:eastAsia="Arial" w:hAnsi="Arial"/>
          <w:sz w:val="18"/>
          <w:szCs w:val="18"/>
          <w:b w:val="1"/>
          <w:bCs w:val="1"/>
          <w:color w:val="auto"/>
        </w:rPr>
        <w:t>Filed Pursuant to Rule 424(b)(5)</w:t>
      </w:r>
    </w:p>
    <w:p>
      <w:pPr>
        <w:spacing w:after="0" w:line="50" w:lineRule="exact"/>
        <w:rPr>
          <w:sz w:val="24"/>
          <w:szCs w:val="24"/>
          <w:color w:val="auto"/>
        </w:rPr>
      </w:pPr>
    </w:p>
    <w:p>
      <w:pPr>
        <w:jc w:val="right"/>
        <w:ind w:right="399"/>
        <w:spacing w:after="0"/>
        <w:rPr>
          <w:sz w:val="20"/>
          <w:szCs w:val="20"/>
          <w:color w:val="auto"/>
        </w:rPr>
      </w:pPr>
      <w:r>
        <w:rPr>
          <w:rFonts w:ascii="Arial" w:cs="Arial" w:eastAsia="Arial" w:hAnsi="Arial"/>
          <w:sz w:val="18"/>
          <w:szCs w:val="18"/>
          <w:b w:val="1"/>
          <w:bCs w:val="1"/>
          <w:color w:val="auto"/>
        </w:rPr>
        <w:t>Registration File No. 333-231027</w:t>
      </w:r>
    </w:p>
    <w:p>
      <w:pPr>
        <w:spacing w:after="0" w:line="22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26" w:lineRule="exact"/>
        <w:rPr>
          <w:sz w:val="24"/>
          <w:szCs w:val="24"/>
          <w:color w:val="auto"/>
        </w:rPr>
      </w:pPr>
    </w:p>
    <w:tbl>
      <w:tblPr>
        <w:tblLayout w:type="fixed"/>
        <w:tblInd w:w="1260" w:type="dxa"/>
        <w:tblCellMar>
          <w:top w:w="0" w:type="dxa"/>
          <w:left w:w="0" w:type="dxa"/>
          <w:bottom w:w="0" w:type="dxa"/>
          <w:right w:w="0" w:type="dxa"/>
        </w:tblCellMar>
      </w:tblPr>
      <w:tr>
        <w:trPr>
          <w:trHeight w:val="40"/>
        </w:trPr>
        <w:tc>
          <w:tcPr>
            <w:tcW w:w="606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r>
      <w:tr>
        <w:trPr>
          <w:trHeight w:val="156"/>
        </w:trPr>
        <w:tc>
          <w:tcPr>
            <w:tcW w:w="6060" w:type="dxa"/>
            <w:vAlign w:val="bottom"/>
            <w:tcBorders>
              <w:right w:val="single" w:sz="8" w:color="auto"/>
            </w:tcBorders>
          </w:tcPr>
          <w:p>
            <w:pPr>
              <w:ind w:left="2340"/>
              <w:spacing w:after="0" w:line="156" w:lineRule="exact"/>
              <w:rPr>
                <w:sz w:val="20"/>
                <w:szCs w:val="20"/>
                <w:color w:val="auto"/>
              </w:rPr>
            </w:pPr>
            <w:r>
              <w:rPr>
                <w:rFonts w:ascii="Arial" w:cs="Arial" w:eastAsia="Arial" w:hAnsi="Arial"/>
                <w:sz w:val="14"/>
                <w:szCs w:val="14"/>
                <w:b w:val="1"/>
                <w:bCs w:val="1"/>
                <w:color w:val="auto"/>
              </w:rPr>
              <w:t>Title of Each Class of</w:t>
            </w:r>
          </w:p>
        </w:tc>
        <w:tc>
          <w:tcPr>
            <w:tcW w:w="1220" w:type="dxa"/>
            <w:vAlign w:val="bottom"/>
            <w:tcBorders>
              <w:right w:val="single" w:sz="8" w:color="auto"/>
            </w:tcBorders>
          </w:tcPr>
          <w:p>
            <w:pPr>
              <w:jc w:val="right"/>
              <w:ind w:right="295"/>
              <w:spacing w:after="0" w:line="156" w:lineRule="exact"/>
              <w:rPr>
                <w:sz w:val="20"/>
                <w:szCs w:val="20"/>
                <w:color w:val="auto"/>
              </w:rPr>
            </w:pPr>
            <w:r>
              <w:rPr>
                <w:rFonts w:ascii="Arial" w:cs="Arial" w:eastAsia="Arial" w:hAnsi="Arial"/>
                <w:sz w:val="14"/>
                <w:szCs w:val="14"/>
                <w:b w:val="1"/>
                <w:bCs w:val="1"/>
                <w:color w:val="auto"/>
              </w:rPr>
              <w:t>Offering</w:t>
            </w:r>
          </w:p>
        </w:tc>
        <w:tc>
          <w:tcPr>
            <w:tcW w:w="92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w w:val="95"/>
              </w:rPr>
              <w:t>Registration</w:t>
            </w:r>
          </w:p>
        </w:tc>
      </w:tr>
      <w:tr>
        <w:trPr>
          <w:trHeight w:val="229"/>
        </w:trPr>
        <w:tc>
          <w:tcPr>
            <w:tcW w:w="60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4"/>
                <w:szCs w:val="14"/>
                <w:b w:val="1"/>
                <w:bCs w:val="1"/>
                <w:color w:val="auto"/>
              </w:rPr>
              <w:t>Securities to be Registered</w:t>
            </w:r>
          </w:p>
        </w:tc>
        <w:tc>
          <w:tcPr>
            <w:tcW w:w="1220" w:type="dxa"/>
            <w:vAlign w:val="bottom"/>
            <w:tcBorders>
              <w:bottom w:val="single" w:sz="8" w:color="auto"/>
              <w:right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6"/>
              <w:spacing w:after="0" w:line="230" w:lineRule="exact"/>
              <w:rPr>
                <w:sz w:val="20"/>
                <w:szCs w:val="20"/>
                <w:color w:val="auto"/>
              </w:rPr>
            </w:pPr>
            <w:r>
              <w:rPr>
                <w:rFonts w:ascii="Arial" w:cs="Arial" w:eastAsia="Arial" w:hAnsi="Arial"/>
                <w:sz w:val="26"/>
                <w:szCs w:val="26"/>
                <w:b w:val="1"/>
                <w:bCs w:val="1"/>
                <w:color w:val="auto"/>
                <w:vertAlign w:val="subscript"/>
              </w:rPr>
              <w:t>Fee</w:t>
            </w:r>
            <w:r>
              <w:rPr>
                <w:rFonts w:ascii="Arial" w:cs="Arial" w:eastAsia="Arial" w:hAnsi="Arial"/>
                <w:sz w:val="10"/>
                <w:szCs w:val="10"/>
                <w:b w:val="1"/>
                <w:bCs w:val="1"/>
                <w:color w:val="auto"/>
              </w:rPr>
              <w:t>(1)</w:t>
            </w:r>
          </w:p>
        </w:tc>
      </w:tr>
      <w:tr>
        <w:trPr>
          <w:trHeight w:val="257"/>
        </w:trPr>
        <w:tc>
          <w:tcPr>
            <w:tcW w:w="60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2.00% Senior Notes due 2029</w:t>
            </w:r>
          </w:p>
        </w:tc>
        <w:tc>
          <w:tcPr>
            <w:tcW w:w="12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$475,000,000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51,822.50</w:t>
            </w:r>
          </w:p>
        </w:tc>
      </w:tr>
      <w:tr>
        <w:trPr>
          <w:trHeight w:val="284"/>
        </w:trPr>
        <w:tc>
          <w:tcPr>
            <w:tcW w:w="6060" w:type="dxa"/>
            <w:vAlign w:val="bottom"/>
            <w:tcBorders>
              <w:bottom w:val="single" w:sz="8" w:color="auto"/>
              <w:right w:val="single" w:sz="8" w:color="auto"/>
            </w:tcBorders>
          </w:tcPr>
          <w:p>
            <w:pPr>
              <w:spacing w:after="0" w:line="283" w:lineRule="exact"/>
              <w:rPr>
                <w:sz w:val="20"/>
                <w:szCs w:val="20"/>
                <w:color w:val="auto"/>
              </w:rPr>
            </w:pPr>
            <w:r>
              <w:rPr>
                <w:rFonts w:ascii="Arial" w:cs="Arial" w:eastAsia="Arial" w:hAnsi="Arial"/>
                <w:sz w:val="18"/>
                <w:szCs w:val="18"/>
                <w:color w:val="auto"/>
              </w:rPr>
              <w:t>Guarantee of 2029 Notes</w:t>
            </w:r>
            <w:r>
              <w:rPr>
                <w:rFonts w:ascii="Arial" w:cs="Arial" w:eastAsia="Arial" w:hAnsi="Arial"/>
                <w:sz w:val="26"/>
                <w:szCs w:val="26"/>
                <w:color w:val="auto"/>
                <w:vertAlign w:val="superscript"/>
              </w:rPr>
              <w:t>(2)</w:t>
            </w:r>
          </w:p>
        </w:tc>
        <w:tc>
          <w:tcPr>
            <w:tcW w:w="12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2.95% Senior Notes due 2041</w:t>
            </w:r>
          </w:p>
        </w:tc>
        <w:tc>
          <w:tcPr>
            <w:tcW w:w="12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$475,000,000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51,822.50</w:t>
            </w:r>
          </w:p>
        </w:tc>
      </w:tr>
      <w:tr>
        <w:trPr>
          <w:trHeight w:val="283"/>
        </w:trPr>
        <w:tc>
          <w:tcPr>
            <w:tcW w:w="6060" w:type="dxa"/>
            <w:vAlign w:val="bottom"/>
            <w:tcBorders>
              <w:bottom w:val="single" w:sz="8" w:color="auto"/>
              <w:right w:val="single" w:sz="8" w:color="auto"/>
            </w:tcBorders>
          </w:tcPr>
          <w:p>
            <w:pPr>
              <w:spacing w:after="0" w:line="283" w:lineRule="exact"/>
              <w:rPr>
                <w:sz w:val="20"/>
                <w:szCs w:val="20"/>
                <w:color w:val="auto"/>
              </w:rPr>
            </w:pPr>
            <w:r>
              <w:rPr>
                <w:rFonts w:ascii="Arial" w:cs="Arial" w:eastAsia="Arial" w:hAnsi="Arial"/>
                <w:sz w:val="18"/>
                <w:szCs w:val="18"/>
                <w:color w:val="auto"/>
              </w:rPr>
              <w:t>Guarantee of 2041 Notes</w:t>
            </w:r>
            <w:r>
              <w:rPr>
                <w:rFonts w:ascii="Arial" w:cs="Arial" w:eastAsia="Arial" w:hAnsi="Arial"/>
                <w:sz w:val="26"/>
                <w:szCs w:val="26"/>
                <w:color w:val="auto"/>
                <w:vertAlign w:val="superscript"/>
              </w:rPr>
              <w:t>(2)</w:t>
            </w:r>
          </w:p>
        </w:tc>
        <w:tc>
          <w:tcPr>
            <w:tcW w:w="1220" w:type="dxa"/>
            <w:vAlign w:val="bottom"/>
            <w:tcBorders>
              <w:bottom w:val="single" w:sz="8" w:color="auto"/>
              <w:right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2"/>
        </w:trPr>
        <w:tc>
          <w:tcPr>
            <w:tcW w:w="60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8"/>
              </w:rPr>
              <w:t>$950,000,000</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103,645</w:t>
            </w:r>
          </w:p>
        </w:tc>
      </w:tr>
      <w:tr>
        <w:trPr>
          <w:trHeight w:val="20"/>
        </w:trPr>
        <w:tc>
          <w:tcPr>
            <w:tcW w:w="60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4"/>
          <w:szCs w:val="24"/>
          <w:color w:val="auto"/>
        </w:rPr>
      </w:pPr>
    </w:p>
    <w:p>
      <w:pPr>
        <w:ind w:left="1620" w:hanging="360"/>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for the guarantee is payable.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1330960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 Prospectus dated April 25, 2019)</w:t>
      </w:r>
    </w:p>
    <w:p>
      <w:pPr>
        <w:spacing w:after="0" w:line="94" w:lineRule="exact"/>
        <w:rPr>
          <w:sz w:val="20"/>
          <w:szCs w:val="20"/>
          <w:color w:val="auto"/>
        </w:rPr>
      </w:pPr>
    </w:p>
    <w:p>
      <w:pPr>
        <w:ind w:left="4700"/>
        <w:spacing w:after="0"/>
        <w:rPr>
          <w:sz w:val="20"/>
          <w:szCs w:val="20"/>
          <w:color w:val="auto"/>
        </w:rPr>
      </w:pPr>
      <w:r>
        <w:rPr>
          <w:rFonts w:ascii="Arial" w:cs="Arial" w:eastAsia="Arial" w:hAnsi="Arial"/>
          <w:sz w:val="25"/>
          <w:szCs w:val="25"/>
          <w:b w:val="1"/>
          <w:bCs w:val="1"/>
          <w:color w:val="auto"/>
        </w:rPr>
        <w:t>$950,000,000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71755</wp:posOffset>
            </wp:positionV>
            <wp:extent cx="2494280"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140"/>
        <w:spacing w:after="0"/>
        <w:rPr>
          <w:sz w:val="20"/>
          <w:szCs w:val="20"/>
          <w:color w:val="auto"/>
        </w:rPr>
      </w:pPr>
      <w:r>
        <w:rPr>
          <w:rFonts w:ascii="Arial" w:cs="Arial" w:eastAsia="Arial" w:hAnsi="Arial"/>
          <w:sz w:val="25"/>
          <w:szCs w:val="25"/>
          <w:b w:val="1"/>
          <w:bCs w:val="1"/>
          <w:color w:val="auto"/>
        </w:rPr>
        <w:t>$475,000,000 2.00% Senior Notes due 2029</w:t>
      </w:r>
    </w:p>
    <w:p>
      <w:pPr>
        <w:spacing w:after="0" w:line="24"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$475,000,000 2.95% Senior Notes due 2041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148590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We are offering $950,000,000 of our senior notes, consisting of $475,000,000 of our 2.00% senior notes due 2029 (the “2029 notes”) and</w:t>
      </w:r>
    </w:p>
    <w:p>
      <w:pPr>
        <w:spacing w:after="0" w:line="2" w:lineRule="exact"/>
        <w:rPr>
          <w:sz w:val="20"/>
          <w:szCs w:val="20"/>
          <w:color w:val="auto"/>
        </w:rPr>
      </w:pPr>
    </w:p>
    <w:p>
      <w:pPr>
        <w:jc w:val="both"/>
        <w:ind w:left="500" w:right="160"/>
        <w:spacing w:after="0" w:line="234" w:lineRule="auto"/>
        <w:rPr>
          <w:sz w:val="20"/>
          <w:szCs w:val="20"/>
          <w:color w:val="auto"/>
        </w:rPr>
      </w:pPr>
      <w:r>
        <w:rPr>
          <w:rFonts w:ascii="Arial" w:cs="Arial" w:eastAsia="Arial" w:hAnsi="Arial"/>
          <w:sz w:val="15"/>
          <w:szCs w:val="15"/>
          <w:color w:val="auto"/>
        </w:rPr>
        <w:t>$475,000,000 of our 2.95% senior notes due 2041 (the “2041 notes” and, together with the 2029 notes, the “notes”). Interest on the notes will accrue from May 12, 2021 and will be payable on June 1 and December 1 of each year, beginning December 1, 2021. The 2029 notes will mature on June 1, 2029 and the 2041 notes will mature on June 1, 2041.</w:t>
      </w:r>
    </w:p>
    <w:p>
      <w:pPr>
        <w:spacing w:after="0" w:line="23" w:lineRule="exact"/>
        <w:rPr>
          <w:sz w:val="20"/>
          <w:szCs w:val="20"/>
          <w:color w:val="auto"/>
        </w:rPr>
      </w:pPr>
    </w:p>
    <w:p>
      <w:pPr>
        <w:jc w:val="both"/>
        <w:ind w:left="500" w:right="20" w:firstLine="360"/>
        <w:spacing w:after="0"/>
        <w:rPr>
          <w:sz w:val="20"/>
          <w:szCs w:val="20"/>
          <w:color w:val="auto"/>
        </w:rPr>
      </w:pPr>
      <w:r>
        <w:rPr>
          <w:rFonts w:ascii="Arial" w:cs="Arial" w:eastAsia="Arial" w:hAnsi="Arial"/>
          <w:sz w:val="15"/>
          <w:szCs w:val="15"/>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23" w:lineRule="exact"/>
        <w:rPr>
          <w:sz w:val="20"/>
          <w:szCs w:val="20"/>
          <w:color w:val="auto"/>
        </w:rPr>
      </w:pPr>
    </w:p>
    <w:p>
      <w:pPr>
        <w:jc w:val="both"/>
        <w:ind w:left="500" w:right="100" w:firstLine="360"/>
        <w:spacing w:after="0" w:line="281" w:lineRule="auto"/>
        <w:rPr>
          <w:rFonts w:ascii="Arial" w:cs="Arial" w:eastAsia="Arial" w:hAnsi="Arial"/>
          <w:sz w:val="14"/>
          <w:szCs w:val="14"/>
          <w:color w:val="auto"/>
        </w:rPr>
      </w:pPr>
      <w:r>
        <w:rPr>
          <w:rFonts w:ascii="Arial" w:cs="Arial" w:eastAsia="Arial" w:hAnsi="Arial"/>
          <w:sz w:val="14"/>
          <w:szCs w:val="14"/>
          <w:color w:val="auto"/>
        </w:rPr>
        <w:t xml:space="preserve">We may redeem each series of the notes, in whole or in part, at any time at the redemption prices described beginning on page </w:t>
      </w:r>
      <w:hyperlink w:anchor="page15">
        <w:r>
          <w:rPr>
            <w:rFonts w:ascii="Arial" w:cs="Arial" w:eastAsia="Arial" w:hAnsi="Arial"/>
            <w:sz w:val="14"/>
            <w:szCs w:val="14"/>
            <w:u w:val="single" w:color="auto"/>
            <w:color w:val="0000EE"/>
          </w:rPr>
          <w:t>S-13</w:t>
        </w:r>
      </w:hyperlink>
      <w:r>
        <w:rPr>
          <w:rFonts w:ascii="Arial" w:cs="Arial" w:eastAsia="Arial" w:hAnsi="Arial"/>
          <w:sz w:val="14"/>
          <w:szCs w:val="14"/>
          <w:color w:val="auto"/>
        </w:rPr>
        <w:t xml:space="preserve">. If a change of control triggering event as described beginning on page </w:t>
      </w:r>
      <w:hyperlink w:anchor="page18">
        <w:r>
          <w:rPr>
            <w:rFonts w:ascii="Arial" w:cs="Arial" w:eastAsia="Arial" w:hAnsi="Arial"/>
            <w:sz w:val="14"/>
            <w:szCs w:val="14"/>
            <w:u w:val="single" w:color="auto"/>
            <w:color w:val="0000EE"/>
          </w:rPr>
          <w:t>S-16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occurs, we may be required to offer to purchase the notes of each series from holders.</w:t>
      </w:r>
    </w:p>
    <w:p>
      <w:pPr>
        <w:spacing w:after="0" w:line="1" w:lineRule="exact"/>
        <w:rPr>
          <w:sz w:val="20"/>
          <w:szCs w:val="20"/>
          <w:color w:val="auto"/>
        </w:rPr>
      </w:pPr>
    </w:p>
    <w:p>
      <w:pPr>
        <w:ind w:left="500" w:right="320" w:firstLine="360"/>
        <w:spacing w:after="0" w:line="255" w:lineRule="auto"/>
        <w:rPr>
          <w:sz w:val="20"/>
          <w:szCs w:val="20"/>
          <w:color w:val="auto"/>
        </w:rPr>
      </w:pPr>
      <w:r>
        <w:rPr>
          <w:rFonts w:ascii="Arial" w:cs="Arial" w:eastAsia="Arial" w:hAnsi="Arial"/>
          <w:sz w:val="15"/>
          <w:szCs w:val="15"/>
          <w:color w:val="auto"/>
        </w:rPr>
        <w:t>Concurrently with this offering, Waste Management, Inc. and Waste Management Holdings, Inc. are conducting an offer to purchase for cash certain senior notes issued by them, respectively (the “Tender Offer”). See “Summary — Recent Developments.”</w:t>
      </w:r>
    </w:p>
    <w:p>
      <w:pPr>
        <w:spacing w:after="0" w:line="11" w:lineRule="exact"/>
        <w:rPr>
          <w:sz w:val="20"/>
          <w:szCs w:val="20"/>
          <w:color w:val="auto"/>
        </w:rPr>
      </w:pPr>
    </w:p>
    <w:p>
      <w:pPr>
        <w:ind w:left="500" w:right="20" w:firstLine="360"/>
        <w:spacing w:after="0" w:line="231" w:lineRule="auto"/>
        <w:rPr>
          <w:sz w:val="20"/>
          <w:szCs w:val="20"/>
          <w:color w:val="auto"/>
        </w:rPr>
      </w:pPr>
      <w:r>
        <w:rPr>
          <w:rFonts w:ascii="Arial" w:cs="Arial" w:eastAsia="Arial" w:hAnsi="Arial"/>
          <w:sz w:val="15"/>
          <w:szCs w:val="15"/>
          <w:color w:val="auto"/>
        </w:rPr>
        <w:t>We intend to use some or all of the net proceeds from this offering, together with cash on hand, if necessary, to fund the Tender Offer. The Tender Offer is not being made pursuant to this prospectus supplement or the accompanying prospectus. We intend to use the remaining proceeds not applied in the Tender Offer, if any, for general corporate purposes. See “Use of Proceeds.” This offering is not contingent upon the consummation of the Tender Offer, although the consummation of the Tender Offer is contingent upon, among other things, the successful completion (in our reasonable opinion) of a senior notes financing, which may include this offering, designed to raise sufficient funds to purchase all notes subject to the Tender Offer that are validly tendered and not validly withdrawn and are accepted for purchase by us and to pay all fees and expenses in connection with the Tender Offer, pursuant to the terms and subject to the conditions of the Tender Offer.</w:t>
      </w:r>
    </w:p>
    <w:p>
      <w:pPr>
        <w:spacing w:after="0" w:line="22" w:lineRule="exact"/>
        <w:rPr>
          <w:sz w:val="20"/>
          <w:szCs w:val="20"/>
          <w:color w:val="auto"/>
        </w:rPr>
      </w:pPr>
    </w:p>
    <w:p>
      <w:pPr>
        <w:ind w:left="500" w:right="600" w:firstLine="360"/>
        <w:spacing w:after="0" w:line="261"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the notes involves risks.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beginning on page </w:t>
      </w:r>
      <w:hyperlink w:anchor="page8">
        <w:r>
          <w:rPr>
            <w:rFonts w:ascii="Arial" w:cs="Arial" w:eastAsia="Arial" w:hAnsi="Arial"/>
            <w:sz w:val="15"/>
            <w:szCs w:val="15"/>
            <w:b w:val="1"/>
            <w:bCs w:val="1"/>
            <w:u w:val="single" w:color="auto"/>
            <w:color w:val="0000EE"/>
          </w:rPr>
          <w:t>S-6</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 xml:space="preserve">of this prospectus supplement and page </w:t>
      </w:r>
      <w:hyperlink w:anchor="page44">
        <w:r>
          <w:rPr>
            <w:rFonts w:ascii="Arial" w:cs="Arial" w:eastAsia="Arial" w:hAnsi="Arial"/>
            <w:sz w:val="15"/>
            <w:szCs w:val="15"/>
            <w:b w:val="1"/>
            <w:bCs w:val="1"/>
            <w:u w:val="single" w:color="auto"/>
            <w:color w:val="0000EE"/>
          </w:rPr>
          <w:t>6</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107315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9" w:lineRule="exact"/>
        <w:rPr>
          <w:sz w:val="20"/>
          <w:szCs w:val="20"/>
          <w:color w:val="auto"/>
        </w:rPr>
      </w:pPr>
    </w:p>
    <w:p>
      <w:pPr>
        <w:ind w:left="500" w:right="100" w:firstLine="360"/>
        <w:spacing w:after="0" w:line="338"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103" w:lineRule="exact"/>
        <w:rPr>
          <w:sz w:val="20"/>
          <w:szCs w:val="20"/>
          <w:color w:val="auto"/>
        </w:rPr>
      </w:pPr>
    </w:p>
    <w:tbl>
      <w:tblPr>
        <w:tblLayout w:type="fixed"/>
        <w:tblInd w:w="500" w:type="dxa"/>
        <w:tblCellMar>
          <w:top w:w="0" w:type="dxa"/>
          <w:left w:w="0" w:type="dxa"/>
          <w:bottom w:w="0" w:type="dxa"/>
          <w:right w:w="0" w:type="dxa"/>
        </w:tblCellMar>
      </w:tblPr>
      <w:tr>
        <w:trPr>
          <w:trHeight w:val="211"/>
        </w:trPr>
        <w:tc>
          <w:tcPr>
            <w:tcW w:w="39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w w:val="86"/>
              </w:rPr>
              <w:t>2029 Notes</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w w:val="86"/>
              </w:rPr>
              <w:t>2041 Notes</w:t>
            </w:r>
          </w:p>
        </w:tc>
      </w:tr>
      <w:tr>
        <w:trPr>
          <w:trHeight w:val="202"/>
        </w:trPr>
        <w:tc>
          <w:tcPr>
            <w:tcW w:w="3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0"/>
              </w:rPr>
              <w:t>Per Note</w:t>
            </w:r>
          </w:p>
        </w:tc>
        <w:tc>
          <w:tcPr>
            <w:tcW w:w="100" w:type="dxa"/>
            <w:vAlign w:val="bottom"/>
          </w:tcPr>
          <w:p>
            <w:pPr>
              <w:spacing w:after="0"/>
              <w:rPr>
                <w:sz w:val="17"/>
                <w:szCs w:val="17"/>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0"/>
              </w:rPr>
              <w:t>Per Note</w:t>
            </w:r>
          </w:p>
        </w:tc>
        <w:tc>
          <w:tcPr>
            <w:tcW w:w="100" w:type="dxa"/>
            <w:vAlign w:val="bottom"/>
          </w:tcPr>
          <w:p>
            <w:pPr>
              <w:spacing w:after="0"/>
              <w:rPr>
                <w:sz w:val="17"/>
                <w:szCs w:val="17"/>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Total</w:t>
            </w:r>
          </w:p>
        </w:tc>
      </w:tr>
      <w:tr>
        <w:trPr>
          <w:trHeight w:val="25"/>
        </w:trPr>
        <w:tc>
          <w:tcPr>
            <w:tcW w:w="39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90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26"/>
                <w:szCs w:val="26"/>
                <w:color w:val="auto"/>
                <w:vertAlign w:val="superscript"/>
              </w:rPr>
              <w:t>(1)</w:t>
            </w:r>
          </w:p>
        </w:tc>
        <w:tc>
          <w:tcPr>
            <w:tcW w:w="282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99.992%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474,962,000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2"/>
              </w:rPr>
              <w:t>99.488%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472,568,000</w:t>
            </w:r>
          </w:p>
        </w:tc>
      </w:tr>
      <w:tr>
        <w:trPr>
          <w:trHeight w:val="256"/>
        </w:trPr>
        <w:tc>
          <w:tcPr>
            <w:tcW w:w="39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820" w:type="dxa"/>
            <w:vAlign w:val="bottom"/>
            <w:gridSpan w:val="4"/>
          </w:tcPr>
          <w:p>
            <w:pPr>
              <w:jc w:val="right"/>
              <w:ind w:right="28"/>
              <w:spacing w:after="0"/>
              <w:rPr>
                <w:sz w:val="20"/>
                <w:szCs w:val="20"/>
                <w:color w:val="auto"/>
              </w:rPr>
            </w:pPr>
            <w:r>
              <w:rPr>
                <w:rFonts w:ascii="Arial" w:cs="Arial" w:eastAsia="Arial" w:hAnsi="Arial"/>
                <w:sz w:val="18"/>
                <w:szCs w:val="18"/>
                <w:color w:val="auto"/>
              </w:rPr>
              <w:t>0.425%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2,018,750</w:t>
            </w:r>
          </w:p>
        </w:tc>
        <w:tc>
          <w:tcPr>
            <w:tcW w:w="780" w:type="dxa"/>
            <w:vAlign w:val="bottom"/>
            <w:gridSpan w:val="2"/>
          </w:tcPr>
          <w:p>
            <w:pPr>
              <w:jc w:val="right"/>
              <w:ind w:right="28"/>
              <w:spacing w:after="0"/>
              <w:rPr>
                <w:sz w:val="20"/>
                <w:szCs w:val="20"/>
                <w:color w:val="auto"/>
              </w:rPr>
            </w:pPr>
            <w:r>
              <w:rPr>
                <w:rFonts w:ascii="Arial" w:cs="Arial" w:eastAsia="Arial" w:hAnsi="Arial"/>
                <w:sz w:val="18"/>
                <w:szCs w:val="18"/>
                <w:color w:val="auto"/>
              </w:rPr>
              <w:t>0.750%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3,562,500</w:t>
            </w:r>
          </w:p>
        </w:tc>
      </w:tr>
      <w:tr>
        <w:trPr>
          <w:trHeight w:val="25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(excluding expenses)</w:t>
            </w:r>
          </w:p>
        </w:tc>
        <w:tc>
          <w:tcPr>
            <w:tcW w:w="282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99.567%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472,943,250</w:t>
            </w:r>
          </w:p>
        </w:tc>
        <w:tc>
          <w:tcPr>
            <w:tcW w:w="7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2"/>
              </w:rPr>
              <w:t>98.738%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469,005,500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5711825</wp:posOffset>
            </wp:positionH>
            <wp:positionV relativeFrom="paragraph">
              <wp:posOffset>-505460</wp:posOffset>
            </wp:positionV>
            <wp:extent cx="137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-505460</wp:posOffset>
            </wp:positionV>
            <wp:extent cx="5048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888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137160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1" w:lineRule="exact"/>
        <w:rPr>
          <w:sz w:val="20"/>
          <w:szCs w:val="20"/>
          <w:color w:val="auto"/>
        </w:rPr>
      </w:pPr>
    </w:p>
    <w:p>
      <w:pPr>
        <w:ind w:left="860" w:hanging="368"/>
        <w:spacing w:after="0"/>
        <w:tabs>
          <w:tab w:leader="none" w:pos="860" w:val="left"/>
        </w:tabs>
        <w:numPr>
          <w:ilvl w:val="0"/>
          <w:numId w:val="2"/>
        </w:numPr>
        <w:rPr>
          <w:rFonts w:ascii="Arial" w:cs="Arial" w:eastAsia="Arial" w:hAnsi="Arial"/>
          <w:sz w:val="15"/>
          <w:szCs w:val="15"/>
          <w:color w:val="auto"/>
        </w:rPr>
      </w:pPr>
      <w:r>
        <w:rPr>
          <w:rFonts w:ascii="Arial" w:cs="Arial" w:eastAsia="Arial" w:hAnsi="Arial"/>
          <w:sz w:val="15"/>
          <w:szCs w:val="15"/>
          <w:color w:val="auto"/>
        </w:rPr>
        <w:t>Plus accrued interest from May 12, 2021, if delivery occurs after that date.</w:t>
      </w:r>
    </w:p>
    <w:p>
      <w:pPr>
        <w:spacing w:after="0" w:line="43" w:lineRule="exact"/>
        <w:rPr>
          <w:rFonts w:ascii="Arial" w:cs="Arial" w:eastAsia="Arial" w:hAnsi="Arial"/>
          <w:sz w:val="15"/>
          <w:szCs w:val="15"/>
          <w:color w:val="auto"/>
        </w:rPr>
      </w:pPr>
    </w:p>
    <w:p>
      <w:pPr>
        <w:ind w:left="860"/>
        <w:spacing w:after="0"/>
        <w:rPr>
          <w:rFonts w:ascii="Arial" w:cs="Arial" w:eastAsia="Arial" w:hAnsi="Arial"/>
          <w:sz w:val="15"/>
          <w:szCs w:val="15"/>
          <w:color w:val="auto"/>
        </w:rPr>
      </w:pPr>
      <w:r>
        <w:rPr>
          <w:rFonts w:ascii="Arial" w:cs="Arial" w:eastAsia="Arial" w:hAnsi="Arial"/>
          <w:sz w:val="15"/>
          <w:szCs w:val="15"/>
          <w:color w:val="auto"/>
        </w:rPr>
        <w:t>The notes will not be listed on any securities exchange. Currently, there is no public market for the notes.</w:t>
      </w:r>
    </w:p>
    <w:p>
      <w:pPr>
        <w:spacing w:after="0" w:line="44" w:lineRule="exact"/>
        <w:rPr>
          <w:sz w:val="20"/>
          <w:szCs w:val="20"/>
          <w:color w:val="auto"/>
        </w:rPr>
      </w:pPr>
    </w:p>
    <w:p>
      <w:pPr>
        <w:ind w:left="500" w:right="100" w:firstLine="360"/>
        <w:spacing w:after="0" w:line="291" w:lineRule="auto"/>
        <w:rPr>
          <w:sz w:val="20"/>
          <w:szCs w:val="20"/>
          <w:color w:val="auto"/>
        </w:rPr>
      </w:pPr>
      <w:r>
        <w:rPr>
          <w:rFonts w:ascii="Arial" w:cs="Arial" w:eastAsia="Arial" w:hAnsi="Arial"/>
          <w:sz w:val="14"/>
          <w:szCs w:val="14"/>
          <w:color w:val="auto"/>
        </w:rPr>
        <w:t>The underwriters expect to deliver the notes to investors on or about May 12, 2021 only in book-entry form through the facilities of The Depository Trust Company and its participants, including Clearstream Banking S.A. and Euroclear Bank SA/NV, as operator of the Euroclear System.</w:t>
      </w:r>
    </w:p>
    <w:p>
      <w:pPr>
        <w:spacing w:after="0" w:line="42" w:lineRule="exact"/>
        <w:rPr>
          <w:sz w:val="20"/>
          <w:szCs w:val="20"/>
          <w:color w:val="auto"/>
        </w:rPr>
      </w:pPr>
    </w:p>
    <w:tbl>
      <w:tblPr>
        <w:tblLayout w:type="fixed"/>
        <w:tblInd w:w="500" w:type="dxa"/>
        <w:tblCellMar>
          <w:top w:w="0" w:type="dxa"/>
          <w:left w:w="0" w:type="dxa"/>
          <w:bottom w:w="0" w:type="dxa"/>
          <w:right w:w="0" w:type="dxa"/>
        </w:tblCellMar>
      </w:tblPr>
      <w:tr>
        <w:trPr>
          <w:trHeight w:val="194"/>
        </w:trPr>
        <w:tc>
          <w:tcPr>
            <w:tcW w:w="2800" w:type="dxa"/>
            <w:vAlign w:val="bottom"/>
          </w:tcPr>
          <w:p>
            <w:pPr>
              <w:spacing w:after="0"/>
              <w:rPr>
                <w:sz w:val="16"/>
                <w:szCs w:val="16"/>
                <w:color w:val="auto"/>
              </w:rPr>
            </w:pPr>
          </w:p>
        </w:tc>
        <w:tc>
          <w:tcPr>
            <w:tcW w:w="3940" w:type="dxa"/>
            <w:vAlign w:val="bottom"/>
          </w:tcPr>
          <w:p>
            <w:pPr>
              <w:jc w:val="center"/>
              <w:ind w:left="81"/>
              <w:spacing w:after="0"/>
              <w:rPr>
                <w:sz w:val="20"/>
                <w:szCs w:val="20"/>
                <w:color w:val="auto"/>
              </w:rPr>
            </w:pPr>
            <w:r>
              <w:rPr>
                <w:rFonts w:ascii="Arial" w:cs="Arial" w:eastAsia="Arial" w:hAnsi="Arial"/>
                <w:sz w:val="15"/>
                <w:szCs w:val="15"/>
                <w:i w:val="1"/>
                <w:iCs w:val="1"/>
                <w:color w:val="auto"/>
                <w:w w:val="97"/>
              </w:rPr>
              <w:t>Joint Book-Running Managers</w:t>
            </w:r>
          </w:p>
        </w:tc>
        <w:tc>
          <w:tcPr>
            <w:tcW w:w="2960" w:type="dxa"/>
            <w:vAlign w:val="bottom"/>
          </w:tcPr>
          <w:p>
            <w:pPr>
              <w:spacing w:after="0"/>
              <w:rPr>
                <w:sz w:val="16"/>
                <w:szCs w:val="16"/>
                <w:color w:val="auto"/>
              </w:rPr>
            </w:pPr>
          </w:p>
        </w:tc>
      </w:tr>
      <w:tr>
        <w:trPr>
          <w:trHeight w:val="470"/>
        </w:trPr>
        <w:tc>
          <w:tcPr>
            <w:tcW w:w="2800" w:type="dxa"/>
            <w:vAlign w:val="bottom"/>
          </w:tcPr>
          <w:p>
            <w:pPr>
              <w:spacing w:after="0"/>
              <w:rPr>
                <w:sz w:val="20"/>
                <w:szCs w:val="20"/>
                <w:color w:val="auto"/>
              </w:rPr>
            </w:pPr>
            <w:r>
              <w:rPr>
                <w:rFonts w:ascii="Arial" w:cs="Arial" w:eastAsia="Arial" w:hAnsi="Arial"/>
                <w:sz w:val="23"/>
                <w:szCs w:val="23"/>
                <w:b w:val="1"/>
                <w:bCs w:val="1"/>
                <w:color w:val="auto"/>
              </w:rPr>
              <w:t>Credit Suisse</w:t>
            </w:r>
          </w:p>
        </w:tc>
        <w:tc>
          <w:tcPr>
            <w:tcW w:w="3940" w:type="dxa"/>
            <w:vAlign w:val="bottom"/>
          </w:tcPr>
          <w:p>
            <w:pPr>
              <w:jc w:val="center"/>
              <w:ind w:left="61"/>
              <w:spacing w:after="0"/>
              <w:rPr>
                <w:sz w:val="20"/>
                <w:szCs w:val="20"/>
                <w:color w:val="auto"/>
              </w:rPr>
            </w:pPr>
            <w:r>
              <w:rPr>
                <w:rFonts w:ascii="Arial" w:cs="Arial" w:eastAsia="Arial" w:hAnsi="Arial"/>
                <w:sz w:val="23"/>
                <w:szCs w:val="23"/>
                <w:b w:val="1"/>
                <w:bCs w:val="1"/>
                <w:color w:val="auto"/>
                <w:w w:val="91"/>
              </w:rPr>
              <w:t>Goldman Sachs &amp; Co. LLC</w:t>
            </w:r>
          </w:p>
        </w:tc>
        <w:tc>
          <w:tcPr>
            <w:tcW w:w="2960" w:type="dxa"/>
            <w:vAlign w:val="bottom"/>
          </w:tcPr>
          <w:p>
            <w:pPr>
              <w:jc w:val="right"/>
              <w:spacing w:after="0"/>
              <w:rPr>
                <w:sz w:val="20"/>
                <w:szCs w:val="20"/>
                <w:color w:val="auto"/>
              </w:rPr>
            </w:pPr>
            <w:r>
              <w:rPr>
                <w:rFonts w:ascii="Arial" w:cs="Arial" w:eastAsia="Arial" w:hAnsi="Arial"/>
                <w:sz w:val="23"/>
                <w:szCs w:val="23"/>
                <w:b w:val="1"/>
                <w:bCs w:val="1"/>
                <w:color w:val="auto"/>
              </w:rPr>
              <w:t>Wells Fargo Securities</w:t>
            </w:r>
          </w:p>
        </w:tc>
      </w:tr>
      <w:tr>
        <w:trPr>
          <w:trHeight w:val="354"/>
        </w:trPr>
        <w:tc>
          <w:tcPr>
            <w:tcW w:w="2800" w:type="dxa"/>
            <w:vAlign w:val="bottom"/>
          </w:tcPr>
          <w:p>
            <w:pPr>
              <w:spacing w:after="0"/>
              <w:rPr>
                <w:sz w:val="24"/>
                <w:szCs w:val="24"/>
                <w:color w:val="auto"/>
              </w:rPr>
            </w:pPr>
          </w:p>
        </w:tc>
        <w:tc>
          <w:tcPr>
            <w:tcW w:w="3940" w:type="dxa"/>
            <w:vAlign w:val="bottom"/>
          </w:tcPr>
          <w:p>
            <w:pPr>
              <w:jc w:val="center"/>
              <w:ind w:left="81"/>
              <w:spacing w:after="0"/>
              <w:rPr>
                <w:sz w:val="20"/>
                <w:szCs w:val="20"/>
                <w:color w:val="auto"/>
              </w:rPr>
            </w:pPr>
            <w:r>
              <w:rPr>
                <w:rFonts w:ascii="Arial" w:cs="Arial" w:eastAsia="Arial" w:hAnsi="Arial"/>
                <w:sz w:val="15"/>
                <w:szCs w:val="15"/>
                <w:i w:val="1"/>
                <w:iCs w:val="1"/>
                <w:color w:val="auto"/>
                <w:w w:val="96"/>
              </w:rPr>
              <w:t>Co-Managers</w:t>
            </w:r>
          </w:p>
        </w:tc>
        <w:tc>
          <w:tcPr>
            <w:tcW w:w="2960" w:type="dxa"/>
            <w:vAlign w:val="bottom"/>
          </w:tcPr>
          <w:p>
            <w:pPr>
              <w:spacing w:after="0"/>
              <w:rPr>
                <w:sz w:val="24"/>
                <w:szCs w:val="24"/>
                <w:color w:val="auto"/>
              </w:rPr>
            </w:pPr>
          </w:p>
        </w:tc>
      </w:tr>
      <w:tr>
        <w:trPr>
          <w:trHeight w:val="288"/>
        </w:trPr>
        <w:tc>
          <w:tcPr>
            <w:tcW w:w="2800" w:type="dxa"/>
            <w:vAlign w:val="bottom"/>
          </w:tcPr>
          <w:p>
            <w:pPr>
              <w:spacing w:after="0"/>
              <w:rPr>
                <w:sz w:val="20"/>
                <w:szCs w:val="20"/>
                <w:color w:val="auto"/>
              </w:rPr>
            </w:pPr>
            <w:r>
              <w:rPr>
                <w:rFonts w:ascii="Arial" w:cs="Arial" w:eastAsia="Arial" w:hAnsi="Arial"/>
                <w:sz w:val="22"/>
                <w:szCs w:val="22"/>
                <w:b w:val="1"/>
                <w:bCs w:val="1"/>
                <w:color w:val="auto"/>
              </w:rPr>
              <w:t>BofA Securities</w:t>
            </w:r>
          </w:p>
        </w:tc>
        <w:tc>
          <w:tcPr>
            <w:tcW w:w="3940" w:type="dxa"/>
            <w:vAlign w:val="bottom"/>
          </w:tcPr>
          <w:p>
            <w:pPr>
              <w:jc w:val="center"/>
              <w:ind w:left="61"/>
              <w:spacing w:after="0"/>
              <w:rPr>
                <w:sz w:val="20"/>
                <w:szCs w:val="20"/>
                <w:color w:val="auto"/>
              </w:rPr>
            </w:pPr>
            <w:r>
              <w:rPr>
                <w:rFonts w:ascii="Arial" w:cs="Arial" w:eastAsia="Arial" w:hAnsi="Arial"/>
                <w:sz w:val="22"/>
                <w:szCs w:val="22"/>
                <w:b w:val="1"/>
                <w:bCs w:val="1"/>
                <w:color w:val="auto"/>
                <w:w w:val="84"/>
              </w:rPr>
              <w:t>Barclays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J.P. Morgan</w:t>
            </w:r>
          </w:p>
        </w:tc>
      </w:tr>
      <w:tr>
        <w:trPr>
          <w:trHeight w:val="341"/>
        </w:trPr>
        <w:tc>
          <w:tcPr>
            <w:tcW w:w="2800" w:type="dxa"/>
            <w:vAlign w:val="bottom"/>
          </w:tcPr>
          <w:p>
            <w:pPr>
              <w:spacing w:after="0"/>
              <w:rPr>
                <w:sz w:val="20"/>
                <w:szCs w:val="20"/>
                <w:color w:val="auto"/>
              </w:rPr>
            </w:pPr>
            <w:r>
              <w:rPr>
                <w:rFonts w:ascii="Arial" w:cs="Arial" w:eastAsia="Arial" w:hAnsi="Arial"/>
                <w:sz w:val="22"/>
                <w:szCs w:val="22"/>
                <w:b w:val="1"/>
                <w:bCs w:val="1"/>
                <w:color w:val="auto"/>
              </w:rPr>
              <w:t>Mizuho Securities</w:t>
            </w:r>
          </w:p>
        </w:tc>
        <w:tc>
          <w:tcPr>
            <w:tcW w:w="3940" w:type="dxa"/>
            <w:vAlign w:val="bottom"/>
          </w:tcPr>
          <w:p>
            <w:pPr>
              <w:jc w:val="center"/>
              <w:ind w:left="61"/>
              <w:spacing w:after="0"/>
              <w:rPr>
                <w:sz w:val="20"/>
                <w:szCs w:val="20"/>
                <w:color w:val="auto"/>
              </w:rPr>
            </w:pPr>
            <w:r>
              <w:rPr>
                <w:rFonts w:ascii="Arial" w:cs="Arial" w:eastAsia="Arial" w:hAnsi="Arial"/>
                <w:sz w:val="22"/>
                <w:szCs w:val="22"/>
                <w:b w:val="1"/>
                <w:bCs w:val="1"/>
                <w:color w:val="auto"/>
                <w:w w:val="83"/>
              </w:rPr>
              <w:t>Scotiabank</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PNC Capital Markets LLC</w:t>
            </w:r>
          </w:p>
        </w:tc>
      </w:tr>
      <w:tr>
        <w:trPr>
          <w:trHeight w:val="280"/>
        </w:trPr>
        <w:tc>
          <w:tcPr>
            <w:tcW w:w="2800" w:type="dxa"/>
            <w:vAlign w:val="bottom"/>
          </w:tcPr>
          <w:p>
            <w:pPr>
              <w:spacing w:after="0"/>
              <w:rPr>
                <w:sz w:val="20"/>
                <w:szCs w:val="20"/>
                <w:color w:val="auto"/>
              </w:rPr>
            </w:pPr>
            <w:r>
              <w:rPr>
                <w:rFonts w:ascii="Arial" w:cs="Arial" w:eastAsia="Arial" w:hAnsi="Arial"/>
                <w:sz w:val="22"/>
                <w:szCs w:val="22"/>
                <w:b w:val="1"/>
                <w:bCs w:val="1"/>
                <w:color w:val="auto"/>
              </w:rPr>
              <w:t>Truist Securities</w:t>
            </w:r>
          </w:p>
        </w:tc>
        <w:tc>
          <w:tcPr>
            <w:tcW w:w="3940" w:type="dxa"/>
            <w:vAlign w:val="bottom"/>
          </w:tcPr>
          <w:p>
            <w:pPr>
              <w:jc w:val="center"/>
              <w:ind w:left="61"/>
              <w:spacing w:after="0"/>
              <w:rPr>
                <w:sz w:val="20"/>
                <w:szCs w:val="20"/>
                <w:color w:val="auto"/>
              </w:rPr>
            </w:pPr>
            <w:r>
              <w:rPr>
                <w:rFonts w:ascii="Arial" w:cs="Arial" w:eastAsia="Arial" w:hAnsi="Arial"/>
                <w:sz w:val="22"/>
                <w:szCs w:val="22"/>
                <w:b w:val="1"/>
                <w:bCs w:val="1"/>
                <w:color w:val="auto"/>
                <w:w w:val="88"/>
              </w:rPr>
              <w:t>Loop Capital Markets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Academy Securities</w:t>
            </w:r>
          </w:p>
        </w:tc>
      </w:tr>
      <w:tr>
        <w:trPr>
          <w:trHeight w:val="284"/>
        </w:trPr>
        <w:tc>
          <w:tcPr>
            <w:tcW w:w="2800" w:type="dxa"/>
            <w:vAlign w:val="bottom"/>
          </w:tcPr>
          <w:p>
            <w:pPr>
              <w:spacing w:after="0"/>
              <w:rPr>
                <w:sz w:val="20"/>
                <w:szCs w:val="20"/>
                <w:color w:val="auto"/>
              </w:rPr>
            </w:pPr>
            <w:r>
              <w:rPr>
                <w:rFonts w:ascii="Arial" w:cs="Arial" w:eastAsia="Arial" w:hAnsi="Arial"/>
                <w:sz w:val="22"/>
                <w:szCs w:val="22"/>
                <w:b w:val="1"/>
                <w:bCs w:val="1"/>
                <w:color w:val="auto"/>
              </w:rPr>
              <w:t>Siebert Williams Shank</w:t>
            </w:r>
          </w:p>
        </w:tc>
        <w:tc>
          <w:tcPr>
            <w:tcW w:w="394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Stern</w:t>
            </w:r>
          </w:p>
        </w:tc>
      </w:tr>
    </w:tbl>
    <w:p>
      <w:pPr>
        <w:spacing w:after="0" w:line="200" w:lineRule="exact"/>
        <w:rPr>
          <w:sz w:val="20"/>
          <w:szCs w:val="20"/>
          <w:color w:val="auto"/>
        </w:rPr>
      </w:pPr>
    </w:p>
    <w:p>
      <w:pPr>
        <w:sectPr>
          <w:pgSz w:w="11900" w:h="16838" w:orient="portrait"/>
          <w:cols w:equalWidth="0" w:num="1">
            <w:col w:w="10220"/>
          </w:cols>
          <w:pgMar w:left="580" w:top="131" w:right="109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237490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399" w:firstLine="360"/>
        <w:spacing w:after="0" w:line="289" w:lineRule="auto"/>
        <w:rPr>
          <w:sz w:val="20"/>
          <w:szCs w:val="20"/>
          <w:color w:val="auto"/>
        </w:rPr>
      </w:pPr>
      <w:r>
        <w:rPr>
          <w:rFonts w:ascii="Arial" w:cs="Arial" w:eastAsia="Arial" w:hAnsi="Arial"/>
          <w:sz w:val="15"/>
          <w:szCs w:val="15"/>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gridSpan w:val="7"/>
          </w:tcPr>
          <w:p>
            <w:pPr>
              <w:jc w:val="center"/>
              <w:ind w:right="2620"/>
              <w:spacing w:after="0"/>
              <w:rPr>
                <w:sz w:val="20"/>
                <w:szCs w:val="20"/>
                <w:color w:val="auto"/>
              </w:rPr>
            </w:pPr>
            <w:r>
              <w:rPr>
                <w:rFonts w:ascii="Arial" w:cs="Arial" w:eastAsia="Arial" w:hAnsi="Arial"/>
                <w:sz w:val="18"/>
                <w:szCs w:val="18"/>
                <w:b w:val="1"/>
                <w:bCs w:val="1"/>
                <w:color w:val="auto"/>
                <w:w w:val="95"/>
              </w:rPr>
              <w:t>TABLE OF CONTENTS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7"/>
          </w:tcPr>
          <w:p>
            <w:pPr>
              <w:jc w:val="center"/>
              <w:ind w:right="2620"/>
              <w:spacing w:after="0"/>
              <w:rPr>
                <w:sz w:val="20"/>
                <w:szCs w:val="20"/>
                <w:color w:val="auto"/>
              </w:rPr>
            </w:pPr>
            <w:r>
              <w:rPr>
                <w:rFonts w:ascii="Arial" w:cs="Arial" w:eastAsia="Arial" w:hAnsi="Arial"/>
                <w:sz w:val="18"/>
                <w:szCs w:val="18"/>
                <w:b w:val="1"/>
                <w:bCs w:val="1"/>
                <w:color w:val="auto"/>
                <w:w w:val="84"/>
              </w:rPr>
              <w:t>Prospectus Supplement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gridSpan w:val="6"/>
          </w:tcPr>
          <w:p>
            <w:pPr>
              <w:jc w:val="center"/>
              <w:ind w:right="2880"/>
              <w:spacing w:after="0"/>
              <w:rPr>
                <w:sz w:val="20"/>
                <w:szCs w:val="20"/>
                <w:color w:val="auto"/>
              </w:rPr>
            </w:pPr>
            <w:r>
              <w:rPr>
                <w:rFonts w:ascii="Arial" w:cs="Arial" w:eastAsia="Arial" w:hAnsi="Arial"/>
                <w:sz w:val="18"/>
                <w:szCs w:val="18"/>
                <w:b w:val="1"/>
                <w:bCs w:val="1"/>
                <w:i w:val="1"/>
                <w:iCs w:val="1"/>
                <w:color w:val="auto"/>
                <w:w w:val="81"/>
              </w:rPr>
              <w:t>Table of Contents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820" w:type="dxa"/>
            <w:vAlign w:val="bottom"/>
            <w:gridSpan w:val="20"/>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SUMMARY</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782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S-6</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7"/>
        </w:trPr>
        <w:tc>
          <w:tcPr>
            <w:tcW w:w="16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USE OF PROCEEDS</w:t>
              </w:r>
            </w:hyperlink>
          </w:p>
        </w:tc>
        <w:tc>
          <w:tcPr>
            <w:tcW w:w="6180" w:type="dxa"/>
            <w:vAlign w:val="bottom"/>
            <w:tcBorders>
              <w:bottom w:val="single" w:sz="8" w:color="CCEEFF"/>
            </w:tcBorders>
            <w:gridSpan w:val="14"/>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78"/>
              </w:rPr>
            </w:pPr>
            <w:hyperlink w:anchor="page11">
              <w:r>
                <w:rPr>
                  <w:rFonts w:ascii="Arial" w:cs="Arial" w:eastAsia="Arial" w:hAnsi="Arial"/>
                  <w:sz w:val="18"/>
                  <w:szCs w:val="18"/>
                  <w:color w:val="0000EE"/>
                  <w:w w:val="78"/>
                </w:rPr>
                <w:t>S-9</w:t>
              </w:r>
            </w:hyperlink>
          </w:p>
        </w:tc>
      </w:tr>
      <w:tr>
        <w:trPr>
          <w:trHeight w:val="229"/>
        </w:trPr>
        <w:tc>
          <w:tcPr>
            <w:tcW w:w="782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CAPITALIZATION</w:t>
              </w:r>
            </w:hyperlink>
          </w:p>
        </w:tc>
        <w:tc>
          <w:tcPr>
            <w:tcW w:w="380" w:type="dxa"/>
            <w:vAlign w:val="bottom"/>
            <w:gridSpan w:val="6"/>
          </w:tcPr>
          <w:p>
            <w:pPr>
              <w:jc w:val="right"/>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S-10</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2140" w:type="dxa"/>
            <w:vAlign w:val="bottom"/>
            <w:gridSpan w:val="8"/>
            <w:shd w:val="clear" w:color="auto" w:fill="CCEEFF"/>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DESCRIPTION OF NOTES</w:t>
              </w:r>
            </w:hyperlink>
          </w:p>
        </w:tc>
        <w:tc>
          <w:tcPr>
            <w:tcW w:w="5680" w:type="dxa"/>
            <w:vAlign w:val="bottom"/>
            <w:gridSpan w:val="12"/>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S-12</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CERTAIN U.S. FEDERAL TAX CONSIDERATIONS FOR NON-U.S. HOLDERS</w:t>
              </w:r>
            </w:hyperlink>
          </w:p>
        </w:tc>
        <w:tc>
          <w:tcPr>
            <w:tcW w:w="380" w:type="dxa"/>
            <w:vAlign w:val="bottom"/>
            <w:gridSpan w:val="6"/>
          </w:tcPr>
          <w:p>
            <w:pPr>
              <w:jc w:val="right"/>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S-23</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3840" w:type="dxa"/>
            <w:vAlign w:val="bottom"/>
            <w:gridSpan w:val="16"/>
            <w:shd w:val="clear" w:color="auto" w:fill="CCEEFF"/>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UNDERWRITING (CONFLICTS OF INTEREST)</w:t>
              </w:r>
            </w:hyperlink>
          </w:p>
        </w:tc>
        <w:tc>
          <w:tcPr>
            <w:tcW w:w="3980" w:type="dxa"/>
            <w:vAlign w:val="bottom"/>
            <w:gridSpan w:val="4"/>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S-27</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3840" w:type="dxa"/>
            <w:vAlign w:val="bottom"/>
            <w:gridSpan w:val="1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MATTERS</w:t>
              </w:r>
            </w:hyperlink>
          </w:p>
        </w:tc>
        <w:tc>
          <w:tcPr>
            <w:tcW w:w="3980" w:type="dxa"/>
            <w:vAlign w:val="bottom"/>
            <w:gridSpan w:val="4"/>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S-33</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800" w:type="dxa"/>
            <w:vAlign w:val="bottom"/>
            <w:shd w:val="clear" w:color="auto" w:fill="CCEEFF"/>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EXPERTS</w:t>
              </w:r>
            </w:hyperlink>
          </w:p>
        </w:tc>
        <w:tc>
          <w:tcPr>
            <w:tcW w:w="7020" w:type="dxa"/>
            <w:vAlign w:val="bottom"/>
            <w:gridSpan w:val="19"/>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S-33</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782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INCORPORATION OF CERTAIN DOCUMENTS BY REFERENCE</w:t>
              </w:r>
            </w:hyperlink>
          </w:p>
        </w:tc>
        <w:tc>
          <w:tcPr>
            <w:tcW w:w="380" w:type="dxa"/>
            <w:vAlign w:val="bottom"/>
            <w:gridSpan w:val="6"/>
          </w:tcPr>
          <w:p>
            <w:pPr>
              <w:jc w:val="right"/>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S-34</w:t>
              </w:r>
            </w:hyperlink>
          </w:p>
        </w:tc>
      </w:tr>
      <w:tr>
        <w:trPr>
          <w:trHeight w:val="345"/>
        </w:trPr>
        <w:tc>
          <w:tcPr>
            <w:tcW w:w="8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gridSpan w:val="3"/>
          </w:tcPr>
          <w:p>
            <w:pPr>
              <w:jc w:val="center"/>
              <w:ind w:right="560"/>
              <w:spacing w:after="0"/>
              <w:rPr>
                <w:sz w:val="20"/>
                <w:szCs w:val="20"/>
                <w:color w:val="auto"/>
              </w:rPr>
            </w:pPr>
            <w:r>
              <w:rPr>
                <w:rFonts w:ascii="Arial" w:cs="Arial" w:eastAsia="Arial" w:hAnsi="Arial"/>
                <w:sz w:val="18"/>
                <w:szCs w:val="18"/>
                <w:b w:val="1"/>
                <w:bCs w:val="1"/>
                <w:color w:val="auto"/>
                <w:w w:val="81"/>
              </w:rPr>
              <w:t>Prospectus</w:t>
            </w:r>
          </w:p>
        </w:tc>
        <w:tc>
          <w:tcPr>
            <w:tcW w:w="2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66"/>
        </w:trPr>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5"/>
        </w:trPr>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302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FORWARD-LOOKING STATEMENTS</w:t>
              </w:r>
            </w:hyperlink>
          </w:p>
        </w:tc>
        <w:tc>
          <w:tcPr>
            <w:tcW w:w="4800" w:type="dxa"/>
            <w:vAlign w:val="bottom"/>
            <w:tcBorders>
              <w:bottom w:val="single" w:sz="8" w:color="CCEEFF"/>
            </w:tcBorders>
            <w:gridSpan w:val="7"/>
            <w:shd w:val="clear" w:color="auto" w:fill="CCEEFF"/>
          </w:tcPr>
          <w:p>
            <w:pPr>
              <w:spacing w:after="0"/>
              <w:rPr>
                <w:sz w:val="20"/>
                <w:szCs w:val="20"/>
                <w:color w:val="auto"/>
              </w:rPr>
            </w:pPr>
          </w:p>
        </w:tc>
        <w:tc>
          <w:tcPr>
            <w:tcW w:w="22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1</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78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320" w:type="dxa"/>
            <w:vAlign w:val="bottom"/>
            <w:gridSpan w:val="5"/>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w:t>
              </w:r>
            </w:hyperlink>
          </w:p>
        </w:tc>
        <w:tc>
          <w:tcPr>
            <w:tcW w:w="60" w:type="dxa"/>
            <w:vAlign w:val="bottom"/>
          </w:tcPr>
          <w:p>
            <w:pPr>
              <w:spacing w:after="0"/>
              <w:rPr>
                <w:sz w:val="20"/>
                <w:szCs w:val="20"/>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7820" w:type="dxa"/>
            <w:vAlign w:val="bottom"/>
            <w:gridSpan w:val="20"/>
            <w:shd w:val="clear" w:color="auto" w:fill="CCEEFF"/>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INCORPORATION OF CERTAIN DOCUMENTS BY REFERENCE</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5</w:t>
              </w:r>
            </w:hyperlink>
          </w:p>
        </w:tc>
        <w:tc>
          <w:tcPr>
            <w:tcW w:w="60" w:type="dxa"/>
            <w:vAlign w:val="bottom"/>
            <w:shd w:val="clear" w:color="auto" w:fill="CCEEFF"/>
          </w:tcPr>
          <w:p>
            <w:pPr>
              <w:spacing w:after="0"/>
              <w:rPr>
                <w:sz w:val="20"/>
                <w:szCs w:val="20"/>
                <w:color w:val="auto"/>
              </w:rPr>
            </w:pPr>
          </w:p>
        </w:tc>
      </w:tr>
      <w:tr>
        <w:trPr>
          <w:trHeight w:val="237"/>
        </w:trPr>
        <w:tc>
          <w:tcPr>
            <w:tcW w:w="3940" w:type="dxa"/>
            <w:vAlign w:val="bottom"/>
            <w:tcBorders>
              <w:top w:val="single" w:sz="8" w:color="0000EE"/>
              <w:bottom w:val="single" w:sz="8" w:color="0000EE"/>
            </w:tcBorders>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1280" w:type="dxa"/>
            <w:vAlign w:val="bottom"/>
            <w:tcBorders>
              <w:top w:val="single" w:sz="8" w:color="0000EE"/>
            </w:tcBorders>
          </w:tcPr>
          <w:p>
            <w:pPr>
              <w:spacing w:after="0"/>
              <w:rPr>
                <w:sz w:val="20"/>
                <w:szCs w:val="20"/>
                <w:color w:val="auto"/>
              </w:rPr>
            </w:pPr>
          </w:p>
        </w:tc>
        <w:tc>
          <w:tcPr>
            <w:tcW w:w="2600" w:type="dxa"/>
            <w:vAlign w:val="bottom"/>
            <w:tcBorders>
              <w:top w:val="single" w:sz="8" w:color="CCEEFF"/>
            </w:tcBorders>
            <w:gridSpan w:val="2"/>
          </w:tcPr>
          <w:p>
            <w:pPr>
              <w:spacing w:after="0"/>
              <w:rPr>
                <w:sz w:val="20"/>
                <w:szCs w:val="20"/>
                <w:color w:val="auto"/>
              </w:rPr>
            </w:pPr>
          </w:p>
        </w:tc>
        <w:tc>
          <w:tcPr>
            <w:tcW w:w="220" w:type="dxa"/>
            <w:vAlign w:val="bottom"/>
            <w:tcBorders>
              <w:top w:val="single" w:sz="8" w:color="CCEEFF"/>
            </w:tcBorders>
            <w:gridSpan w:val="4"/>
          </w:tcPr>
          <w:p>
            <w:pPr>
              <w:spacing w:after="0"/>
              <w:rPr>
                <w:sz w:val="20"/>
                <w:szCs w:val="20"/>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6</w:t>
              </w:r>
            </w:hyperlink>
          </w:p>
        </w:tc>
        <w:tc>
          <w:tcPr>
            <w:tcW w:w="60" w:type="dxa"/>
            <w:vAlign w:val="bottom"/>
            <w:tcBorders>
              <w:top w:val="single" w:sz="8" w:color="CCEEFF"/>
            </w:tcBorders>
          </w:tcPr>
          <w:p>
            <w:pPr>
              <w:spacing w:after="0"/>
              <w:rPr>
                <w:sz w:val="20"/>
                <w:szCs w:val="20"/>
                <w:color w:val="auto"/>
              </w:rPr>
            </w:pPr>
          </w:p>
        </w:tc>
      </w:tr>
      <w:tr>
        <w:trPr>
          <w:trHeight w:val="236"/>
        </w:trPr>
        <w:tc>
          <w:tcPr>
            <w:tcW w:w="132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THE COMPANY</w:t>
              </w:r>
            </w:hyperlink>
          </w:p>
        </w:tc>
        <w:tc>
          <w:tcPr>
            <w:tcW w:w="6500" w:type="dxa"/>
            <w:vAlign w:val="bottom"/>
            <w:tcBorders>
              <w:bottom w:val="single" w:sz="8" w:color="CCEEFF"/>
            </w:tcBorders>
            <w:gridSpan w:val="16"/>
            <w:shd w:val="clear" w:color="auto" w:fill="CCEEFF"/>
          </w:tcPr>
          <w:p>
            <w:pPr>
              <w:spacing w:after="0"/>
              <w:rPr>
                <w:sz w:val="20"/>
                <w:szCs w:val="20"/>
                <w:color w:val="auto"/>
              </w:rPr>
            </w:pPr>
          </w:p>
        </w:tc>
        <w:tc>
          <w:tcPr>
            <w:tcW w:w="220" w:type="dxa"/>
            <w:vAlign w:val="bottom"/>
            <w:tcBorders>
              <w:bottom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6</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50"/>
        </w:trPr>
        <w:tc>
          <w:tcPr>
            <w:tcW w:w="130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RISK FACTORS</w:t>
              </w:r>
            </w:hyperlink>
          </w:p>
        </w:tc>
        <w:tc>
          <w:tcPr>
            <w:tcW w:w="6520" w:type="dxa"/>
            <w:vAlign w:val="bottom"/>
            <w:gridSpan w:val="17"/>
          </w:tcPr>
          <w:p>
            <w:pPr>
              <w:spacing w:after="0"/>
              <w:rPr>
                <w:sz w:val="21"/>
                <w:szCs w:val="21"/>
                <w:color w:val="auto"/>
              </w:rPr>
            </w:pPr>
          </w:p>
        </w:tc>
        <w:tc>
          <w:tcPr>
            <w:tcW w:w="22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6</w:t>
              </w:r>
            </w:hyperlink>
          </w:p>
        </w:tc>
        <w:tc>
          <w:tcPr>
            <w:tcW w:w="60" w:type="dxa"/>
            <w:vAlign w:val="bottom"/>
          </w:tcPr>
          <w:p>
            <w:pPr>
              <w:spacing w:after="0"/>
              <w:rPr>
                <w:sz w:val="21"/>
                <w:szCs w:val="21"/>
                <w:color w:val="auto"/>
              </w:rPr>
            </w:pPr>
          </w:p>
        </w:tc>
      </w:tr>
      <w:tr>
        <w:trPr>
          <w:trHeight w:val="250"/>
        </w:trPr>
        <w:tc>
          <w:tcPr>
            <w:tcW w:w="164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USE OF PROCEEDS</w:t>
              </w:r>
            </w:hyperlink>
          </w:p>
        </w:tc>
        <w:tc>
          <w:tcPr>
            <w:tcW w:w="6180" w:type="dxa"/>
            <w:vAlign w:val="bottom"/>
            <w:tcBorders>
              <w:bottom w:val="single" w:sz="8" w:color="CCEEFF"/>
            </w:tcBorders>
            <w:gridSpan w:val="14"/>
            <w:shd w:val="clear" w:color="auto" w:fill="CCEEFF"/>
          </w:tcPr>
          <w:p>
            <w:pPr>
              <w:spacing w:after="0"/>
              <w:rPr>
                <w:sz w:val="21"/>
                <w:szCs w:val="21"/>
                <w:color w:val="auto"/>
              </w:rPr>
            </w:pPr>
          </w:p>
        </w:tc>
        <w:tc>
          <w:tcPr>
            <w:tcW w:w="22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6</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50"/>
        </w:trPr>
        <w:tc>
          <w:tcPr>
            <w:tcW w:w="354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DESCRIPTION OF THE DEBT SECURITIES</w:t>
              </w:r>
            </w:hyperlink>
          </w:p>
        </w:tc>
        <w:tc>
          <w:tcPr>
            <w:tcW w:w="4280" w:type="dxa"/>
            <w:vAlign w:val="bottom"/>
            <w:gridSpan w:val="5"/>
          </w:tcPr>
          <w:p>
            <w:pPr>
              <w:spacing w:after="0"/>
              <w:rPr>
                <w:sz w:val="21"/>
                <w:szCs w:val="21"/>
                <w:color w:val="auto"/>
              </w:rPr>
            </w:pPr>
          </w:p>
        </w:tc>
        <w:tc>
          <w:tcPr>
            <w:tcW w:w="220" w:type="dxa"/>
            <w:vAlign w:val="bottom"/>
            <w:gridSpan w:val="4"/>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7</w:t>
              </w:r>
            </w:hyperlink>
          </w:p>
        </w:tc>
        <w:tc>
          <w:tcPr>
            <w:tcW w:w="60" w:type="dxa"/>
            <w:vAlign w:val="bottom"/>
          </w:tcPr>
          <w:p>
            <w:pPr>
              <w:spacing w:after="0"/>
              <w:rPr>
                <w:sz w:val="21"/>
                <w:szCs w:val="21"/>
                <w:color w:val="auto"/>
              </w:rPr>
            </w:pPr>
          </w:p>
        </w:tc>
      </w:tr>
      <w:tr>
        <w:trPr>
          <w:trHeight w:val="250"/>
        </w:trPr>
        <w:tc>
          <w:tcPr>
            <w:tcW w:w="2780" w:type="dxa"/>
            <w:vAlign w:val="bottom"/>
            <w:gridSpan w:val="11"/>
            <w:shd w:val="clear" w:color="auto" w:fill="CCEEFF"/>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DESCRIPTION OF GUARANTEES</w:t>
              </w:r>
            </w:hyperlink>
          </w:p>
        </w:tc>
        <w:tc>
          <w:tcPr>
            <w:tcW w:w="5040" w:type="dxa"/>
            <w:vAlign w:val="bottom"/>
            <w:gridSpan w:val="9"/>
            <w:shd w:val="clear" w:color="auto" w:fill="CCEEFF"/>
          </w:tcPr>
          <w:p>
            <w:pPr>
              <w:spacing w:after="0"/>
              <w:rPr>
                <w:sz w:val="21"/>
                <w:szCs w:val="21"/>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15</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782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320" w:type="dxa"/>
            <w:vAlign w:val="bottom"/>
            <w:gridSpan w:val="5"/>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15</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20" w:type="dxa"/>
            <w:vAlign w:val="bottom"/>
            <w:gridSpan w:val="20"/>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DESCRIPTION OF OTHER SECURITIES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17</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212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1140" w:type="dxa"/>
            <w:vAlign w:val="bottom"/>
            <w:gridSpan w:val="7"/>
          </w:tcPr>
          <w:p>
            <w:pPr>
              <w:spacing w:after="0"/>
              <w:rPr>
                <w:sz w:val="21"/>
                <w:szCs w:val="21"/>
                <w:color w:val="auto"/>
              </w:rPr>
            </w:pPr>
          </w:p>
        </w:tc>
        <w:tc>
          <w:tcPr>
            <w:tcW w:w="4560" w:type="dxa"/>
            <w:vAlign w:val="bottom"/>
            <w:gridSpan w:val="6"/>
          </w:tcPr>
          <w:p>
            <w:pPr>
              <w:spacing w:after="0"/>
              <w:rPr>
                <w:sz w:val="21"/>
                <w:szCs w:val="21"/>
                <w:color w:val="auto"/>
              </w:rPr>
            </w:pPr>
          </w:p>
        </w:tc>
        <w:tc>
          <w:tcPr>
            <w:tcW w:w="320" w:type="dxa"/>
            <w:vAlign w:val="bottom"/>
            <w:gridSpan w:val="5"/>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17</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20" w:type="dxa"/>
            <w:vAlign w:val="bottom"/>
            <w:gridSpan w:val="20"/>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SELLING SECURITYHOLDERS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18</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50"/>
        </w:trPr>
        <w:tc>
          <w:tcPr>
            <w:tcW w:w="1500" w:type="dxa"/>
            <w:vAlign w:val="bottom"/>
            <w:gridSpan w:val="5"/>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LEGAL MATTERS</w:t>
              </w:r>
            </w:hyperlink>
          </w:p>
        </w:tc>
        <w:tc>
          <w:tcPr>
            <w:tcW w:w="1080" w:type="dxa"/>
            <w:vAlign w:val="bottom"/>
            <w:gridSpan w:val="5"/>
          </w:tcPr>
          <w:p>
            <w:pPr>
              <w:spacing w:after="0"/>
              <w:rPr>
                <w:sz w:val="21"/>
                <w:szCs w:val="21"/>
                <w:color w:val="auto"/>
              </w:rPr>
            </w:pPr>
          </w:p>
        </w:tc>
        <w:tc>
          <w:tcPr>
            <w:tcW w:w="5240" w:type="dxa"/>
            <w:vAlign w:val="bottom"/>
            <w:gridSpan w:val="10"/>
          </w:tcPr>
          <w:p>
            <w:pPr>
              <w:spacing w:after="0"/>
              <w:rPr>
                <w:sz w:val="21"/>
                <w:szCs w:val="21"/>
                <w:color w:val="auto"/>
              </w:rPr>
            </w:pPr>
          </w:p>
        </w:tc>
        <w:tc>
          <w:tcPr>
            <w:tcW w:w="320" w:type="dxa"/>
            <w:vAlign w:val="bottom"/>
            <w:gridSpan w:val="5"/>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18</w:t>
              </w:r>
            </w:hyperlink>
          </w:p>
        </w:tc>
        <w:tc>
          <w:tcPr>
            <w:tcW w:w="60" w:type="dxa"/>
            <w:vAlign w:val="bottom"/>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0" w:type="dxa"/>
            <w:vAlign w:val="bottom"/>
            <w:shd w:val="clear" w:color="auto" w:fill="CCEEFF"/>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EXPERTS</w:t>
              </w:r>
            </w:hyperlink>
          </w:p>
        </w:tc>
        <w:tc>
          <w:tcPr>
            <w:tcW w:w="700" w:type="dxa"/>
            <w:vAlign w:val="bottom"/>
            <w:gridSpan w:val="4"/>
            <w:shd w:val="clear" w:color="auto" w:fill="CCEEFF"/>
          </w:tcPr>
          <w:p>
            <w:pPr>
              <w:spacing w:after="0"/>
              <w:rPr>
                <w:sz w:val="21"/>
                <w:szCs w:val="21"/>
                <w:color w:val="auto"/>
              </w:rPr>
            </w:pPr>
          </w:p>
        </w:tc>
        <w:tc>
          <w:tcPr>
            <w:tcW w:w="6320" w:type="dxa"/>
            <w:vAlign w:val="bottom"/>
            <w:gridSpan w:val="15"/>
            <w:shd w:val="clear" w:color="auto" w:fill="CCEEFF"/>
          </w:tcPr>
          <w:p>
            <w:pPr>
              <w:spacing w:after="0"/>
              <w:rPr>
                <w:sz w:val="21"/>
                <w:szCs w:val="21"/>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18</w:t>
              </w:r>
            </w:hyperlink>
          </w:p>
        </w:tc>
        <w:tc>
          <w:tcPr>
            <w:tcW w:w="60" w:type="dxa"/>
            <w:vAlign w:val="bottom"/>
            <w:shd w:val="clear" w:color="auto" w:fill="CCEEFF"/>
          </w:tcPr>
          <w:p>
            <w:pPr>
              <w:spacing w:after="0"/>
              <w:rPr>
                <w:sz w:val="21"/>
                <w:szCs w:val="2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-4688205</wp:posOffset>
            </wp:positionV>
            <wp:extent cx="49720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-2536825</wp:posOffset>
            </wp:positionV>
            <wp:extent cx="5006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3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59" w:firstLine="360"/>
        <w:spacing w:after="0" w:line="255" w:lineRule="auto"/>
        <w:rPr>
          <w:sz w:val="20"/>
          <w:szCs w:val="20"/>
          <w:color w:val="auto"/>
        </w:rPr>
      </w:pPr>
      <w:r>
        <w:rPr>
          <w:rFonts w:ascii="Arial" w:cs="Arial" w:eastAsia="Arial" w:hAnsi="Arial"/>
          <w:sz w:val="17"/>
          <w:szCs w:val="17"/>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12" w:lineRule="exact"/>
        <w:rPr>
          <w:sz w:val="20"/>
          <w:szCs w:val="20"/>
          <w:color w:val="auto"/>
        </w:rPr>
      </w:pPr>
    </w:p>
    <w:p>
      <w:pPr>
        <w:jc w:val="both"/>
        <w:ind w:left="1280" w:right="499" w:firstLine="360"/>
        <w:spacing w:after="0" w:line="248"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Waste Management, Inc.</w:t>
      </w:r>
    </w:p>
    <w:p>
      <w:pPr>
        <w:spacing w:after="0" w:line="148" w:lineRule="exact"/>
        <w:rPr>
          <w:sz w:val="20"/>
          <w:szCs w:val="20"/>
          <w:color w:val="auto"/>
        </w:rPr>
      </w:pPr>
    </w:p>
    <w:p>
      <w:pPr>
        <w:ind w:left="1280" w:right="419" w:firstLine="360"/>
        <w:spacing w:after="0" w:line="238" w:lineRule="auto"/>
        <w:rPr>
          <w:sz w:val="20"/>
          <w:szCs w:val="20"/>
          <w:color w:val="auto"/>
        </w:rPr>
      </w:pPr>
      <w:r>
        <w:rPr>
          <w:rFonts w:ascii="Arial" w:cs="Arial" w:eastAsia="Arial" w:hAnsi="Arial"/>
          <w:sz w:val="18"/>
          <w:szCs w:val="18"/>
          <w:color w:val="auto"/>
        </w:rPr>
        <w:t>We are North America’s leading provider of comprehensive waste management environmental services,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26" w:lineRule="exact"/>
        <w:rPr>
          <w:sz w:val="20"/>
          <w:szCs w:val="20"/>
          <w:color w:val="auto"/>
        </w:rPr>
      </w:pPr>
    </w:p>
    <w:p>
      <w:pPr>
        <w:ind w:left="1280" w:right="439" w:firstLine="360"/>
        <w:spacing w:after="0" w:line="276" w:lineRule="auto"/>
        <w:rPr>
          <w:sz w:val="20"/>
          <w:szCs w:val="20"/>
          <w:color w:val="auto"/>
        </w:rPr>
      </w:pPr>
      <w:r>
        <w:rPr>
          <w:rFonts w:ascii="Arial" w:cs="Arial" w:eastAsia="Arial" w:hAnsi="Arial"/>
          <w:sz w:val="16"/>
          <w:szCs w:val="16"/>
          <w:color w:val="auto"/>
        </w:rPr>
        <w:t xml:space="preserve">Our principal executive offices are located at 800 Capitol Street, Suite 3000, Houston, Texas 77002. Our telephone number is (713) 512-6200. Our website address is </w:t>
      </w:r>
      <w:r>
        <w:rPr>
          <w:rFonts w:ascii="Arial" w:cs="Arial" w:eastAsia="Arial" w:hAnsi="Arial"/>
          <w:sz w:val="16"/>
          <w:szCs w:val="16"/>
          <w:i w:val="1"/>
          <w:iCs w:val="1"/>
          <w:color w:val="auto"/>
        </w:rPr>
        <w:t>www.wm.com</w:t>
      </w:r>
      <w:r>
        <w:rPr>
          <w:rFonts w:ascii="Arial" w:cs="Arial" w:eastAsia="Arial" w:hAnsi="Arial"/>
          <w:sz w:val="16"/>
          <w:szCs w:val="16"/>
          <w:color w:val="auto"/>
        </w:rPr>
        <w:t>.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15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Waste Management Holdings, Inc.</w:t>
      </w:r>
    </w:p>
    <w:p>
      <w:pPr>
        <w:spacing w:after="0" w:line="162" w:lineRule="exact"/>
        <w:rPr>
          <w:sz w:val="20"/>
          <w:szCs w:val="20"/>
          <w:color w:val="auto"/>
        </w:rPr>
      </w:pPr>
    </w:p>
    <w:p>
      <w:pPr>
        <w:ind w:left="1280" w:right="879" w:firstLine="360"/>
        <w:spacing w:after="0" w:line="248"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pacing w:after="0" w:line="17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Recent Developments</w:t>
      </w:r>
    </w:p>
    <w:p>
      <w:pPr>
        <w:spacing w:after="0" w:line="148" w:lineRule="exact"/>
        <w:rPr>
          <w:sz w:val="20"/>
          <w:szCs w:val="20"/>
          <w:color w:val="auto"/>
        </w:rPr>
      </w:pPr>
    </w:p>
    <w:p>
      <w:pPr>
        <w:ind w:left="1280" w:right="419" w:firstLine="360"/>
        <w:spacing w:after="0" w:line="251" w:lineRule="auto"/>
        <w:rPr>
          <w:sz w:val="20"/>
          <w:szCs w:val="20"/>
          <w:color w:val="auto"/>
        </w:rPr>
      </w:pPr>
      <w:r>
        <w:rPr>
          <w:rFonts w:ascii="Arial" w:cs="Arial" w:eastAsia="Arial" w:hAnsi="Arial"/>
          <w:sz w:val="17"/>
          <w:szCs w:val="17"/>
          <w:color w:val="auto"/>
        </w:rPr>
        <w:t>Concurrently with this offering, Waste Management, Inc. and WM Holdings are conducting the Tender Offer to purchase for cash, from each registered holder, up to an aggregate principal amount, excluding any accrued and unpaid interest, of $950,000,000 of WM Holdings’ 7.10% Notes due 2026 and Waste Management, Inc.’s 2.90% Senior Notes due 2022, 2.40% Senior Notes due 2023, 3.50% Senior Notes due 2024, 3.125% Senior Notes due 2025, 3.15% Senior Notes due 2027, 7.00% Senior Notes due 2028, 7.375% Senior Notes due 2029, 7.75% Senior Notes due 2032, 3.90% Senior Notes due 2035, 6.125% Senior Notes due 2039, 4.10% Senior Notes due 2045 and 4.15% Senior Notes due 2049 (collectively referred to herein as the “Tender Notes”). The Tender Offer is currently scheduled to expire at 12:00 midnight, New York City time, at the end of May 25, 2021, subject to our right to extend or early terminate the Tender Offer for any of the series of Tender Notes. As of April 26, 2021, the aggregate principal amount outstanding of the Tender Notes was $5.965 billion. The Tender Offer is being made solely pursuant to the terms and subject to the conditions described in an offer to purchase, dated as of April 28, 2021, which we refer to as the “Offer to Purchase,” issued in connection with the Tender Offer. The consideration per each $1,000 principal amount for each series of Tender Notes validly tendered and not validly withdrawn and accepted for purchase will be determined in the manner described in the Offer to Purchase. This prospectus supplement is not an offer to purchase or a solicitation of an offer to sell any of the Tender Notes.</w:t>
      </w:r>
    </w:p>
    <w:p>
      <w:pPr>
        <w:spacing w:after="0" w:line="118" w:lineRule="exact"/>
        <w:rPr>
          <w:sz w:val="20"/>
          <w:szCs w:val="20"/>
          <w:color w:val="auto"/>
        </w:rPr>
      </w:pPr>
    </w:p>
    <w:p>
      <w:pPr>
        <w:jc w:val="both"/>
        <w:ind w:left="1280" w:right="1059" w:firstLine="360"/>
        <w:spacing w:after="0" w:line="291" w:lineRule="auto"/>
        <w:rPr>
          <w:sz w:val="20"/>
          <w:szCs w:val="20"/>
          <w:color w:val="auto"/>
        </w:rPr>
      </w:pPr>
      <w:r>
        <w:rPr>
          <w:rFonts w:ascii="Arial" w:cs="Arial" w:eastAsia="Arial" w:hAnsi="Arial"/>
          <w:sz w:val="17"/>
          <w:szCs w:val="17"/>
          <w:color w:val="auto"/>
        </w:rPr>
        <w:t>The consummation of the Tender Offer is conditioned upon, among other things, the successful completion (in our reasonable opinion) of a senior notes financing, which may include this offering,</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59"/>
        <w:spacing w:after="0" w:line="270" w:lineRule="auto"/>
        <w:rPr>
          <w:sz w:val="20"/>
          <w:szCs w:val="20"/>
          <w:color w:val="auto"/>
        </w:rPr>
      </w:pPr>
      <w:r>
        <w:rPr>
          <w:rFonts w:ascii="Arial" w:cs="Arial" w:eastAsia="Arial" w:hAnsi="Arial"/>
          <w:sz w:val="17"/>
          <w:szCs w:val="17"/>
          <w:color w:val="auto"/>
        </w:rPr>
        <w:t>designed to raise sufficient funds to purchase all notes subject to the Tender Offer that are validly tendered and not validly withdrawn and are accepted for purchase by us and to pay all fees and expenses in connection with the Tender Offer, pursuant to the terms and subject to the conditions of the Tender Offer as set forth in the Offer to Purchase. This offering, however, is not conditioned upon the consummation of the Tender Offer or the tender of any specific amount of any of the series of Tender Notes. We are permitted, among other things, to amend or terminate the Tender Offer with respect to any or all series of the Tender Notes. There can be no assurance as to the amount of any series of Tender Notes that will be tendered in the Tender Offer or that the Tender Offer will be consummated in accordance with its terms, or at all, which is subject to market conditions and other factors.</w:t>
      </w:r>
    </w:p>
    <w:p>
      <w:pPr>
        <w:spacing w:after="0" w:line="100" w:lineRule="exact"/>
        <w:rPr>
          <w:sz w:val="20"/>
          <w:szCs w:val="20"/>
          <w:color w:val="auto"/>
        </w:rPr>
      </w:pPr>
    </w:p>
    <w:p>
      <w:pPr>
        <w:ind w:left="1280" w:right="879" w:firstLine="360"/>
        <w:spacing w:after="0" w:line="277" w:lineRule="auto"/>
        <w:rPr>
          <w:sz w:val="20"/>
          <w:szCs w:val="20"/>
          <w:color w:val="auto"/>
        </w:rPr>
      </w:pPr>
      <w:r>
        <w:rPr>
          <w:rFonts w:ascii="Arial" w:cs="Arial" w:eastAsia="Arial" w:hAnsi="Arial"/>
          <w:sz w:val="18"/>
          <w:szCs w:val="18"/>
          <w:color w:val="auto"/>
        </w:rPr>
        <w:t>We intend to use some or all of the net proceeds from this offering, together with cash on hand, if necessary, to fund the Tender Offer, as described further in “Use of Proceeds.”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499" w:firstLine="360"/>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79"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$950,000,000 aggregate principal amount of notes, consisting</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 the following series:</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$475,000,000 aggregate principal amount of 2.00% Senior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Notes due 2029</w:t>
      </w:r>
    </w:p>
    <w:p>
      <w:pPr>
        <w:spacing w:after="0" w:line="13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$475,000,000 aggregate principal amount of 2.95% Senior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Notes due 2041</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Subsidiary Guarantees</w:t>
      </w:r>
      <w:r>
        <w:rPr>
          <w:sz w:val="20"/>
          <w:szCs w:val="20"/>
          <w:color w:val="auto"/>
        </w:rPr>
        <w:tab/>
      </w:r>
      <w:r>
        <w:rPr>
          <w:rFonts w:ascii="Arial" w:cs="Arial" w:eastAsia="Arial" w:hAnsi="Arial"/>
          <w:sz w:val="17"/>
          <w:szCs w:val="17"/>
          <w:color w:val="auto"/>
        </w:rPr>
        <w:t>WM Holdings will fully and unconditionally guarantee, on a</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senior unsecured basis, the full and prompt payment of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principal and any premium and interest on the notes of each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series, when and as they become due and payable, whether at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maturity or otherwise.</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2029 notes — June 1, 2029</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2041 notes — June 1, 2041</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6"/>
          <w:szCs w:val="16"/>
          <w:color w:val="auto"/>
        </w:rPr>
        <w:t>2029 notes — 2.00% per year</w:t>
      </w:r>
    </w:p>
    <w:p>
      <w:pPr>
        <w:spacing w:after="0" w:line="15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2041 notes — 2.95% per year</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June 1 and December 1 of each year, beginning December 1,</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2021.</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We may elect to redeem and repay any or all of the notes at</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any time in minimum principal amounts of $2,000 or any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integral multiple of $1,000 in excess thereof. If we elect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redeem and repay (i) the 2029 notes before April 1, 2029</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(two months prior to the maturity date of the 2029 notes) or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(ii) the 2041 notes before December 1, 2040 (six months prior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the maturity date of the 2041 notes), we will pay an amount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equal to the greater of 100% of the principal amount of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notes of such series redeemed and repaid, or the sum of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present values of the remaining scheduled payments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and interest on the notes of such series to be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redeemed and repaid that would be due if such series of notes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matured on the applicable par call date (exclusive of interest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accrued to the date of redemption). If we elect to redeem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repay the notes of either series on or after the applicable par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call date, we will pay an amount equal to 100% of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amount of the notes redeemed and repaid.</w:t>
      </w:r>
    </w:p>
    <w:p>
      <w:pPr>
        <w:spacing w:after="0" w:line="13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 will pay accrued interest on the notes redeemed to the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redemption date. See “Description of Notes — Optional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Redemption” in this prospectus supplement.</w:t>
      </w:r>
    </w:p>
    <w:p>
      <w:pPr>
        <w:spacing w:after="0" w:line="103"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color w:val="auto"/>
        </w:rPr>
        <w:t>Change of Control Offer</w:t>
      </w:r>
      <w:r>
        <w:rPr>
          <w:sz w:val="20"/>
          <w:szCs w:val="20"/>
          <w:color w:val="auto"/>
        </w:rPr>
        <w:tab/>
      </w:r>
      <w:r>
        <w:rPr>
          <w:rFonts w:ascii="Arial" w:cs="Arial" w:eastAsia="Arial" w:hAnsi="Arial"/>
          <w:sz w:val="17"/>
          <w:szCs w:val="17"/>
          <w:color w:val="auto"/>
        </w:rPr>
        <w:t>If a change of control triggering event occurs, holders of the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notes of each series may require us to purchase all or a portion</w:t>
      </w:r>
    </w:p>
    <w:p>
      <w:pPr>
        <w:spacing w:after="0" w:line="32" w:lineRule="exact"/>
        <w:rPr>
          <w:sz w:val="20"/>
          <w:szCs w:val="20"/>
          <w:color w:val="auto"/>
        </w:rPr>
      </w:pPr>
    </w:p>
    <w:p>
      <w:pPr>
        <w:jc w:val="right"/>
        <w:ind w:right="399"/>
        <w:spacing w:after="0"/>
        <w:rPr>
          <w:sz w:val="20"/>
          <w:szCs w:val="20"/>
          <w:color w:val="auto"/>
        </w:rPr>
      </w:pPr>
      <w:r>
        <w:rPr>
          <w:rFonts w:ascii="Arial" w:cs="Arial" w:eastAsia="Arial" w:hAnsi="Arial"/>
          <w:sz w:val="18"/>
          <w:szCs w:val="18"/>
          <w:color w:val="auto"/>
        </w:rPr>
        <w:t>of such holders’ notes at a price equal to 101% of the principal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amount, plus accrued interest, if any, to the date of</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purchase. See “Description of Notes — Change of Control</w:t>
            </w:r>
          </w:p>
        </w:tc>
      </w:tr>
      <w:tr>
        <w:trPr>
          <w:trHeight w:val="230"/>
        </w:trPr>
        <w:tc>
          <w:tcPr>
            <w:tcW w:w="2340" w:type="dxa"/>
            <w:vAlign w:val="bottom"/>
          </w:tcPr>
          <w:p>
            <w:pPr>
              <w:spacing w:after="0"/>
              <w:rPr>
                <w:sz w:val="20"/>
                <w:szCs w:val="20"/>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Offer” in this prospectus supplement.</w:t>
            </w:r>
          </w:p>
        </w:tc>
      </w:tr>
      <w:tr>
        <w:trPr>
          <w:trHeight w:val="310"/>
        </w:trPr>
        <w:tc>
          <w:tcPr>
            <w:tcW w:w="2340" w:type="dxa"/>
            <w:vAlign w:val="bottom"/>
          </w:tcPr>
          <w:p>
            <w:pPr>
              <w:spacing w:after="0"/>
              <w:rPr>
                <w:sz w:val="20"/>
                <w:szCs w:val="20"/>
                <w:color w:val="auto"/>
              </w:rPr>
            </w:pPr>
            <w:r>
              <w:rPr>
                <w:rFonts w:ascii="Arial" w:cs="Arial" w:eastAsia="Arial" w:hAnsi="Arial"/>
                <w:sz w:val="18"/>
                <w:szCs w:val="18"/>
                <w:color w:val="auto"/>
              </w:rPr>
              <w:t>Ranking</w:t>
            </w: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The notes and the guarantees will constitute the senior</w:t>
            </w:r>
          </w:p>
        </w:tc>
      </w:tr>
      <w:tr>
        <w:trPr>
          <w:trHeight w:val="216"/>
        </w:trPr>
        <w:tc>
          <w:tcPr>
            <w:tcW w:w="2340" w:type="dxa"/>
            <w:vAlign w:val="bottom"/>
          </w:tcPr>
          <w:p>
            <w:pPr>
              <w:spacing w:after="0"/>
              <w:rPr>
                <w:sz w:val="18"/>
                <w:szCs w:val="18"/>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w w:val="94"/>
              </w:rPr>
              <w:t>unsecured debt of Waste Management, Inc. and WM Holdings,</w:t>
            </w:r>
          </w:p>
        </w:tc>
      </w:tr>
      <w:tr>
        <w:trPr>
          <w:trHeight w:val="216"/>
        </w:trPr>
        <w:tc>
          <w:tcPr>
            <w:tcW w:w="2340" w:type="dxa"/>
            <w:vAlign w:val="bottom"/>
          </w:tcPr>
          <w:p>
            <w:pPr>
              <w:spacing w:after="0"/>
              <w:rPr>
                <w:sz w:val="18"/>
                <w:szCs w:val="18"/>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w w:val="97"/>
              </w:rPr>
              <w:t>respectively, and will rank equally with all of our and its other</w:t>
            </w:r>
          </w:p>
        </w:tc>
      </w:tr>
      <w:tr>
        <w:trPr>
          <w:trHeight w:val="216"/>
        </w:trPr>
        <w:tc>
          <w:tcPr>
            <w:tcW w:w="2340" w:type="dxa"/>
            <w:vAlign w:val="bottom"/>
          </w:tcPr>
          <w:p>
            <w:pPr>
              <w:spacing w:after="0"/>
              <w:rPr>
                <w:sz w:val="18"/>
                <w:szCs w:val="18"/>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existing and future senior obligations from time to time</w:t>
            </w:r>
          </w:p>
        </w:tc>
      </w:tr>
      <w:tr>
        <w:trPr>
          <w:trHeight w:val="230"/>
        </w:trPr>
        <w:tc>
          <w:tcPr>
            <w:tcW w:w="2340" w:type="dxa"/>
            <w:vAlign w:val="bottom"/>
          </w:tcPr>
          <w:p>
            <w:pPr>
              <w:spacing w:after="0"/>
              <w:rPr>
                <w:sz w:val="20"/>
                <w:szCs w:val="20"/>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outstanding.</w:t>
            </w:r>
          </w:p>
        </w:tc>
      </w:tr>
      <w:tr>
        <w:trPr>
          <w:trHeight w:val="310"/>
        </w:trPr>
        <w:tc>
          <w:tcPr>
            <w:tcW w:w="2340" w:type="dxa"/>
            <w:vAlign w:val="bottom"/>
          </w:tcPr>
          <w:p>
            <w:pPr>
              <w:spacing w:after="0"/>
              <w:rPr>
                <w:sz w:val="20"/>
                <w:szCs w:val="20"/>
                <w:color w:val="auto"/>
              </w:rPr>
            </w:pPr>
            <w:r>
              <w:rPr>
                <w:rFonts w:ascii="Arial" w:cs="Arial" w:eastAsia="Arial" w:hAnsi="Arial"/>
                <w:sz w:val="18"/>
                <w:szCs w:val="18"/>
                <w:color w:val="auto"/>
              </w:rPr>
              <w:t>Covenants</w:t>
            </w: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We will issue the notes under an indenture containing</w:t>
            </w:r>
          </w:p>
        </w:tc>
      </w:tr>
      <w:tr>
        <w:trPr>
          <w:trHeight w:val="216"/>
        </w:trPr>
        <w:tc>
          <w:tcPr>
            <w:tcW w:w="2340" w:type="dxa"/>
            <w:vAlign w:val="bottom"/>
          </w:tcPr>
          <w:p>
            <w:pPr>
              <w:spacing w:after="0"/>
              <w:rPr>
                <w:sz w:val="18"/>
                <w:szCs w:val="18"/>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covenants for your benefit. These covenants restrict our</w:t>
            </w:r>
          </w:p>
        </w:tc>
      </w:tr>
      <w:tr>
        <w:trPr>
          <w:trHeight w:val="230"/>
        </w:trPr>
        <w:tc>
          <w:tcPr>
            <w:tcW w:w="2340" w:type="dxa"/>
            <w:vAlign w:val="bottom"/>
          </w:tcPr>
          <w:p>
            <w:pPr>
              <w:spacing w:after="0"/>
              <w:rPr>
                <w:sz w:val="20"/>
                <w:szCs w:val="20"/>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ability, with certain exceptions, to:</w:t>
            </w:r>
          </w:p>
        </w:tc>
      </w:tr>
      <w:tr>
        <w:trPr>
          <w:trHeight w:val="351"/>
        </w:trPr>
        <w:tc>
          <w:tcPr>
            <w:tcW w:w="234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4540" w:type="dxa"/>
            <w:vAlign w:val="bottom"/>
          </w:tcPr>
          <w:p>
            <w:pPr>
              <w:ind w:left="160"/>
              <w:spacing w:after="0"/>
              <w:rPr>
                <w:sz w:val="20"/>
                <w:szCs w:val="20"/>
                <w:color w:val="auto"/>
              </w:rPr>
            </w:pPr>
            <w:r>
              <w:rPr>
                <w:rFonts w:ascii="Arial" w:cs="Arial" w:eastAsia="Arial" w:hAnsi="Arial"/>
                <w:sz w:val="18"/>
                <w:szCs w:val="18"/>
                <w:color w:val="auto"/>
              </w:rPr>
              <w:t>create, incur or assume debt secured by liens;</w:t>
            </w:r>
          </w:p>
        </w:tc>
      </w:tr>
      <w:tr>
        <w:trPr>
          <w:trHeight w:val="365"/>
        </w:trPr>
        <w:tc>
          <w:tcPr>
            <w:tcW w:w="234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4540" w:type="dxa"/>
            <w:vAlign w:val="bottom"/>
          </w:tcPr>
          <w:p>
            <w:pPr>
              <w:ind w:left="160"/>
              <w:spacing w:after="0"/>
              <w:rPr>
                <w:sz w:val="20"/>
                <w:szCs w:val="20"/>
                <w:color w:val="auto"/>
              </w:rPr>
            </w:pPr>
            <w:r>
              <w:rPr>
                <w:rFonts w:ascii="Arial" w:cs="Arial" w:eastAsia="Arial" w:hAnsi="Arial"/>
                <w:sz w:val="18"/>
                <w:szCs w:val="18"/>
                <w:color w:val="auto"/>
              </w:rPr>
              <w:t>engage in sale and leaseback transactions; and</w:t>
            </w:r>
          </w:p>
        </w:tc>
      </w:tr>
      <w:tr>
        <w:trPr>
          <w:trHeight w:val="337"/>
        </w:trPr>
        <w:tc>
          <w:tcPr>
            <w:tcW w:w="2340" w:type="dxa"/>
            <w:vAlign w:val="bottom"/>
          </w:tcPr>
          <w:p>
            <w:pPr>
              <w:spacing w:after="0"/>
              <w:rPr>
                <w:sz w:val="24"/>
                <w:szCs w:val="24"/>
                <w:color w:val="auto"/>
              </w:rPr>
            </w:pPr>
          </w:p>
        </w:tc>
        <w:tc>
          <w:tcPr>
            <w:tcW w:w="1320" w:type="dxa"/>
            <w:vAlign w:val="bottom"/>
          </w:tcPr>
          <w:p>
            <w:pPr>
              <w:ind w:left="1120"/>
              <w:spacing w:after="0"/>
              <w:rPr>
                <w:sz w:val="20"/>
                <w:szCs w:val="20"/>
                <w:color w:val="auto"/>
              </w:rPr>
            </w:pPr>
            <w:r>
              <w:rPr>
                <w:rFonts w:ascii="Arial" w:cs="Arial" w:eastAsia="Arial" w:hAnsi="Arial"/>
                <w:sz w:val="18"/>
                <w:szCs w:val="18"/>
                <w:color w:val="auto"/>
              </w:rPr>
              <w:t>•</w:t>
            </w:r>
          </w:p>
        </w:tc>
        <w:tc>
          <w:tcPr>
            <w:tcW w:w="4540" w:type="dxa"/>
            <w:vAlign w:val="bottom"/>
          </w:tcPr>
          <w:p>
            <w:pPr>
              <w:ind w:left="160"/>
              <w:spacing w:after="0"/>
              <w:rPr>
                <w:sz w:val="20"/>
                <w:szCs w:val="20"/>
                <w:color w:val="auto"/>
              </w:rPr>
            </w:pPr>
            <w:r>
              <w:rPr>
                <w:rFonts w:ascii="Arial" w:cs="Arial" w:eastAsia="Arial" w:hAnsi="Arial"/>
                <w:sz w:val="18"/>
                <w:szCs w:val="18"/>
                <w:color w:val="auto"/>
              </w:rPr>
              <w:t>merge, consolidate or transfer all or substantially all of</w:t>
            </w:r>
          </w:p>
        </w:tc>
      </w:tr>
      <w:tr>
        <w:trPr>
          <w:trHeight w:val="230"/>
        </w:trPr>
        <w:tc>
          <w:tcPr>
            <w:tcW w:w="2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our assets.</w:t>
            </w:r>
          </w:p>
        </w:tc>
      </w:tr>
      <w:tr>
        <w:trPr>
          <w:trHeight w:val="310"/>
        </w:trPr>
        <w:tc>
          <w:tcPr>
            <w:tcW w:w="2340" w:type="dxa"/>
            <w:vAlign w:val="bottom"/>
          </w:tcPr>
          <w:p>
            <w:pPr>
              <w:spacing w:after="0"/>
              <w:rPr>
                <w:sz w:val="20"/>
                <w:szCs w:val="20"/>
                <w:color w:val="auto"/>
              </w:rPr>
            </w:pPr>
            <w:r>
              <w:rPr>
                <w:rFonts w:ascii="Arial" w:cs="Arial" w:eastAsia="Arial" w:hAnsi="Arial"/>
                <w:sz w:val="18"/>
                <w:szCs w:val="18"/>
                <w:color w:val="auto"/>
              </w:rPr>
              <w:t>Use of Proceeds</w:t>
            </w: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w w:val="98"/>
              </w:rPr>
              <w:t>We expect the net proceeds from the offering of the notes to</w:t>
            </w:r>
          </w:p>
        </w:tc>
      </w:tr>
      <w:tr>
        <w:trPr>
          <w:trHeight w:val="216"/>
        </w:trPr>
        <w:tc>
          <w:tcPr>
            <w:tcW w:w="2340" w:type="dxa"/>
            <w:vAlign w:val="bottom"/>
          </w:tcPr>
          <w:p>
            <w:pPr>
              <w:spacing w:after="0"/>
              <w:rPr>
                <w:sz w:val="18"/>
                <w:szCs w:val="18"/>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w w:val="98"/>
              </w:rPr>
              <w:t>be $939.5 million, after deducting the underwriting discounts</w:t>
            </w:r>
          </w:p>
        </w:tc>
      </w:tr>
      <w:tr>
        <w:trPr>
          <w:trHeight w:val="230"/>
        </w:trPr>
        <w:tc>
          <w:tcPr>
            <w:tcW w:w="2340" w:type="dxa"/>
            <w:vAlign w:val="bottom"/>
          </w:tcPr>
          <w:p>
            <w:pPr>
              <w:spacing w:after="0"/>
              <w:rPr>
                <w:sz w:val="20"/>
                <w:szCs w:val="20"/>
                <w:color w:val="auto"/>
              </w:rPr>
            </w:pPr>
          </w:p>
        </w:tc>
        <w:tc>
          <w:tcPr>
            <w:tcW w:w="5860" w:type="dxa"/>
            <w:vAlign w:val="bottom"/>
            <w:gridSpan w:val="2"/>
          </w:tcPr>
          <w:p>
            <w:pPr>
              <w:ind w:left="1120"/>
              <w:spacing w:after="0"/>
              <w:rPr>
                <w:sz w:val="20"/>
                <w:szCs w:val="20"/>
                <w:color w:val="auto"/>
              </w:rPr>
            </w:pPr>
            <w:r>
              <w:rPr>
                <w:rFonts w:ascii="Arial" w:cs="Arial" w:eastAsia="Arial" w:hAnsi="Arial"/>
                <w:sz w:val="18"/>
                <w:szCs w:val="18"/>
                <w:color w:val="auto"/>
              </w:rPr>
              <w:t>and estimated expenses of the offering that we will pay.</w:t>
            </w:r>
          </w:p>
        </w:tc>
      </w:tr>
    </w:tbl>
    <w:p>
      <w:pPr>
        <w:spacing w:after="0" w:line="13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 intend to use some or all of the net proceeds from this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offering, together with cash on hand, if necessary, to fund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purchase of the Tender Notes that are validly tendered and not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validly withdrawn and are accepted for purchase by us in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Tender Offer and to pay all fees and expenses in connection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with the Tender Offer. This offering is not contingent upon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consummation of the Tender Offer, although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consummation of the Tender Offer is contingent upon, among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other things, the successful completion (in our reasonable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opinion) of a senior notes financing, which may include this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offering, designed to raise sufficient funds to purchase all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notes subject to the Tender Offer that are validly tendered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not validly withdawn and are accepted for purchase by us and</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to pay all fees and expenses in connection with the Tender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Offer, pursuant to the terms and subject to the conditions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Tender Offer as set forth in the Offer to Purchase. There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can be no assurance that the Tender Offer will be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consummated on the terms described herein or at all.</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Certain of the underwriters or their respective affiliates are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holders of a portion of the Tender Notes. Accordingly, such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underwriters or their respective affiliates may receive more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than 5% of the net proceeds of this offering, not including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underwriting compensation, thus creating a “conflict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interest” within the meaning of Rule 5121 of the Financial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Industry Regulatory Authority, Inc. (“FINRA Rule 5121”).</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Accordingly, this offering is being made in compliance with</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requirements of FINRA Rule 5121. See “Underwriting</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(Conflicts of Interest) — Conflicts of Interest.”</w:t>
      </w:r>
    </w:p>
    <w:p>
      <w:pPr>
        <w:spacing w:after="0" w:line="13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Pending application of the net proceeds as described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immediately above, we may temporarily invest in short-term</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investments. Any excess net proceeds will be used for general</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corporate purposes, which may include repayment of</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borrowings under our commercial paper program used for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working capital, which is fully supported by our $3.5 billion</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revolving credit facility. Because certain of the underwriters</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w w:val="98"/>
              </w:rPr>
              <w:t>serve as dealers under our commercial paper program, they</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may receive as customary dealer fees a portion of the net</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w w:val="93"/>
              </w:rPr>
              <w:t>proceeds of the notes offered hereby. See “Use of Proceeds” in</w:t>
            </w:r>
          </w:p>
        </w:tc>
      </w:tr>
      <w:tr>
        <w:trPr>
          <w:trHeight w:val="230"/>
        </w:trPr>
        <w:tc>
          <w:tcPr>
            <w:tcW w:w="2260" w:type="dxa"/>
            <w:vAlign w:val="bottom"/>
          </w:tcPr>
          <w:p>
            <w:pPr>
              <w:spacing w:after="0"/>
              <w:rPr>
                <w:sz w:val="20"/>
                <w:szCs w:val="20"/>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this prospectus supplement.</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Trustee</w:t>
            </w: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The Bank of New York Mellon Trust Company, N.A.</w:t>
            </w:r>
          </w:p>
        </w:tc>
      </w:tr>
      <w:tr>
        <w:trPr>
          <w:trHeight w:val="310"/>
        </w:trPr>
        <w:tc>
          <w:tcPr>
            <w:tcW w:w="2260" w:type="dxa"/>
            <w:vAlign w:val="bottom"/>
          </w:tcPr>
          <w:p>
            <w:pPr>
              <w:spacing w:after="0"/>
              <w:rPr>
                <w:sz w:val="20"/>
                <w:szCs w:val="20"/>
                <w:color w:val="auto"/>
              </w:rPr>
            </w:pPr>
            <w:r>
              <w:rPr>
                <w:rFonts w:ascii="Arial" w:cs="Arial" w:eastAsia="Arial" w:hAnsi="Arial"/>
                <w:sz w:val="18"/>
                <w:szCs w:val="18"/>
                <w:color w:val="auto"/>
              </w:rPr>
              <w:t>Further Issues</w:t>
            </w: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We may create and issue additional notes of each series</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ranking equally and ratably with the notes of such series</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w w:val="97"/>
              </w:rPr>
              <w:t>offered by this prospectus supplement in all respects, so that</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w w:val="99"/>
              </w:rPr>
              <w:t>such additional notes will be consolidated and form a single</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w w:val="96"/>
              </w:rPr>
              <w:t>series with the notes of such series offered by this prospectus</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supplement and will have the same terms, as to status,</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w w:val="99"/>
              </w:rPr>
              <w:t>redemption or otherwise except for the issue date, the initial</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interest payment date, if applicable, and the payment of</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interest accruing prior to the issue date of such additional</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w w:val="97"/>
              </w:rPr>
              <w:t>notes; provided, however, that a separate CUSIP or ISIN will</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be issued for the additional notes unless the notes and the</w:t>
            </w:r>
          </w:p>
        </w:tc>
      </w:tr>
      <w:tr>
        <w:trPr>
          <w:trHeight w:val="216"/>
        </w:trPr>
        <w:tc>
          <w:tcPr>
            <w:tcW w:w="2260" w:type="dxa"/>
            <w:vAlign w:val="bottom"/>
          </w:tcPr>
          <w:p>
            <w:pPr>
              <w:spacing w:after="0"/>
              <w:rPr>
                <w:sz w:val="18"/>
                <w:szCs w:val="18"/>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additional notes are fungible for U.S. federal income tax</w:t>
            </w:r>
          </w:p>
        </w:tc>
      </w:tr>
      <w:tr>
        <w:trPr>
          <w:trHeight w:val="230"/>
        </w:trPr>
        <w:tc>
          <w:tcPr>
            <w:tcW w:w="2260" w:type="dxa"/>
            <w:vAlign w:val="bottom"/>
          </w:tcPr>
          <w:p>
            <w:pPr>
              <w:spacing w:after="0"/>
              <w:rPr>
                <w:sz w:val="20"/>
                <w:szCs w:val="20"/>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purposes.</w:t>
            </w:r>
          </w:p>
        </w:tc>
      </w:t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Risk Factors</w:t>
            </w:r>
          </w:p>
        </w:tc>
        <w:tc>
          <w:tcPr>
            <w:tcW w:w="5940" w:type="dxa"/>
            <w:vAlign w:val="bottom"/>
            <w:gridSpan w:val="5"/>
          </w:tcPr>
          <w:p>
            <w:pPr>
              <w:ind w:left="1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See page </w:t>
            </w:r>
            <w:hyperlink w:anchor="page8">
              <w:r>
                <w:rPr>
                  <w:rFonts w:ascii="Arial" w:cs="Arial" w:eastAsia="Arial" w:hAnsi="Arial"/>
                  <w:sz w:val="18"/>
                  <w:szCs w:val="18"/>
                  <w:color w:val="0000EE"/>
                  <w:w w:val="94"/>
                </w:rPr>
                <w:t>S-6</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 xml:space="preserve">of this prospectus supplement and page </w:t>
            </w:r>
            <w:hyperlink w:anchor="page44">
              <w:r>
                <w:rPr>
                  <w:rFonts w:ascii="Arial" w:cs="Arial" w:eastAsia="Arial" w:hAnsi="Arial"/>
                  <w:sz w:val="18"/>
                  <w:szCs w:val="18"/>
                  <w:color w:val="0000EE"/>
                  <w:w w:val="94"/>
                </w:rPr>
                <w:t>6</w:t>
              </w:r>
              <w:r>
                <w:rPr>
                  <w:rFonts w:ascii="Arial" w:cs="Arial" w:eastAsia="Arial" w:hAnsi="Arial"/>
                  <w:sz w:val="18"/>
                  <w:szCs w:val="18"/>
                  <w:color w:val="auto"/>
                  <w:w w:val="94"/>
                </w:rPr>
                <w:t xml:space="preserve"> </w:t>
              </w:r>
            </w:hyperlink>
            <w:r>
              <w:rPr>
                <w:rFonts w:ascii="Arial" w:cs="Arial" w:eastAsia="Arial" w:hAnsi="Arial"/>
                <w:sz w:val="18"/>
                <w:szCs w:val="18"/>
                <w:color w:val="auto"/>
                <w:w w:val="94"/>
              </w:rPr>
              <w:t>of the</w:t>
            </w:r>
          </w:p>
        </w:tc>
      </w:tr>
      <w:tr>
        <w:trPr>
          <w:trHeight w:val="20"/>
        </w:trPr>
        <w:tc>
          <w:tcPr>
            <w:tcW w:w="2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2"/>
        </w:trPr>
        <w:tc>
          <w:tcPr>
            <w:tcW w:w="2260" w:type="dxa"/>
            <w:vAlign w:val="bottom"/>
          </w:tcPr>
          <w:p>
            <w:pPr>
              <w:spacing w:after="0"/>
              <w:rPr>
                <w:sz w:val="19"/>
                <w:szCs w:val="19"/>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accompanying prospectus for a discussion of the risks you</w:t>
            </w:r>
          </w:p>
        </w:tc>
      </w:tr>
      <w:tr>
        <w:trPr>
          <w:trHeight w:val="230"/>
        </w:trPr>
        <w:tc>
          <w:tcPr>
            <w:tcW w:w="2260" w:type="dxa"/>
            <w:vAlign w:val="bottom"/>
          </w:tcPr>
          <w:p>
            <w:pPr>
              <w:spacing w:after="0"/>
              <w:rPr>
                <w:sz w:val="20"/>
                <w:szCs w:val="20"/>
                <w:color w:val="auto"/>
              </w:rPr>
            </w:pPr>
          </w:p>
        </w:tc>
        <w:tc>
          <w:tcPr>
            <w:tcW w:w="5940" w:type="dxa"/>
            <w:vAlign w:val="bottom"/>
            <w:gridSpan w:val="5"/>
          </w:tcPr>
          <w:p>
            <w:pPr>
              <w:ind w:left="1200"/>
              <w:spacing w:after="0"/>
              <w:rPr>
                <w:sz w:val="20"/>
                <w:szCs w:val="20"/>
                <w:color w:val="auto"/>
              </w:rPr>
            </w:pPr>
            <w:r>
              <w:rPr>
                <w:rFonts w:ascii="Arial" w:cs="Arial" w:eastAsia="Arial" w:hAnsi="Arial"/>
                <w:sz w:val="18"/>
                <w:szCs w:val="18"/>
                <w:color w:val="auto"/>
              </w:rPr>
              <w:t>should consider before investing in the notes.</w:t>
            </w:r>
          </w:p>
        </w:tc>
      </w:tr>
    </w:tbl>
    <w:p>
      <w:pPr>
        <w:spacing w:after="0" w:line="200" w:lineRule="exact"/>
        <w:rPr>
          <w:sz w:val="20"/>
          <w:szCs w:val="20"/>
          <w:color w:val="auto"/>
        </w:rPr>
      </w:pP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19" w:firstLine="360"/>
        <w:spacing w:after="0" w:line="252"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You should carefully consider the risk factors identified in Part I, Item 1A., “Risk Factors,” of our </w:t>
      </w:r>
      <w:hyperlink r:id="rId30">
        <w:r>
          <w:rPr>
            <w:rFonts w:ascii="Arial" w:cs="Arial" w:eastAsia="Arial" w:hAnsi="Arial"/>
            <w:sz w:val="17"/>
            <w:szCs w:val="17"/>
            <w:i w:val="1"/>
            <w:iCs w:val="1"/>
            <w:u w:val="single" w:color="auto"/>
            <w:color w:val="0000EE"/>
          </w:rPr>
          <w:t>Annual Report on Form 10 -K for the year ended December 31, 2020</w:t>
        </w:r>
        <w:r>
          <w:rPr>
            <w:rFonts w:ascii="Arial" w:cs="Arial" w:eastAsia="Arial" w:hAnsi="Arial"/>
            <w:sz w:val="17"/>
            <w:szCs w:val="17"/>
            <w:i w:val="1"/>
            <w:iCs w:val="1"/>
            <w:color w:val="0000EE"/>
          </w:rPr>
          <w:t xml:space="preserve"> </w:t>
        </w:r>
      </w:hyperlink>
      <w:r>
        <w:rPr>
          <w:rFonts w:ascii="Arial" w:cs="Arial" w:eastAsia="Arial" w:hAnsi="Arial"/>
          <w:sz w:val="17"/>
          <w:szCs w:val="17"/>
          <w:i w:val="1"/>
          <w:iCs w:val="1"/>
          <w:color w:val="000000"/>
        </w:rPr>
        <w:t>and</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the risks identified in our other</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Risks Related to the Notes</w:t>
      </w:r>
    </w:p>
    <w:p>
      <w:pPr>
        <w:spacing w:after="0" w:line="229"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10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We have substantial indebtedness. At March 31, 2021, our ratio of total debt to total capitalization was 64.5%, and we had $ 13.5 billion of total debt. In addition, as of March 31, 2021, we had approximately $878 million of total letters of credit outstanding under our various facilities and certain bi-lateral agreements, including $269 million of such outstanding letters of credit that were issued under and supported by our $3.5 billion revolving credit facility. Our indebtedness that bears interest at a floating rate makes us vulnerable to changes in interest rates. As of March 31, 2021, we had approximately $ 3.0 billion of debt maturing within the next 12 months, including: (i) $1.5 billion of short-term borrowings under our commercial paper program; (ii) $1.2 billion of tax-exempt bonds with term interest rate periods that expire within the next 12 months, which is prior to their scheduled maturities; and (iii) $213 million of other debt with scheduled maturities within the next 12 months, including $103 million of tax -exempt bonds. Our level of indebtedness and the covenants contained in the agreements governing our debt could have important consequences, including:</w:t>
      </w:r>
    </w:p>
    <w:p>
      <w:pPr>
        <w:spacing w:after="0" w:line="85" w:lineRule="exact"/>
        <w:rPr>
          <w:sz w:val="20"/>
          <w:szCs w:val="20"/>
          <w:color w:val="auto"/>
        </w:rPr>
      </w:pPr>
    </w:p>
    <w:p>
      <w:pPr>
        <w:ind w:left="1800" w:right="83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jc w:val="both"/>
        <w:ind w:left="1800" w:right="103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75"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89"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$ 3.5 billion revolving credit facility requires us to comply with a specified ratio of Total Debt to EBITDA (as defined in our $3.5 billion revolving credit facility), following this offering of notes and the use of proceeds contemplated hereby, we expect to have the ability to incur additional indebtedness while remaining in compliance with this ratio. Our incurrence of additional indebtedness would exacerbate the negative consequences mentioned above, and could adversely affect our ability to service and repay the notes.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are a holding company and we depend upon cash distributions from our subsidiaries to service our debt.</w:t>
      </w:r>
    </w:p>
    <w:p>
      <w:pPr>
        <w:spacing w:after="0" w:line="192"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w:t>
      </w:r>
    </w:p>
    <w:p>
      <w:pPr>
        <w:sectPr>
          <w:pgSz w:w="11900" w:h="16838" w:orient="portrait"/>
          <w:cols w:equalWidth="0" w:num="1">
            <w:col w:w="9879"/>
          </w:cols>
          <w:pgMar w:left="580" w:top="131" w:right="1440" w:bottom="1440" w:gutter="0" w:footer="0" w:header="0"/>
        </w:sect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4" w:lineRule="auto"/>
        <w:rPr>
          <w:sz w:val="20"/>
          <w:szCs w:val="20"/>
          <w:color w:val="auto"/>
        </w:rPr>
      </w:pPr>
      <w:r>
        <w:rPr>
          <w:rFonts w:ascii="Arial" w:cs="Arial" w:eastAsia="Arial" w:hAnsi="Arial"/>
          <w:sz w:val="18"/>
          <w:szCs w:val="18"/>
          <w:color w:val="auto"/>
        </w:rPr>
        <w:t>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 notes will be effectively subordinated to certain of our subsidiaries’ debt and our secured debt.</w:t>
      </w:r>
    </w:p>
    <w:p>
      <w:pPr>
        <w:spacing w:after="0" w:line="156"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March 31, 2021 was $196 million. As of March 31, 2021, our operating subsidiaries had $2.234 billion of indebtedness and WM Holdings had $248 million of long-term debt (excluding guarantees of $8.153 billion of our senior debt), in each case excluding intercompany loans. For a description of the ranking of the notes, see “Description of Notes — Ranking” in this prospectus supplement.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guarantees of the notes.</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79" w:lineRule="exact"/>
        <w:rPr>
          <w:sz w:val="20"/>
          <w:szCs w:val="20"/>
          <w:color w:val="auto"/>
        </w:rPr>
      </w:pPr>
    </w:p>
    <w:p>
      <w:pPr>
        <w:ind w:left="1260" w:right="399"/>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103"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change of control offer covenant is limited to the transactions specified in “Description of Notes</w:t>
      </w:r>
    </w:p>
    <w:p>
      <w:pPr>
        <w:spacing w:after="0" w:line="35" w:lineRule="exact"/>
        <w:rPr>
          <w:sz w:val="20"/>
          <w:szCs w:val="20"/>
          <w:color w:val="auto"/>
        </w:rPr>
      </w:pPr>
    </w:p>
    <w:p>
      <w:pPr>
        <w:ind w:left="1260" w:right="439"/>
        <w:spacing w:after="0" w:line="252" w:lineRule="auto"/>
        <w:rPr>
          <w:sz w:val="20"/>
          <w:szCs w:val="20"/>
          <w:color w:val="auto"/>
        </w:rPr>
      </w:pPr>
      <w:r>
        <w:rPr>
          <w:rFonts w:ascii="Arial" w:cs="Arial" w:eastAsia="Arial" w:hAnsi="Arial"/>
          <w:sz w:val="18"/>
          <w:szCs w:val="18"/>
          <w:color w:val="auto"/>
        </w:rPr>
        <w:t>—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ectPr>
          <w:pgSz w:w="11900" w:h="16838" w:orient="portrait"/>
          <w:cols w:equalWidth="0" w:num="1">
            <w:col w:w="9879"/>
          </w:cols>
          <w:pgMar w:left="580" w:top="131"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You may not be able to sell the notes for a profit or at all.</w:t>
      </w:r>
    </w:p>
    <w:p>
      <w:pPr>
        <w:spacing w:after="0" w:line="14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We expect the net proceeds from the offering of the notes to be $939.5 million, after deducting the underwriting discounts and estimated expenses of the offering that we will pay.</w:t>
      </w:r>
    </w:p>
    <w:p>
      <w:pPr>
        <w:spacing w:after="0" w:line="103"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intend to use some or all of the net proceeds, together with cash on hand, if necessary, to fund the purchase of the Tender Notes that are validly tendered and not validly withdrawn and are accepted for purchase by us in the Tender Offer and to pay all fees and expenses in connection with the Tender Offer. This offering is not contingent upon the consummation of the Tender Offer, although the consummation of the Tender Offer is contingent upon, among other things, the successful completion (in our reasonable opinion) of a senior notes financing, which may include this offering, designed to raise sufficient funds to purchase all notes subject to the Tender Offer that are validly tendered and not validly withdawn and are accepted for purchase by us and to pay all fees and expenses in connection with the Tender Offer, pursuant to the terms and subject to the conditions of the Tender Offer as set forth in the Offer to Purchase. There can be no assurance that the Tender Offer will be consummated on the terms described herein or at all.</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Certain of the underwriters or their respective affiliates are holders of a portion of the Tender Notes. Accordingly, such underwriters or their respective affiliates may receive more than 5% of the net proceeds of this offering, not including underwriting compensation, thus creating a “conflict of interest” within the meaning of FINRA Rule 5121. FINRA Rule 5121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w:t>
      </w:r>
    </w:p>
    <w:p>
      <w:pPr>
        <w:spacing w:after="0" w:line="111"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Pending application of the net proceeds as described immediately above, we may temporarily invest in short-term investments. Any excess net proceeds will be used for general corporate purposes, which may include repayment of borrowings under our commercial paper program used for working capital, which is fully supported by our $3.5 billion revolving credit facility. Because certain of the underwriters serve as dealers under our commercial paper program, they may receive as customary dealer fees a portion of the net proceeds of the notes offered hereby.</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Waste Management Commercial Paper Program</w:t>
      </w:r>
    </w:p>
    <w:p>
      <w:pPr>
        <w:spacing w:after="0" w:line="162"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color w:val="auto"/>
        </w:rPr>
        <w:t>Our commercial paper program enables us to borrow up to $3.5 billion, which capacity is reduced by the aggregate amount of borrowings outstanding under our $3.5 billion revolving credit facility, for up to 397 days at competitive interest rates. As of April 26, 2021, we had $1.5 billion of outstanding borrowings under our commercial paper program with a weighted average interest rate of 0.45%. As of April 26, 2021, the outstanding borrowings under our commercial paper program have a weighted average maturity of 129 days. The proceeds of our commercial paper program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2021 on an actual basis and as adjusted to give effect to the offering of the notes but not the use of proceeds thereof, including the Tender Offer. See “Summary — Recent Developments.” For purposes of this table, the net proceeds of the offering of the notes is reflected in As Adjusted Cash and Cash Equivalents.</w:t>
      </w:r>
    </w:p>
    <w:p>
      <w:pPr>
        <w:spacing w:after="0" w:line="120" w:lineRule="exact"/>
        <w:rPr>
          <w:sz w:val="20"/>
          <w:szCs w:val="20"/>
          <w:color w:val="auto"/>
        </w:rPr>
      </w:pPr>
    </w:p>
    <w:p>
      <w:pPr>
        <w:jc w:val="both"/>
        <w:ind w:left="1260" w:right="419" w:firstLine="360"/>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 2021</w:t>
            </w:r>
          </w:p>
        </w:tc>
      </w:tr>
      <w:tr>
        <w:trPr>
          <w:trHeight w:val="26"/>
        </w:trPr>
        <w:tc>
          <w:tcPr>
            <w:tcW w:w="19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r>
      <w:tr>
        <w:trPr>
          <w:trHeight w:val="237"/>
        </w:trPr>
        <w:tc>
          <w:tcPr>
            <w:tcW w:w="19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8"/>
              </w:rPr>
              <w:t>Actual</w:t>
            </w:r>
          </w:p>
        </w:tc>
        <w:tc>
          <w:tcPr>
            <w:tcW w:w="1080" w:type="dxa"/>
            <w:vAlign w:val="bottom"/>
            <w:tcBorders>
              <w:bottom w:val="single" w:sz="8" w:color="auto"/>
            </w:tcBorders>
            <w:gridSpan w:val="3"/>
          </w:tcPr>
          <w:p>
            <w:pPr>
              <w:jc w:val="right"/>
              <w:ind w:right="80"/>
              <w:spacing w:after="0" w:line="237" w:lineRule="exact"/>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21"/>
                <w:szCs w:val="21"/>
                <w:b w:val="1"/>
                <w:bCs w:val="1"/>
                <w:color w:val="auto"/>
                <w:w w:val="99"/>
                <w:vertAlign w:val="superscript"/>
              </w:rPr>
              <w:t>(a)</w:t>
            </w:r>
          </w:p>
        </w:tc>
      </w:tr>
      <w:tr>
        <w:trPr>
          <w:trHeight w:val="197"/>
        </w:trPr>
        <w:tc>
          <w:tcPr>
            <w:tcW w:w="19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6"/>
          </w:tcPr>
          <w:p>
            <w:pPr>
              <w:jc w:val="right"/>
              <w:spacing w:after="0"/>
              <w:rPr>
                <w:sz w:val="20"/>
                <w:szCs w:val="20"/>
                <w:color w:val="auto"/>
              </w:rPr>
            </w:pPr>
            <w:r>
              <w:rPr>
                <w:rFonts w:ascii="Arial" w:cs="Arial" w:eastAsia="Arial" w:hAnsi="Arial"/>
                <w:sz w:val="14"/>
                <w:szCs w:val="14"/>
                <w:b w:val="1"/>
                <w:bCs w:val="1"/>
                <w:color w:val="auto"/>
                <w:w w:val="90"/>
              </w:rPr>
              <w:t>(Unaudited, Dollars in millions)</w:t>
            </w:r>
          </w:p>
        </w:tc>
      </w:tr>
      <w:tr>
        <w:trPr>
          <w:trHeight w:val="26"/>
        </w:trPr>
        <w:tc>
          <w:tcPr>
            <w:tcW w:w="19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64"/>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1,416</w:t>
            </w:r>
          </w:p>
        </w:tc>
      </w:tr>
      <w:tr>
        <w:trPr>
          <w:trHeight w:val="256"/>
        </w:trPr>
        <w:tc>
          <w:tcPr>
            <w:tcW w:w="61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Debt:</w:t>
            </w: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r>
      <w:tr>
        <w:trPr>
          <w:trHeight w:val="270"/>
        </w:trPr>
        <w:tc>
          <w:tcPr>
            <w:tcW w:w="61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Commercial paper program</w:t>
            </w:r>
            <w:r>
              <w:rPr>
                <w:rFonts w:ascii="Arial" w:cs="Arial" w:eastAsia="Arial" w:hAnsi="Arial"/>
                <w:sz w:val="26"/>
                <w:szCs w:val="26"/>
                <w:color w:val="auto"/>
                <w:vertAlign w:val="superscript"/>
              </w:rPr>
              <w:t>(b)</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1,534</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1,534</w:t>
            </w:r>
          </w:p>
        </w:tc>
      </w:tr>
      <w:tr>
        <w:trPr>
          <w:trHeight w:val="270"/>
        </w:trPr>
        <w:tc>
          <w:tcPr>
            <w:tcW w:w="61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$3.5 billion revolving credit facility</w:t>
            </w:r>
            <w:r>
              <w:rPr>
                <w:rFonts w:ascii="Arial" w:cs="Arial" w:eastAsia="Arial" w:hAnsi="Arial"/>
                <w:sz w:val="26"/>
                <w:szCs w:val="26"/>
                <w:color w:val="auto"/>
                <w:vertAlign w:val="superscript"/>
              </w:rPr>
              <w:t>(b)(c)</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57"/>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notes, maturing through 2050</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8,465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8,465</w:t>
            </w:r>
          </w:p>
        </w:tc>
      </w:tr>
      <w:tr>
        <w:trPr>
          <w:trHeight w:val="270"/>
        </w:trPr>
        <w:tc>
          <w:tcPr>
            <w:tcW w:w="61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Canadian senior notes, C$500 million maturing September 2026</w:t>
            </w:r>
            <w:r>
              <w:rPr>
                <w:rFonts w:ascii="Arial" w:cs="Arial" w:eastAsia="Arial" w:hAnsi="Arial"/>
                <w:sz w:val="26"/>
                <w:szCs w:val="26"/>
                <w:color w:val="auto"/>
                <w:vertAlign w:val="superscript"/>
              </w:rPr>
              <w:t>(d)</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398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398</w:t>
            </w:r>
          </w:p>
        </w:tc>
      </w:tr>
      <w:tr>
        <w:trPr>
          <w:trHeight w:val="229"/>
        </w:trPr>
        <w:tc>
          <w:tcPr>
            <w:tcW w:w="6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2.00% Senior Notes due 2029 offered hereby (including unamortized</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44"/>
        </w:trPr>
        <w:tc>
          <w:tcPr>
            <w:tcW w:w="6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discount)</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475</w:t>
            </w:r>
          </w:p>
        </w:tc>
      </w:tr>
      <w:tr>
        <w:trPr>
          <w:trHeight w:val="229"/>
        </w:trPr>
        <w:tc>
          <w:tcPr>
            <w:tcW w:w="6100" w:type="dxa"/>
            <w:vAlign w:val="bottom"/>
            <w:gridSpan w:val="2"/>
          </w:tcPr>
          <w:p>
            <w:pPr>
              <w:ind w:left="360"/>
              <w:spacing w:after="0"/>
              <w:rPr>
                <w:sz w:val="20"/>
                <w:szCs w:val="20"/>
                <w:color w:val="auto"/>
              </w:rPr>
            </w:pPr>
            <w:r>
              <w:rPr>
                <w:rFonts w:ascii="Arial" w:cs="Arial" w:eastAsia="Arial" w:hAnsi="Arial"/>
                <w:sz w:val="18"/>
                <w:szCs w:val="18"/>
                <w:color w:val="auto"/>
              </w:rPr>
              <w:t>2.95% Senior Notes due 2041 offered hereby (including unamortized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7"/>
        </w:trPr>
        <w:tc>
          <w:tcPr>
            <w:tcW w:w="6100" w:type="dxa"/>
            <w:vAlign w:val="bottom"/>
            <w:gridSpan w:val="2"/>
          </w:tcPr>
          <w:p>
            <w:pPr>
              <w:ind w:left="540"/>
              <w:spacing w:after="0"/>
              <w:rPr>
                <w:sz w:val="20"/>
                <w:szCs w:val="20"/>
                <w:color w:val="auto"/>
              </w:rPr>
            </w:pPr>
            <w:r>
              <w:rPr>
                <w:rFonts w:ascii="Arial" w:cs="Arial" w:eastAsia="Arial" w:hAnsi="Arial"/>
                <w:sz w:val="18"/>
                <w:szCs w:val="18"/>
                <w:color w:val="auto"/>
              </w:rPr>
              <w:t>discount)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475</w:t>
            </w:r>
          </w:p>
        </w:tc>
      </w:tr>
      <w:tr>
        <w:trPr>
          <w:trHeight w:val="277"/>
        </w:trPr>
        <w:tc>
          <w:tcPr>
            <w:tcW w:w="6100" w:type="dxa"/>
            <w:vAlign w:val="bottom"/>
            <w:gridSpan w:val="2"/>
            <w:shd w:val="clear" w:color="auto" w:fill="CCEEFF"/>
          </w:tcPr>
          <w:p>
            <w:pPr>
              <w:ind w:left="180"/>
              <w:spacing w:after="0" w:line="277" w:lineRule="exact"/>
              <w:rPr>
                <w:sz w:val="20"/>
                <w:szCs w:val="20"/>
                <w:color w:val="auto"/>
              </w:rPr>
            </w:pPr>
            <w:r>
              <w:rPr>
                <w:rFonts w:ascii="Arial" w:cs="Arial" w:eastAsia="Arial" w:hAnsi="Arial"/>
                <w:sz w:val="18"/>
                <w:szCs w:val="18"/>
                <w:color w:val="auto"/>
              </w:rPr>
              <w:t>Tax-exempt bonds, maturing through 2048</w:t>
            </w:r>
            <w:r>
              <w:rPr>
                <w:rFonts w:ascii="Arial" w:cs="Arial" w:eastAsia="Arial" w:hAnsi="Arial"/>
                <w:sz w:val="26"/>
                <w:szCs w:val="26"/>
                <w:color w:val="auto"/>
                <w:vertAlign w:val="superscript"/>
              </w:rPr>
              <w:t>(e)</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2,547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2,547</w:t>
            </w:r>
          </w:p>
        </w:tc>
      </w:tr>
      <w:tr>
        <w:trPr>
          <w:trHeight w:val="256"/>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Financing leases and other, maturing through 2085</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627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627</w:t>
            </w:r>
          </w:p>
        </w:tc>
      </w:tr>
      <w:tr>
        <w:trPr>
          <w:trHeight w:val="284"/>
        </w:trPr>
        <w:tc>
          <w:tcPr>
            <w:tcW w:w="6100" w:type="dxa"/>
            <w:vAlign w:val="bottom"/>
            <w:gridSpan w:val="2"/>
            <w:shd w:val="clear" w:color="auto" w:fill="CCEEFF"/>
          </w:tcPr>
          <w:p>
            <w:pPr>
              <w:ind w:left="180"/>
              <w:spacing w:after="0" w:line="283" w:lineRule="exact"/>
              <w:rPr>
                <w:sz w:val="20"/>
                <w:szCs w:val="20"/>
                <w:color w:val="auto"/>
              </w:rPr>
            </w:pPr>
            <w:r>
              <w:rPr>
                <w:rFonts w:ascii="Arial" w:cs="Arial" w:eastAsia="Arial" w:hAnsi="Arial"/>
                <w:sz w:val="18"/>
                <w:szCs w:val="18"/>
                <w:color w:val="auto"/>
              </w:rPr>
              <w:t>Debt issuance costs, discounts and other</w:t>
            </w:r>
            <w:r>
              <w:rPr>
                <w:rFonts w:ascii="Arial" w:cs="Arial" w:eastAsia="Arial" w:hAnsi="Arial"/>
                <w:sz w:val="26"/>
                <w:szCs w:val="26"/>
                <w:color w:val="auto"/>
                <w:vertAlign w:val="superscript"/>
              </w:rPr>
              <w:t>(f)</w:t>
            </w:r>
          </w:p>
        </w:tc>
        <w:tc>
          <w:tcPr>
            <w:tcW w:w="300" w:type="dxa"/>
            <w:vAlign w:val="bottom"/>
            <w:gridSpan w:val="2"/>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r>
      <w:tr>
        <w:trPr>
          <w:trHeight w:val="20"/>
        </w:trPr>
        <w:tc>
          <w:tcPr>
            <w:tcW w:w="1940" w:type="dxa"/>
            <w:vAlign w:val="bottom"/>
            <w:shd w:val="clear" w:color="auto" w:fill="CCEEFF"/>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300" w:type="dxa"/>
            <w:vAlign w:val="bottom"/>
            <w:gridSpan w:val="2"/>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13,488</w:t>
            </w:r>
          </w:p>
        </w:tc>
        <w:tc>
          <w:tcPr>
            <w:tcW w:w="22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14,438</w:t>
            </w:r>
          </w:p>
        </w:tc>
      </w:tr>
      <w:tr>
        <w:trPr>
          <w:trHeight w:val="256"/>
        </w:trPr>
        <w:tc>
          <w:tcPr>
            <w:tcW w:w="6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r>
      <w:tr>
        <w:trPr>
          <w:trHeight w:val="257"/>
        </w:trPr>
        <w:tc>
          <w:tcPr>
            <w:tcW w:w="6100" w:type="dxa"/>
            <w:vAlign w:val="bottom"/>
            <w:gridSpan w:val="2"/>
          </w:tcPr>
          <w:p>
            <w:pPr>
              <w:spacing w:after="0"/>
              <w:rPr>
                <w:sz w:val="20"/>
                <w:szCs w:val="20"/>
                <w:color w:val="auto"/>
              </w:rPr>
            </w:pPr>
            <w:r>
              <w:rPr>
                <w:rFonts w:ascii="Arial" w:cs="Arial" w:eastAsia="Arial" w:hAnsi="Arial"/>
                <w:sz w:val="18"/>
                <w:szCs w:val="18"/>
                <w:color w:val="auto"/>
              </w:rPr>
              <w:t>Waste Management, Inc. Stockholders’ Equity:</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29"/>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1,500,000,000 shares authorized;</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244"/>
        </w:trPr>
        <w:tc>
          <w:tcPr>
            <w:tcW w:w="6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630,282,461 shares issued</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r>
      <w:tr>
        <w:trPr>
          <w:trHeight w:val="256"/>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5,071</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5,071</w:t>
            </w:r>
          </w:p>
        </w:tc>
      </w:tr>
      <w:tr>
        <w:trPr>
          <w:trHeight w:val="257"/>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11,337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11,337</w:t>
            </w:r>
          </w:p>
        </w:tc>
      </w:tr>
      <w:tr>
        <w:trPr>
          <w:trHeight w:val="256"/>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48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48</w:t>
            </w:r>
          </w:p>
        </w:tc>
      </w:tr>
      <w:tr>
        <w:trPr>
          <w:trHeight w:val="264"/>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208,200,661 shares</w:t>
            </w:r>
          </w:p>
        </w:tc>
        <w:tc>
          <w:tcPr>
            <w:tcW w:w="300" w:type="dxa"/>
            <w:vAlign w:val="bottom"/>
            <w:gridSpan w:val="2"/>
            <w:shd w:val="clear" w:color="auto" w:fill="CCEEFF"/>
          </w:tcPr>
          <w:p>
            <w:pPr>
              <w:spacing w:after="0"/>
              <w:rPr>
                <w:sz w:val="22"/>
                <w:szCs w:val="2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(9,035)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(9,035)</w:t>
            </w:r>
          </w:p>
        </w:tc>
      </w:tr>
      <w:tr>
        <w:trPr>
          <w:trHeight w:val="256"/>
        </w:trPr>
        <w:tc>
          <w:tcPr>
            <w:tcW w:w="61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 Waste Management, Inc. stockholders’ equity</w:t>
            </w:r>
          </w:p>
        </w:tc>
        <w:tc>
          <w:tcPr>
            <w:tcW w:w="300" w:type="dxa"/>
            <w:vAlign w:val="bottom"/>
            <w:tcBorders>
              <w:top w:val="single" w:sz="8" w:color="CCEEFF"/>
            </w:tcBorders>
            <w:gridSpan w:val="2"/>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2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240" w:type="dxa"/>
            <w:vAlign w:val="bottom"/>
            <w:tcBorders>
              <w:top w:val="single" w:sz="8" w:color="CCEEFF"/>
            </w:tcBorders>
          </w:tcPr>
          <w:p>
            <w:pPr>
              <w:spacing w:after="0"/>
              <w:rPr>
                <w:sz w:val="22"/>
                <w:szCs w:val="22"/>
                <w:color w:val="auto"/>
              </w:rPr>
            </w:pPr>
          </w:p>
        </w:tc>
      </w:tr>
      <w:tr>
        <w:trPr>
          <w:trHeight w:val="264"/>
        </w:trPr>
        <w:tc>
          <w:tcPr>
            <w:tcW w:w="6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77"/>
        </w:trPr>
        <w:tc>
          <w:tcPr>
            <w:tcW w:w="6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gridSpan w:val="2"/>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c>
          <w:tcPr>
            <w:tcW w:w="240" w:type="dxa"/>
            <w:vAlign w:val="bottom"/>
            <w:tcBorders>
              <w:bottom w:val="single" w:sz="8" w:color="CCEEFF"/>
            </w:tcBorders>
          </w:tcPr>
          <w:p>
            <w:pPr>
              <w:spacing w:after="0"/>
              <w:rPr>
                <w:sz w:val="24"/>
                <w:szCs w:val="24"/>
                <w:color w:val="auto"/>
              </w:rPr>
            </w:pPr>
          </w:p>
        </w:tc>
      </w:tr>
      <w:tr>
        <w:trPr>
          <w:trHeight w:val="304"/>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debt and equity</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20,917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21,867</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-307975</wp:posOffset>
            </wp:positionV>
            <wp:extent cx="5212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-2133600</wp:posOffset>
            </wp:positionV>
            <wp:extent cx="5212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5231765</wp:posOffset>
            </wp:positionH>
            <wp:positionV relativeFrom="paragraph">
              <wp:posOffset>-4602480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620" w:right="619" w:hanging="360"/>
        <w:spacing w:after="0" w:line="255"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As Adjusted column gives effect to the notes offering but does not give effect to any use of proceeds thereof, including the Tender Offer. As of April 26, 2021, the aggregate principal amount outstanding of the Tender Notes was $5.965 billion. After giving effect to the Tender Offer, As Adjusted Cash and Cash Equivalents would be $272 million, and As Adjusted Senior notes, maturing through 2050, would be $8.465 billion. There is no assurance that the Tender Offer will be consummated in accordance with its terms, or at all.</w:t>
      </w: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39" w:hanging="360"/>
        <w:spacing w:after="0" w:line="268"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$3.5 billion revolving credit facility expires in November 2024 and is our primary source of letter of credit capacity. Our remaining committed letter of credit capacity is provided under facilities with terms extending through September 2021. As of March 31, 2021, we had $1.5 billion of outstanding borrowings under our commercial paper program, which is fully supported by our $3.5 billion revolving credit facility. Additionally, as of March 31, 2021, we had no borrowings under, and</w:t>
      </w:r>
    </w:p>
    <w:p>
      <w:pPr>
        <w:spacing w:after="0" w:line="2" w:lineRule="exact"/>
        <w:rPr>
          <w:rFonts w:ascii="Arial" w:cs="Arial" w:eastAsia="Arial" w:hAnsi="Arial"/>
          <w:sz w:val="17"/>
          <w:szCs w:val="17"/>
          <w:color w:val="auto"/>
        </w:rPr>
      </w:pPr>
    </w:p>
    <w:p>
      <w:pPr>
        <w:ind w:left="1620" w:right="419"/>
        <w:spacing w:after="0" w:line="253" w:lineRule="auto"/>
        <w:rPr>
          <w:rFonts w:ascii="Arial" w:cs="Arial" w:eastAsia="Arial" w:hAnsi="Arial"/>
          <w:sz w:val="17"/>
          <w:szCs w:val="17"/>
          <w:color w:val="auto"/>
        </w:rPr>
      </w:pPr>
      <w:r>
        <w:rPr>
          <w:rFonts w:ascii="Arial" w:cs="Arial" w:eastAsia="Arial" w:hAnsi="Arial"/>
          <w:sz w:val="18"/>
          <w:szCs w:val="18"/>
          <w:color w:val="auto"/>
        </w:rPr>
        <w:t>$269 million of letters of credit issued under and supported by, our $3.5 billion revolving credit facility, leaving unused and available credit capacity under this facility of $1.7 billion. As of April 26, 2021, we had $1.5 billion of outstanding borrowings under our commercial paper program, which were used for general corporate purposes.</w:t>
      </w:r>
    </w:p>
    <w:p>
      <w:pPr>
        <w:spacing w:after="0" w:line="44" w:lineRule="exact"/>
        <w:rPr>
          <w:rFonts w:ascii="Arial" w:cs="Arial" w:eastAsia="Arial" w:hAnsi="Arial"/>
          <w:sz w:val="17"/>
          <w:szCs w:val="17"/>
          <w:color w:val="auto"/>
        </w:rPr>
      </w:pPr>
    </w:p>
    <w:p>
      <w:pPr>
        <w:ind w:left="1620" w:right="499" w:hanging="360"/>
        <w:spacing w:after="0" w:line="273" w:lineRule="auto"/>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$3.5 billion revolving credit facility provides us with credit capacity to be used for cash borrowings, including borrowings in Canadian dollars up to the U.S. dollar equivalent of $375 million, to support letters of credit and to support our commercial paper program. The rates we pay for outstanding U.S. or Canadian loans are generally based on LIBOR or CDOR, respectively, plus a spread depending on our debt rating assigned by Moody’s and S&amp;P (each as defined below). WM Holdings guarantees all of the obligations under our $3.5 billion revolving credit facility.</w:t>
      </w:r>
    </w:p>
    <w:p>
      <w:pPr>
        <w:spacing w:after="0" w:line="29" w:lineRule="exact"/>
        <w:rPr>
          <w:rFonts w:ascii="Arial" w:cs="Arial" w:eastAsia="Arial" w:hAnsi="Arial"/>
          <w:sz w:val="17"/>
          <w:szCs w:val="17"/>
          <w:color w:val="auto"/>
        </w:rPr>
      </w:pPr>
    </w:p>
    <w:p>
      <w:pPr>
        <w:ind w:left="1620" w:right="499" w:hanging="360"/>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September 2019, Waste Management of Canada Corporation, our indirect wholly owned subsidiary, issued C$500 million, or $398 million based on the conversion rate as of March 31, 2021, of 2.6% senior notes due September 23, 2026, all of which are fully and unconditionally guaranteed on a senior unsecured basis by us and WM Holdings.</w:t>
      </w:r>
    </w:p>
    <w:p>
      <w:pPr>
        <w:spacing w:after="0" w:line="51" w:lineRule="exact"/>
        <w:rPr>
          <w:rFonts w:ascii="Arial" w:cs="Arial" w:eastAsia="Arial" w:hAnsi="Arial"/>
          <w:sz w:val="18"/>
          <w:szCs w:val="18"/>
          <w:color w:val="auto"/>
        </w:rPr>
      </w:pPr>
    </w:p>
    <w:p>
      <w:pPr>
        <w:ind w:left="1620" w:right="499" w:hanging="360"/>
        <w:spacing w:after="0" w:line="259"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8" w:lineRule="exact"/>
        <w:rPr>
          <w:rFonts w:ascii="Arial" w:cs="Arial" w:eastAsia="Arial" w:hAnsi="Arial"/>
          <w:sz w:val="18"/>
          <w:szCs w:val="18"/>
          <w:color w:val="auto"/>
        </w:rPr>
      </w:pPr>
    </w:p>
    <w:p>
      <w:pPr>
        <w:ind w:left="1620" w:right="879" w:hanging="360"/>
        <w:spacing w:after="0" w:line="277"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As Adjusted column with respect to this line item does not include any debt issuance costs or unamortized discounts associated with the 2029 notes or the 2041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NOTES</w:t>
      </w:r>
    </w:p>
    <w:p>
      <w:pPr>
        <w:spacing w:after="0" w:line="148"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7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are offering $950,000,000 of our senior notes, consisting of $475,000,000 of our 2.00% senior notes due 2029 and $475,000,000 of our 2.95% senior notes due 2041. The notes of each series will be issued under and pursuant to an Indenture dated as of September 10, 1997 (the “Indenture”), between us and The Bank of New York Mellon Trust Company, N.A. (the current successor to the initial trustee, Texas Commerce Bank National Association), as Trustee (the “Trustee”). The 2029 notes and the 2041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124" w:lineRule="exact"/>
        <w:rPr>
          <w:sz w:val="20"/>
          <w:szCs w:val="20"/>
          <w:color w:val="auto"/>
        </w:rPr>
      </w:pPr>
    </w:p>
    <w:p>
      <w:pPr>
        <w:ind w:left="1620"/>
        <w:spacing w:after="0"/>
        <w:tabs>
          <w:tab w:leader="none" w:pos="256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7"/>
          <w:szCs w:val="17"/>
          <w:color w:val="auto"/>
        </w:rPr>
        <w:t>Each series of notes will:</w:t>
      </w:r>
    </w:p>
    <w:p>
      <w:pPr>
        <w:spacing w:after="0" w:line="117"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117"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constitute a new and separate series of debt securities issued under the Indenture and will be initially limited to an aggregate principal amount as follows: $475,000,000 in the case of the 2029 notes and $475,000,000 in the case of the 2041 notes;</w:t>
      </w:r>
    </w:p>
    <w:p>
      <w:pPr>
        <w:spacing w:after="0" w:line="75" w:lineRule="exact"/>
        <w:rPr>
          <w:rFonts w:ascii="Arial" w:cs="Arial" w:eastAsia="Arial" w:hAnsi="Arial"/>
          <w:sz w:val="18"/>
          <w:szCs w:val="18"/>
          <w:color w:val="auto"/>
        </w:rPr>
      </w:pPr>
    </w:p>
    <w:p>
      <w:pPr>
        <w:ind w:left="1800" w:right="8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mature on June 1, 2029, in the case of the 2029 notes, and June 1, 2041, in the case of the 2041 notes;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62"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06" w:lineRule="exact"/>
        <w:rPr>
          <w:sz w:val="20"/>
          <w:szCs w:val="20"/>
          <w:color w:val="auto"/>
        </w:rPr>
      </w:pPr>
    </w:p>
    <w:p>
      <w:pPr>
        <w:ind w:left="1620"/>
        <w:spacing w:after="0"/>
        <w:tabs>
          <w:tab w:leader="none" w:pos="2360" w:val="left"/>
        </w:tabs>
        <w:rPr>
          <w:sz w:val="20"/>
          <w:szCs w:val="20"/>
          <w:color w:val="auto"/>
        </w:rPr>
      </w:pPr>
      <w:r>
        <w:rPr>
          <w:rFonts w:ascii="Arial" w:cs="Arial" w:eastAsia="Arial" w:hAnsi="Arial"/>
          <w:sz w:val="18"/>
          <w:szCs w:val="18"/>
          <w:i w:val="1"/>
          <w:iCs w:val="1"/>
          <w:color w:val="auto"/>
        </w:rPr>
        <w:t>Interest.</w:t>
      </w:r>
      <w:r>
        <w:rPr>
          <w:sz w:val="20"/>
          <w:szCs w:val="20"/>
          <w:color w:val="auto"/>
        </w:rPr>
        <w:tab/>
      </w:r>
      <w:r>
        <w:rPr>
          <w:rFonts w:ascii="Arial" w:cs="Arial" w:eastAsia="Arial" w:hAnsi="Arial"/>
          <w:sz w:val="18"/>
          <w:szCs w:val="18"/>
          <w:color w:val="auto"/>
        </w:rPr>
        <w:t>Interest will:</w:t>
      </w:r>
    </w:p>
    <w:p>
      <w:pPr>
        <w:spacing w:after="0" w:line="117" w:lineRule="exact"/>
        <w:rPr>
          <w:sz w:val="20"/>
          <w:szCs w:val="20"/>
          <w:color w:val="auto"/>
        </w:rPr>
      </w:pPr>
    </w:p>
    <w:p>
      <w:pPr>
        <w:ind w:left="1800" w:right="5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accrue on the 2029 notes at the rate of 2.00% per annum and accrue on the 2041 notes at the rate of 2.95% per annum;</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accrue from May 12, 2021 or the most recent interest payment date;</w:t>
      </w:r>
    </w:p>
    <w:p>
      <w:pPr>
        <w:spacing w:after="0" w:line="117"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payable in cash semi-annually in arrears on June 1 and December 1 of each year, beginning on December 1, 2021;</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payable to holders of record on the May 15 and November 15 immediately preceding the related interest payment dates;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Payment and Transfer</w:t>
      </w:r>
    </w:p>
    <w:p>
      <w:pPr>
        <w:spacing w:after="0" w:line="162"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94"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Optional Redemption</w:t>
      </w:r>
    </w:p>
    <w:p>
      <w:pPr>
        <w:spacing w:after="0" w:line="16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Before the applicable Par Call Date for each series of notes, the notes of each series will be redeemable and repayable, at our option, at any time in whole, or from time to time in part, at a price equal to the greater of:</w:t>
      </w:r>
    </w:p>
    <w:p>
      <w:pPr>
        <w:spacing w:after="0" w:line="60" w:lineRule="exact"/>
        <w:rPr>
          <w:sz w:val="20"/>
          <w:szCs w:val="20"/>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800" w:right="479" w:hanging="180"/>
        <w:spacing w:after="0" w:line="255"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as calculated by us, of the present values of the remaining scheduled payments of principal and interest on the notes of the applicable series to be redeemed that would be due if such notes matured on the applicable Par Call Date (exclusive of interest accrued to the date of redemption) discounted to the date of redemption on a semi-annual basis (assuming a 360-day year consisting of twelve 30-day months) at the applicable Treasury Yield plus 12.5 basis points for the 2029 notes and 15 basis points for the 2041 notes;</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On or after the applicable Par Call Date for each series of notes, the notes of each series will be redeemable and repayable, at our option, at any time in whole, or from time to time in part, at a price equal to 100% of the principal amount of the notes of the applicable series to be redeemed plus accrued interest on the notes of the applicable series to be redeemed to the date of redemption.</w:t>
      </w:r>
    </w:p>
    <w:p>
      <w:pPr>
        <w:spacing w:after="0" w:line="120"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Notes called for redemption become due on the date fixed for redemption. Notices of redemption will be mailed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or by any other method the Trustee deems fair and appropriate (or in the case of notes represented by a note in global form, by such method as DTC may require).</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144"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Yield</w:t>
      </w:r>
      <w:r>
        <w:rPr>
          <w:rFonts w:ascii="Arial" w:cs="Arial" w:eastAsia="Arial" w:hAnsi="Arial"/>
          <w:sz w:val="18"/>
          <w:szCs w:val="18"/>
          <w:color w:val="auto"/>
        </w:rPr>
        <w:t>” means, with respect to any redemption date applicable to the notes of a series,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22" w:lineRule="exact"/>
        <w:rPr>
          <w:sz w:val="20"/>
          <w:szCs w:val="20"/>
          <w:color w:val="auto"/>
        </w:rPr>
      </w:pPr>
    </w:p>
    <w:p>
      <w:pPr>
        <w:ind w:left="1260" w:right="699" w:firstLine="360"/>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an Independent Investment Banker as having a maturity comparable to the remaining term of the notes of the series to be</w:t>
      </w: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19"/>
        <w:spacing w:after="0" w:line="243" w:lineRule="auto"/>
        <w:rPr>
          <w:sz w:val="20"/>
          <w:szCs w:val="20"/>
          <w:color w:val="auto"/>
        </w:rPr>
      </w:pPr>
      <w:r>
        <w:rPr>
          <w:rFonts w:ascii="Arial" w:cs="Arial" w:eastAsia="Arial" w:hAnsi="Arial"/>
          <w:sz w:val="18"/>
          <w:szCs w:val="18"/>
          <w:color w:val="auto"/>
        </w:rPr>
        <w:t>redeemed, calculated as if the maturity date of such notes were the applicable Par Call Date (the “Remaining Life”), that would be utilized, at the time of selection and in accordance with customary financial practice, in pricing new issues of corporate debt securities of comparable maturity to the Remaining Life of the notes of such series.</w:t>
      </w:r>
    </w:p>
    <w:p>
      <w:pPr>
        <w:spacing w:after="0" w:line="107"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us to act as the Independent Investment Banker from time to time.</w:t>
      </w:r>
    </w:p>
    <w:p>
      <w:pPr>
        <w:spacing w:after="0" w:line="103"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22"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(i) April 1, 2029 (two months prior to the maturity date), in the case of the</w:t>
      </w:r>
    </w:p>
    <w:p>
      <w:pPr>
        <w:spacing w:after="0" w:line="12"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2029 notes, and (ii) December 1, 2040 (six months prior to the maturity date), in the case of the 2041 notes.</w:t>
      </w:r>
    </w:p>
    <w:p>
      <w:pPr>
        <w:spacing w:after="0" w:line="126"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Credit Suisse Securities (USA) LLC, Goldman Sachs &amp; Co. LLC and Wells Fargo Securities, LLC (and their respective successors or affiliates),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2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of a series, an average, as determined by the Independent Investment Banker, of the bid and asked prices for the Comparable Treasury Issue for such notes (expressed in each case as a percentage of its principal amount) quoted in writing to the Independent Investment Banker by the Reference Treasury Dealer at 5:00 p.m., New York City time, on the third business day preceding such redemption date.</w:t>
      </w:r>
    </w:p>
    <w:p>
      <w:pPr>
        <w:spacing w:after="0" w:line="122" w:lineRule="exact"/>
        <w:rPr>
          <w:sz w:val="20"/>
          <w:szCs w:val="20"/>
          <w:color w:val="auto"/>
        </w:rPr>
      </w:pPr>
    </w:p>
    <w:p>
      <w:pPr>
        <w:ind w:left="1260" w:right="819" w:firstLine="360"/>
        <w:spacing w:after="0" w:line="261" w:lineRule="auto"/>
        <w:rPr>
          <w:sz w:val="20"/>
          <w:szCs w:val="20"/>
          <w:color w:val="auto"/>
        </w:rPr>
      </w:pPr>
      <w:r>
        <w:rPr>
          <w:rFonts w:ascii="Arial" w:cs="Arial" w:eastAsia="Arial" w:hAnsi="Arial"/>
          <w:sz w:val="18"/>
          <w:szCs w:val="18"/>
          <w:color w:val="auto"/>
        </w:rPr>
        <w:t>Except as set forth above under “— Optional Redemption,” the notes will not be redeemable by us prior to maturity and will not be entitled to the benefit of any sinking fund.</w:t>
      </w:r>
    </w:p>
    <w:p>
      <w:pPr>
        <w:spacing w:after="0" w:line="16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Defeasance</w:t>
      </w:r>
    </w:p>
    <w:p>
      <w:pPr>
        <w:spacing w:after="0" w:line="148"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17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Satisfaction and Discharge</w:t>
      </w:r>
    </w:p>
    <w:p>
      <w:pPr>
        <w:spacing w:after="0" w:line="16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01" w:lineRule="exact"/>
        <w:rPr>
          <w:sz w:val="20"/>
          <w:szCs w:val="20"/>
          <w:color w:val="auto"/>
        </w:rPr>
      </w:pPr>
    </w:p>
    <w:p>
      <w:pPr>
        <w:ind w:left="2360" w:hanging="740"/>
        <w:spacing w:after="0"/>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either:</w:t>
      </w:r>
    </w:p>
    <w:p>
      <w:pPr>
        <w:spacing w:after="0" w:line="157" w:lineRule="exact"/>
        <w:rPr>
          <w:rFonts w:ascii="Arial" w:cs="Arial" w:eastAsia="Arial" w:hAnsi="Arial"/>
          <w:sz w:val="18"/>
          <w:szCs w:val="18"/>
          <w:color w:val="auto"/>
        </w:rPr>
      </w:pPr>
    </w:p>
    <w:p>
      <w:pPr>
        <w:ind w:left="1980" w:right="499" w:firstLine="360"/>
        <w:spacing w:after="0" w:line="262" w:lineRule="auto"/>
        <w:tabs>
          <w:tab w:leader="none" w:pos="2696"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04" w:lineRule="exact"/>
        <w:rPr>
          <w:rFonts w:ascii="Arial" w:cs="Arial" w:eastAsia="Arial" w:hAnsi="Arial"/>
          <w:sz w:val="17"/>
          <w:szCs w:val="17"/>
          <w:color w:val="auto"/>
        </w:rPr>
      </w:pPr>
    </w:p>
    <w:p>
      <w:pPr>
        <w:ind w:left="1980" w:right="419" w:firstLine="360"/>
        <w:spacing w:after="0" w:line="238" w:lineRule="auto"/>
        <w:tabs>
          <w:tab w:leader="none" w:pos="270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980" w:right="619"/>
        <w:spacing w:after="0" w:line="294" w:lineRule="auto"/>
        <w:rPr>
          <w:sz w:val="20"/>
          <w:szCs w:val="20"/>
          <w:color w:val="auto"/>
        </w:rPr>
      </w:pPr>
      <w:r>
        <w:rPr>
          <w:rFonts w:ascii="Arial" w:cs="Arial" w:eastAsia="Arial" w:hAnsi="Arial"/>
          <w:sz w:val="16"/>
          <w:szCs w:val="16"/>
          <w:color w:val="auto"/>
        </w:rPr>
        <w:t>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66" w:lineRule="exact"/>
        <w:rPr>
          <w:sz w:val="20"/>
          <w:szCs w:val="20"/>
          <w:color w:val="auto"/>
        </w:rPr>
      </w:pPr>
    </w:p>
    <w:p>
      <w:pPr>
        <w:ind w:left="1620" w:right="739" w:firstLine="360"/>
        <w:spacing w:after="0" w:line="261" w:lineRule="auto"/>
        <w:tabs>
          <w:tab w:leader="none" w:pos="23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of that series; and</w:t>
      </w:r>
    </w:p>
    <w:p>
      <w:pPr>
        <w:spacing w:after="0" w:line="103" w:lineRule="exact"/>
        <w:rPr>
          <w:rFonts w:ascii="Arial" w:cs="Arial" w:eastAsia="Arial" w:hAnsi="Arial"/>
          <w:sz w:val="18"/>
          <w:szCs w:val="18"/>
          <w:color w:val="auto"/>
        </w:rPr>
      </w:pPr>
    </w:p>
    <w:p>
      <w:pPr>
        <w:ind w:left="1620" w:right="479" w:firstLine="360"/>
        <w:spacing w:after="0" w:line="248" w:lineRule="auto"/>
        <w:tabs>
          <w:tab w:leader="none" w:pos="23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7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Ranking</w:t>
      </w:r>
    </w:p>
    <w:p>
      <w:pPr>
        <w:spacing w:after="0" w:line="162"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01"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122"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133"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As of March 31, 2021, our operating subsidiaries had $2.234 billion of indebtedness and WM Holdings had $248 million of long-term debt (excluding guarantees of $8.153 billion of our senior debt), in each case excluding intercompany loans.</w:t>
      </w:r>
    </w:p>
    <w:p>
      <w:pPr>
        <w:spacing w:after="0" w:line="17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Guarantees</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22" w:lineRule="exact"/>
        <w:rPr>
          <w:sz w:val="20"/>
          <w:szCs w:val="20"/>
          <w:color w:val="auto"/>
        </w:rPr>
      </w:pPr>
    </w:p>
    <w:p>
      <w:pPr>
        <w:jc w:val="both"/>
        <w:ind w:left="1260" w:right="759" w:firstLine="360"/>
        <w:spacing w:after="0" w:line="248" w:lineRule="auto"/>
        <w:rPr>
          <w:sz w:val="20"/>
          <w:szCs w:val="20"/>
          <w:color w:val="auto"/>
        </w:rPr>
      </w:pPr>
      <w:r>
        <w:rPr>
          <w:rFonts w:ascii="Arial" w:cs="Arial" w:eastAsia="Arial" w:hAnsi="Arial"/>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74" w:lineRule="exact"/>
        <w:rPr>
          <w:sz w:val="20"/>
          <w:szCs w:val="20"/>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of that series; or</w:t>
      </w:r>
    </w:p>
    <w:p>
      <w:pPr>
        <w:spacing w:after="0" w:line="117" w:lineRule="exact"/>
        <w:rPr>
          <w:rFonts w:ascii="Arial" w:cs="Arial" w:eastAsia="Arial" w:hAnsi="Arial"/>
          <w:sz w:val="18"/>
          <w:szCs w:val="18"/>
          <w:color w:val="auto"/>
        </w:rPr>
      </w:pPr>
    </w:p>
    <w:p>
      <w:pPr>
        <w:ind w:left="1800" w:right="719" w:hanging="180"/>
        <w:spacing w:after="0" w:line="279" w:lineRule="auto"/>
        <w:tabs>
          <w:tab w:leader="none" w:pos="1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release of the guarantees by WM Holdings of obligations of Waste Management under its $3.5 billion revolving credit facility (or any replacement or new principal credit facility). Our $3.5 billion revolving credit facility currently states that WM Holdings’ guarantees under such facility can only be released with the written consent of each of the lenders that is a party thereto.</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Change of Control Offer</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If a change of control triggering event occurs, unless we have exercised our option to redeem the notes of either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13"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17" w:lineRule="exact"/>
        <w:rPr>
          <w:sz w:val="20"/>
          <w:szCs w:val="20"/>
          <w:color w:val="auto"/>
        </w:rPr>
      </w:pPr>
    </w:p>
    <w:p>
      <w:pPr>
        <w:ind w:left="1800" w:right="69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800" w:right="559" w:hanging="180"/>
        <w:spacing w:after="0" w:line="308" w:lineRule="auto"/>
        <w:tabs>
          <w:tab w:leader="none" w:pos="18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deliver or cause to be delivered to the Trustee the notes properly accepted together with an officers’ certificate stating the aggregate principal amount of notes or portions of notes being repurchased.</w:t>
      </w:r>
    </w:p>
    <w:p>
      <w:pPr>
        <w:spacing w:after="0" w:line="7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27"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03" w:lineRule="exact"/>
        <w:rPr>
          <w:sz w:val="20"/>
          <w:szCs w:val="20"/>
          <w:color w:val="auto"/>
        </w:rPr>
      </w:pPr>
    </w:p>
    <w:p>
      <w:pPr>
        <w:ind w:left="1260" w:right="4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w:t>
      </w:r>
    </w:p>
    <w:p>
      <w:pPr>
        <w:sectPr>
          <w:pgSz w:w="11900" w:h="16838" w:orient="portrait"/>
          <w:cols w:equalWidth="0" w:num="1">
            <w:col w:w="9879"/>
          </w:cols>
          <w:pgMar w:left="580" w:top="132"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105" w:lineRule="exact"/>
        <w:rPr>
          <w:sz w:val="20"/>
          <w:szCs w:val="20"/>
          <w:color w:val="auto"/>
        </w:rPr>
      </w:pPr>
    </w:p>
    <w:p>
      <w:pPr>
        <w:ind w:left="1260" w:right="599" w:firstLine="360"/>
        <w:spacing w:after="0" w:line="274" w:lineRule="auto"/>
        <w:rPr>
          <w:sz w:val="20"/>
          <w:szCs w:val="20"/>
          <w:color w:val="auto"/>
        </w:rPr>
      </w:pPr>
      <w:r>
        <w:rPr>
          <w:rFonts w:ascii="Arial" w:cs="Arial" w:eastAsia="Arial" w:hAnsi="Arial"/>
          <w:sz w:val="17"/>
          <w:szCs w:val="17"/>
          <w:color w:val="auto"/>
        </w:rPr>
        <w:t>Notwithstanding the preceding, a transaction will not be deemed to involve a change of control under clause (2) above if (i) we become a direct or indirect wholly owned subsidiary of a holding company and</w:t>
      </w:r>
    </w:p>
    <w:p>
      <w:pPr>
        <w:ind w:left="1260" w:right="439"/>
        <w:spacing w:after="0" w:line="252" w:lineRule="auto"/>
        <w:tabs>
          <w:tab w:leader="none" w:pos="15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26"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27"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15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44"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rating agencies</w:t>
      </w:r>
      <w:r>
        <w:rPr>
          <w:rFonts w:ascii="Arial" w:cs="Arial" w:eastAsia="Arial" w:hAnsi="Arial"/>
          <w:sz w:val="17"/>
          <w:szCs w:val="17"/>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0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8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Certain Covenants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17"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44" w:lineRule="exact"/>
        <w:rPr>
          <w:sz w:val="20"/>
          <w:szCs w:val="20"/>
          <w:color w:val="auto"/>
        </w:rPr>
      </w:pPr>
    </w:p>
    <w:p>
      <w:pPr>
        <w:ind w:left="1260" w:right="559" w:firstLine="360"/>
        <w:spacing w:after="0" w:line="286" w:lineRule="auto"/>
        <w:rPr>
          <w:sz w:val="20"/>
          <w:szCs w:val="20"/>
          <w:color w:val="auto"/>
        </w:rPr>
      </w:pPr>
      <w:r>
        <w:rPr>
          <w:rFonts w:ascii="Arial" w:cs="Arial" w:eastAsia="Arial" w:hAnsi="Arial"/>
          <w:sz w:val="17"/>
          <w:szCs w:val="17"/>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6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Further Issuances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19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Book-Entry Systems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11"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27"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80" w:lineRule="exact"/>
        <w:rPr>
          <w:sz w:val="20"/>
          <w:szCs w:val="20"/>
          <w:color w:val="auto"/>
        </w:rPr>
      </w:pPr>
    </w:p>
    <w:p>
      <w:pPr>
        <w:jc w:val="right"/>
        <w:ind w:right="4319"/>
        <w:spacing w:after="0"/>
        <w:rPr>
          <w:sz w:val="20"/>
          <w:szCs w:val="20"/>
          <w:color w:val="auto"/>
        </w:rPr>
      </w:pPr>
      <w:r>
        <w:rPr>
          <w:rFonts w:ascii="Arial" w:cs="Arial" w:eastAsia="Arial" w:hAnsi="Arial"/>
          <w:sz w:val="18"/>
          <w:szCs w:val="18"/>
          <w:b w:val="1"/>
          <w:bCs w:val="1"/>
          <w:color w:val="auto"/>
        </w:rPr>
        <w:t>DTC</w:t>
      </w:r>
    </w:p>
    <w:p>
      <w:pPr>
        <w:spacing w:after="0" w:line="14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DTC has advised us and the underwriters as follows:</w:t>
      </w:r>
    </w:p>
    <w:p>
      <w:pPr>
        <w:spacing w:after="0" w:line="117" w:lineRule="exact"/>
        <w:rPr>
          <w:sz w:val="20"/>
          <w:szCs w:val="20"/>
          <w:color w:val="auto"/>
        </w:rPr>
      </w:pPr>
    </w:p>
    <w:p>
      <w:pPr>
        <w:ind w:left="1800" w:right="619" w:hanging="180"/>
        <w:spacing w:after="0" w:line="308"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39"/>
        <w:spacing w:after="0" w:line="261" w:lineRule="auto"/>
        <w:rPr>
          <w:sz w:val="20"/>
          <w:szCs w:val="20"/>
          <w:color w:val="auto"/>
        </w:rPr>
      </w:pPr>
      <w:r>
        <w:rPr>
          <w:rFonts w:ascii="Arial" w:cs="Arial" w:eastAsia="Arial" w:hAnsi="Arial"/>
          <w:sz w:val="18"/>
          <w:szCs w:val="18"/>
          <w:color w:val="auto"/>
        </w:rPr>
        <w:t>System, a “clearing corporation” within the meaning of the New York Uniform Commercial Code, and a “clearing agency” registered pursuant to the provisions of the Exchange Act.</w:t>
      </w:r>
    </w:p>
    <w:p>
      <w:pPr>
        <w:spacing w:after="0" w:line="49" w:lineRule="exact"/>
        <w:rPr>
          <w:sz w:val="20"/>
          <w:szCs w:val="20"/>
          <w:color w:val="auto"/>
        </w:rPr>
      </w:pPr>
    </w:p>
    <w:p>
      <w:pPr>
        <w:ind w:left="1800" w:right="439" w:hanging="180"/>
        <w:spacing w:after="0" w:line="279"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63" w:lineRule="exact"/>
        <w:rPr>
          <w:rFonts w:ascii="Arial" w:cs="Arial" w:eastAsia="Arial" w:hAnsi="Arial"/>
          <w:sz w:val="17"/>
          <w:szCs w:val="17"/>
          <w:color w:val="auto"/>
        </w:rPr>
      </w:pPr>
    </w:p>
    <w:p>
      <w:pPr>
        <w:ind w:left="1800" w:right="499" w:hanging="180"/>
        <w:spacing w:after="0" w:line="275"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8" w:lineRule="exact"/>
        <w:rPr>
          <w:rFonts w:ascii="Arial" w:cs="Arial" w:eastAsia="Arial" w:hAnsi="Arial"/>
          <w:sz w:val="17"/>
          <w:szCs w:val="17"/>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1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26"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07" w:lineRule="exact"/>
        <w:rPr>
          <w:sz w:val="20"/>
          <w:szCs w:val="20"/>
          <w:color w:val="auto"/>
        </w:rPr>
      </w:pPr>
    </w:p>
    <w:p>
      <w:pPr>
        <w:ind w:left="1260" w:right="799" w:firstLine="360"/>
        <w:spacing w:after="0" w:line="248"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14"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22" w:lineRule="exact"/>
        <w:rPr>
          <w:sz w:val="20"/>
          <w:szCs w:val="20"/>
          <w:color w:val="auto"/>
        </w:rPr>
      </w:pPr>
    </w:p>
    <w:p>
      <w:pPr>
        <w:ind w:left="1260" w:right="659" w:firstLine="360"/>
        <w:spacing w:after="0" w:line="241"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08" w:lineRule="exact"/>
        <w:rPr>
          <w:sz w:val="20"/>
          <w:szCs w:val="20"/>
          <w:color w:val="auto"/>
        </w:rPr>
      </w:pPr>
    </w:p>
    <w:p>
      <w:pPr>
        <w:ind w:left="1260" w:right="859" w:firstLine="360"/>
        <w:spacing w:after="0" w:line="270" w:lineRule="auto"/>
        <w:rPr>
          <w:sz w:val="20"/>
          <w:szCs w:val="20"/>
          <w:color w:val="auto"/>
        </w:rPr>
      </w:pPr>
      <w:r>
        <w:rPr>
          <w:rFonts w:ascii="Arial" w:cs="Arial" w:eastAsia="Arial" w:hAnsi="Arial"/>
          <w:sz w:val="17"/>
          <w:szCs w:val="17"/>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w:t>
      </w:r>
    </w:p>
    <w:p>
      <w:pPr>
        <w:spacing w:after="0" w:line="35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3" w:lineRule="auto"/>
        <w:rPr>
          <w:sz w:val="20"/>
          <w:szCs w:val="20"/>
          <w:color w:val="auto"/>
        </w:rPr>
      </w:pPr>
      <w:r>
        <w:rPr>
          <w:rFonts w:ascii="Arial" w:cs="Arial" w:eastAsia="Arial" w:hAnsi="Arial"/>
          <w:sz w:val="18"/>
          <w:szCs w:val="18"/>
          <w:color w:val="auto"/>
        </w:rPr>
        <w:t>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15"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25"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04"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Euroclear</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25"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13"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89"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20"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3"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0"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09"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96" w:lineRule="exact"/>
        <w:rPr>
          <w:sz w:val="20"/>
          <w:szCs w:val="20"/>
          <w:color w:val="auto"/>
        </w:rPr>
      </w:pPr>
    </w:p>
    <w:p>
      <w:pPr>
        <w:ind w:left="1260" w:right="739" w:firstLine="360"/>
        <w:spacing w:after="0" w:line="275" w:lineRule="auto"/>
        <w:rPr>
          <w:sz w:val="20"/>
          <w:szCs w:val="20"/>
          <w:color w:val="auto"/>
        </w:rPr>
      </w:pPr>
      <w:r>
        <w:rPr>
          <w:rFonts w:ascii="Arial" w:cs="Arial" w:eastAsia="Arial" w:hAnsi="Arial"/>
          <w:sz w:val="17"/>
          <w:szCs w:val="17"/>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7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Clearstream</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2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11"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96"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09"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24" w:lineRule="exact"/>
        <w:rPr>
          <w:sz w:val="20"/>
          <w:szCs w:val="20"/>
          <w:color w:val="auto"/>
        </w:rPr>
      </w:pPr>
    </w:p>
    <w:p>
      <w:pPr>
        <w:ind w:left="1260" w:right="559" w:firstLine="360"/>
        <w:spacing w:after="0" w:line="296"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Scope of Discussion</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 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13" w:lineRule="exact"/>
        <w:rPr>
          <w:sz w:val="20"/>
          <w:szCs w:val="20"/>
          <w:color w:val="auto"/>
        </w:rPr>
      </w:pPr>
    </w:p>
    <w:p>
      <w:pPr>
        <w:ind w:left="1260" w:right="419" w:firstLine="360"/>
        <w:spacing w:after="0" w:line="236" w:lineRule="auto"/>
        <w:rPr>
          <w:sz w:val="20"/>
          <w:szCs w:val="20"/>
          <w:color w:val="auto"/>
        </w:rPr>
      </w:pPr>
      <w:r>
        <w:rPr>
          <w:rFonts w:ascii="Arial" w:cs="Arial" w:eastAsia="Arial" w:hAnsi="Arial"/>
          <w:sz w:val="18"/>
          <w:szCs w:val="18"/>
          <w:color w:val="auto"/>
        </w:rPr>
        <w:t>This discussion does not address all of the U.S. federal income tax consequences that may be relevant to non- U.S. holders in light of their particular circumstances or to non-U.S. holders who may be subject to special treatment under U.S. federal income tax laws, such as certain expatriates or former long-term residents of the United States, banks and other financial institutions, real estate investment trusts and regulated investment companies, employee stock ownership plans,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holding notes that will be retired pursuant to the Tender Offer. In addition, this discussion does not address any aspect of the Medicare tax on certain investment income, non- income taxation (such as estate and gift taxes) or state, local or foreign taxation of either (i) the notes or (ii) the notes that will be retired pursuant to the Tender Offer.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2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9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06"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74" w:lineRule="exact"/>
        <w:rPr>
          <w:sz w:val="20"/>
          <w:szCs w:val="20"/>
          <w:color w:val="auto"/>
        </w:rPr>
      </w:pPr>
    </w:p>
    <w:p>
      <w:pPr>
        <w:ind w:left="1800" w:right="73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62"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17"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83"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Payments of Additional Amounts</w:t>
      </w:r>
    </w:p>
    <w:p>
      <w:pPr>
        <w:spacing w:after="0" w:line="14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17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Interest on the Notes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Subject to the discussion of backup withholding and FATCA (as defined herein)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79" w:lineRule="exact"/>
        <w:rPr>
          <w:sz w:val="20"/>
          <w:szCs w:val="20"/>
          <w:color w:val="auto"/>
        </w:rPr>
      </w:pPr>
    </w:p>
    <w:p>
      <w:pPr>
        <w:ind w:left="1800" w:right="5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62"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you are not a bank whose receipt of interest on the notes is in connection with an extension of credit made pursuant to a loan agreement entered into in the ordinary course of your trade or business;</w:t>
      </w:r>
    </w:p>
    <w:p>
      <w:pPr>
        <w:spacing w:after="0" w:line="38"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do not own, actually or constructively, 10% or more of the total combined voting power of all classes of our stock entitled to vote; and</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“controlled foreign corporation” that is related to us through actual or constructive stock ownership (as provided in the Code).</w:t>
      </w:r>
    </w:p>
    <w:p>
      <w:pPr>
        <w:spacing w:after="0" w:line="8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91" w:lineRule="auto"/>
        <w:rPr>
          <w:sz w:val="20"/>
          <w:szCs w:val="20"/>
          <w:color w:val="auto"/>
        </w:rPr>
      </w:pPr>
      <w:r>
        <w:rPr>
          <w:rFonts w:ascii="Arial" w:cs="Arial" w:eastAsia="Arial" w:hAnsi="Arial"/>
          <w:sz w:val="17"/>
          <w:szCs w:val="17"/>
          <w:color w:val="auto"/>
        </w:rPr>
        <w:t>“permanent establishment” maintained by you) in the United States and you meet the certification requirements described below in “— Income or Gain Effectively Connected with a U.S. Trade or Business.”</w:t>
      </w:r>
    </w:p>
    <w:p>
      <w:pPr>
        <w:spacing w:after="0" w:line="14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Sale, Redemption, Exchange, Retirement or Other Taxable Disposition of Notes</w:t>
      </w:r>
    </w:p>
    <w:p>
      <w:pPr>
        <w:spacing w:after="0" w:line="148" w:lineRule="exact"/>
        <w:rPr>
          <w:sz w:val="20"/>
          <w:szCs w:val="20"/>
          <w:color w:val="auto"/>
        </w:rPr>
      </w:pPr>
    </w:p>
    <w:p>
      <w:pPr>
        <w:ind w:left="1260" w:right="939" w:firstLine="360"/>
        <w:spacing w:after="0" w:line="270" w:lineRule="auto"/>
        <w:rPr>
          <w:sz w:val="20"/>
          <w:szCs w:val="20"/>
          <w:color w:val="auto"/>
        </w:rPr>
      </w:pPr>
      <w:r>
        <w:rPr>
          <w:rFonts w:ascii="Arial" w:cs="Arial" w:eastAsia="Arial" w:hAnsi="Arial"/>
          <w:sz w:val="17"/>
          <w:szCs w:val="17"/>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56" w:lineRule="exact"/>
        <w:rPr>
          <w:sz w:val="20"/>
          <w:szCs w:val="20"/>
          <w:color w:val="auto"/>
        </w:rPr>
      </w:pPr>
    </w:p>
    <w:p>
      <w:pPr>
        <w:ind w:left="1800" w:right="43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tax treaty, is attributable to your permanent establishment in the United States); or</w:t>
      </w:r>
    </w:p>
    <w:p>
      <w:pPr>
        <w:spacing w:after="0" w:line="38" w:lineRule="exact"/>
        <w:rPr>
          <w:rFonts w:ascii="Arial" w:cs="Arial" w:eastAsia="Arial" w:hAnsi="Arial"/>
          <w:sz w:val="17"/>
          <w:szCs w:val="17"/>
          <w:color w:val="auto"/>
        </w:rPr>
      </w:pPr>
    </w:p>
    <w:p>
      <w:pPr>
        <w:ind w:left="1800" w:right="5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0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93" w:lineRule="exact"/>
        <w:rPr>
          <w:sz w:val="20"/>
          <w:szCs w:val="20"/>
          <w:color w:val="auto"/>
        </w:rPr>
      </w:pPr>
    </w:p>
    <w:p>
      <w:pPr>
        <w:jc w:val="both"/>
        <w:ind w:left="1260" w:right="519" w:firstLine="360"/>
        <w:spacing w:after="0" w:line="270" w:lineRule="auto"/>
        <w:rPr>
          <w:sz w:val="20"/>
          <w:szCs w:val="20"/>
          <w:color w:val="auto"/>
        </w:rPr>
      </w:pPr>
      <w:r>
        <w:rPr>
          <w:rFonts w:ascii="Arial" w:cs="Arial" w:eastAsia="Arial" w:hAnsi="Arial"/>
          <w:sz w:val="17"/>
          <w:szCs w:val="17"/>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6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16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18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62" w:lineRule="exact"/>
        <w:rPr>
          <w:sz w:val="20"/>
          <w:szCs w:val="20"/>
          <w:color w:val="auto"/>
        </w:rPr>
      </w:pPr>
    </w:p>
    <w:p>
      <w:pPr>
        <w:ind w:left="1260" w:right="639" w:firstLine="360"/>
        <w:spacing w:after="0" w:line="279" w:lineRule="auto"/>
        <w:rPr>
          <w:sz w:val="20"/>
          <w:szCs w:val="20"/>
          <w:color w:val="auto"/>
        </w:rPr>
      </w:pPr>
      <w:r>
        <w:rPr>
          <w:rFonts w:ascii="Arial" w:cs="Arial" w:eastAsia="Arial" w:hAnsi="Arial"/>
          <w:sz w:val="17"/>
          <w:szCs w:val="17"/>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90"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Backup withholding (currently at a rate of 24%) generally will not apply to payments of interest on a note to you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20"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75" w:lineRule="auto"/>
        <w:rPr>
          <w:sz w:val="20"/>
          <w:szCs w:val="20"/>
          <w:color w:val="auto"/>
        </w:rPr>
      </w:pPr>
      <w:r>
        <w:rPr>
          <w:rFonts w:ascii="Arial" w:cs="Arial" w:eastAsia="Arial" w:hAnsi="Arial"/>
          <w:sz w:val="17"/>
          <w:szCs w:val="17"/>
          <w:color w:val="auto"/>
        </w:rPr>
        <w:t>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68" w:lineRule="exact"/>
        <w:rPr>
          <w:sz w:val="20"/>
          <w:szCs w:val="20"/>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person that derives 50% or more of its gross income for certain periods from the conduct of a trade or business in the United States;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117"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0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16"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8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Foreign Accounts Tax Compliance Act</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6" w:lineRule="exact"/>
        <w:rPr>
          <w:sz w:val="20"/>
          <w:szCs w:val="20"/>
          <w:color w:val="auto"/>
        </w:rPr>
      </w:pPr>
    </w:p>
    <w:p>
      <w:pPr>
        <w:ind w:left="1260" w:right="479"/>
        <w:spacing w:after="0" w:line="251" w:lineRule="auto"/>
        <w:tabs>
          <w:tab w:leader="none" w:pos="15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12"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7"/>
          <w:szCs w:val="17"/>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UNDERWRITING (CONFLICTS OF INTEREST)</w:t>
      </w:r>
    </w:p>
    <w:p>
      <w:pPr>
        <w:spacing w:after="0" w:line="135"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Credit Suisse Securities (USA) LLC, Goldman Sachs &amp; Co. LLC and Wells Fargo Securities, LLC are acting as joint book-running managers of the offering and as representatives of the underwriters named below.</w:t>
      </w:r>
    </w:p>
    <w:p>
      <w:pPr>
        <w:spacing w:after="0" w:line="114" w:lineRule="exact"/>
        <w:rPr>
          <w:sz w:val="20"/>
          <w:szCs w:val="20"/>
          <w:color w:val="auto"/>
        </w:rPr>
      </w:pPr>
    </w:p>
    <w:p>
      <w:pPr>
        <w:ind w:left="1260" w:right="899" w:firstLine="360"/>
        <w:spacing w:after="0" w:line="243"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Principal</w:t>
            </w:r>
          </w:p>
        </w:tc>
        <w:tc>
          <w:tcPr>
            <w:tcW w:w="100" w:type="dxa"/>
            <w:vAlign w:val="bottom"/>
          </w:tcPr>
          <w:p>
            <w:pPr>
              <w:spacing w:after="0"/>
              <w:rPr>
                <w:sz w:val="14"/>
                <w:szCs w:val="14"/>
                <w:color w:val="auto"/>
              </w:rPr>
            </w:pPr>
          </w:p>
        </w:tc>
        <w:tc>
          <w:tcPr>
            <w:tcW w:w="900" w:type="dxa"/>
            <w:vAlign w:val="bottom"/>
          </w:tcPr>
          <w:p>
            <w:pPr>
              <w:jc w:val="center"/>
              <w:ind w:right="73"/>
              <w:spacing w:after="0"/>
              <w:rPr>
                <w:sz w:val="20"/>
                <w:szCs w:val="20"/>
                <w:color w:val="auto"/>
              </w:rPr>
            </w:pPr>
            <w:r>
              <w:rPr>
                <w:rFonts w:ascii="Arial" w:cs="Arial" w:eastAsia="Arial" w:hAnsi="Arial"/>
                <w:sz w:val="14"/>
                <w:szCs w:val="14"/>
                <w:b w:val="1"/>
                <w:bCs w:val="1"/>
                <w:color w:val="auto"/>
                <w:w w:val="91"/>
              </w:rPr>
              <w:t>Principal</w:t>
            </w:r>
          </w:p>
        </w:tc>
      </w:tr>
      <w:tr>
        <w:trPr>
          <w:trHeight w:val="162"/>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Amount of</w:t>
            </w:r>
          </w:p>
        </w:tc>
        <w:tc>
          <w:tcPr>
            <w:tcW w:w="100" w:type="dxa"/>
            <w:vAlign w:val="bottom"/>
          </w:tcPr>
          <w:p>
            <w:pPr>
              <w:spacing w:after="0"/>
              <w:rPr>
                <w:sz w:val="14"/>
                <w:szCs w:val="14"/>
                <w:color w:val="auto"/>
              </w:rPr>
            </w:pPr>
          </w:p>
        </w:tc>
        <w:tc>
          <w:tcPr>
            <w:tcW w:w="90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Amount of</w:t>
            </w:r>
          </w:p>
        </w:tc>
      </w:tr>
      <w:tr>
        <w:trPr>
          <w:trHeight w:val="186"/>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8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2029 Notes</w:t>
            </w:r>
          </w:p>
        </w:tc>
        <w:tc>
          <w:tcPr>
            <w:tcW w:w="100" w:type="dxa"/>
            <w:vAlign w:val="bottom"/>
          </w:tcPr>
          <w:p>
            <w:pPr>
              <w:spacing w:after="0"/>
              <w:rPr>
                <w:sz w:val="16"/>
                <w:szCs w:val="16"/>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86"/>
              </w:rPr>
              <w:t>2041 Notes</w:t>
            </w:r>
          </w:p>
        </w:tc>
      </w:tr>
      <w:tr>
        <w:trPr>
          <w:trHeight w:val="26"/>
        </w:trPr>
        <w:tc>
          <w:tcPr>
            <w:tcW w:w="5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61,750,000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61,750,000</w:t>
            </w:r>
          </w:p>
        </w:tc>
      </w:tr>
      <w:tr>
        <w:trPr>
          <w:trHeight w:val="256"/>
        </w:trPr>
        <w:tc>
          <w:tcPr>
            <w:tcW w:w="5260" w:type="dxa"/>
            <w:vAlign w:val="bottom"/>
            <w:gridSpan w:val="3"/>
          </w:tcPr>
          <w:p>
            <w:pPr>
              <w:spacing w:after="0"/>
              <w:rPr>
                <w:sz w:val="20"/>
                <w:szCs w:val="20"/>
                <w:color w:val="auto"/>
              </w:rPr>
            </w:pPr>
            <w:r>
              <w:rPr>
                <w:rFonts w:ascii="Arial" w:cs="Arial" w:eastAsia="Arial" w:hAnsi="Arial"/>
                <w:sz w:val="18"/>
                <w:szCs w:val="18"/>
                <w:color w:val="auto"/>
              </w:rPr>
              <w:t>Goldman Sachs &amp; Co. LLC</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61,750,000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61,750,000</w:t>
            </w:r>
          </w:p>
        </w:tc>
      </w:tr>
      <w:tr>
        <w:trPr>
          <w:trHeight w:val="257"/>
        </w:trPr>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61,750,000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61,750,000</w:t>
            </w:r>
          </w:p>
        </w:tc>
      </w:tr>
      <w:tr>
        <w:trPr>
          <w:trHeight w:val="257"/>
        </w:trPr>
        <w:tc>
          <w:tcPr>
            <w:tcW w:w="526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40,375,000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40,375,000</w:t>
            </w:r>
          </w:p>
        </w:tc>
      </w:tr>
      <w:tr>
        <w:trPr>
          <w:trHeight w:val="257"/>
        </w:trPr>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40,375,000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40,375,000</w:t>
            </w:r>
          </w:p>
        </w:tc>
      </w:tr>
      <w:tr>
        <w:trPr>
          <w:trHeight w:val="257"/>
        </w:trPr>
        <w:tc>
          <w:tcPr>
            <w:tcW w:w="526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40,375,000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40,375,000</w:t>
            </w:r>
          </w:p>
        </w:tc>
      </w:tr>
      <w:tr>
        <w:trPr>
          <w:trHeight w:val="256"/>
        </w:trPr>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40,375,000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40,375,000</w:t>
            </w:r>
          </w:p>
        </w:tc>
      </w:tr>
      <w:tr>
        <w:trPr>
          <w:trHeight w:val="257"/>
        </w:trPr>
        <w:tc>
          <w:tcPr>
            <w:tcW w:w="5260" w:type="dxa"/>
            <w:vAlign w:val="bottom"/>
            <w:gridSpan w:val="3"/>
          </w:tcPr>
          <w:p>
            <w:pPr>
              <w:spacing w:after="0"/>
              <w:rPr>
                <w:sz w:val="20"/>
                <w:szCs w:val="20"/>
                <w:color w:val="auto"/>
              </w:rPr>
            </w:pPr>
            <w:r>
              <w:rPr>
                <w:rFonts w:ascii="Arial" w:cs="Arial" w:eastAsia="Arial" w:hAnsi="Arial"/>
                <w:sz w:val="18"/>
                <w:szCs w:val="18"/>
                <w:color w:val="auto"/>
              </w:rPr>
              <w:t>Scotia Capital (USA) Inc.</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40,375,000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40,375,000</w:t>
            </w:r>
          </w:p>
        </w:tc>
      </w:tr>
      <w:tr>
        <w:trPr>
          <w:trHeight w:val="257"/>
        </w:trPr>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30,875,000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30,875,000</w:t>
            </w:r>
          </w:p>
        </w:tc>
      </w:tr>
      <w:tr>
        <w:trPr>
          <w:trHeight w:val="257"/>
        </w:trPr>
        <w:tc>
          <w:tcPr>
            <w:tcW w:w="5260" w:type="dxa"/>
            <w:vAlign w:val="bottom"/>
            <w:gridSpan w:val="3"/>
          </w:tcPr>
          <w:p>
            <w:pPr>
              <w:spacing w:after="0"/>
              <w:rPr>
                <w:sz w:val="20"/>
                <w:szCs w:val="20"/>
                <w:color w:val="auto"/>
              </w:rPr>
            </w:pPr>
            <w:r>
              <w:rPr>
                <w:rFonts w:ascii="Arial" w:cs="Arial" w:eastAsia="Arial" w:hAnsi="Arial"/>
                <w:sz w:val="18"/>
                <w:szCs w:val="18"/>
                <w:color w:val="auto"/>
              </w:rPr>
              <w:t>Truist Securities, Inc.</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30,875,000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30,875,000</w:t>
            </w:r>
          </w:p>
        </w:tc>
      </w:tr>
      <w:tr>
        <w:trPr>
          <w:trHeight w:val="270"/>
        </w:trPr>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11,875,000</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11,875,000</w:t>
            </w:r>
          </w:p>
        </w:tc>
      </w:tr>
      <w:tr>
        <w:trPr>
          <w:trHeight w:val="270"/>
        </w:trPr>
        <w:tc>
          <w:tcPr>
            <w:tcW w:w="5260" w:type="dxa"/>
            <w:vAlign w:val="bottom"/>
            <w:gridSpan w:val="3"/>
          </w:tcPr>
          <w:p>
            <w:pPr>
              <w:spacing w:after="0"/>
              <w:rPr>
                <w:sz w:val="20"/>
                <w:szCs w:val="20"/>
                <w:color w:val="auto"/>
              </w:rPr>
            </w:pPr>
            <w:r>
              <w:rPr>
                <w:rFonts w:ascii="Arial" w:cs="Arial" w:eastAsia="Arial" w:hAnsi="Arial"/>
                <w:sz w:val="18"/>
                <w:szCs w:val="18"/>
                <w:color w:val="auto"/>
              </w:rPr>
              <w:t>Academy Securities, Inc.</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4,750,000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4,750,000</w:t>
            </w:r>
          </w:p>
        </w:tc>
      </w:tr>
      <w:tr>
        <w:trPr>
          <w:trHeight w:val="270"/>
        </w:trPr>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Siebert Williams Shank &amp; Co., LLC</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4,750,000</w:t>
            </w:r>
          </w:p>
        </w:tc>
      </w:tr>
      <w:tr>
        <w:trPr>
          <w:trHeight w:val="277"/>
        </w:trPr>
        <w:tc>
          <w:tcPr>
            <w:tcW w:w="5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Stern Brothers &amp; Co.</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4,750,000</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4,750,000</w:t>
            </w:r>
          </w:p>
        </w:tc>
      </w:tr>
      <w:tr>
        <w:trPr>
          <w:trHeight w:val="308"/>
        </w:trPr>
        <w:tc>
          <w:tcPr>
            <w:tcW w:w="52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475,000,000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475,000,000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-222250</wp:posOffset>
            </wp:positionV>
            <wp:extent cx="4114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5000625</wp:posOffset>
            </wp:positionH>
            <wp:positionV relativeFrom="paragraph">
              <wp:posOffset>-2553970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-2553970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jc w:val="both"/>
        <w:ind w:left="1260" w:right="779" w:firstLine="360"/>
        <w:spacing w:after="0" w:line="270" w:lineRule="auto"/>
        <w:rPr>
          <w:sz w:val="20"/>
          <w:szCs w:val="20"/>
          <w:color w:val="auto"/>
        </w:rPr>
      </w:pPr>
      <w:r>
        <w:rPr>
          <w:rFonts w:ascii="Arial" w:cs="Arial" w:eastAsia="Arial" w:hAnsi="Arial"/>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3"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0.255% of the principal amount of the 2029 notes and 0.45% of the principal amount of the 2041 notes. The underwriters may allow, and dealers may reallow, a concession not to exceed 0.15% of the principal amount of the 2029 notes and 0.25% of the principal amount of the 2041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116"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00"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We estimate that our total expenses (not including the underwriting discounts) for this offering will be $2.4 million.</w:t>
      </w:r>
    </w:p>
    <w:p>
      <w:pPr>
        <w:spacing w:after="0" w:line="103"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14"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1"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We expect delivery of the notes will be made against payment therefor on or about May 12, 2021, which is the tenth business day following the date of pricing of the notes (such settlement being referred to as “T+10”). Under Rule 15c6 -1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seven business days will be required, by virtue of the fact that the notes initially will settle in T+10, to specify an alternate settlement cycle at the time of any such trade to prevent failed settlement and should consult their own advisers.</w:t>
      </w:r>
    </w:p>
    <w:p>
      <w:pPr>
        <w:spacing w:after="0" w:line="19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Relationships</w:t>
      </w:r>
    </w:p>
    <w:p>
      <w:pPr>
        <w:spacing w:after="0" w:line="162"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Certain of the underwriters or one of their respective affiliates are lenders under our $3.5 billion revolving credit facility.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2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7"/>
          <w:szCs w:val="17"/>
          <w:color w:val="auto"/>
        </w:rPr>
        <w:t>We intend to use some or all of the net proceeds of this offering, together with cash on hand, if necessary, to purchase the Tender Notes that are validly tendered and not validly withdrawn and are accepted for purchase by us in the Tender Offer and to pay all fees and expenses in connection with the Tender Offer. Certain of the underwriters or certain of their affiliates may hold a position in the Tender Notes and, as a result, may receive a portion of the net proceeds of the notes offered hereby. See “— Conflicts of Interest.” In addition, Credit Suisse Securities (USA) LLC, Goldman Sachs &amp; Co. LLC and Wells Fargo Securities, LLC are acting as the dealer managers for the Tender Offer, for which they will receive customary fees and expenses and reimbursements.</w:t>
      </w: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Certain of the underwriters or their respective affiliates are holders of a portion of the Tender Notes. Accordingly, such underwriters or their respective affiliates may receive more than 5% of the net proceeds of this offering, not including underwriting compensation, thus creating a “conflict of interest” within the meaning of FINRA Rule 5121. FINRA Rule 5121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17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Australia</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prospectus supplement:</w:t>
      </w:r>
    </w:p>
    <w:p>
      <w:pPr>
        <w:spacing w:after="0" w:line="158" w:lineRule="exact"/>
        <w:rPr>
          <w:sz w:val="20"/>
          <w:szCs w:val="20"/>
          <w:color w:val="auto"/>
        </w:rPr>
      </w:pPr>
    </w:p>
    <w:p>
      <w:pPr>
        <w:ind w:left="1620" w:right="579" w:firstLine="360"/>
        <w:spacing w:after="0" w:line="277" w:lineRule="auto"/>
        <w:tabs>
          <w:tab w:leader="none" w:pos="23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89" w:lineRule="exact"/>
        <w:rPr>
          <w:rFonts w:ascii="Arial" w:cs="Arial" w:eastAsia="Arial" w:hAnsi="Arial"/>
          <w:sz w:val="18"/>
          <w:szCs w:val="18"/>
          <w:color w:val="auto"/>
        </w:rPr>
      </w:pPr>
    </w:p>
    <w:p>
      <w:pPr>
        <w:ind w:left="1620" w:right="459" w:firstLine="360"/>
        <w:spacing w:after="0" w:line="259" w:lineRule="auto"/>
        <w:tabs>
          <w:tab w:leader="none" w:pos="22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19" w:lineRule="exact"/>
        <w:rPr>
          <w:rFonts w:ascii="Arial" w:cs="Arial" w:eastAsia="Arial" w:hAnsi="Arial"/>
          <w:sz w:val="18"/>
          <w:szCs w:val="18"/>
          <w:color w:val="auto"/>
        </w:rPr>
      </w:pPr>
    </w:p>
    <w:p>
      <w:pPr>
        <w:ind w:left="1620" w:right="439" w:firstLine="360"/>
        <w:spacing w:after="0" w:line="286" w:lineRule="auto"/>
        <w:tabs>
          <w:tab w:leader="none" w:pos="22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97" w:lineRule="exact"/>
        <w:rPr>
          <w:rFonts w:ascii="Arial" w:cs="Arial" w:eastAsia="Arial" w:hAnsi="Arial"/>
          <w:sz w:val="17"/>
          <w:szCs w:val="17"/>
          <w:color w:val="auto"/>
        </w:rPr>
      </w:pPr>
    </w:p>
    <w:p>
      <w:pPr>
        <w:ind w:left="1620" w:right="499" w:firstLine="360"/>
        <w:spacing w:after="0" w:line="263" w:lineRule="auto"/>
        <w:tabs>
          <w:tab w:leader="none" w:pos="23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Canada</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25"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7" w:lineRule="exact"/>
        <w:rPr>
          <w:sz w:val="20"/>
          <w:szCs w:val="20"/>
          <w:color w:val="auto"/>
        </w:rPr>
      </w:pPr>
    </w:p>
    <w:p>
      <w:pPr>
        <w:ind w:left="1260" w:right="979" w:firstLine="360"/>
        <w:spacing w:after="0" w:line="263"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w:t>
      </w:r>
    </w:p>
    <w:p>
      <w:pPr>
        <w:spacing w:after="0" w:line="148" w:lineRule="exact"/>
        <w:rPr>
          <w:sz w:val="20"/>
          <w:szCs w:val="20"/>
          <w:color w:val="auto"/>
        </w:rPr>
      </w:pPr>
    </w:p>
    <w:p>
      <w:pPr>
        <w:ind w:left="1260" w:right="939" w:firstLine="360"/>
        <w:spacing w:after="0" w:line="291" w:lineRule="auto"/>
        <w:rPr>
          <w:sz w:val="20"/>
          <w:szCs w:val="20"/>
          <w:color w:val="auto"/>
        </w:rPr>
      </w:pPr>
      <w:r>
        <w:rPr>
          <w:rFonts w:ascii="Arial" w:cs="Arial" w:eastAsia="Arial" w:hAnsi="Arial"/>
          <w:sz w:val="17"/>
          <w:szCs w:val="17"/>
          <w:color w:val="auto"/>
        </w:rPr>
        <w:t>Neither this prospectus supplement nor the accompanying base prospectus is a prospectus for the purposes of the European Union’s Regulation (EU) 2017/1129 (the “Prospectus Regulation”).</w:t>
      </w:r>
    </w:p>
    <w:p>
      <w:pPr>
        <w:spacing w:after="0" w:line="79"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(“EEA”) or the United Kingdom. For the purposes of this provision: (a) a retail investor means a person who is one (or more) of: (i) a retail client as defined in point (11) of Article 4(1) of Directive 2014/65/EU (as amended, “MiFID II”); or (ii) a customer within the meaning of Directive (EU) 2016/97 (the Insurance Distribution Directive), where that customer would not qualify as a professional client as defined in point (10) of Article 4(1) of MiFID II; or (iii) not a qualified investor as defined in the Prospectus Regulation; and (b)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32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Hong Kong</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Japan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Singapore</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68" w:lineRule="auto"/>
        <w:rPr>
          <w:sz w:val="20"/>
          <w:szCs w:val="20"/>
          <w:color w:val="auto"/>
        </w:rPr>
      </w:pPr>
      <w:r>
        <w:rPr>
          <w:rFonts w:ascii="Arial" w:cs="Arial" w:eastAsia="Arial" w:hAnsi="Arial"/>
          <w:sz w:val="17"/>
          <w:szCs w:val="17"/>
          <w:color w:val="auto"/>
        </w:rPr>
        <w:t>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3" w:lineRule="exact"/>
        <w:rPr>
          <w:sz w:val="20"/>
          <w:szCs w:val="20"/>
          <w:color w:val="auto"/>
        </w:rPr>
      </w:pPr>
    </w:p>
    <w:p>
      <w:pPr>
        <w:ind w:left="1260" w:right="619"/>
        <w:spacing w:after="0" w:line="260" w:lineRule="auto"/>
        <w:tabs>
          <w:tab w:leader="none" w:pos="15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Where the notes are subscribed or purchased under Section 275 of the SFA by a relevant person which</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is:</w:t>
      </w:r>
    </w:p>
    <w:p>
      <w:pPr>
        <w:spacing w:after="0" w:line="143" w:lineRule="exact"/>
        <w:rPr>
          <w:sz w:val="20"/>
          <w:szCs w:val="20"/>
          <w:color w:val="auto"/>
        </w:rPr>
      </w:pPr>
    </w:p>
    <w:p>
      <w:pPr>
        <w:jc w:val="both"/>
        <w:ind w:left="1620" w:right="579" w:firstLine="360"/>
        <w:spacing w:after="0" w:line="263" w:lineRule="auto"/>
        <w:tabs>
          <w:tab w:leader="none" w:pos="23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6" w:lineRule="exact"/>
        <w:rPr>
          <w:rFonts w:ascii="Arial" w:cs="Arial" w:eastAsia="Arial" w:hAnsi="Arial"/>
          <w:sz w:val="18"/>
          <w:szCs w:val="18"/>
          <w:color w:val="auto"/>
        </w:rPr>
      </w:pPr>
    </w:p>
    <w:p>
      <w:pPr>
        <w:ind w:left="1620" w:right="599" w:firstLine="360"/>
        <w:spacing w:after="0" w:line="275" w:lineRule="auto"/>
        <w:tabs>
          <w:tab w:leader="none" w:pos="229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95" w:lineRule="exact"/>
        <w:rPr>
          <w:rFonts w:ascii="Arial" w:cs="Arial" w:eastAsia="Arial" w:hAnsi="Arial"/>
          <w:sz w:val="17"/>
          <w:szCs w:val="17"/>
          <w:color w:val="auto"/>
        </w:rPr>
      </w:pPr>
    </w:p>
    <w:p>
      <w:pPr>
        <w:ind w:left="1980" w:right="939" w:firstLine="360"/>
        <w:spacing w:after="0" w:line="263" w:lineRule="auto"/>
        <w:tabs>
          <w:tab w:leader="none" w:pos="26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16" w:lineRule="exact"/>
        <w:rPr>
          <w:rFonts w:ascii="Arial" w:cs="Arial" w:eastAsia="Arial" w:hAnsi="Arial"/>
          <w:sz w:val="18"/>
          <w:szCs w:val="18"/>
          <w:color w:val="auto"/>
        </w:rPr>
      </w:pPr>
    </w:p>
    <w:p>
      <w:pPr>
        <w:ind w:left="2720" w:hanging="380"/>
        <w:spacing w:after="0"/>
        <w:tabs>
          <w:tab w:leader="none" w:pos="2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2780" w:hanging="440"/>
        <w:spacing w:after="0"/>
        <w:tabs>
          <w:tab w:leader="none" w:pos="2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2760" w:hanging="420"/>
        <w:spacing w:after="0"/>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57" w:lineRule="exact"/>
        <w:rPr>
          <w:rFonts w:ascii="Arial" w:cs="Arial" w:eastAsia="Arial" w:hAnsi="Arial"/>
          <w:sz w:val="18"/>
          <w:szCs w:val="18"/>
          <w:color w:val="auto"/>
        </w:rPr>
      </w:pPr>
    </w:p>
    <w:p>
      <w:pPr>
        <w:ind w:left="1980" w:right="959" w:firstLine="360"/>
        <w:spacing w:after="0" w:line="277" w:lineRule="auto"/>
        <w:tabs>
          <w:tab w:leader="none" w:pos="270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03"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South Korea</w:t>
      </w:r>
    </w:p>
    <w:p>
      <w:pPr>
        <w:spacing w:after="0" w:line="14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14" w:lineRule="exact"/>
        <w:rPr>
          <w:sz w:val="20"/>
          <w:szCs w:val="20"/>
          <w:color w:val="auto"/>
        </w:rPr>
      </w:pPr>
    </w:p>
    <w:p>
      <w:pPr>
        <w:ind w:left="1260" w:right="479" w:firstLine="360"/>
        <w:spacing w:after="0" w:line="279" w:lineRule="auto"/>
        <w:rPr>
          <w:sz w:val="20"/>
          <w:szCs w:val="20"/>
          <w:color w:val="auto"/>
        </w:rPr>
      </w:pPr>
      <w:r>
        <w:rPr>
          <w:rFonts w:ascii="Arial" w:cs="Arial" w:eastAsia="Arial" w:hAnsi="Arial"/>
          <w:sz w:val="17"/>
          <w:szCs w:val="17"/>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61" w:lineRule="auto"/>
        <w:rPr>
          <w:sz w:val="20"/>
          <w:szCs w:val="20"/>
          <w:color w:val="auto"/>
        </w:rPr>
      </w:pPr>
      <w:r>
        <w:rPr>
          <w:rFonts w:ascii="Arial" w:cs="Arial" w:eastAsia="Arial" w:hAnsi="Arial"/>
          <w:sz w:val="18"/>
          <w:szCs w:val="18"/>
          <w:color w:val="auto"/>
        </w:rPr>
        <w:t>except pursuant to an exemption from the registration requirements of, and otherwise in compliance with, the FSCMA, the FETL and other relevant laws and regulations of Korea.</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Taiwan</w:t>
      </w:r>
    </w:p>
    <w:p>
      <w:pPr>
        <w:spacing w:after="0" w:line="148"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Kingdom</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The communication of this prospectus supplement and the accompanying base prospectus and any other document or materials relating to the issue of the notes offered hereby is not being made, and such documents and/or materials have not been approved, by an authorized person for the purposes of Section 21 of the UK’s Financial Services and Markets Act 2000, as amended (the “FSMA”). Accordingly, such documents and/or materials are not being distributed to, and must not be passed on to, the general public in the UK. In the United Kingdom, this prospectus supplement and the accompanying base prospectus are being distributed only to, and are directed only at, and any offer subsequently made may only be directed at persons who are non-retail investors (being persons who are not retail investors as described above) (i) who have professional experience in matters relating to investments falling within Article 19 (5) of the Financial Services and Markets Act 2000 (Financial Promotion) Order 2005, as amended (the “Order”) and/or</w:t>
      </w:r>
    </w:p>
    <w:p>
      <w:pPr>
        <w:spacing w:after="0" w:line="5" w:lineRule="exact"/>
        <w:rPr>
          <w:sz w:val="20"/>
          <w:szCs w:val="20"/>
          <w:color w:val="auto"/>
        </w:rPr>
      </w:pPr>
    </w:p>
    <w:p>
      <w:pPr>
        <w:ind w:left="1260" w:right="439"/>
        <w:spacing w:after="0" w:line="251" w:lineRule="auto"/>
        <w:tabs>
          <w:tab w:leader="none" w:pos="1543"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who are high net worth bodies corporate, unincorporated associations or partnerships or trustees of high value trusts falling within Article 49(2)(a) to (d) of the Order (all such persons together being referred to as “relevant persons”). This prospectus supplement and accompanying base prospectus must not be acted on or relied on in the United Kingdom by persons who are not relevant persons. In the United Kingdom, any investment or investment activity to which this prospectus supplement and the accompanying base prospectus relate is only available to, and will be engaged in with, relevant persons. Any invitation or inducement to engage in investment activity (within the meaning of Section 21 of the FSMA) in connection with the issue or sale of the notes may only be communicated or caused to be communicated in circumstances in which Section 21(1) of the FSMA does not apply to us.</w:t>
      </w:r>
    </w:p>
    <w:p>
      <w:pPr>
        <w:spacing w:after="0" w:line="115"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Switzerland</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12"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United Arab Emirates</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17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1260" w:right="599" w:firstLine="360"/>
        <w:spacing w:after="0" w:line="308" w:lineRule="auto"/>
        <w:rPr>
          <w:sz w:val="20"/>
          <w:szCs w:val="20"/>
          <w:color w:val="auto"/>
        </w:rPr>
      </w:pPr>
      <w:r>
        <w:rPr>
          <w:rFonts w:ascii="Arial" w:cs="Arial" w:eastAsia="Arial" w:hAnsi="Arial"/>
          <w:sz w:val="17"/>
          <w:szCs w:val="17"/>
          <w:color w:val="auto"/>
        </w:rPr>
        <w:t>Certain legal matters in connection with the notes offered hereby will be passed upon for us by Baker Botts L.L.P., Houston, Texas, and for the underwriters by Gibson, Dunn &amp; Crutcher LLP, Houston, Texas.</w:t>
      </w:r>
    </w:p>
    <w:p>
      <w:pPr>
        <w:spacing w:after="0" w:line="14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Waste Management, Inc. appearing in Waste Management, Inc.’s </w:t>
      </w:r>
      <w:hyperlink r:id="rId30">
        <w:r>
          <w:rPr>
            <w:rFonts w:ascii="Arial" w:cs="Arial" w:eastAsia="Arial" w:hAnsi="Arial"/>
            <w:sz w:val="18"/>
            <w:szCs w:val="18"/>
            <w:u w:val="single" w:color="auto"/>
            <w:color w:val="0000EE"/>
          </w:rPr>
          <w:t>Annual Report (Form 10-K) for the year ended December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the effectiveness of Waste Management, Inc.’s internal control over financial reporting as of December 31, 2020,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4"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16"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00" w:type="dxa"/>
            <w:vAlign w:val="bottom"/>
            <w:gridSpan w:val="11"/>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4"/>
                <w:szCs w:val="14"/>
                <w:b w:val="1"/>
                <w:bCs w:val="1"/>
                <w:color w:val="auto"/>
              </w:rPr>
              <w:t>Date Filed</w:t>
            </w:r>
          </w:p>
        </w:tc>
      </w:tr>
      <w:tr>
        <w:trPr>
          <w:trHeight w:val="26"/>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18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4"/>
              </w:rPr>
            </w:pPr>
            <w:hyperlink r:id="rId30">
              <w:r>
                <w:rPr>
                  <w:rFonts w:ascii="Arial" w:cs="Arial" w:eastAsia="Arial" w:hAnsi="Arial"/>
                  <w:sz w:val="18"/>
                  <w:szCs w:val="18"/>
                  <w:color w:val="0000EE"/>
                  <w:w w:val="94"/>
                </w:rPr>
                <w:t>Annual Report on Form 10-K for the year ended December 31, 2020</w:t>
              </w:r>
            </w:hyperlink>
          </w:p>
        </w:tc>
        <w:tc>
          <w:tcPr>
            <w:tcW w:w="1620" w:type="dxa"/>
            <w:vAlign w:val="bottom"/>
            <w:tcBorders>
              <w:bottom w:val="single" w:sz="8" w:color="CCEEFF"/>
            </w:tcBorders>
            <w:gridSpan w:val="5"/>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92"/>
              </w:rPr>
            </w:pPr>
            <w:hyperlink r:id="rId30">
              <w:r>
                <w:rPr>
                  <w:rFonts w:ascii="Arial" w:cs="Arial" w:eastAsia="Arial" w:hAnsi="Arial"/>
                  <w:sz w:val="18"/>
                  <w:szCs w:val="18"/>
                  <w:color w:val="0000EE"/>
                  <w:w w:val="92"/>
                </w:rPr>
                <w:t>February 22, 2021</w:t>
              </w:r>
            </w:hyperlink>
          </w:p>
        </w:tc>
      </w:tr>
      <w:tr>
        <w:trPr>
          <w:trHeight w:val="216"/>
        </w:trPr>
        <w:tc>
          <w:tcPr>
            <w:tcW w:w="6800" w:type="dxa"/>
            <w:vAlign w:val="bottom"/>
            <w:gridSpan w:val="11"/>
          </w:tcPr>
          <w:p>
            <w:pPr>
              <w:spacing w:after="0"/>
              <w:rPr>
                <w:rFonts w:ascii="Arial" w:cs="Arial" w:eastAsia="Arial" w:hAnsi="Arial"/>
                <w:sz w:val="18"/>
                <w:szCs w:val="18"/>
                <w:color w:val="0000EE"/>
              </w:rPr>
            </w:pPr>
            <w:hyperlink r:id="rId65">
              <w:r>
                <w:rPr>
                  <w:rFonts w:ascii="Arial" w:cs="Arial" w:eastAsia="Arial" w:hAnsi="Arial"/>
                  <w:sz w:val="18"/>
                  <w:szCs w:val="18"/>
                  <w:color w:val="0000EE"/>
                </w:rPr>
                <w:t>Current Report on Form 8-K</w:t>
              </w:r>
            </w:hyperlink>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March 1, 2021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r>
      <w:tr>
        <w:trPr>
          <w:trHeight w:val="237"/>
        </w:trPr>
        <w:tc>
          <w:tcPr>
            <w:tcW w:w="2160" w:type="dxa"/>
            <w:vAlign w:val="bottom"/>
            <w:tcBorders>
              <w:bottom w:val="single" w:sz="8" w:color="0000EE"/>
            </w:tcBorders>
            <w:gridSpan w:val="4"/>
            <w:shd w:val="clear" w:color="auto" w:fill="CCEEFF"/>
          </w:tcPr>
          <w:p>
            <w:pPr>
              <w:spacing w:after="0"/>
              <w:rPr>
                <w:rFonts w:ascii="Arial" w:cs="Arial" w:eastAsia="Arial" w:hAnsi="Arial"/>
                <w:sz w:val="18"/>
                <w:szCs w:val="18"/>
                <w:color w:val="0000EE"/>
                <w:w w:val="95"/>
              </w:rPr>
            </w:pPr>
            <w:hyperlink r:id="rId66">
              <w:r>
                <w:rPr>
                  <w:rFonts w:ascii="Arial" w:cs="Arial" w:eastAsia="Arial" w:hAnsi="Arial"/>
                  <w:sz w:val="18"/>
                  <w:szCs w:val="18"/>
                  <w:color w:val="0000EE"/>
                  <w:w w:val="95"/>
                </w:rPr>
                <w:t>Current Report on Form 8-K</w:t>
              </w:r>
            </w:hyperlink>
          </w:p>
        </w:tc>
        <w:tc>
          <w:tcPr>
            <w:tcW w:w="4640" w:type="dxa"/>
            <w:vAlign w:val="bottom"/>
            <w:tcBorders>
              <w:bottom w:val="single" w:sz="8" w:color="CCEEFF"/>
            </w:tcBorders>
            <w:gridSpan w:val="7"/>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94"/>
              </w:rPr>
            </w:pPr>
            <w:hyperlink r:id="rId67">
              <w:r>
                <w:rPr>
                  <w:rFonts w:ascii="Arial" w:cs="Arial" w:eastAsia="Arial" w:hAnsi="Arial"/>
                  <w:sz w:val="18"/>
                  <w:szCs w:val="18"/>
                  <w:color w:val="0000EE"/>
                  <w:w w:val="94"/>
                </w:rPr>
                <w:t>March 16, 2021</w:t>
              </w:r>
            </w:hyperlink>
          </w:p>
        </w:tc>
      </w:tr>
      <w:tr>
        <w:trPr>
          <w:trHeight w:val="216"/>
        </w:trPr>
        <w:tc>
          <w:tcPr>
            <w:tcW w:w="6800" w:type="dxa"/>
            <w:vAlign w:val="bottom"/>
            <w:gridSpan w:val="11"/>
          </w:tcPr>
          <w:p>
            <w:pPr>
              <w:spacing w:after="0"/>
              <w:rPr>
                <w:rFonts w:ascii="Arial" w:cs="Arial" w:eastAsia="Arial" w:hAnsi="Arial"/>
                <w:sz w:val="18"/>
                <w:szCs w:val="18"/>
                <w:color w:val="0000EE"/>
              </w:rPr>
            </w:pPr>
            <w:hyperlink r:id="rId68">
              <w:r>
                <w:rPr>
                  <w:rFonts w:ascii="Arial" w:cs="Arial" w:eastAsia="Arial" w:hAnsi="Arial"/>
                  <w:sz w:val="18"/>
                  <w:szCs w:val="18"/>
                  <w:color w:val="0000EE"/>
                </w:rPr>
                <w:t>Quarterly Report on Form 10-Q for the period ended March 31, 2021</w:t>
              </w:r>
            </w:hyperlink>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rFonts w:ascii="Arial" w:cs="Arial" w:eastAsia="Arial" w:hAnsi="Arial"/>
                <w:sz w:val="18"/>
                <w:szCs w:val="18"/>
                <w:color w:val="0000EE"/>
              </w:rPr>
            </w:pPr>
            <w:hyperlink r:id="rId68">
              <w:r>
                <w:rPr>
                  <w:rFonts w:ascii="Arial" w:cs="Arial" w:eastAsia="Arial" w:hAnsi="Arial"/>
                  <w:sz w:val="18"/>
                  <w:szCs w:val="18"/>
                  <w:color w:val="0000EE"/>
                </w:rPr>
                <w:t>April 27, 2021</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r>
      <w:tr>
        <w:trPr>
          <w:trHeight w:val="216"/>
        </w:trPr>
        <w:tc>
          <w:tcPr>
            <w:tcW w:w="6800" w:type="dxa"/>
            <w:vAlign w:val="bottom"/>
            <w:gridSpan w:val="11"/>
            <w:shd w:val="clear" w:color="auto" w:fill="CCEEFF"/>
          </w:tcPr>
          <w:p>
            <w:pPr>
              <w:spacing w:after="0"/>
              <w:rPr>
                <w:rFonts w:ascii="Arial" w:cs="Arial" w:eastAsia="Arial" w:hAnsi="Arial"/>
                <w:sz w:val="18"/>
                <w:szCs w:val="18"/>
                <w:color w:val="auto"/>
              </w:rPr>
            </w:pPr>
            <w:r>
              <w:rPr>
                <w:rFonts w:ascii="Arial" w:cs="Arial" w:eastAsia="Arial" w:hAnsi="Arial"/>
                <w:sz w:val="18"/>
                <w:szCs w:val="18"/>
                <w:color w:val="auto"/>
              </w:rPr>
              <w:t xml:space="preserve">The portions of our </w:t>
            </w:r>
            <w:hyperlink r:id="rId69">
              <w:r>
                <w:rPr>
                  <w:rFonts w:ascii="Arial" w:cs="Arial" w:eastAsia="Arial" w:hAnsi="Arial"/>
                  <w:sz w:val="18"/>
                  <w:szCs w:val="18"/>
                  <w:color w:val="0000EE"/>
                </w:rPr>
                <w:t>proxy statement for our 2021 annual meeting of stockholders</w:t>
              </w:r>
            </w:hyperlink>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
        </w:trPr>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6620" w:type="dxa"/>
            <w:vAlign w:val="bottom"/>
            <w:gridSpan w:val="10"/>
            <w:shd w:val="clear" w:color="auto" w:fill="CCEEFF"/>
          </w:tcPr>
          <w:p>
            <w:pPr>
              <w:spacing w:after="0" w:line="196" w:lineRule="exact"/>
              <w:rPr>
                <w:rFonts w:ascii="Arial" w:cs="Arial" w:eastAsia="Arial" w:hAnsi="Arial"/>
                <w:sz w:val="18"/>
                <w:szCs w:val="18"/>
                <w:color w:val="auto"/>
              </w:rPr>
            </w:pPr>
            <w:hyperlink r:id="rId30">
              <w:r>
                <w:rPr>
                  <w:rFonts w:ascii="Arial" w:cs="Arial" w:eastAsia="Arial" w:hAnsi="Arial"/>
                  <w:sz w:val="18"/>
                  <w:szCs w:val="18"/>
                  <w:color w:val="auto"/>
                </w:rPr>
                <w:t xml:space="preserve">incorporated by reference in our </w:t>
              </w:r>
              <w:r>
                <w:rPr>
                  <w:rFonts w:ascii="Arial" w:cs="Arial" w:eastAsia="Arial" w:hAnsi="Arial"/>
                  <w:sz w:val="18"/>
                  <w:szCs w:val="18"/>
                  <w:color w:val="0000EE"/>
                </w:rPr>
                <w:t>Annual Report on Form 10-K for the year ended</w:t>
              </w:r>
            </w:hyperlink>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CCEEFF"/>
            </w:tcBorders>
            <w:gridSpan w:val="4"/>
            <w:shd w:val="clear" w:color="auto" w:fill="CCEEFF"/>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December 31, 2020</w:t>
              </w:r>
            </w:hyperlink>
          </w:p>
        </w:tc>
        <w:tc>
          <w:tcPr>
            <w:tcW w:w="3660" w:type="dxa"/>
            <w:vAlign w:val="bottom"/>
            <w:tcBorders>
              <w:top w:val="single" w:sz="8" w:color="0000EE"/>
            </w:tcBorders>
            <w:gridSpan w:val="4"/>
            <w:shd w:val="clear" w:color="auto" w:fill="CCEEFF"/>
          </w:tcPr>
          <w:p>
            <w:pPr>
              <w:spacing w:after="0"/>
              <w:rPr>
                <w:sz w:val="17"/>
                <w:szCs w:val="17"/>
                <w:color w:val="auto"/>
              </w:rPr>
            </w:pPr>
          </w:p>
        </w:tc>
        <w:tc>
          <w:tcPr>
            <w:tcW w:w="480" w:type="dxa"/>
            <w:vAlign w:val="bottom"/>
            <w:tcBorders>
              <w:top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March 31, 2021</w:t>
              </w:r>
            </w:hyperlink>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4983480</wp:posOffset>
            </wp:positionH>
            <wp:positionV relativeFrom="paragraph">
              <wp:posOffset>-1113790</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(and corresponding information furnished under Item 9.01 or included as an exhibit) in any past or future current report on Form 8-K that we file with the SEC, unless otherwise specified in such current report.</w:t>
      </w:r>
    </w:p>
    <w:p>
      <w:pPr>
        <w:spacing w:after="0" w:line="127"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07"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128905</wp:posOffset>
            </wp:positionV>
            <wp:extent cx="2494280" cy="659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4942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color w:val="auto"/>
        </w:rPr>
        <w:t>WASTE MANAGEMENT, INC.</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29"/>
          <w:szCs w:val="29"/>
          <w:b w:val="1"/>
          <w:bCs w:val="1"/>
          <w:color w:val="auto"/>
        </w:rPr>
        <w:t>DEBT SECURITIES</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29"/>
          <w:szCs w:val="29"/>
          <w:b w:val="1"/>
          <w:bCs w:val="1"/>
          <w:color w:val="auto"/>
        </w:rPr>
        <w:t>COMMON STOCK</w:t>
      </w:r>
    </w:p>
    <w:p>
      <w:pPr>
        <w:ind w:left="3960"/>
        <w:spacing w:after="0" w:line="233" w:lineRule="auto"/>
        <w:rPr>
          <w:sz w:val="20"/>
          <w:szCs w:val="20"/>
          <w:color w:val="auto"/>
        </w:rPr>
      </w:pPr>
      <w:r>
        <w:rPr>
          <w:rFonts w:ascii="Arial" w:cs="Arial" w:eastAsia="Arial" w:hAnsi="Arial"/>
          <w:sz w:val="29"/>
          <w:szCs w:val="29"/>
          <w:b w:val="1"/>
          <w:bCs w:val="1"/>
          <w:color w:val="auto"/>
        </w:rPr>
        <w:t>PREFERRED STOCK</w:t>
      </w:r>
    </w:p>
    <w:p>
      <w:pPr>
        <w:ind w:left="4540"/>
        <w:spacing w:after="0" w:line="233" w:lineRule="auto"/>
        <w:rPr>
          <w:sz w:val="20"/>
          <w:szCs w:val="20"/>
          <w:color w:val="auto"/>
        </w:rPr>
      </w:pPr>
      <w:r>
        <w:rPr>
          <w:rFonts w:ascii="Arial" w:cs="Arial" w:eastAsia="Arial" w:hAnsi="Arial"/>
          <w:sz w:val="29"/>
          <w:szCs w:val="29"/>
          <w:b w:val="1"/>
          <w:bCs w:val="1"/>
          <w:color w:val="auto"/>
        </w:rPr>
        <w:t>WARRANTS</w:t>
      </w:r>
    </w:p>
    <w:p>
      <w:pPr>
        <w:ind w:left="4360"/>
        <w:spacing w:after="0" w:line="233" w:lineRule="auto"/>
        <w:rPr>
          <w:sz w:val="20"/>
          <w:szCs w:val="20"/>
          <w:color w:val="auto"/>
        </w:rPr>
      </w:pPr>
      <w:r>
        <w:rPr>
          <w:rFonts w:ascii="Arial" w:cs="Arial" w:eastAsia="Arial" w:hAnsi="Arial"/>
          <w:sz w:val="29"/>
          <w:szCs w:val="29"/>
          <w:b w:val="1"/>
          <w:bCs w:val="1"/>
          <w:color w:val="auto"/>
        </w:rPr>
        <w:t>GUARANTEES</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29"/>
          <w:szCs w:val="29"/>
          <w:b w:val="1"/>
          <w:bCs w:val="1"/>
          <w:color w:val="auto"/>
        </w:rPr>
        <w:t>UNITS</w:t>
      </w:r>
    </w:p>
    <w:p>
      <w:pPr>
        <w:spacing w:after="0" w:line="192" w:lineRule="exact"/>
        <w:rPr>
          <w:sz w:val="20"/>
          <w:szCs w:val="20"/>
          <w:color w:val="auto"/>
        </w:rPr>
      </w:pPr>
    </w:p>
    <w:p>
      <w:pPr>
        <w:ind w:left="1260" w:right="519" w:firstLine="360"/>
        <w:spacing w:after="0" w:line="308" w:lineRule="auto"/>
        <w:rPr>
          <w:sz w:val="20"/>
          <w:szCs w:val="20"/>
          <w:color w:val="auto"/>
        </w:rPr>
      </w:pPr>
      <w:r>
        <w:rPr>
          <w:rFonts w:ascii="Arial" w:cs="Arial" w:eastAsia="Arial" w:hAnsi="Arial"/>
          <w:sz w:val="17"/>
          <w:szCs w:val="17"/>
          <w:color w:val="auto"/>
        </w:rPr>
        <w:t>We or selling securityholders may from time to time offer to sell the securities listed above in one or more classes or series in amounts, at prices and on terms that will be determined at the time of the offering.</w:t>
      </w:r>
    </w:p>
    <w:p>
      <w:pPr>
        <w:spacing w:after="0" w:line="14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21" w:lineRule="exact"/>
        <w:rPr>
          <w:sz w:val="20"/>
          <w:szCs w:val="20"/>
          <w:color w:val="auto"/>
        </w:rPr>
      </w:pPr>
    </w:p>
    <w:p>
      <w:pPr>
        <w:ind w:left="1260" w:right="459" w:firstLine="360"/>
        <w:spacing w:after="0" w:line="343"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our securities involves risks.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on page </w:t>
      </w:r>
      <w:hyperlink w:anchor="page44">
        <w:r>
          <w:rPr>
            <w:rFonts w:ascii="Arial" w:cs="Arial" w:eastAsia="Arial" w:hAnsi="Arial"/>
            <w:sz w:val="15"/>
            <w:szCs w:val="15"/>
            <w:b w:val="1"/>
            <w:bCs w:val="1"/>
            <w:u w:val="single" w:color="auto"/>
            <w:color w:val="0000EE"/>
          </w:rPr>
          <w:t>6</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 the risk factors included in our periodic reports that we file with the Securities and Exchange Commission and incorporated by reference herein and the applicable prospectus supplement before you invest in our securities.</w:t>
      </w:r>
    </w:p>
    <w:p>
      <w:pPr>
        <w:spacing w:after="0" w:line="128"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0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This prospectus is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2548255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19" w:firstLine="360"/>
        <w:spacing w:after="0" w:line="32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20" w:type="dxa"/>
            <w:vAlign w:val="bottom"/>
            <w:gridSpan w:val="2"/>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5"/>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8020" w:type="dxa"/>
            <w:vAlign w:val="bottom"/>
            <w:gridSpan w:val="14"/>
            <w:shd w:val="clear" w:color="auto" w:fill="CCEEFF"/>
          </w:tcPr>
          <w:p>
            <w:pPr>
              <w:spacing w:after="0" w:line="162" w:lineRule="exact"/>
              <w:rPr>
                <w:rFonts w:ascii="Arial" w:cs="Arial" w:eastAsia="Arial" w:hAnsi="Arial"/>
                <w:sz w:val="18"/>
                <w:szCs w:val="18"/>
                <w:color w:val="0000EE"/>
              </w:rPr>
            </w:pPr>
            <w:hyperlink w:anchor="page39">
              <w:r>
                <w:rPr>
                  <w:rFonts w:ascii="Arial" w:cs="Arial" w:eastAsia="Arial" w:hAnsi="Arial"/>
                  <w:sz w:val="18"/>
                  <w:szCs w:val="18"/>
                  <w:color w:val="0000EE"/>
                </w:rPr>
                <w:t>Forward-Looking Statements</w:t>
              </w:r>
            </w:hyperlink>
          </w:p>
        </w:tc>
        <w:tc>
          <w:tcPr>
            <w:tcW w:w="180" w:type="dxa"/>
            <w:vAlign w:val="bottom"/>
            <w:gridSpan w:val="2"/>
            <w:shd w:val="clear" w:color="auto" w:fill="CCEEFF"/>
          </w:tcPr>
          <w:p>
            <w:pPr>
              <w:jc w:val="right"/>
              <w:spacing w:after="0" w:line="162" w:lineRule="exact"/>
              <w:rPr>
                <w:rFonts w:ascii="Arial" w:cs="Arial" w:eastAsia="Arial" w:hAnsi="Arial"/>
                <w:sz w:val="18"/>
                <w:szCs w:val="18"/>
                <w:color w:val="0000EE"/>
              </w:rPr>
            </w:pPr>
            <w:hyperlink w:anchor="page39">
              <w:r>
                <w:rPr>
                  <w:rFonts w:ascii="Arial" w:cs="Arial" w:eastAsia="Arial" w:hAnsi="Arial"/>
                  <w:sz w:val="18"/>
                  <w:szCs w:val="18"/>
                  <w:color w:val="0000EE"/>
                </w:rPr>
                <w:t>1</w:t>
              </w:r>
            </w:hyperlink>
          </w:p>
        </w:tc>
      </w:tr>
      <w:tr>
        <w:trPr>
          <w:trHeight w:val="27"/>
        </w:trPr>
        <w:tc>
          <w:tcPr>
            <w:tcW w:w="5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220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5820" w:type="dxa"/>
            <w:vAlign w:val="bottom"/>
            <w:gridSpan w:val="5"/>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3780" w:type="dxa"/>
            <w:vAlign w:val="bottom"/>
            <w:gridSpan w:val="13"/>
            <w:shd w:val="clear" w:color="auto" w:fill="CCEEFF"/>
          </w:tcPr>
          <w:p>
            <w:pPr>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Incorporation of Certain Documents by Reference</w:t>
              </w:r>
            </w:hyperlink>
          </w:p>
        </w:tc>
        <w:tc>
          <w:tcPr>
            <w:tcW w:w="42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5</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3780" w:type="dxa"/>
            <w:vAlign w:val="bottom"/>
            <w:gridSpan w:val="1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Where You Can Find More Information</w:t>
              </w:r>
            </w:hyperlink>
          </w:p>
        </w:tc>
        <w:tc>
          <w:tcPr>
            <w:tcW w:w="4240" w:type="dxa"/>
            <w:vAlign w:val="bottom"/>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8020" w:type="dxa"/>
            <w:vAlign w:val="bottom"/>
            <w:gridSpan w:val="14"/>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The Company</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06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6960" w:type="dxa"/>
            <w:vAlign w:val="bottom"/>
            <w:gridSpan w:val="11"/>
          </w:tcPr>
          <w:p>
            <w:pPr>
              <w:spacing w:after="0"/>
              <w:rPr>
                <w:sz w:val="19"/>
                <w:szCs w:val="19"/>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1220" w:type="dxa"/>
            <w:vAlign w:val="bottom"/>
            <w:gridSpan w:val="4"/>
            <w:shd w:val="clear" w:color="auto" w:fill="CCEEFF"/>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Use of Proceeds</w:t>
              </w:r>
            </w:hyperlink>
          </w:p>
        </w:tc>
        <w:tc>
          <w:tcPr>
            <w:tcW w:w="6800" w:type="dxa"/>
            <w:vAlign w:val="bottom"/>
            <w:gridSpan w:val="10"/>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6</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802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Description of Debt Securities</w:t>
              </w:r>
            </w:hyperlink>
          </w:p>
        </w:tc>
        <w:tc>
          <w:tcPr>
            <w:tcW w:w="18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98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Description of Guarantees</w:t>
              </w:r>
            </w:hyperlink>
          </w:p>
        </w:tc>
        <w:tc>
          <w:tcPr>
            <w:tcW w:w="6040" w:type="dxa"/>
            <w:vAlign w:val="bottom"/>
            <w:tcBorders>
              <w:bottom w:val="single" w:sz="8" w:color="CCEEFF"/>
            </w:tcBorders>
            <w:gridSpan w:val="6"/>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15</w:t>
              </w:r>
            </w:hyperlink>
          </w:p>
        </w:tc>
      </w:tr>
      <w:tr>
        <w:trPr>
          <w:trHeight w:val="229"/>
        </w:trPr>
        <w:tc>
          <w:tcPr>
            <w:tcW w:w="802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Description of Capital Stock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15</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360" w:type="dxa"/>
            <w:vAlign w:val="bottom"/>
            <w:tcBorders>
              <w:bottom w:val="single" w:sz="8" w:color="0000EE"/>
            </w:tcBorders>
            <w:gridSpan w:val="11"/>
            <w:shd w:val="clear" w:color="auto" w:fill="CCEEFF"/>
          </w:tcPr>
          <w:p>
            <w:pPr>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Description of Other Securities</w:t>
              </w:r>
            </w:hyperlink>
          </w:p>
        </w:tc>
        <w:tc>
          <w:tcPr>
            <w:tcW w:w="56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17</w:t>
              </w:r>
            </w:hyperlink>
          </w:p>
        </w:tc>
      </w:tr>
      <w:tr>
        <w:trPr>
          <w:trHeight w:val="229"/>
        </w:trPr>
        <w:tc>
          <w:tcPr>
            <w:tcW w:w="8020" w:type="dxa"/>
            <w:vAlign w:val="bottom"/>
            <w:gridSpan w:val="1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17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8020" w:type="dxa"/>
            <w:vAlign w:val="bottom"/>
            <w:gridSpan w:val="14"/>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Selling Securityholders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18</w:t>
              </w:r>
            </w:hyperlink>
          </w:p>
        </w:tc>
      </w:tr>
      <w:tr>
        <w:trPr>
          <w:trHeight w:val="229"/>
        </w:trPr>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Matters</w:t>
              </w:r>
            </w:hyperlink>
          </w:p>
        </w:tc>
        <w:tc>
          <w:tcPr>
            <w:tcW w:w="6260" w:type="dxa"/>
            <w:vAlign w:val="bottom"/>
            <w:tcBorders>
              <w:top w:val="single" w:sz="8" w:color="CCEEFF"/>
            </w:tcBorders>
            <w:gridSpan w:val="7"/>
          </w:tcPr>
          <w:p>
            <w:pPr>
              <w:spacing w:after="0"/>
              <w:rPr>
                <w:sz w:val="19"/>
                <w:szCs w:val="19"/>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18</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8020" w:type="dxa"/>
            <w:vAlign w:val="bottom"/>
            <w:gridSpan w:val="14"/>
            <w:shd w:val="clear" w:color="auto" w:fill="CCEEFF"/>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180" w:type="dxa"/>
            <w:vAlign w:val="bottom"/>
            <w:gridSpan w:val="2"/>
            <w:shd w:val="clear" w:color="auto" w:fill="CCEEFF"/>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18</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left="1260" w:right="579" w:firstLine="360"/>
        <w:spacing w:after="0" w:line="237" w:lineRule="auto"/>
        <w:rPr>
          <w:sz w:val="20"/>
          <w:szCs w:val="20"/>
          <w:color w:val="auto"/>
        </w:rPr>
      </w:pPr>
      <w:r>
        <w:rPr>
          <w:rFonts w:ascii="Arial" w:cs="Arial" w:eastAsia="Arial" w:hAnsi="Arial"/>
          <w:sz w:val="17"/>
          <w:szCs w:val="17"/>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7"/>
          <w:szCs w:val="17"/>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 K for the year ended December 31, 2018 as updated by our subsequent quarterly reports on Form 10-Q and other filings we make with the Securities and Exchange Commission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68" w:lineRule="exact"/>
        <w:rPr>
          <w:sz w:val="20"/>
          <w:szCs w:val="20"/>
          <w:color w:val="auto"/>
        </w:rPr>
      </w:pPr>
    </w:p>
    <w:p>
      <w:pPr>
        <w:ind w:left="1800" w:right="459" w:hanging="180"/>
        <w:spacing w:after="0" w:line="286"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43" w:lineRule="exact"/>
        <w:rPr>
          <w:rFonts w:ascii="Arial" w:cs="Arial" w:eastAsia="Arial" w:hAnsi="Arial"/>
          <w:sz w:val="17"/>
          <w:szCs w:val="17"/>
          <w:color w:val="auto"/>
        </w:rPr>
      </w:pPr>
    </w:p>
    <w:p>
      <w:pPr>
        <w:ind w:left="1800" w:right="499" w:hanging="180"/>
        <w:spacing w:after="0" w:line="275"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68" w:lineRule="exact"/>
        <w:rPr>
          <w:rFonts w:ascii="Arial" w:cs="Arial" w:eastAsia="Arial" w:hAnsi="Arial"/>
          <w:sz w:val="17"/>
          <w:szCs w:val="17"/>
          <w:color w:val="auto"/>
        </w:rPr>
      </w:pPr>
    </w:p>
    <w:p>
      <w:pPr>
        <w:ind w:left="1800" w:right="47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65"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our planned acquisition of Advanced Disposal Services, Inc. (“Advanced Disposal”), which could adversely impact our growth strategy, earnings and cash flow;</w:t>
      </w:r>
    </w:p>
    <w:p>
      <w:pPr>
        <w:spacing w:after="0" w:line="65"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integration of acquisitions, including our planned acquisition of Advanced Disposal, and/or new service offerings could increase our exposure to environmental liabilities for past operations and the risk of inadvertent noncompliance with laws and regulations;</w:t>
      </w:r>
    </w:p>
    <w:p>
      <w:pPr>
        <w:spacing w:after="0" w:line="62" w:lineRule="exact"/>
        <w:rPr>
          <w:rFonts w:ascii="Arial" w:cs="Arial" w:eastAsia="Arial" w:hAnsi="Arial"/>
          <w:sz w:val="18"/>
          <w:szCs w:val="18"/>
          <w:color w:val="auto"/>
        </w:rPr>
      </w:pPr>
    </w:p>
    <w:p>
      <w:pPr>
        <w:ind w:left="1800" w:right="79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regulatory and other matters may affect the timing of our ability to complete our planned acquisition of Advanced Disposal, if at all, which may negatively affect the trading prices of our stock and our future business and financial results;</w:t>
      </w:r>
    </w:p>
    <w:p>
      <w:pPr>
        <w:spacing w:after="0" w:line="75" w:lineRule="exact"/>
        <w:rPr>
          <w:rFonts w:ascii="Arial" w:cs="Arial" w:eastAsia="Arial" w:hAnsi="Arial"/>
          <w:sz w:val="18"/>
          <w:szCs w:val="18"/>
          <w:color w:val="auto"/>
        </w:rPr>
      </w:pPr>
    </w:p>
    <w:p>
      <w:pPr>
        <w:jc w:val="both"/>
        <w:ind w:left="1800" w:right="419" w:hanging="180"/>
        <w:spacing w:after="0" w:line="286" w:lineRule="auto"/>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43" w:lineRule="exact"/>
        <w:rPr>
          <w:rFonts w:ascii="Arial" w:cs="Arial" w:eastAsia="Arial" w:hAnsi="Arial"/>
          <w:sz w:val="17"/>
          <w:szCs w:val="17"/>
          <w:color w:val="auto"/>
        </w:rPr>
      </w:pPr>
    </w:p>
    <w:p>
      <w:pPr>
        <w:jc w:val="both"/>
        <w:ind w:left="1800" w:right="639" w:hanging="180"/>
        <w:spacing w:after="0" w:line="263"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62"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59" w:hanging="180"/>
        <w:spacing w:after="0" w:line="279"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significant portion of the recycled fiber we market has been shipped to export markets across the globe, particularly China; changes in international or domestic regulations and restrictions or tariffs on American or foreign imports and exports, including actions taken by the Chinese government, could continue to increase operating expense, result in excess supply and drive down prices;</w:t>
      </w:r>
    </w:p>
    <w:p>
      <w:pPr>
        <w:spacing w:after="0" w:line="49" w:lineRule="exact"/>
        <w:rPr>
          <w:rFonts w:ascii="Arial" w:cs="Arial" w:eastAsia="Arial" w:hAnsi="Arial"/>
          <w:sz w:val="17"/>
          <w:szCs w:val="17"/>
          <w:color w:val="auto"/>
        </w:rPr>
      </w:pPr>
    </w:p>
    <w:p>
      <w:pPr>
        <w:ind w:left="1800" w:right="9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the regulatory framework related to renewable fuel standards could affect our financial performance as a renewable fuel producer;</w:t>
      </w:r>
    </w:p>
    <w:p>
      <w:pPr>
        <w:spacing w:after="0" w:line="48" w:lineRule="exact"/>
        <w:rPr>
          <w:rFonts w:ascii="Arial" w:cs="Arial" w:eastAsia="Arial" w:hAnsi="Arial"/>
          <w:sz w:val="18"/>
          <w:szCs w:val="18"/>
          <w:color w:val="auto"/>
        </w:rPr>
      </w:pPr>
    </w:p>
    <w:p>
      <w:pPr>
        <w:ind w:left="1800" w:right="47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78"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75" w:lineRule="exact"/>
        <w:rPr>
          <w:rFonts w:ascii="Arial" w:cs="Arial" w:eastAsia="Arial" w:hAnsi="Arial"/>
          <w:sz w:val="18"/>
          <w:szCs w:val="18"/>
          <w:color w:val="auto"/>
        </w:rPr>
      </w:pPr>
    </w:p>
    <w:p>
      <w:pPr>
        <w:ind w:left="1800" w:right="539" w:hanging="180"/>
        <w:spacing w:after="0" w:line="286"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43" w:lineRule="exact"/>
        <w:rPr>
          <w:rFonts w:ascii="Arial" w:cs="Arial" w:eastAsia="Arial" w:hAnsi="Arial"/>
          <w:sz w:val="17"/>
          <w:szCs w:val="17"/>
          <w:color w:val="auto"/>
        </w:rPr>
      </w:pPr>
    </w:p>
    <w:p>
      <w:pPr>
        <w:ind w:left="1800" w:right="43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65" w:lineRule="exact"/>
        <w:rPr>
          <w:rFonts w:ascii="Arial" w:cs="Arial" w:eastAsia="Arial" w:hAnsi="Arial"/>
          <w:sz w:val="18"/>
          <w:szCs w:val="18"/>
          <w:color w:val="auto"/>
        </w:rPr>
      </w:pPr>
    </w:p>
    <w:p>
      <w:pPr>
        <w:ind w:left="1800" w:right="619" w:hanging="180"/>
        <w:spacing w:after="0" w:line="286"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57" w:lineRule="exact"/>
        <w:rPr>
          <w:rFonts w:ascii="Arial" w:cs="Arial" w:eastAsia="Arial" w:hAnsi="Arial"/>
          <w:sz w:val="17"/>
          <w:szCs w:val="17"/>
          <w:color w:val="auto"/>
        </w:rPr>
      </w:pPr>
    </w:p>
    <w:p>
      <w:pPr>
        <w:ind w:left="1800" w:right="7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62" w:lineRule="exact"/>
        <w:rPr>
          <w:rFonts w:ascii="Arial" w:cs="Arial" w:eastAsia="Arial" w:hAnsi="Arial"/>
          <w:sz w:val="18"/>
          <w:szCs w:val="18"/>
          <w:color w:val="auto"/>
        </w:rPr>
      </w:pPr>
    </w:p>
    <w:p>
      <w:pPr>
        <w:jc w:val="both"/>
        <w:ind w:left="1800" w:right="47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62"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62" w:lineRule="exact"/>
        <w:rPr>
          <w:rFonts w:ascii="Arial" w:cs="Arial" w:eastAsia="Arial" w:hAnsi="Arial"/>
          <w:sz w:val="18"/>
          <w:szCs w:val="18"/>
          <w:color w:val="auto"/>
        </w:rPr>
      </w:pPr>
    </w:p>
    <w:p>
      <w:pPr>
        <w:ind w:left="1800" w:right="65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62" w:lineRule="exact"/>
        <w:rPr>
          <w:rFonts w:ascii="Arial" w:cs="Arial" w:eastAsia="Arial" w:hAnsi="Arial"/>
          <w:sz w:val="18"/>
          <w:szCs w:val="18"/>
          <w:color w:val="auto"/>
        </w:rPr>
      </w:pPr>
    </w:p>
    <w:p>
      <w:pPr>
        <w:jc w:val="both"/>
        <w:ind w:left="1800" w:right="1039" w:hanging="180"/>
        <w:spacing w:after="0" w:line="286"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57" w:lineRule="exact"/>
        <w:rPr>
          <w:rFonts w:ascii="Arial" w:cs="Arial" w:eastAsia="Arial" w:hAnsi="Arial"/>
          <w:sz w:val="17"/>
          <w:szCs w:val="17"/>
          <w:color w:val="auto"/>
        </w:rPr>
      </w:pPr>
    </w:p>
    <w:p>
      <w:pPr>
        <w:ind w:left="1800" w:right="419" w:hanging="180"/>
        <w:spacing w:after="0" w:line="25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must commit substantial resources to prevent, detect, and address the risk of cybersecurity incidents. Our preventative measures and incident response efforts may not be effective in all cases, and a cybersecurity incident could result in business disruption, direct financial loss, negative publicity, brand damage, violation of privacy laws, loss of customers, potential litigation and liability and competitive disadvantage;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9"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63" w:lineRule="exact"/>
        <w:rPr>
          <w:rFonts w:ascii="Arial" w:cs="Arial" w:eastAsia="Arial" w:hAnsi="Arial"/>
          <w:sz w:val="17"/>
          <w:szCs w:val="17"/>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117" w:lineRule="exact"/>
        <w:rPr>
          <w:rFonts w:ascii="Arial" w:cs="Arial" w:eastAsia="Arial" w:hAnsi="Arial"/>
          <w:sz w:val="18"/>
          <w:szCs w:val="18"/>
          <w:color w:val="auto"/>
        </w:rPr>
      </w:pPr>
    </w:p>
    <w:p>
      <w:pPr>
        <w:ind w:left="1800" w:right="439" w:hanging="180"/>
        <w:spacing w:after="0" w:line="272"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69"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1800" w:right="105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800" w:right="53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75" w:lineRule="exact"/>
        <w:rPr>
          <w:rFonts w:ascii="Arial" w:cs="Arial" w:eastAsia="Arial" w:hAnsi="Arial"/>
          <w:sz w:val="18"/>
          <w:szCs w:val="18"/>
          <w:color w:val="auto"/>
        </w:rPr>
      </w:pPr>
    </w:p>
    <w:p>
      <w:pPr>
        <w:ind w:left="1800" w:right="699" w:hanging="180"/>
        <w:spacing w:after="0" w:line="286"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57" w:lineRule="exact"/>
        <w:rPr>
          <w:rFonts w:ascii="Arial" w:cs="Arial" w:eastAsia="Arial" w:hAnsi="Arial"/>
          <w:sz w:val="17"/>
          <w:szCs w:val="17"/>
          <w:color w:val="auto"/>
        </w:rPr>
      </w:pPr>
    </w:p>
    <w:p>
      <w:pPr>
        <w:ind w:left="1800" w:right="45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75"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75" w:lineRule="exact"/>
        <w:rPr>
          <w:rFonts w:ascii="Arial" w:cs="Arial" w:eastAsia="Arial" w:hAnsi="Arial"/>
          <w:sz w:val="18"/>
          <w:szCs w:val="18"/>
          <w:color w:val="auto"/>
        </w:rPr>
      </w:pPr>
    </w:p>
    <w:p>
      <w:pPr>
        <w:ind w:left="1800" w:right="499" w:hanging="180"/>
        <w:spacing w:after="0" w:line="291" w:lineRule="auto"/>
        <w:tabs>
          <w:tab w:leader="none" w:pos="1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58" w:lineRule="exact"/>
        <w:rPr>
          <w:rFonts w:ascii="Arial" w:cs="Arial" w:eastAsia="Arial" w:hAnsi="Arial"/>
          <w:sz w:val="16"/>
          <w:szCs w:val="16"/>
          <w:color w:val="auto"/>
        </w:rPr>
      </w:pPr>
    </w:p>
    <w:p>
      <w:pPr>
        <w:ind w:left="1800" w:right="939" w:hanging="180"/>
        <w:spacing w:after="0" w:line="30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adoption of new accounting standards or interpretations may cause fluctuations in reported quarterly results of operations or adversely impact our reported results of operations.</w:t>
      </w:r>
    </w:p>
    <w:p>
      <w:pPr>
        <w:spacing w:after="0" w:line="65"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16"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62"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9"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8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9" w:lineRule="exact"/>
        <w:rPr>
          <w:sz w:val="20"/>
          <w:szCs w:val="20"/>
          <w:color w:val="auto"/>
        </w:rPr>
      </w:pPr>
    </w:p>
    <w:p>
      <w:pPr>
        <w:ind w:left="1260" w:right="579" w:firstLine="360"/>
        <w:spacing w:after="0" w:line="273" w:lineRule="auto"/>
        <w:rPr>
          <w:sz w:val="20"/>
          <w:szCs w:val="20"/>
          <w:color w:val="auto"/>
        </w:rPr>
      </w:pPr>
      <w:r>
        <w:rPr>
          <w:rFonts w:ascii="Arial" w:cs="Arial" w:eastAsia="Arial" w:hAnsi="Arial"/>
          <w:sz w:val="17"/>
          <w:szCs w:val="17"/>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10" w:lineRule="exact"/>
        <w:rPr>
          <w:sz w:val="20"/>
          <w:szCs w:val="20"/>
          <w:color w:val="auto"/>
        </w:rPr>
      </w:pPr>
    </w:p>
    <w:p>
      <w:pPr>
        <w:ind w:left="1260" w:right="539" w:firstLine="360"/>
        <w:spacing w:after="0" w:line="263"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20"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3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Date Filed</w:t>
            </w:r>
          </w:p>
        </w:tc>
      </w:tr>
      <w:tr>
        <w:trPr>
          <w:trHeight w:val="26"/>
        </w:trPr>
        <w:tc>
          <w:tcPr>
            <w:tcW w:w="6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09"/>
        </w:trPr>
        <w:tc>
          <w:tcPr>
            <w:tcW w:w="62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2018</w:t>
            </w:r>
          </w:p>
        </w:tc>
        <w:tc>
          <w:tcPr>
            <w:tcW w:w="280" w:type="dxa"/>
            <w:vAlign w:val="bottom"/>
          </w:tcPr>
          <w:p>
            <w:pPr>
              <w:spacing w:after="0"/>
              <w:rPr>
                <w:sz w:val="18"/>
                <w:szCs w:val="18"/>
                <w:color w:val="auto"/>
              </w:rPr>
            </w:pPr>
          </w:p>
        </w:tc>
        <w:tc>
          <w:tcPr>
            <w:tcW w:w="1660" w:type="dxa"/>
            <w:vAlign w:val="bottom"/>
            <w:gridSpan w:val="6"/>
          </w:tcPr>
          <w:p>
            <w:pPr>
              <w:jc w:val="center"/>
              <w:ind w:right="280"/>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February 14, 2019</w:t>
              </w:r>
            </w:hyperlink>
          </w:p>
        </w:tc>
      </w:tr>
      <w:tr>
        <w:trPr>
          <w:trHeight w:val="237"/>
        </w:trPr>
        <w:tc>
          <w:tcPr>
            <w:tcW w:w="62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2019</w:t>
            </w:r>
          </w:p>
        </w:tc>
        <w:tc>
          <w:tcPr>
            <w:tcW w:w="2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0" w:type="dxa"/>
            <w:vAlign w:val="bottom"/>
            <w:tcBorders>
              <w:top w:val="single" w:sz="8" w:color="0000EE"/>
            </w:tcBorders>
            <w:gridSpan w:val="3"/>
          </w:tcPr>
          <w:p>
            <w:pPr>
              <w:jc w:val="center"/>
              <w:ind w:right="140"/>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April 25, 2019</w:t>
              </w:r>
            </w:hyperlink>
          </w:p>
        </w:tc>
        <w:tc>
          <w:tcPr>
            <w:tcW w:w="280" w:type="dxa"/>
            <w:vAlign w:val="bottom"/>
          </w:tcPr>
          <w:p>
            <w:pPr>
              <w:spacing w:after="0"/>
              <w:rPr>
                <w:sz w:val="20"/>
                <w:szCs w:val="20"/>
                <w:color w:val="auto"/>
              </w:rPr>
            </w:pPr>
          </w:p>
        </w:tc>
      </w:tr>
      <w:tr>
        <w:trPr>
          <w:trHeight w:val="20"/>
        </w:trPr>
        <w:tc>
          <w:tcPr>
            <w:tcW w:w="6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237"/>
        </w:trPr>
        <w:tc>
          <w:tcPr>
            <w:tcW w:w="62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80" w:type="dxa"/>
            <w:vAlign w:val="bottom"/>
          </w:tcPr>
          <w:p>
            <w:pPr>
              <w:spacing w:after="0"/>
              <w:rPr>
                <w:sz w:val="20"/>
                <w:szCs w:val="20"/>
                <w:color w:val="auto"/>
              </w:rPr>
            </w:pPr>
          </w:p>
        </w:tc>
        <w:tc>
          <w:tcPr>
            <w:tcW w:w="1660" w:type="dxa"/>
            <w:vAlign w:val="bottom"/>
            <w:gridSpan w:val="6"/>
          </w:tcPr>
          <w:p>
            <w:pPr>
              <w:jc w:val="center"/>
              <w:ind w:right="280"/>
              <w:spacing w:after="0"/>
              <w:rPr>
                <w:rFonts w:ascii="Arial" w:cs="Arial" w:eastAsia="Arial" w:hAnsi="Arial"/>
                <w:sz w:val="18"/>
                <w:szCs w:val="18"/>
                <w:color w:val="0000EE"/>
                <w:w w:val="93"/>
              </w:rPr>
            </w:pPr>
            <w:hyperlink r:id="rId82">
              <w:r>
                <w:rPr>
                  <w:rFonts w:ascii="Arial" w:cs="Arial" w:eastAsia="Arial" w:hAnsi="Arial"/>
                  <w:sz w:val="18"/>
                  <w:szCs w:val="18"/>
                  <w:color w:val="0000EE"/>
                  <w:w w:val="93"/>
                </w:rPr>
                <w:t>February 25, 2019</w:t>
              </w:r>
            </w:hyperlink>
          </w:p>
        </w:tc>
      </w:tr>
      <w:tr>
        <w:trPr>
          <w:trHeight w:val="236"/>
        </w:trPr>
        <w:tc>
          <w:tcPr>
            <w:tcW w:w="62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2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0" w:type="dxa"/>
            <w:vAlign w:val="bottom"/>
            <w:tcBorders>
              <w:top w:val="single" w:sz="8" w:color="0000EE"/>
            </w:tcBorders>
            <w:gridSpan w:val="3"/>
          </w:tcPr>
          <w:p>
            <w:pPr>
              <w:jc w:val="center"/>
              <w:ind w:right="140"/>
              <w:spacing w:after="0"/>
              <w:rPr>
                <w:rFonts w:ascii="Arial" w:cs="Arial" w:eastAsia="Arial" w:hAnsi="Arial"/>
                <w:sz w:val="18"/>
                <w:szCs w:val="18"/>
                <w:color w:val="0000EE"/>
                <w:w w:val="95"/>
              </w:rPr>
            </w:pPr>
            <w:hyperlink r:id="rId83">
              <w:r>
                <w:rPr>
                  <w:rFonts w:ascii="Arial" w:cs="Arial" w:eastAsia="Arial" w:hAnsi="Arial"/>
                  <w:sz w:val="18"/>
                  <w:szCs w:val="18"/>
                  <w:color w:val="0000EE"/>
                  <w:w w:val="95"/>
                </w:rPr>
                <w:t>April 15, 2019</w:t>
              </w:r>
            </w:hyperlink>
          </w:p>
        </w:tc>
        <w:tc>
          <w:tcPr>
            <w:tcW w:w="280" w:type="dxa"/>
            <w:vAlign w:val="bottom"/>
          </w:tcPr>
          <w:p>
            <w:pPr>
              <w:spacing w:after="0"/>
              <w:rPr>
                <w:sz w:val="20"/>
                <w:szCs w:val="20"/>
                <w:color w:val="auto"/>
              </w:rPr>
            </w:pPr>
          </w:p>
        </w:tc>
      </w:tr>
      <w:tr>
        <w:trPr>
          <w:trHeight w:val="249"/>
        </w:trPr>
        <w:tc>
          <w:tcPr>
            <w:tcW w:w="6260" w:type="dxa"/>
            <w:vAlign w:val="bottom"/>
            <w:gridSpan w:val="2"/>
          </w:tcPr>
          <w:p>
            <w:pPr>
              <w:spacing w:after="0"/>
              <w:rPr>
                <w:sz w:val="20"/>
                <w:szCs w:val="20"/>
                <w:color w:val="auto"/>
              </w:rPr>
            </w:pPr>
            <w:r>
              <w:rPr>
                <w:rFonts w:ascii="Arial" w:cs="Arial" w:eastAsia="Arial" w:hAnsi="Arial"/>
                <w:sz w:val="18"/>
                <w:szCs w:val="18"/>
                <w:color w:val="auto"/>
              </w:rPr>
              <w:t>The portions of our proxy statement for our 2019 annual meeting of</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stockholders incorporated by reference in our Annual Report on Form 10-K for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0"/>
        </w:trPr>
        <w:tc>
          <w:tcPr>
            <w:tcW w:w="6260" w:type="dxa"/>
            <w:vAlign w:val="bottom"/>
            <w:gridSpan w:val="2"/>
          </w:tcPr>
          <w:p>
            <w:pPr>
              <w:spacing w:after="0" w:line="190" w:lineRule="exact"/>
              <w:rPr>
                <w:sz w:val="20"/>
                <w:szCs w:val="20"/>
                <w:color w:val="auto"/>
              </w:rPr>
            </w:pPr>
            <w:r>
              <w:rPr>
                <w:rFonts w:ascii="Arial" w:cs="Arial" w:eastAsia="Arial" w:hAnsi="Arial"/>
                <w:sz w:val="18"/>
                <w:szCs w:val="18"/>
                <w:color w:val="auto"/>
              </w:rPr>
              <w:t>the year ended December 31, 2018</w:t>
            </w:r>
          </w:p>
        </w:tc>
        <w:tc>
          <w:tcPr>
            <w:tcW w:w="280" w:type="dxa"/>
            <w:vAlign w:val="bottom"/>
          </w:tcPr>
          <w:p>
            <w:pPr>
              <w:spacing w:after="0"/>
              <w:rPr>
                <w:sz w:val="16"/>
                <w:szCs w:val="16"/>
                <w:color w:val="auto"/>
              </w:rPr>
            </w:pPr>
          </w:p>
        </w:tc>
        <w:tc>
          <w:tcPr>
            <w:tcW w:w="1660" w:type="dxa"/>
            <w:vAlign w:val="bottom"/>
            <w:gridSpan w:val="6"/>
          </w:tcPr>
          <w:p>
            <w:pPr>
              <w:jc w:val="center"/>
              <w:ind w:right="260"/>
              <w:spacing w:after="0" w:line="190"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March 27, 2019</w:t>
              </w:r>
            </w:hyperlink>
          </w:p>
        </w:tc>
      </w:tr>
      <w:tr>
        <w:trPr>
          <w:trHeight w:val="263"/>
        </w:trPr>
        <w:tc>
          <w:tcPr>
            <w:tcW w:w="626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 as we may update that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02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190"/>
        </w:trPr>
        <w:tc>
          <w:tcPr>
            <w:tcW w:w="6260" w:type="dxa"/>
            <w:vAlign w:val="bottom"/>
            <w:gridSpan w:val="2"/>
          </w:tcPr>
          <w:p>
            <w:pPr>
              <w:spacing w:after="0" w:line="190" w:lineRule="exact"/>
              <w:rPr>
                <w:sz w:val="20"/>
                <w:szCs w:val="20"/>
                <w:color w:val="auto"/>
              </w:rPr>
            </w:pPr>
            <w:r>
              <w:rPr>
                <w:rFonts w:ascii="Arial" w:cs="Arial" w:eastAsia="Arial" w:hAnsi="Arial"/>
                <w:sz w:val="18"/>
                <w:szCs w:val="18"/>
                <w:color w:val="auto"/>
              </w:rPr>
              <w:t>description from time to time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ind w:right="460"/>
              <w:spacing w:after="0" w:line="190" w:lineRule="exact"/>
              <w:rPr>
                <w:rFonts w:ascii="Arial" w:cs="Arial" w:eastAsia="Arial" w:hAnsi="Arial"/>
                <w:sz w:val="18"/>
                <w:szCs w:val="18"/>
                <w:color w:val="0000EE"/>
                <w:w w:val="95"/>
              </w:rPr>
            </w:pPr>
            <w:hyperlink r:id="rId85">
              <w:r>
                <w:rPr>
                  <w:rFonts w:ascii="Arial" w:cs="Arial" w:eastAsia="Arial" w:hAnsi="Arial"/>
                  <w:sz w:val="18"/>
                  <w:szCs w:val="18"/>
                  <w:color w:val="0000EE"/>
                  <w:w w:val="95"/>
                </w:rPr>
                <w:t>July 13, 1995</w:t>
              </w:r>
            </w:hyperlink>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60" w:right="419" w:firstLine="360"/>
        <w:spacing w:after="0" w:line="285"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w:t>
      </w:r>
    </w:p>
    <w:p>
      <w:pPr>
        <w:spacing w:after="0" w:line="2" w:lineRule="exact"/>
        <w:rPr>
          <w:sz w:val="20"/>
          <w:szCs w:val="20"/>
          <w:color w:val="auto"/>
        </w:rPr>
      </w:pPr>
    </w:p>
    <w:p>
      <w:pPr>
        <w:ind w:left="1260" w:right="539"/>
        <w:spacing w:after="0" w:line="255" w:lineRule="auto"/>
        <w:rPr>
          <w:sz w:val="20"/>
          <w:szCs w:val="20"/>
          <w:color w:val="auto"/>
        </w:rPr>
      </w:pPr>
      <w:r>
        <w:rPr>
          <w:rFonts w:ascii="Arial" w:cs="Arial" w:eastAsia="Arial" w:hAnsi="Arial"/>
          <w:sz w:val="18"/>
          <w:szCs w:val="18"/>
          <w:color w:val="auto"/>
        </w:rPr>
        <w:t>2.02 or 7.01 (or corresponding information furnished under item 9.01 or included as an exhibit) in any past or future current report on Form 8-K that we may file with the SEC, unless otherwise specified in such current report.</w:t>
      </w:r>
    </w:p>
    <w:p>
      <w:pPr>
        <w:spacing w:after="0" w:line="122" w:lineRule="exact"/>
        <w:rPr>
          <w:sz w:val="20"/>
          <w:szCs w:val="20"/>
          <w:color w:val="auto"/>
        </w:rPr>
      </w:pPr>
    </w:p>
    <w:p>
      <w:pPr>
        <w:ind w:left="1260" w:right="919" w:firstLine="360"/>
        <w:spacing w:after="0" w:line="259" w:lineRule="auto"/>
        <w:rPr>
          <w:sz w:val="20"/>
          <w:szCs w:val="20"/>
          <w:color w:val="auto"/>
        </w:rPr>
      </w:pPr>
      <w:r>
        <w:rPr>
          <w:rFonts w:ascii="Arial" w:cs="Arial" w:eastAsia="Arial" w:hAnsi="Arial"/>
          <w:sz w:val="18"/>
          <w:szCs w:val="18"/>
          <w:color w:val="auto"/>
        </w:rPr>
        <w:t xml:space="preserve">You may obtain copies of any of these filings through Waste Management, the SEC or the SEC’s internet site as described below. Documents incorporated by reference are available without charge by requesting them in writing or by telephone using the contact information below and may be accessed through the Investor Relations section of </w:t>
      </w:r>
      <w:r>
        <w:rPr>
          <w:rFonts w:ascii="Arial" w:cs="Arial" w:eastAsia="Arial" w:hAnsi="Arial"/>
          <w:sz w:val="18"/>
          <w:szCs w:val="18"/>
          <w:i w:val="1"/>
          <w:iCs w:val="1"/>
          <w:color w:val="auto"/>
        </w:rPr>
        <w:t>www.wm.com.</w:t>
      </w:r>
    </w:p>
    <w:p>
      <w:pPr>
        <w:spacing w:after="0" w:line="10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713-512-6200</w:t>
      </w:r>
    </w:p>
    <w:p>
      <w:pPr>
        <w:spacing w:after="0" w:line="207" w:lineRule="exact"/>
        <w:rPr>
          <w:sz w:val="20"/>
          <w:szCs w:val="20"/>
          <w:color w:val="auto"/>
        </w:rPr>
      </w:pPr>
    </w:p>
    <w:p>
      <w:pPr>
        <w:jc w:val="center"/>
        <w:ind w:left="1860" w:right="140"/>
        <w:spacing w:after="0" w:line="282" w:lineRule="auto"/>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7"/>
          <w:szCs w:val="17"/>
          <w:i w:val="1"/>
          <w:iCs w:val="1"/>
          <w:color w:val="auto"/>
        </w:rPr>
        <w:t>www.sec.gov</w:t>
      </w:r>
      <w:r>
        <w:rPr>
          <w:rFonts w:ascii="Arial" w:cs="Arial" w:eastAsia="Arial" w:hAnsi="Arial"/>
          <w:sz w:val="17"/>
          <w:szCs w:val="17"/>
          <w:color w:val="auto"/>
        </w:rPr>
        <w:t>. You can also obtain information about us at the offices of the New York Stock Exchange, 20 Broad Street, New York, New York 10005.</w:t>
      </w:r>
    </w:p>
    <w:p>
      <w:pPr>
        <w:spacing w:after="0" w:line="10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internet site discussed above.</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THE COMPANY</w:t>
      </w:r>
    </w:p>
    <w:p>
      <w:pPr>
        <w:spacing w:after="0" w:line="162"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96"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 xml:space="preserve">Our principal executive offices are located at 1001 Fannin Street, Houston, Texas 77002 and our telephone number is (713) 512-6200. Our internet address is </w:t>
      </w:r>
      <w:r>
        <w:rPr>
          <w:rFonts w:ascii="Arial" w:cs="Arial" w:eastAsia="Arial" w:hAnsi="Arial"/>
          <w:sz w:val="18"/>
          <w:szCs w:val="18"/>
          <w:i w:val="1"/>
          <w:iCs w:val="1"/>
          <w:color w:val="auto"/>
        </w:rPr>
        <w:t>www.wm.com.</w:t>
      </w:r>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DESCRIPTION OF THE DEBT SECURITIES</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2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62"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0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terms relating to the offering. These terms will include some or all of the following:</w:t>
      </w:r>
    </w:p>
    <w:p>
      <w:pPr>
        <w:spacing w:after="0" w:line="63"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date or dates on which the principal of and any premium on the debt securities will be payable;</w:t>
      </w:r>
    </w:p>
    <w:p>
      <w:pPr>
        <w:spacing w:after="0" w:line="115" w:lineRule="exact"/>
        <w:rPr>
          <w:rFonts w:ascii="Arial" w:cs="Arial" w:eastAsia="Arial" w:hAnsi="Arial"/>
          <w:sz w:val="17"/>
          <w:szCs w:val="17"/>
          <w:color w:val="auto"/>
        </w:rPr>
      </w:pPr>
    </w:p>
    <w:p>
      <w:pPr>
        <w:ind w:left="1800" w:right="69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800" w:right="81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payments on the debt securities will be payable in foreign currency or currency units or another form and whether payments will be payable by reference to any index or formula;</w:t>
      </w:r>
    </w:p>
    <w:p>
      <w:pPr>
        <w:spacing w:after="0" w:line="38" w:lineRule="exact"/>
        <w:rPr>
          <w:rFonts w:ascii="Arial" w:cs="Arial" w:eastAsia="Arial" w:hAnsi="Arial"/>
          <w:sz w:val="17"/>
          <w:szCs w:val="17"/>
          <w:color w:val="auto"/>
        </w:rPr>
      </w:pPr>
    </w:p>
    <w:p>
      <w:pPr>
        <w:ind w:left="1800" w:right="12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800" w:right="519" w:hanging="180"/>
        <w:spacing w:after="0" w:line="308"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additional means of defeasance of the debt securities, any additional conditions or limitations to defeasance of the debt securities or any changes to those conditions or limitations;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62"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44"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0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19"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of Waste Management into another person, or a conveyance, transfer or lease of our properties and assets substantially as an entirety to another person unless:</w:t>
      </w:r>
    </w:p>
    <w:p>
      <w:pPr>
        <w:spacing w:after="0" w:line="76" w:lineRule="exact"/>
        <w:rPr>
          <w:sz w:val="20"/>
          <w:szCs w:val="20"/>
          <w:color w:val="auto"/>
        </w:rPr>
      </w:pPr>
    </w:p>
    <w:p>
      <w:pPr>
        <w:ind w:left="1800" w:right="419" w:hanging="180"/>
        <w:spacing w:after="0" w:line="286" w:lineRule="auto"/>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57" w:lineRule="exact"/>
        <w:rPr>
          <w:rFonts w:ascii="Arial" w:cs="Arial" w:eastAsia="Arial" w:hAnsi="Arial"/>
          <w:sz w:val="17"/>
          <w:szCs w:val="17"/>
          <w:color w:val="auto"/>
        </w:rPr>
      </w:pPr>
    </w:p>
    <w:p>
      <w:pPr>
        <w:ind w:left="1800" w:right="5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89" w:lineRule="exact"/>
        <w:rPr>
          <w:sz w:val="20"/>
          <w:szCs w:val="20"/>
          <w:color w:val="auto"/>
        </w:rPr>
      </w:pPr>
    </w:p>
    <w:p>
      <w:pPr>
        <w:jc w:val="both"/>
        <w:ind w:left="1260" w:right="819" w:firstLine="360"/>
        <w:spacing w:after="0" w:line="286" w:lineRule="auto"/>
        <w:rPr>
          <w:sz w:val="20"/>
          <w:szCs w:val="20"/>
          <w:color w:val="auto"/>
        </w:rPr>
      </w:pPr>
      <w:r>
        <w:rPr>
          <w:rFonts w:ascii="Arial" w:cs="Arial" w:eastAsia="Arial" w:hAnsi="Arial"/>
          <w:sz w:val="17"/>
          <w:szCs w:val="17"/>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9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are events of default with respect to a series of debt securities:</w:t>
      </w:r>
    </w:p>
    <w:p>
      <w:pPr>
        <w:spacing w:after="0" w:line="62"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800" w:right="459" w:hanging="180"/>
        <w:spacing w:after="0" w:line="273"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69" w:lineRule="exact"/>
        <w:rPr>
          <w:rFonts w:ascii="Arial" w:cs="Arial" w:eastAsia="Arial" w:hAnsi="Arial"/>
          <w:sz w:val="17"/>
          <w:szCs w:val="17"/>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158" w:lineRule="exact"/>
        <w:rPr>
          <w:sz w:val="20"/>
          <w:szCs w:val="20"/>
          <w:color w:val="auto"/>
        </w:rPr>
      </w:pPr>
    </w:p>
    <w:p>
      <w:pPr>
        <w:ind w:left="1260" w:right="659" w:firstLine="360"/>
        <w:spacing w:after="0" w:line="275"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35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62"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30"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trustee fails to act for a period of 60 days after receipt of the request and offer of indemnity; and</w:t>
      </w:r>
    </w:p>
    <w:p>
      <w:pPr>
        <w:spacing w:after="0" w:line="142" w:lineRule="exact"/>
        <w:rPr>
          <w:rFonts w:ascii="Arial" w:cs="Arial" w:eastAsia="Arial" w:hAnsi="Arial"/>
          <w:sz w:val="17"/>
          <w:szCs w:val="17"/>
          <w:color w:val="auto"/>
        </w:rPr>
      </w:pPr>
    </w:p>
    <w:p>
      <w:pPr>
        <w:ind w:left="1800" w:right="51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89"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9" w:lineRule="exact"/>
        <w:rPr>
          <w:sz w:val="20"/>
          <w:szCs w:val="20"/>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30"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89"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103"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0" w:lineRule="exact"/>
        <w:rPr>
          <w:sz w:val="20"/>
          <w:szCs w:val="20"/>
          <w:color w:val="auto"/>
        </w:rPr>
      </w:pPr>
    </w:p>
    <w:p>
      <w:pPr>
        <w:ind w:left="1800" w:right="67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75"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9"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03"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i w:val="1"/>
          <w:iCs w:val="1"/>
          <w:color w:val="auto"/>
        </w:rPr>
        <w:t xml:space="preserve">Defeasance. </w:t>
      </w:r>
      <w:r>
        <w:rPr>
          <w:rFonts w:ascii="Arial" w:cs="Arial" w:eastAsia="Arial" w:hAnsi="Arial"/>
          <w:sz w:val="17"/>
          <w:szCs w:val="17"/>
          <w:color w:val="auto"/>
        </w:rPr>
        <w:t>When we use the term defeasance, we mean discharge from some or all of our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63" w:lineRule="exact"/>
        <w:rPr>
          <w:sz w:val="20"/>
          <w:szCs w:val="20"/>
          <w:color w:val="auto"/>
        </w:rPr>
      </w:pPr>
    </w:p>
    <w:p>
      <w:pPr>
        <w:ind w:left="1800" w:right="69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jc w:val="both"/>
        <w:ind w:left="1800" w:right="459" w:hanging="180"/>
        <w:spacing w:after="0" w:line="263"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3"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1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20"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7"/>
          <w:szCs w:val="17"/>
          <w:color w:val="auto"/>
        </w:rPr>
        <w:t>New York law will govern the indentures and the debt securities.</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subordinated indenture. The Bank of New 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2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20"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06"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93"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63"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9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20"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2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08"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i w:val="1"/>
          <w:iCs w:val="1"/>
          <w:color w:val="auto"/>
        </w:rPr>
        <w:t xml:space="preserve">Book-Entry Debt Securities. </w:t>
      </w:r>
      <w:r>
        <w:rPr>
          <w:rFonts w:ascii="Arial" w:cs="Arial" w:eastAsia="Arial" w:hAnsi="Arial"/>
          <w:sz w:val="18"/>
          <w:szCs w:val="18"/>
          <w:color w:val="auto"/>
        </w:rPr>
        <w:t>The debt securities of a series may be issued in the form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w:t>
      </w:r>
    </w:p>
    <w:p>
      <w:pPr>
        <w:spacing w:after="0" w:line="35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91" w:lineRule="auto"/>
        <w:rPr>
          <w:sz w:val="20"/>
          <w:szCs w:val="20"/>
          <w:color w:val="auto"/>
        </w:rPr>
      </w:pPr>
      <w:r>
        <w:rPr>
          <w:rFonts w:ascii="Arial" w:cs="Arial" w:eastAsia="Arial" w:hAnsi="Arial"/>
          <w:sz w:val="17"/>
          <w:szCs w:val="17"/>
          <w:color w:val="auto"/>
        </w:rPr>
        <w:t>and prompt payment of the principal of and any premium and interest on the senior debt securities issued by Waste Management when and as the payment becomes due and payable, whether at maturity or otherwise.</w:t>
      </w:r>
    </w:p>
    <w:p>
      <w:pPr>
        <w:spacing w:after="0" w:line="6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58" w:lineRule="exact"/>
        <w:rPr>
          <w:sz w:val="20"/>
          <w:szCs w:val="20"/>
          <w:color w:val="auto"/>
        </w:rPr>
      </w:pPr>
    </w:p>
    <w:p>
      <w:pPr>
        <w:jc w:val="both"/>
        <w:ind w:left="1260" w:right="419" w:firstLine="360"/>
        <w:spacing w:after="0" w:line="294" w:lineRule="auto"/>
        <w:rPr>
          <w:sz w:val="20"/>
          <w:szCs w:val="20"/>
          <w:color w:val="auto"/>
        </w:rPr>
      </w:pPr>
      <w:r>
        <w:rPr>
          <w:rFonts w:ascii="Arial" w:cs="Arial" w:eastAsia="Arial" w:hAnsi="Arial"/>
          <w:sz w:val="16"/>
          <w:szCs w:val="16"/>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66" w:lineRule="exact"/>
        <w:rPr>
          <w:sz w:val="20"/>
          <w:szCs w:val="20"/>
          <w:color w:val="auto"/>
        </w:rPr>
      </w:pPr>
    </w:p>
    <w:p>
      <w:pPr>
        <w:ind w:left="1980" w:right="45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89" w:lineRule="exact"/>
        <w:rPr>
          <w:rFonts w:ascii="Arial" w:cs="Arial" w:eastAsia="Arial" w:hAnsi="Arial"/>
          <w:sz w:val="18"/>
          <w:szCs w:val="18"/>
          <w:color w:val="auto"/>
        </w:rPr>
      </w:pPr>
    </w:p>
    <w:p>
      <w:pPr>
        <w:ind w:left="1980" w:right="57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89" w:lineRule="exact"/>
        <w:rPr>
          <w:rFonts w:ascii="Arial" w:cs="Arial" w:eastAsia="Arial" w:hAnsi="Arial"/>
          <w:sz w:val="18"/>
          <w:szCs w:val="18"/>
          <w:color w:val="auto"/>
        </w:rPr>
      </w:pPr>
    </w:p>
    <w:p>
      <w:pPr>
        <w:ind w:left="1980" w:right="879" w:hanging="360"/>
        <w:spacing w:after="0" w:line="263"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02" w:lineRule="exact"/>
        <w:rPr>
          <w:rFonts w:ascii="Arial" w:cs="Arial" w:eastAsia="Arial" w:hAnsi="Arial"/>
          <w:sz w:val="18"/>
          <w:szCs w:val="18"/>
          <w:color w:val="auto"/>
        </w:rPr>
      </w:pPr>
    </w:p>
    <w:p>
      <w:pPr>
        <w:ind w:left="1980" w:right="619" w:hanging="360"/>
        <w:spacing w:after="0" w:line="263"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 Indenture — Consolidation, Merger and Sale of</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above;</w:t>
      </w:r>
    </w:p>
    <w:p>
      <w:pPr>
        <w:spacing w:after="0" w:line="116" w:lineRule="exact"/>
        <w:rPr>
          <w:rFonts w:ascii="Arial" w:cs="Arial" w:eastAsia="Arial" w:hAnsi="Arial"/>
          <w:sz w:val="18"/>
          <w:szCs w:val="18"/>
          <w:color w:val="auto"/>
        </w:rPr>
      </w:pPr>
    </w:p>
    <w:p>
      <w:pPr>
        <w:ind w:left="1980" w:hanging="360"/>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03" w:lineRule="exact"/>
        <w:rPr>
          <w:rFonts w:ascii="Arial" w:cs="Arial" w:eastAsia="Arial" w:hAnsi="Arial"/>
          <w:sz w:val="18"/>
          <w:szCs w:val="18"/>
          <w:color w:val="auto"/>
        </w:rPr>
      </w:pPr>
    </w:p>
    <w:p>
      <w:pPr>
        <w:ind w:left="2160" w:right="499" w:hanging="180"/>
        <w:spacing w:after="0" w:line="257" w:lineRule="auto"/>
        <w:tabs>
          <w:tab w:leader="none" w:pos="2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3" w:lineRule="exact"/>
        <w:rPr>
          <w:rFonts w:ascii="Arial" w:cs="Arial" w:eastAsia="Arial" w:hAnsi="Arial"/>
          <w:sz w:val="18"/>
          <w:szCs w:val="18"/>
          <w:color w:val="auto"/>
        </w:rPr>
      </w:pPr>
    </w:p>
    <w:p>
      <w:pPr>
        <w:ind w:left="1980" w:hanging="360"/>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44" w:lineRule="exact"/>
        <w:rPr>
          <w:rFonts w:ascii="Arial" w:cs="Arial" w:eastAsia="Arial" w:hAnsi="Arial"/>
          <w:sz w:val="18"/>
          <w:szCs w:val="18"/>
          <w:color w:val="auto"/>
        </w:rPr>
      </w:pPr>
    </w:p>
    <w:p>
      <w:pPr>
        <w:ind w:left="1980" w:hanging="360"/>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44" w:lineRule="exact"/>
        <w:rPr>
          <w:rFonts w:ascii="Arial" w:cs="Arial" w:eastAsia="Arial" w:hAnsi="Arial"/>
          <w:sz w:val="18"/>
          <w:szCs w:val="18"/>
          <w:color w:val="auto"/>
        </w:rPr>
      </w:pPr>
    </w:p>
    <w:p>
      <w:pPr>
        <w:ind w:left="1980" w:right="103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89" w:lineRule="exact"/>
        <w:rPr>
          <w:rFonts w:ascii="Arial" w:cs="Arial" w:eastAsia="Arial" w:hAnsi="Arial"/>
          <w:sz w:val="18"/>
          <w:szCs w:val="18"/>
          <w:color w:val="auto"/>
        </w:rPr>
      </w:pPr>
    </w:p>
    <w:p>
      <w:pPr>
        <w:ind w:left="1980" w:right="45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89" w:lineRule="exact"/>
        <w:rPr>
          <w:rFonts w:ascii="Arial" w:cs="Arial" w:eastAsia="Arial" w:hAnsi="Arial"/>
          <w:sz w:val="18"/>
          <w:szCs w:val="18"/>
          <w:color w:val="auto"/>
        </w:rPr>
      </w:pPr>
    </w:p>
    <w:p>
      <w:pPr>
        <w:ind w:left="1980" w:right="73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 connection with legal proceedings so long as the proceeding is being contested in good faith or execution thereon is stayed;</w:t>
      </w:r>
    </w:p>
    <w:p>
      <w:pPr>
        <w:spacing w:after="0" w:line="89" w:lineRule="exact"/>
        <w:rPr>
          <w:rFonts w:ascii="Arial" w:cs="Arial" w:eastAsia="Arial" w:hAnsi="Arial"/>
          <w:sz w:val="18"/>
          <w:szCs w:val="18"/>
          <w:color w:val="auto"/>
        </w:rPr>
      </w:pPr>
    </w:p>
    <w:p>
      <w:pPr>
        <w:ind w:left="1980" w:right="91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89" w:lineRule="exact"/>
        <w:rPr>
          <w:rFonts w:ascii="Arial" w:cs="Arial" w:eastAsia="Arial" w:hAnsi="Arial"/>
          <w:sz w:val="18"/>
          <w:szCs w:val="18"/>
          <w:color w:val="auto"/>
        </w:rPr>
      </w:pPr>
    </w:p>
    <w:p>
      <w:pPr>
        <w:ind w:left="1980" w:right="103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89" w:lineRule="exact"/>
        <w:rPr>
          <w:rFonts w:ascii="Arial" w:cs="Arial" w:eastAsia="Arial" w:hAnsi="Arial"/>
          <w:sz w:val="18"/>
          <w:szCs w:val="18"/>
          <w:color w:val="auto"/>
        </w:rPr>
      </w:pPr>
    </w:p>
    <w:p>
      <w:pPr>
        <w:ind w:left="1980" w:right="53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89" w:lineRule="exact"/>
        <w:rPr>
          <w:rFonts w:ascii="Arial" w:cs="Arial" w:eastAsia="Arial" w:hAnsi="Arial"/>
          <w:sz w:val="18"/>
          <w:szCs w:val="18"/>
          <w:color w:val="auto"/>
        </w:rPr>
      </w:pPr>
    </w:p>
    <w:p>
      <w:pPr>
        <w:ind w:left="1980" w:right="919" w:hanging="36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hanging="36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44" w:lineRule="exact"/>
        <w:rPr>
          <w:rFonts w:ascii="Arial" w:cs="Arial" w:eastAsia="Arial" w:hAnsi="Arial"/>
          <w:sz w:val="18"/>
          <w:szCs w:val="18"/>
          <w:color w:val="auto"/>
        </w:rPr>
      </w:pPr>
    </w:p>
    <w:p>
      <w:pPr>
        <w:ind w:left="1980" w:right="579" w:hanging="360"/>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5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89" w:lineRule="exact"/>
        <w:rPr>
          <w:sz w:val="20"/>
          <w:szCs w:val="20"/>
          <w:color w:val="auto"/>
        </w:rPr>
      </w:pPr>
    </w:p>
    <w:p>
      <w:pPr>
        <w:ind w:left="1980" w:right="439" w:hanging="360"/>
        <w:spacing w:after="0" w:line="259"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19" w:lineRule="exact"/>
        <w:rPr>
          <w:rFonts w:ascii="Arial" w:cs="Arial" w:eastAsia="Arial" w:hAnsi="Arial"/>
          <w:sz w:val="18"/>
          <w:szCs w:val="18"/>
          <w:color w:val="auto"/>
        </w:rPr>
      </w:pPr>
    </w:p>
    <w:p>
      <w:pPr>
        <w:ind w:left="1980" w:right="659" w:hanging="360"/>
        <w:spacing w:after="0" w:line="255"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the debt securities listed under the senior indenture or debt incurred by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Subsidiary; or</w:t>
      </w:r>
    </w:p>
    <w:p>
      <w:pPr>
        <w:spacing w:after="0" w:line="124" w:lineRule="exact"/>
        <w:rPr>
          <w:rFonts w:ascii="Arial" w:cs="Arial" w:eastAsia="Arial" w:hAnsi="Arial"/>
          <w:sz w:val="18"/>
          <w:szCs w:val="18"/>
          <w:color w:val="auto"/>
        </w:rPr>
      </w:pPr>
    </w:p>
    <w:p>
      <w:pPr>
        <w:ind w:left="1980" w:right="819" w:hanging="360"/>
        <w:spacing w:after="0" w:line="259"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06"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Glossary</w:t>
      </w:r>
    </w:p>
    <w:p>
      <w:pPr>
        <w:spacing w:after="0" w:line="15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i w:val="1"/>
          <w:iCs w:val="1"/>
          <w:color w:val="auto"/>
        </w:rPr>
        <w:t xml:space="preserve">“Attributable Debt” </w:t>
      </w:r>
      <w:r>
        <w:rPr>
          <w:rFonts w:ascii="Arial" w:cs="Arial" w:eastAsia="Arial" w:hAnsi="Arial"/>
          <w:sz w:val="18"/>
          <w:szCs w:val="18"/>
          <w:color w:val="auto"/>
        </w:rPr>
        <w:t>means the present value of the rental payments during the remaining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consolidated subsidiaries less:</w:t>
      </w:r>
    </w:p>
    <w:p>
      <w:pPr>
        <w:spacing w:after="0" w:line="62" w:lineRule="exact"/>
        <w:rPr>
          <w:sz w:val="20"/>
          <w:szCs w:val="20"/>
          <w:color w:val="auto"/>
        </w:rPr>
      </w:pPr>
    </w:p>
    <w:p>
      <w:pPr>
        <w:ind w:left="1800" w:right="739" w:hanging="180"/>
        <w:spacing w:after="0" w:line="263"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will calculate Consolidated Net Tangible Assets based on our most recent quarterly balance sheet.</w:t>
      </w:r>
    </w:p>
    <w:p>
      <w:pPr>
        <w:spacing w:after="0" w:line="16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i w:val="1"/>
          <w:iCs w:val="1"/>
          <w:color w:val="auto"/>
        </w:rPr>
        <w:t xml:space="preserve">“Indebtedness” </w:t>
      </w:r>
      <w:r>
        <w:rPr>
          <w:rFonts w:ascii="Arial" w:cs="Arial" w:eastAsia="Arial" w:hAnsi="Arial"/>
          <w:sz w:val="17"/>
          <w:szCs w:val="17"/>
          <w:color w:val="auto"/>
        </w:rPr>
        <w:t>means (a) all obligations for borrowed money or on which interest charges are</w:t>
      </w:r>
      <w:r>
        <w:rPr>
          <w:rFonts w:ascii="Arial" w:cs="Arial" w:eastAsia="Arial" w:hAnsi="Arial"/>
          <w:sz w:val="17"/>
          <w:szCs w:val="17"/>
          <w:i w:val="1"/>
          <w:iCs w:val="1"/>
          <w:color w:val="auto"/>
        </w:rPr>
        <w:t xml:space="preserve"> </w:t>
      </w:r>
      <w:r>
        <w:rPr>
          <w:rFonts w:ascii="Arial" w:cs="Arial" w:eastAsia="Arial" w:hAnsi="Arial"/>
          <w:sz w:val="17"/>
          <w:szCs w:val="17"/>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0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1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i w:val="1"/>
          <w:iCs w:val="1"/>
          <w:color w:val="auto"/>
        </w:rPr>
        <w:t xml:space="preserve">“Restricted Subsidiary” </w:t>
      </w:r>
      <w:r>
        <w:rPr>
          <w:rFonts w:ascii="Arial" w:cs="Arial" w:eastAsia="Arial" w:hAnsi="Arial"/>
          <w:sz w:val="18"/>
          <w:szCs w:val="18"/>
          <w:color w:val="auto"/>
        </w:rPr>
        <w:t>means any Subsidiary (other than any Subsidiary of which the Company owns</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20"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lease any Principal Property that we or such Restricted Subsidiary has sold or transferred or will sell or transfer to that person. This term excludes the following:</w:t>
      </w:r>
    </w:p>
    <w:p>
      <w:pPr>
        <w:spacing w:after="0" w:line="76" w:lineRule="exact"/>
        <w:rPr>
          <w:sz w:val="20"/>
          <w:szCs w:val="20"/>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5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by us or by one or more other Subsidiaries, or by us and one or more other Subsidiaries.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48" w:lineRule="exact"/>
        <w:rPr>
          <w:sz w:val="20"/>
          <w:szCs w:val="20"/>
          <w:color w:val="auto"/>
        </w:rPr>
      </w:pPr>
    </w:p>
    <w:p>
      <w:pPr>
        <w:ind w:left="1260" w:right="879" w:firstLine="360"/>
        <w:spacing w:after="0" w:line="308" w:lineRule="auto"/>
        <w:rPr>
          <w:sz w:val="20"/>
          <w:szCs w:val="20"/>
          <w:color w:val="auto"/>
        </w:rPr>
      </w:pPr>
      <w:r>
        <w:rPr>
          <w:rFonts w:ascii="Arial" w:cs="Arial" w:eastAsia="Arial" w:hAnsi="Arial"/>
          <w:sz w:val="17"/>
          <w:szCs w:val="17"/>
          <w:i w:val="1"/>
          <w:iCs w:val="1"/>
          <w:color w:val="auto"/>
        </w:rPr>
        <w:t xml:space="preserve">Ranking. </w:t>
      </w:r>
      <w:r>
        <w:rPr>
          <w:rFonts w:ascii="Arial" w:cs="Arial" w:eastAsia="Arial" w:hAnsi="Arial"/>
          <w:sz w:val="17"/>
          <w:szCs w:val="17"/>
          <w:color w:val="auto"/>
        </w:rPr>
        <w:t>The subordinated debt securities will rank junior to all of our senior debt and may rank</w:t>
      </w:r>
      <w:r>
        <w:rPr>
          <w:rFonts w:ascii="Arial" w:cs="Arial" w:eastAsia="Arial" w:hAnsi="Arial"/>
          <w:sz w:val="17"/>
          <w:szCs w:val="17"/>
          <w:i w:val="1"/>
          <w:iCs w:val="1"/>
          <w:color w:val="auto"/>
        </w:rPr>
        <w:t xml:space="preserve"> </w:t>
      </w:r>
      <w:r>
        <w:rPr>
          <w:rFonts w:ascii="Arial" w:cs="Arial" w:eastAsia="Arial" w:hAnsi="Arial"/>
          <w:sz w:val="17"/>
          <w:szCs w:val="17"/>
          <w:color w:val="auto"/>
        </w:rPr>
        <w:t>equally with or senior to our other subordinated debt that may be outstanding from time to time.</w:t>
      </w:r>
    </w:p>
    <w:p>
      <w:pPr>
        <w:spacing w:after="0" w:line="79" w:lineRule="exact"/>
        <w:rPr>
          <w:sz w:val="20"/>
          <w:szCs w:val="20"/>
          <w:color w:val="auto"/>
        </w:rPr>
      </w:pPr>
    </w:p>
    <w:p>
      <w:pPr>
        <w:ind w:left="1260" w:right="539" w:firstLine="360"/>
        <w:spacing w:after="0" w:line="272" w:lineRule="auto"/>
        <w:rPr>
          <w:sz w:val="20"/>
          <w:szCs w:val="20"/>
          <w:color w:val="auto"/>
        </w:rPr>
      </w:pPr>
      <w:r>
        <w:rPr>
          <w:rFonts w:ascii="Arial" w:cs="Arial" w:eastAsia="Arial" w:hAnsi="Arial"/>
          <w:sz w:val="17"/>
          <w:szCs w:val="17"/>
          <w:i w:val="1"/>
          <w:iCs w:val="1"/>
          <w:color w:val="auto"/>
        </w:rPr>
        <w:t xml:space="preserve">Subordination. </w:t>
      </w:r>
      <w:r>
        <w:rPr>
          <w:rFonts w:ascii="Arial" w:cs="Arial" w:eastAsia="Arial" w:hAnsi="Arial"/>
          <w:sz w:val="17"/>
          <w:szCs w:val="17"/>
          <w:color w:val="auto"/>
        </w:rPr>
        <w:t>Under the subordinated indenture, payment of the principal of and any premium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10"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GUARANTEES</w:t>
      </w:r>
    </w:p>
    <w:p>
      <w:pPr>
        <w:spacing w:after="0" w:line="148"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05" w:lineRule="exact"/>
        <w:rPr>
          <w:sz w:val="20"/>
          <w:szCs w:val="20"/>
          <w:color w:val="auto"/>
        </w:rPr>
      </w:pPr>
    </w:p>
    <w:p>
      <w:pPr>
        <w:ind w:left="1260" w:right="699" w:firstLine="360"/>
        <w:spacing w:after="0" w:line="241"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22"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20" w:lineRule="exact"/>
        <w:rPr>
          <w:sz w:val="20"/>
          <w:szCs w:val="20"/>
          <w:color w:val="auto"/>
        </w:rPr>
      </w:pPr>
    </w:p>
    <w:p>
      <w:pPr>
        <w:jc w:val="both"/>
        <w:ind w:left="1260" w:right="599" w:firstLine="360"/>
        <w:spacing w:after="0" w:line="270" w:lineRule="auto"/>
        <w:rPr>
          <w:sz w:val="20"/>
          <w:szCs w:val="20"/>
          <w:color w:val="auto"/>
        </w:rPr>
      </w:pPr>
      <w:r>
        <w:rPr>
          <w:rFonts w:ascii="Arial" w:cs="Arial" w:eastAsia="Arial" w:hAnsi="Arial"/>
          <w:sz w:val="17"/>
          <w:szCs w:val="17"/>
          <w:color w:val="auto"/>
        </w:rPr>
        <w:t>We are authorized to issue 1,500,000,000 shares of common stock, of which 424,759,439 shares were outstanding at April 22, 2019 (excluding treasury shares of 205,523,022). We are also authorized to issue 10,000,000 shares of preferred stock, none of which were outstanding on that date.</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certain cases, common stockholders may not receive dividends until we satisfy our obligations to any preferred stockholders.</w:t>
      </w:r>
    </w:p>
    <w:p>
      <w:pPr>
        <w:spacing w:after="0" w:line="10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other matter we may ask stockholders to vote on. 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 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24"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114"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voluntarily, common stockholders will share ratably in the assets remaining after we pay our creditors and any preferred stockholders.</w:t>
      </w:r>
    </w:p>
    <w:p>
      <w:pPr>
        <w:spacing w:after="0" w:line="101"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w:t>
      </w:r>
      <w:r>
        <w:rPr>
          <w:rFonts w:ascii="Arial" w:cs="Arial" w:eastAsia="Arial" w:hAnsi="Arial"/>
          <w:sz w:val="18"/>
          <w:szCs w:val="18"/>
          <w:i w:val="1"/>
          <w:iCs w:val="1"/>
          <w:color w:val="auto"/>
        </w:rPr>
        <w:t xml:space="preserve"> </w:t>
      </w:r>
      <w:r>
        <w:rPr>
          <w:rFonts w:ascii="Arial" w:cs="Arial" w:eastAsia="Arial" w:hAnsi="Arial"/>
          <w:sz w:val="18"/>
          <w:szCs w:val="18"/>
          <w:color w:val="auto"/>
        </w:rPr>
        <w:t>“WM.”</w:t>
      </w:r>
    </w:p>
    <w:p>
      <w:pPr>
        <w:spacing w:after="0" w:line="103"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Computershare</w:t>
      </w:r>
      <w:r>
        <w:rPr>
          <w:rFonts w:ascii="Arial" w:cs="Arial" w:eastAsia="Arial" w:hAnsi="Arial"/>
          <w:sz w:val="18"/>
          <w:szCs w:val="18"/>
          <w:i w:val="1"/>
          <w:iCs w:val="1"/>
          <w:color w:val="auto"/>
        </w:rPr>
        <w:t xml:space="preserve"> </w:t>
      </w:r>
      <w:r>
        <w:rPr>
          <w:rFonts w:ascii="Arial" w:cs="Arial" w:eastAsia="Arial" w:hAnsi="Arial"/>
          <w:sz w:val="18"/>
          <w:szCs w:val="18"/>
          <w:color w:val="auto"/>
        </w:rPr>
        <w:t>in Jersey City, New Jersey.</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but Unissued Shares</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Exclusive Forum</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By-laws provide that, unless we consent to the selection of an alternative forum in writing, Delaware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or the Company’s certificate of incorporation or By-laws or as to which the DGCL confers jurisdiction upon the Court of Chancery of the State of Delaware;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a Change of Control</w:t>
      </w:r>
    </w:p>
    <w:p>
      <w:pPr>
        <w:spacing w:after="0" w:line="148"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79" w:lineRule="exact"/>
        <w:rPr>
          <w:sz w:val="20"/>
          <w:szCs w:val="20"/>
          <w:color w:val="auto"/>
        </w:rPr>
      </w:pPr>
    </w:p>
    <w:p>
      <w:pPr>
        <w:ind w:left="1800" w:right="1039" w:hanging="180"/>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89" w:lineRule="exact"/>
        <w:rPr>
          <w:rFonts w:ascii="Arial" w:cs="Arial" w:eastAsia="Arial" w:hAnsi="Arial"/>
          <w:sz w:val="18"/>
          <w:szCs w:val="18"/>
          <w:color w:val="auto"/>
        </w:rPr>
      </w:pPr>
    </w:p>
    <w:p>
      <w:pPr>
        <w:ind w:left="1800" w:right="719" w:hanging="180"/>
        <w:spacing w:after="0" w:line="255"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84" w:lineRule="exact"/>
        <w:rPr>
          <w:rFonts w:ascii="Arial" w:cs="Arial" w:eastAsia="Arial" w:hAnsi="Arial"/>
          <w:sz w:val="18"/>
          <w:szCs w:val="18"/>
          <w:color w:val="auto"/>
        </w:rPr>
      </w:pPr>
    </w:p>
    <w:p>
      <w:pPr>
        <w:ind w:left="1800" w:right="519" w:hanging="180"/>
        <w:spacing w:after="0" w:line="259"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0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ectPr>
          <w:pgSz w:w="11900" w:h="16838" w:orient="portrait"/>
          <w:cols w:equalWidth="0" w:num="1">
            <w:col w:w="9879"/>
          </w:cols>
          <w:pgMar w:left="58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OTHER SECURITIES</w:t>
      </w:r>
    </w:p>
    <w:p>
      <w:pPr>
        <w:spacing w:after="0" w:line="148"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2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16"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219"/>
        <w:spacing w:after="0" w:line="277" w:lineRule="auto"/>
        <w:rPr>
          <w:sz w:val="20"/>
          <w:szCs w:val="20"/>
          <w:color w:val="auto"/>
        </w:rPr>
      </w:pPr>
      <w:r>
        <w:rPr>
          <w:rFonts w:ascii="Arial" w:cs="Arial" w:eastAsia="Arial" w:hAnsi="Arial"/>
          <w:sz w:val="18"/>
          <w:szCs w:val="18"/>
          <w:color w:val="auto"/>
        </w:rPr>
        <w:t>to be determined by the dealer at the time of resale. To the extent required, we will set forth in the prospectus supplement the name of the dealer and the terms of the transactions.</w:t>
      </w:r>
    </w:p>
    <w:p>
      <w:pPr>
        <w:spacing w:after="0" w:line="89"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20"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10"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8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24"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8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8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Waste Management, Inc. appearing in Waste Management, Inc.’s </w:t>
      </w:r>
      <w:hyperlink r:id="rId80">
        <w:r>
          <w:rPr>
            <w:rFonts w:ascii="Arial" w:cs="Arial" w:eastAsia="Arial" w:hAnsi="Arial"/>
            <w:sz w:val="18"/>
            <w:szCs w:val="18"/>
            <w:u w:val="single" w:color="auto"/>
            <w:color w:val="0000EE"/>
          </w:rPr>
          <w:t>Annual Report (Form 10-K) for the year ended December 31, 2018</w:t>
        </w:r>
      </w:hyperlink>
      <w:r>
        <w:rPr>
          <w:rFonts w:ascii="Arial" w:cs="Arial" w:eastAsia="Arial" w:hAnsi="Arial"/>
          <w:sz w:val="18"/>
          <w:szCs w:val="18"/>
          <w:color w:val="auto"/>
        </w:rPr>
        <w:t>, and the effectiveness of Waste Management, Inc.’s internal control over financial reporting as of December 31, 2018,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700"/>
        <w:spacing w:after="0"/>
        <w:rPr>
          <w:sz w:val="20"/>
          <w:szCs w:val="20"/>
          <w:color w:val="auto"/>
        </w:rPr>
      </w:pPr>
      <w:r>
        <w:rPr>
          <w:rFonts w:ascii="Arial" w:cs="Arial" w:eastAsia="Arial" w:hAnsi="Arial"/>
          <w:sz w:val="25"/>
          <w:szCs w:val="25"/>
          <w:b w:val="1"/>
          <w:bCs w:val="1"/>
          <w:color w:val="auto"/>
        </w:rPr>
        <w:t>$950,000,000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123190</wp:posOffset>
            </wp:positionV>
            <wp:extent cx="2494280" cy="660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249428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auto"/>
        </w:rPr>
        <w:t>$475,000,000 2.00% Senior Notes due 2029</w:t>
      </w:r>
    </w:p>
    <w:p>
      <w:pPr>
        <w:spacing w:after="0" w:line="57" w:lineRule="exact"/>
        <w:rPr>
          <w:sz w:val="20"/>
          <w:szCs w:val="20"/>
          <w:color w:val="auto"/>
        </w:rPr>
      </w:pPr>
    </w:p>
    <w:p>
      <w:pPr>
        <w:ind w:left="3180"/>
        <w:spacing w:after="0"/>
        <w:rPr>
          <w:sz w:val="20"/>
          <w:szCs w:val="20"/>
          <w:color w:val="auto"/>
        </w:rPr>
      </w:pPr>
      <w:r>
        <w:rPr>
          <w:rFonts w:ascii="Arial" w:cs="Arial" w:eastAsia="Arial" w:hAnsi="Arial"/>
          <w:sz w:val="21"/>
          <w:szCs w:val="21"/>
          <w:b w:val="1"/>
          <w:bCs w:val="1"/>
          <w:color w:val="auto"/>
        </w:rPr>
        <w:t>$475,000,000 2.95% Senior Notes due 2041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417830</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130810</wp:posOffset>
            </wp:positionV>
            <wp:extent cx="12344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840"/>
        <w:spacing w:after="0"/>
        <w:rPr>
          <w:sz w:val="20"/>
          <w:szCs w:val="20"/>
          <w:color w:val="auto"/>
        </w:rPr>
      </w:pPr>
      <w:r>
        <w:rPr>
          <w:rFonts w:ascii="Arial" w:cs="Arial" w:eastAsia="Arial" w:hAnsi="Arial"/>
          <w:sz w:val="18"/>
          <w:szCs w:val="18"/>
          <w:i w:val="1"/>
          <w:iCs w:val="1"/>
          <w:color w:val="auto"/>
        </w:rPr>
        <w:t>Joint Book-Running Managers</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Credit Suisse</w:t>
      </w:r>
    </w:p>
    <w:p>
      <w:pPr>
        <w:spacing w:after="0" w:line="9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Goldman Sachs &amp; Co. LLC</w:t>
      </w:r>
    </w:p>
    <w:p>
      <w:pPr>
        <w:spacing w:after="0" w:line="77"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Wells Fargo Securities</w:t>
      </w:r>
    </w:p>
    <w:p>
      <w:pPr>
        <w:spacing w:after="0" w:line="153" w:lineRule="exact"/>
        <w:rPr>
          <w:sz w:val="20"/>
          <w:szCs w:val="20"/>
          <w:color w:val="auto"/>
        </w:rPr>
      </w:pPr>
    </w:p>
    <w:p>
      <w:pPr>
        <w:jc w:val="center"/>
        <w:ind w:right="-840"/>
        <w:spacing w:after="0"/>
        <w:rPr>
          <w:sz w:val="20"/>
          <w:szCs w:val="20"/>
          <w:color w:val="auto"/>
        </w:rPr>
      </w:pPr>
      <w:r>
        <w:rPr>
          <w:rFonts w:ascii="Arial" w:cs="Arial" w:eastAsia="Arial" w:hAnsi="Arial"/>
          <w:sz w:val="18"/>
          <w:szCs w:val="18"/>
          <w:i w:val="1"/>
          <w:iCs w:val="1"/>
          <w:color w:val="auto"/>
        </w:rPr>
        <w:t>Co-Managers</w:t>
      </w:r>
    </w:p>
    <w:p>
      <w:pPr>
        <w:spacing w:after="0" w:line="216"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BofA Securities</w:t>
      </w:r>
    </w:p>
    <w:p>
      <w:pPr>
        <w:spacing w:after="0" w:line="9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Barclays</w:t>
      </w:r>
    </w:p>
    <w:p>
      <w:pPr>
        <w:spacing w:after="0" w:line="77"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J.P. Morgan</w:t>
      </w:r>
    </w:p>
    <w:p>
      <w:pPr>
        <w:spacing w:after="0" w:line="9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Mizuho Securities</w:t>
      </w:r>
    </w:p>
    <w:p>
      <w:pPr>
        <w:spacing w:after="0" w:line="9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Scotiabank</w:t>
      </w:r>
    </w:p>
    <w:p>
      <w:pPr>
        <w:spacing w:after="0" w:line="77"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PNC Capital Markets LLC</w:t>
      </w:r>
    </w:p>
    <w:p>
      <w:pPr>
        <w:spacing w:after="0" w:line="9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Truist Securities</w:t>
      </w:r>
    </w:p>
    <w:p>
      <w:pPr>
        <w:spacing w:after="0" w:line="9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Loop Capital Markets</w:t>
      </w:r>
    </w:p>
    <w:p>
      <w:pPr>
        <w:spacing w:after="0" w:line="77"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Academy Securities</w:t>
      </w:r>
    </w:p>
    <w:p>
      <w:pPr>
        <w:spacing w:after="0" w:line="9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Siebert Williams Shank</w:t>
      </w:r>
    </w:p>
    <w:p>
      <w:pPr>
        <w:spacing w:after="0" w:line="91" w:lineRule="exact"/>
        <w:rPr>
          <w:sz w:val="20"/>
          <w:szCs w:val="20"/>
          <w:color w:val="auto"/>
        </w:rPr>
      </w:pPr>
    </w:p>
    <w:p>
      <w:pPr>
        <w:jc w:val="center"/>
        <w:ind w:right="-860"/>
        <w:spacing w:after="0"/>
        <w:rPr>
          <w:sz w:val="20"/>
          <w:szCs w:val="20"/>
          <w:color w:val="auto"/>
        </w:rPr>
      </w:pPr>
      <w:r>
        <w:rPr>
          <w:rFonts w:ascii="Arial" w:cs="Arial" w:eastAsia="Arial" w:hAnsi="Arial"/>
          <w:sz w:val="25"/>
          <w:szCs w:val="25"/>
          <w:b w:val="1"/>
          <w:bCs w:val="1"/>
          <w:color w:val="auto"/>
        </w:rPr>
        <w:t>Stern</w:t>
      </w: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April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134620</wp:posOffset>
            </wp:positionV>
            <wp:extent cx="5212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168910</wp:posOffset>
            </wp:positionV>
            <wp:extent cx="521208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430530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emdash "/>
      <w:numFmt w:val="bullet"/>
      <w:start w:val="1"/>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2"/>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lvl w:ilvl="1">
      <w:lvlJc w:val="left"/>
      <w:lvlText w:val="(%2)"/>
      <w:numFmt w:val="lowerLetter"/>
      <w:start w:val="1"/>
    </w:lvl>
  </w:abstractNum>
  <w:abstractNum w:abstractNumId="10">
    <w:nsid w:val="1E7FF521"/>
    <w:multiLevelType w:val="hybridMultilevel"/>
    <w:lvl w:ilvl="0">
      <w:lvlJc w:val="left"/>
      <w:lvlText w:val="(%1)"/>
      <w:numFmt w:val="decimal"/>
      <w:start w:val="2"/>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Roman"/>
      <w:start w:val="3"/>
    </w:lvl>
  </w:abstractNum>
  <w:abstractNum w:abstractNumId="24">
    <w:nsid w:val="7724C67E"/>
    <w:multiLevelType w:val="hybridMultilevel"/>
    <w:lvl w:ilvl="0">
      <w:lvlJc w:val="left"/>
      <w:lvlText w:val="%1."/>
      <w:numFmt w:val="upperLetter"/>
      <w:start w:val="1"/>
    </w:lvl>
  </w:abstractNum>
  <w:abstractNum w:abstractNumId="25">
    <w:nsid w:val="5C482A97"/>
    <w:multiLevelType w:val="hybridMultilevel"/>
    <w:lvl w:ilvl="0">
      <w:lvlJc w:val="left"/>
      <w:lvlText w:val="(%1)"/>
      <w:numFmt w:val="lowerRoman"/>
      <w:start w:val="3"/>
    </w:lvl>
  </w:abstractNum>
  <w:abstractNum w:abstractNumId="26">
    <w:nsid w:val="2463B9EA"/>
    <w:multiLevelType w:val="hybridMultilevel"/>
    <w:lvl w:ilvl="0">
      <w:lvlJc w:val="left"/>
      <w:lvlText w:val="%1."/>
      <w:numFmt w:val="upperLetter"/>
      <w:start w:val="1"/>
    </w:lvl>
    <w:lvl w:ilvl="1">
      <w:lvlJc w:val="left"/>
      <w:lvlText w:val="(%2)"/>
      <w:numFmt w:val="lowerRoman"/>
      <w:start w:val="1"/>
    </w:lvl>
  </w:abstractNum>
  <w:abstractNum w:abstractNumId="27">
    <w:nsid w:val="5E884ADC"/>
    <w:multiLevelType w:val="hybridMultilevel"/>
    <w:lvl w:ilvl="0">
      <w:lvlJc w:val="left"/>
      <w:lvlText w:val="(%1)"/>
      <w:numFmt w:val="lowerRoman"/>
      <w:start w:val="2"/>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1)"/>
      <w:numFmt w:val="lowerLetter"/>
      <w:start w:val="1"/>
    </w:lvl>
    <w:lvl w:ilvl="1">
      <w:lvlJc w:val="left"/>
      <w:lvlText w:val="•"/>
      <w:numFmt w:val="bullet"/>
      <w:start w:val="1"/>
    </w:lvl>
  </w:abstractNum>
  <w:abstractNum w:abstractNumId="44">
    <w:nsid w:val="38437FDB"/>
    <w:multiLevelType w:val="hybridMultilevel"/>
    <w:lvl w:ilvl="0">
      <w:lvlJc w:val="left"/>
      <w:lvlText w:val="(%1)"/>
      <w:numFmt w:val="lowerLetter"/>
      <w:start w:val="15"/>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jpe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jpe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30" Type="http://schemas.openxmlformats.org/officeDocument/2006/relationships/hyperlink" Target="http://www.sec.gov/ix?doc=/Archives/edgar/data/823768/000155837021001348/wm-20201231x10k.htm" TargetMode="External"/><Relationship Id="rId65" Type="http://schemas.openxmlformats.org/officeDocument/2006/relationships/hyperlink" Target="http://www.sec.gov/ix?doc=/Archives/edgar/data/823768/000110465921029723/tm216945d2_8k.htm" TargetMode="External"/><Relationship Id="rId66" Type="http://schemas.openxmlformats.org/officeDocument/2006/relationships/hyperlink" Target="https://www.sec.gov/ix?doc=/Archives/edgar/data/823768/000110465921036763/tm219849d1_8k.htm" TargetMode="External"/><Relationship Id="rId67" Type="http://schemas.openxmlformats.org/officeDocument/2006/relationships/hyperlink" Target="http://www.sec.gov/ix?doc=/Archives/edgar/data/823768/000110465921036763/tm219849d1_8k.htm" TargetMode="External"/><Relationship Id="rId68" Type="http://schemas.openxmlformats.org/officeDocument/2006/relationships/hyperlink" Target="https://www.sec.gov/ix?doc=/Archives/edgar/data/823768/000155837021004862/wm-20210331x10q.htm" TargetMode="External"/><Relationship Id="rId69" Type="http://schemas.openxmlformats.org/officeDocument/2006/relationships/hyperlink" Target="http://www.sec.gov/Archives/edgar/data/823768/000110465921044401/tm211438-2_def14a.htm" TargetMode="External"/><Relationship Id="rId70" Type="http://schemas.openxmlformats.org/officeDocument/2006/relationships/hyperlink" Target="https://www.sec.gov/Archives/edgar/data/823768/000110465921044401/tm211438-2_def14a.htm" TargetMode="External"/><Relationship Id="rId80" Type="http://schemas.openxmlformats.org/officeDocument/2006/relationships/hyperlink" Target="https://www.sec.gov/Archives/edgar/data/823768/000155837019000662/wm-20181231x10k.htm" TargetMode="External"/><Relationship Id="rId81" Type="http://schemas.openxmlformats.org/officeDocument/2006/relationships/hyperlink" Target="https://www.sec.gov/Archives/edgar/data/823768/000155837019003279/wm-20190331x10q.htm" TargetMode="External"/><Relationship Id="rId82" Type="http://schemas.openxmlformats.org/officeDocument/2006/relationships/hyperlink" Target="https://www.sec.gov/Archives/edgar/data/823768/000110465919010295/a19-5282_18k.htm" TargetMode="External"/><Relationship Id="rId83" Type="http://schemas.openxmlformats.org/officeDocument/2006/relationships/hyperlink" Target="https://www.sec.gov/Archives/edgar/data/823768/000110465919021340/a19-8354_18k.htm" TargetMode="External"/><Relationship Id="rId84" Type="http://schemas.openxmlformats.org/officeDocument/2006/relationships/hyperlink" Target="https://www.sec.gov/Archives/edgar/data/823768/000104746919001663/a2238074zdef14a.htm" TargetMode="External"/><Relationship Id="rId85" Type="http://schemas.openxmlformats.org/officeDocument/2006/relationships/hyperlink" Target="https://www.sec.gov/Archives/edgar/data/823768/0000950134-95-001585-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2021-04-29T16:30:25Z</dcterms:created>
  <dcterms:modified xsi:type="dcterms:W3CDTF">2021-04-29T16:30:25Z</dcterms:modified>
</cp:coreProperties>
</file>