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3360" w:type="dxa"/>
            <w:vAlign w:val="bottom"/>
          </w:tcPr>
          <w:p>
            <w:pPr>
              <w:spacing w:after="0"/>
              <w:rPr>
                <w:sz w:val="18"/>
                <w:szCs w:val="18"/>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October 30, 2017 relating to the</w:t>
            </w:r>
          </w:p>
        </w:tc>
      </w:tr>
      <w:tr>
        <w:trPr>
          <w:trHeight w:val="216"/>
        </w:trPr>
        <w:tc>
          <w:tcPr>
            <w:tcW w:w="3360" w:type="dxa"/>
            <w:vAlign w:val="bottom"/>
          </w:tcPr>
          <w:p>
            <w:pPr>
              <w:spacing w:after="0"/>
              <w:rPr>
                <w:sz w:val="18"/>
                <w:szCs w:val="18"/>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October 30, 2017</w:t>
            </w:r>
          </w:p>
        </w:tc>
      </w:tr>
      <w:tr>
        <w:trPr>
          <w:trHeight w:val="216"/>
        </w:trPr>
        <w:tc>
          <w:tcPr>
            <w:tcW w:w="3360" w:type="dxa"/>
            <w:vAlign w:val="bottom"/>
          </w:tcPr>
          <w:p>
            <w:pPr>
              <w:spacing w:after="0"/>
              <w:rPr>
                <w:sz w:val="18"/>
                <w:szCs w:val="18"/>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Prospectus dated October 27, 2015</w:t>
            </w:r>
          </w:p>
        </w:tc>
      </w:tr>
      <w:tr>
        <w:trPr>
          <w:trHeight w:val="234"/>
        </w:trPr>
        <w:tc>
          <w:tcPr>
            <w:tcW w:w="3360" w:type="dxa"/>
            <w:vAlign w:val="bottom"/>
          </w:tcPr>
          <w:p>
            <w:pPr>
              <w:spacing w:after="0"/>
              <w:rPr>
                <w:sz w:val="20"/>
                <w:szCs w:val="20"/>
                <w:color w:val="auto"/>
              </w:rPr>
            </w:pPr>
          </w:p>
        </w:tc>
        <w:tc>
          <w:tcPr>
            <w:tcW w:w="8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Statement No. 333-207628</w:t>
            </w:r>
          </w:p>
        </w:tc>
      </w:tr>
      <w:tr>
        <w:trPr>
          <w:trHeight w:val="432"/>
        </w:trPr>
        <w:tc>
          <w:tcPr>
            <w:tcW w:w="3360" w:type="dxa"/>
            <w:vAlign w:val="bottom"/>
          </w:tcPr>
          <w:p>
            <w:pPr>
              <w:spacing w:after="0"/>
              <w:rPr>
                <w:sz w:val="24"/>
                <w:szCs w:val="24"/>
                <w:color w:val="auto"/>
              </w:rPr>
            </w:pPr>
          </w:p>
        </w:tc>
        <w:tc>
          <w:tcPr>
            <w:tcW w:w="810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Pricing Term Sheet</w:t>
            </w:r>
          </w:p>
        </w:tc>
      </w:tr>
      <w:tr>
        <w:trPr>
          <w:trHeight w:val="432"/>
        </w:trPr>
        <w:tc>
          <w:tcPr>
            <w:tcW w:w="3360" w:type="dxa"/>
            <w:vAlign w:val="bottom"/>
          </w:tcPr>
          <w:p>
            <w:pPr>
              <w:spacing w:after="0"/>
              <w:rPr>
                <w:sz w:val="24"/>
                <w:szCs w:val="24"/>
                <w:color w:val="auto"/>
              </w:rPr>
            </w:pP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$750,000,000 3.150% Senior Notes due 2027</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Moody’s: Baa2 (positive)</w:t>
            </w:r>
          </w:p>
        </w:tc>
      </w:tr>
      <w:tr>
        <w:trPr>
          <w:trHeight w:val="216"/>
        </w:trPr>
        <w:tc>
          <w:tcPr>
            <w:tcW w:w="336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S&amp;P: A- (stable)</w:t>
            </w:r>
          </w:p>
        </w:tc>
      </w:tr>
      <w:tr>
        <w:trPr>
          <w:trHeight w:val="234"/>
        </w:trPr>
        <w:tc>
          <w:tcPr>
            <w:tcW w:w="3360" w:type="dxa"/>
            <w:vAlign w:val="bottom"/>
          </w:tcPr>
          <w:p>
            <w:pPr>
              <w:spacing w:after="0"/>
              <w:rPr>
                <w:sz w:val="20"/>
                <w:szCs w:val="20"/>
                <w:color w:val="auto"/>
              </w:rPr>
            </w:pP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Fitch: BBB+ (stable)</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October 30, 2017</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T+7; November 8, 2017</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$750,000,000</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November 15, 2027</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3.150%</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2.250% due August 15, 2027</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98-30 / 2.372%</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+78 basis points</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3.152%</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99.982% of face amount</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(before expenses):</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$744,990,000.00</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Semi-annually on May 15 and November 15, commencing on May 15, 2018.</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Provisions:</w:t>
            </w: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Notes are redeemable at any time prior to August 15, 2027 (three months prior to the maturity</w:t>
            </w:r>
          </w:p>
        </w:tc>
      </w:tr>
      <w:tr>
        <w:trPr>
          <w:trHeight w:val="216"/>
        </w:trPr>
        <w:tc>
          <w:tcPr>
            <w:tcW w:w="336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in whole or from time to time in part, at the option of the Company, at a make whole</w:t>
            </w:r>
          </w:p>
        </w:tc>
      </w:tr>
      <w:tr>
        <w:trPr>
          <w:trHeight w:val="234"/>
        </w:trPr>
        <w:tc>
          <w:tcPr>
            <w:tcW w:w="3360" w:type="dxa"/>
            <w:vAlign w:val="bottom"/>
          </w:tcPr>
          <w:p>
            <w:pPr>
              <w:spacing w:after="0"/>
              <w:rPr>
                <w:sz w:val="20"/>
                <w:szCs w:val="20"/>
                <w:color w:val="auto"/>
              </w:rPr>
            </w:pPr>
          </w:p>
        </w:tc>
        <w:tc>
          <w:tcPr>
            <w:tcW w:w="8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redemption price using the applicable Treasury rate plus 15 basis points (as defined and described in</w:t>
            </w:r>
          </w:p>
        </w:tc>
      </w:tr>
      <w:tr>
        <w:trPr>
          <w:trHeight w:val="348"/>
        </w:trPr>
        <w:tc>
          <w:tcPr>
            <w:tcW w:w="3360" w:type="dxa"/>
            <w:vAlign w:val="bottom"/>
            <w:tcBorders>
              <w:bottom w:val="single" w:sz="8" w:color="808080"/>
            </w:tcBorders>
          </w:tcPr>
          <w:p>
            <w:pPr>
              <w:spacing w:after="0"/>
              <w:rPr>
                <w:sz w:val="24"/>
                <w:szCs w:val="24"/>
                <w:color w:val="auto"/>
              </w:rPr>
            </w:pPr>
          </w:p>
        </w:tc>
        <w:tc>
          <w:tcPr>
            <w:tcW w:w="81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020" w:right="260"/>
        <w:spacing w:after="0" w:line="266" w:lineRule="auto"/>
        <w:rPr>
          <w:sz w:val="20"/>
          <w:szCs w:val="20"/>
          <w:color w:val="auto"/>
        </w:rPr>
      </w:pPr>
      <w:r>
        <w:rPr>
          <w:rFonts w:ascii="Times New Roman" w:cs="Times New Roman" w:eastAsia="Times New Roman" w:hAnsi="Times New Roman"/>
          <w:sz w:val="18"/>
          <w:szCs w:val="18"/>
          <w:color w:val="auto"/>
        </w:rPr>
        <w:t>further detail in the Prospectus Supplement). The Notes are redeemable on or after August 15, 2027 (three months prior to the maturity date), in whole or from time to time in part, at the option of the Company, at par.</w:t>
      </w:r>
    </w:p>
    <w:p>
      <w:pPr>
        <w:sectPr>
          <w:pgSz w:w="11900" w:h="16838" w:orient="portrait"/>
          <w:cols w:equalWidth="0" w:num="1">
            <w:col w:w="11460"/>
          </w:cols>
          <w:pgMar w:left="240" w:top="445" w:right="19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94106L BE8 / US94106LBE83</w:t>
      </w:r>
    </w:p>
    <w:p>
      <w:pPr>
        <w:spacing w:after="0" w:line="200" w:lineRule="exact"/>
        <w:rPr>
          <w:sz w:val="24"/>
          <w:szCs w:val="24"/>
          <w:color w:val="auto"/>
        </w:rPr>
      </w:pPr>
    </w:p>
    <w:p>
      <w:pPr>
        <w:sectPr>
          <w:pgSz w:w="11900" w:h="16838" w:orient="portrait"/>
          <w:cols w:equalWidth="0" w:num="2">
            <w:col w:w="3300" w:space="720"/>
            <w:col w:w="7440"/>
          </w:cols>
          <w:pgMar w:left="240" w:top="445" w:right="19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Merrill Lynch, Pierce, Fenner &amp; Smith</w:t>
      </w:r>
    </w:p>
    <w:p>
      <w:pPr>
        <w:spacing w:after="0" w:line="2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Incorporated</w:t>
      </w:r>
    </w:p>
    <w:p>
      <w:pPr>
        <w:spacing w:after="0" w:line="200" w:lineRule="exact"/>
        <w:rPr>
          <w:sz w:val="24"/>
          <w:szCs w:val="24"/>
          <w:color w:val="auto"/>
        </w:rPr>
      </w:pPr>
    </w:p>
    <w:p>
      <w:pPr>
        <w:sectPr>
          <w:pgSz w:w="11900" w:h="16838" w:orient="portrait"/>
          <w:cols w:equalWidth="0" w:num="2">
            <w:col w:w="3300" w:space="720"/>
            <w:col w:w="7440"/>
          </w:cols>
          <w:pgMar w:left="240" w:top="445" w:right="199"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909320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MFR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Siebert Cisneros Shank &amp; Co., L.L.C.</w:t>
      </w:r>
    </w:p>
    <w:p>
      <w:pPr>
        <w:spacing w:after="0" w:line="200" w:lineRule="exact"/>
        <w:rPr>
          <w:sz w:val="24"/>
          <w:szCs w:val="24"/>
          <w:color w:val="auto"/>
        </w:rPr>
      </w:pPr>
    </w:p>
    <w:p>
      <w:pPr>
        <w:sectPr>
          <w:pgSz w:w="11900" w:h="16838" w:orient="portrait"/>
          <w:cols w:equalWidth="0" w:num="2">
            <w:col w:w="3300" w:space="720"/>
            <w:col w:w="7440"/>
          </w:cols>
          <w:pgMar w:left="240" w:top="445" w:right="199" w:bottom="0" w:gutter="0" w:footer="0" w:header="0"/>
          <w:type w:val="continuous"/>
        </w:sect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review or withdrawal at any time.</w:t>
      </w:r>
    </w:p>
    <w:p>
      <w:pPr>
        <w:spacing w:after="0" w:line="225"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w:t>
      </w:r>
    </w:p>
    <w:p>
      <w:pPr>
        <w:sectPr>
          <w:pgSz w:w="11900" w:h="16838" w:orient="portrait"/>
          <w:cols w:equalWidth="0" w:num="1">
            <w:col w:w="11460"/>
          </w:cols>
          <w:pgMar w:left="240" w:top="445" w:right="199" w:bottom="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request it by contacting: (1) Barclays Capital Inc. toll-free at 1-888-603-5847; (2) J.P. Morgan Securities LLC collect at 1-212-834-4533; or (3) Merrill Lynch, Pierce, Fenner &amp; Smith Incorporated toll-free at 1-800-294-1322.</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880"/>
      </w:cols>
      <w:pgMar w:left="240" w:top="12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2019-12-16T21:08:09Z</dcterms:created>
  <dcterms:modified xsi:type="dcterms:W3CDTF">2019-12-16T21:08:09Z</dcterms:modified>
</cp:coreProperties>
</file>