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AS FILED WITH THE SECURITIES AND EXCHANGE COMMISSION ON JULY 22, 1996</w:t>
      </w:r>
    </w:p>
    <w:p>
      <w:pPr>
        <w:spacing w:after="0" w:line="177" w:lineRule="exact"/>
        <w:rPr>
          <w:sz w:val="24"/>
          <w:szCs w:val="24"/>
          <w:color w:val="auto"/>
        </w:rPr>
      </w:pPr>
    </w:p>
    <w:p>
      <w:pPr>
        <w:jc w:val="right"/>
        <w:ind w:right="3980"/>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jc w:val="right"/>
        <w:ind w:right="39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9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97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_________________________</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S-3</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REGISTRATION STATEMENT UNDER</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_________________________</w:t>
      </w:r>
    </w:p>
    <w:p>
      <w:pPr>
        <w:spacing w:after="0" w:line="177" w:lineRule="exact"/>
        <w:rPr>
          <w:sz w:val="24"/>
          <w:szCs w:val="24"/>
          <w:color w:val="auto"/>
        </w:rPr>
      </w:pPr>
    </w:p>
    <w:p>
      <w:pPr>
        <w:jc w:val="center"/>
        <w:ind w:right="397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397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188"/>
          </w:cols>
          <w:pgMar w:left="232" w:top="233" w:right="479" w:bottom="266" w:gutter="0" w:footer="0" w:header="0"/>
        </w:sectPr>
      </w:pPr>
    </w:p>
    <w:p>
      <w:pPr>
        <w:spacing w:after="0" w:line="177"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73-1309529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3968" w:space="720"/>
            <w:col w:w="1540" w:space="0"/>
            <w:col w:w="4960"/>
          </w:cols>
          <w:pgMar w:left="232" w:top="233" w:right="479" w:bottom="266" w:gutter="0" w:footer="0" w:header="0"/>
          <w:type w:val="continuous"/>
        </w:sectPr>
      </w:pPr>
    </w:p>
    <w:p>
      <w:pPr>
        <w:spacing w:after="0" w:line="150"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5400 LBJ FREEWAY, SUITE 300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DALLAS, TEXAS 75240</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(214) 383-7900</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5400 LBJ FREEWAY, SUITE 300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DALLAS, TEXAS 75240</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(214) 383-7900</w:t>
      </w:r>
    </w:p>
    <w:p>
      <w:pPr>
        <w:spacing w:after="0" w:line="3"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(NAME, ADDRESS, INCLUDING ZIP CODE, AND TELEPHONE</w:t>
      </w:r>
    </w:p>
    <w:p>
      <w:pPr>
        <w:spacing w:after="0" w:line="3"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NUMBER, INCLUDING AREA CODE, OF AGENT FOR SERVICE)</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COPIES TO:</w:t>
      </w:r>
    </w:p>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JOHN T. UNGER</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SNELL &amp; SMITH, P.C.</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1000 LOUISIANA, SUITE 3650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HOUSTON, TEXAS 77002</w:t>
      </w:r>
    </w:p>
    <w:p>
      <w:pPr>
        <w:spacing w:after="0" w:line="178" w:lineRule="exact"/>
        <w:rPr>
          <w:sz w:val="24"/>
          <w:szCs w:val="24"/>
          <w:color w:val="auto"/>
        </w:rPr>
      </w:pPr>
    </w:p>
    <w:p>
      <w:pPr>
        <w:ind w:left="8" w:right="4060" w:firstLine="36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registration statement becomes effective.</w:t>
      </w:r>
    </w:p>
    <w:p>
      <w:pPr>
        <w:spacing w:after="0" w:line="176" w:lineRule="exact"/>
        <w:rPr>
          <w:sz w:val="24"/>
          <w:szCs w:val="24"/>
          <w:color w:val="auto"/>
        </w:rPr>
      </w:pPr>
    </w:p>
    <w:p>
      <w:pPr>
        <w:ind w:left="8" w:right="4060" w:firstLine="361"/>
        <w:spacing w:after="0" w:line="244"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w:t>
      </w:r>
    </w:p>
    <w:p>
      <w:pPr>
        <w:spacing w:after="0" w:line="175" w:lineRule="exact"/>
        <w:rPr>
          <w:sz w:val="24"/>
          <w:szCs w:val="24"/>
          <w:color w:val="auto"/>
        </w:rPr>
      </w:pPr>
    </w:p>
    <w:p>
      <w:pPr>
        <w:ind w:left="8" w:right="4060" w:firstLine="361"/>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box.[x]</w:t>
      </w:r>
    </w:p>
    <w:p>
      <w:pPr>
        <w:spacing w:after="0" w:line="176" w:lineRule="exact"/>
        <w:rPr>
          <w:sz w:val="24"/>
          <w:szCs w:val="24"/>
          <w:color w:val="auto"/>
        </w:rPr>
      </w:pPr>
    </w:p>
    <w:p>
      <w:pPr>
        <w:ind w:left="8" w:right="4060" w:firstLine="36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_____________________________</w:t>
      </w:r>
    </w:p>
    <w:p>
      <w:pPr>
        <w:spacing w:after="0" w:line="176" w:lineRule="exact"/>
        <w:rPr>
          <w:sz w:val="24"/>
          <w:szCs w:val="24"/>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________________________</w:t>
      </w:r>
    </w:p>
    <w:p>
      <w:pPr>
        <w:spacing w:after="0" w:line="175"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If delivery of this prospectus is expected to be made pursuant to Rule 434,</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please check the following box. [ ]</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tbl>
      <w:tblPr>
        <w:tblLayout w:type="fixed"/>
        <w:tblInd w:w="268"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60" w:type="dxa"/>
            <w:vAlign w:val="bottom"/>
          </w:tcPr>
          <w:p>
            <w:pPr>
              <w:ind w:left="860"/>
              <w:spacing w:after="0"/>
              <w:rPr>
                <w:sz w:val="20"/>
                <w:szCs w:val="20"/>
                <w:color w:val="auto"/>
              </w:rPr>
            </w:pPr>
            <w:r>
              <w:rPr>
                <w:rFonts w:ascii="Courier New" w:cs="Courier New" w:eastAsia="Courier New" w:hAnsi="Courier New"/>
                <w:sz w:val="15"/>
                <w:szCs w:val="15"/>
                <w:color w:val="auto"/>
              </w:rPr>
              <w:t>Proposed</w:t>
            </w: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Proposed</w:t>
            </w: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3"/>
        </w:trPr>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Title of</w:t>
            </w:r>
          </w:p>
        </w:tc>
        <w:tc>
          <w:tcPr>
            <w:tcW w:w="2660" w:type="dxa"/>
            <w:vAlign w:val="bottom"/>
          </w:tcPr>
          <w:p>
            <w:pPr>
              <w:spacing w:after="0"/>
              <w:rPr>
                <w:sz w:val="15"/>
                <w:szCs w:val="15"/>
                <w:color w:val="auto"/>
              </w:rPr>
            </w:pPr>
          </w:p>
        </w:tc>
        <w:tc>
          <w:tcPr>
            <w:tcW w:w="2260" w:type="dxa"/>
            <w:vAlign w:val="bottom"/>
          </w:tcPr>
          <w:p>
            <w:pPr>
              <w:ind w:left="860"/>
              <w:spacing w:after="0"/>
              <w:rPr>
                <w:sz w:val="20"/>
                <w:szCs w:val="20"/>
                <w:color w:val="auto"/>
              </w:rPr>
            </w:pPr>
            <w:r>
              <w:rPr>
                <w:rFonts w:ascii="Courier New" w:cs="Courier New" w:eastAsia="Courier New" w:hAnsi="Courier New"/>
                <w:sz w:val="15"/>
                <w:szCs w:val="15"/>
                <w:color w:val="auto"/>
              </w:rPr>
              <w:t>maximum</w:t>
            </w: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maximum</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3"/>
        </w:trPr>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7"/>
              </w:rPr>
              <w:t>securities</w:t>
            </w:r>
          </w:p>
        </w:tc>
        <w:tc>
          <w:tcPr>
            <w:tcW w:w="26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Amount</w:t>
            </w:r>
          </w:p>
        </w:tc>
        <w:tc>
          <w:tcPr>
            <w:tcW w:w="2260" w:type="dxa"/>
            <w:vAlign w:val="bottom"/>
          </w:tcPr>
          <w:p>
            <w:pPr>
              <w:ind w:left="860"/>
              <w:spacing w:after="0"/>
              <w:rPr>
                <w:sz w:val="20"/>
                <w:szCs w:val="20"/>
                <w:color w:val="auto"/>
              </w:rPr>
            </w:pPr>
            <w:r>
              <w:rPr>
                <w:rFonts w:ascii="Courier New" w:cs="Courier New" w:eastAsia="Courier New" w:hAnsi="Courier New"/>
                <w:sz w:val="15"/>
                <w:szCs w:val="15"/>
                <w:color w:val="auto"/>
              </w:rPr>
              <w:t>offering</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aggregate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r>
      <w:tr>
        <w:trPr>
          <w:trHeight w:val="173"/>
        </w:trPr>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to be</w:t>
            </w:r>
          </w:p>
        </w:tc>
        <w:tc>
          <w:tcPr>
            <w:tcW w:w="26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to be</w:t>
            </w:r>
          </w:p>
        </w:tc>
        <w:tc>
          <w:tcPr>
            <w:tcW w:w="2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price</w:t>
            </w: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offering</w:t>
            </w:r>
          </w:p>
        </w:tc>
        <w:tc>
          <w:tcPr>
            <w:tcW w:w="18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registration</w:t>
            </w:r>
          </w:p>
        </w:tc>
      </w:tr>
      <w:tr>
        <w:trPr>
          <w:trHeight w:val="173"/>
        </w:trPr>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7"/>
              </w:rPr>
              <w:t>registered</w:t>
            </w:r>
          </w:p>
        </w:tc>
        <w:tc>
          <w:tcPr>
            <w:tcW w:w="2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registered(1)</w:t>
            </w:r>
          </w:p>
        </w:tc>
        <w:tc>
          <w:tcPr>
            <w:tcW w:w="2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per share</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fee</w:t>
            </w:r>
          </w:p>
        </w:tc>
        <w:tc>
          <w:tcPr>
            <w:tcW w:w="420" w:type="dxa"/>
            <w:vAlign w:val="bottom"/>
          </w:tcPr>
          <w:p>
            <w:pPr>
              <w:spacing w:after="0"/>
              <w:rPr>
                <w:sz w:val="15"/>
                <w:szCs w:val="15"/>
                <w:color w:val="auto"/>
              </w:rPr>
            </w:pPr>
          </w:p>
        </w:tc>
      </w:tr>
    </w:tbl>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4"/>
          <w:szCs w:val="24"/>
          <w:color w:val="auto"/>
        </w:rPr>
      </w:pPr>
    </w:p>
    <w:p>
      <w:pPr>
        <w:ind w:left="8" w:right="540" w:firstLine="90"/>
        <w:spacing w:after="0" w:line="241" w:lineRule="auto"/>
        <w:rPr>
          <w:sz w:val="20"/>
          <w:szCs w:val="20"/>
          <w:color w:val="auto"/>
        </w:rPr>
      </w:pPr>
      <w:r>
        <w:rPr>
          <w:rFonts w:ascii="Courier New" w:cs="Courier New" w:eastAsia="Courier New" w:hAnsi="Courier New"/>
          <w:sz w:val="15"/>
          <w:szCs w:val="15"/>
          <w:color w:val="auto"/>
        </w:rPr>
        <w:t>Common Stock, 128,500 shares $ 25.875(1) $3,324,936 $1,146.53 $.01 par value</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4"/>
          <w:szCs w:val="24"/>
          <w:color w:val="auto"/>
        </w:rPr>
      </w:pPr>
    </w:p>
    <w:p>
      <w:pPr>
        <w:ind w:left="808" w:right="4160" w:hanging="808"/>
        <w:spacing w:after="0" w:line="243"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in accordance with Rule 457(c) on the basis of the closing price for Common Stock on the New York Stock Exchange on July 17,</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1996.</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188"/>
          </w:cols>
          <w:pgMar w:left="232" w:top="233" w:right="479" w:bottom="266"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 * * THE REGISTRANT HEREBY AMENDS THIS REGISTRATION STATEMENT ON SUCH DATE * * OR DATES AS MAY BE NECESSARY TO DELAY ITS EFFECTIVE DATE UNTIL THE * * REGISTRANT SHALL FILE A FURTHER AMENDMENT WHICH SPECIFICALLY STATES * * THAT THIS REGISTRATION STATEMENT SHALL THEREAFTER BECOME EFFECTIVE IN * * ACCORDANCE WITH SECTION 8(A) OF THE SECURITIES ACT OF 1933 OR UNTIL * * THE REGISTRATION STATEMENT SHALL BECOME EFFECTIVE ON SUCH DATE AS THE * * COMMISSION ACTING PURSUANT TO SUCH SECTION 8(A), MAY DETERMINE. * * *</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PROSPECTUS</w:t>
      </w:r>
      <w:r>
        <w:rPr>
          <w:sz w:val="20"/>
          <w:szCs w:val="20"/>
          <w:color w:val="auto"/>
        </w:rPr>
        <w:tab/>
      </w:r>
      <w:r>
        <w:rPr>
          <w:rFonts w:ascii="Courier New" w:cs="Courier New" w:eastAsia="Courier New" w:hAnsi="Courier New"/>
          <w:sz w:val="15"/>
          <w:szCs w:val="15"/>
          <w:color w:val="auto"/>
        </w:rPr>
        <w:t>SUBJECT TO COMPLETION, JULY 22, 1996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128,500 SHARES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COMMON STOCK</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Prospectus relates to 128,500 shares (the "Shares") of the Common Stock, $.01 par value ("Common Stock"), of USA Waste Services, Inc., a Delaware corporation (the "Company") offered for the account of the selling shareholders (the "Selling Shareholders") and their transferees if they wish to sell any of the Shares in transactions in which they and any broker-dealer through whom the Shares are sold may be deemed underwriters within the meaning of the Securities Act of 1933, as amended (the "Securities Act"). See "Selling Shareholders." The Company will not receive any proceeds from the sale of the Shares sold by the Selling Shareholders.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anticipates that any sales by the Selling Shareholders and their transferees will be effected from time to time on the open market in ordinary brokerage transactions on the New York Stock Exchange (the "NYSE"), on which the Common Stock is listed, in the over-the-counter market, or in private transactions, at market prices prevailing at the time of sale or at negotiated prices. The Shares will be offered for sale on terms to be determined when the agreement to sell is made or at the time of sale, as the case may be. The Shares may be offered directly, through agents designated from time to time, or through brokers or dealers. A member firm of the NYSE may be engaged to act as a Selling Shareholder's agent in the sale of the Shares by such Selling Shareholders. The commission paid to the member firm will be the normal stock exchange commission (including negotiated commissions to the extent permissible). Sales of Shares by the member firm may be made on the NYSE from time to time at prices related to prices then prevailing. Any such sales may be block trades. Any commissions allowed to any broker-dealer, and if any broker-dealer purchases any of the Shares as principal, any profits received on the resale of such Shares may be deemed underwriting discounts and commissions under the Securities Act. See "Manner of Offering."</w:t>
      </w:r>
    </w:p>
    <w:p>
      <w:pPr>
        <w:spacing w:after="0" w:line="1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of Common Stock offered hereby have been listed on the NYSE.</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On July , 1996, the last sale price of the Common Stock on the NYSE was $ per share.</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w:t>
      </w:r>
    </w:p>
    <w:p>
      <w:pPr>
        <w:spacing w:after="0" w:line="4" w:lineRule="exact"/>
        <w:rPr>
          <w:sz w:val="20"/>
          <w:szCs w:val="20"/>
          <w:color w:val="auto"/>
        </w:rPr>
      </w:pPr>
    </w:p>
    <w:p>
      <w:pPr>
        <w:jc w:val="center"/>
        <w:ind w:left="320" w:right="540"/>
        <w:spacing w:after="0" w:line="244" w:lineRule="auto"/>
        <w:rPr>
          <w:sz w:val="20"/>
          <w:szCs w:val="20"/>
          <w:color w:val="auto"/>
        </w:rPr>
      </w:pPr>
      <w:r>
        <w:rPr>
          <w:rFonts w:ascii="Courier New" w:cs="Courier New" w:eastAsia="Courier New" w:hAnsi="Courier New"/>
          <w:sz w:val="15"/>
          <w:szCs w:val="15"/>
          <w:color w:val="auto"/>
        </w:rPr>
        <w:t>AND EXCHANGE COMMISSION OR ANY STATE SECURITIES COMMISSION NOR HAS THE COMMISSION OR ANY STATE SECURITIES COMMISSION PASSED UPON THE ACCURACY OR ADEQUACY OF THIS PROSPECTUS.  ANY REPRESENTATION</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TO THE CONTRARY IS A CRIMINAL OFFENSE.</w:t>
      </w:r>
    </w:p>
    <w:p>
      <w:pPr>
        <w:spacing w:after="0" w:line="200" w:lineRule="exact"/>
        <w:rPr>
          <w:sz w:val="20"/>
          <w:szCs w:val="20"/>
          <w:color w:val="auto"/>
        </w:rPr>
      </w:pPr>
    </w:p>
    <w:p>
      <w:pPr>
        <w:spacing w:after="0" w:line="324"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 July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bl>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40" w:type="dxa"/>
            <w:vAlign w:val="bottom"/>
          </w:tcPr>
          <w:p>
            <w:pPr>
              <w:ind w:left="278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694"/>
        </w:trPr>
        <w:tc>
          <w:tcPr>
            <w:tcW w:w="9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9540" w:type="dxa"/>
            <w:vAlign w:val="bottom"/>
          </w:tcPr>
          <w:p>
            <w:pPr>
              <w:spacing w:after="0"/>
              <w:rPr>
                <w:sz w:val="20"/>
                <w:szCs w:val="20"/>
                <w:color w:val="auto"/>
              </w:rPr>
            </w:pPr>
            <w:r>
              <w:rPr>
                <w:rFonts w:ascii="Courier New" w:cs="Courier New" w:eastAsia="Courier New" w:hAnsi="Courier New"/>
                <w:sz w:val="15"/>
                <w:szCs w:val="15"/>
                <w:color w:val="auto"/>
              </w:rPr>
              <w:t>Available Information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 by Reference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The Company . . . .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Recent Developments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Risk Factors  . . .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Use of Proceeds   .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Description of Capital Stock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Selling Shareholders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Manner of Offering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Legal Matters   . .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9540" w:type="dxa"/>
            <w:vAlign w:val="bottom"/>
          </w:tcPr>
          <w:p>
            <w:pPr>
              <w:spacing w:after="0"/>
              <w:rPr>
                <w:sz w:val="20"/>
                <w:szCs w:val="20"/>
                <w:color w:val="auto"/>
              </w:rPr>
            </w:pPr>
            <w:r>
              <w:rPr>
                <w:rFonts w:ascii="Courier New" w:cs="Courier New" w:eastAsia="Courier New" w:hAnsi="Courier New"/>
                <w:sz w:val="15"/>
                <w:szCs w:val="15"/>
                <w:color w:val="auto"/>
              </w:rPr>
              <w:t>Experts   . . . . . . . . . . . . . . . . . . . . . . . . . . . . . . . . . . . . . . . . . . . . . . . .</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bl>
    <w:p>
      <w:pPr>
        <w:spacing w:after="0" w:line="200" w:lineRule="exact"/>
        <w:rPr>
          <w:sz w:val="20"/>
          <w:szCs w:val="20"/>
          <w:color w:val="auto"/>
        </w:rPr>
      </w:pPr>
    </w:p>
    <w:p>
      <w:pPr>
        <w:spacing w:after="0" w:line="32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and information statements, and other information filed by the Company may be inspected and copied at the public reference facilities maintained by the Commission at Room 1024, Judiciary Plaza Building, 450 Fifth Street, N.W., Washington, D.C. 20549 and at the regional offices of the Commission located at 7 World Trade Center, Suite 1300, New York, New York 10048 and 500 West Madison, Suite 1400, Chicago, Illinois 60661-2511. Copies of such material may be obtained from the Public Reference Section of the Commission at 450 Fifth Street, N.W., Room 1024, Washington, D.C. 20549, at prescribed rates. The Commission maintains an Internet web site that contains reports, proxy and information statements, and other information regarding registrants that file electronically with the Commission (http://www.sec.gov). In addition, the Company's securities are listed on the New York Stock Exchange (the "NYSE") and reports, proxy and information statements, and other information concerning the Company described above may be inspected at the offices of the NYSE at 20 Broad Street, New York, New York 10005.</w:t>
      </w:r>
    </w:p>
    <w:p>
      <w:pPr>
        <w:spacing w:after="0" w:line="18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This Prospectus constitutes part of a Registration Statement on Form S-3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following documents filed by the Company with the Commission under the Exchange Act (File No. 1-12154) are incorporated by reference in this Prospectus: (1) its Annual Report on Form 10-K for the fiscal year ended December 31, 1995, (2) its Current Report on Form 8-K dated January 9, 1996, its Current Report on Form 8-K dated May 7, 1996, as amended by its Form 8-K/A (Amendment No. 1) filed May 29, 1996, its Form 8-K/A (Amendment No. 2) filed June 28, 1996, and its Form 8-K/A (Amendment No. 3) filed July 1, 1996, and its Current Report on Form 8-K dated June 22, 1996, (3) its Quarterly Report on Form 10-Q for the quarter ended March 31, 1996, including the supplemental condensed financial statements of the Company at December 31, 1995, and March 31, 1996 and for the year ended December 31, 1995 and the three months ended March 31, 1996,</w:t>
      </w:r>
    </w:p>
    <w:p>
      <w:pPr>
        <w:spacing w:after="0" w:line="2" w:lineRule="exact"/>
        <w:rPr>
          <w:sz w:val="20"/>
          <w:szCs w:val="20"/>
          <w:color w:val="auto"/>
        </w:rPr>
      </w:pPr>
    </w:p>
    <w:p>
      <w:pPr>
        <w:ind w:left="368" w:hanging="368"/>
        <w:spacing w:after="0"/>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Joint Proxy Statement and Prospectus for the its Annual Meeting of</w:t>
      </w:r>
    </w:p>
    <w:p>
      <w:pPr>
        <w:spacing w:after="0" w:line="4" w:lineRule="exact"/>
        <w:rPr>
          <w:rFonts w:ascii="Courier New" w:cs="Courier New" w:eastAsia="Courier New" w:hAnsi="Courier New"/>
          <w:sz w:val="15"/>
          <w:szCs w:val="15"/>
          <w:color w:val="auto"/>
        </w:rPr>
      </w:pPr>
    </w:p>
    <w:p>
      <w:pPr>
        <w:ind w:left="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dated April 2, 1996, (5) its Joint Proxy Statement and Prospectus for the Special Meeting of Shareholders dated July 19, 1996, and (6) the description of Common Stock of the Company contained in the Company's Registration Statement on Form 8-A dated July 1, 1993, as amended by Form 8-B dated July 13, 1995.</w:t>
      </w:r>
    </w:p>
    <w:p>
      <w:pPr>
        <w:spacing w:after="0" w:line="177" w:lineRule="exact"/>
        <w:rPr>
          <w:sz w:val="20"/>
          <w:szCs w:val="20"/>
          <w:color w:val="auto"/>
        </w:rPr>
      </w:pPr>
    </w:p>
    <w:p>
      <w:pPr>
        <w:ind w:left="8" w:right="3199" w:firstLine="451"/>
        <w:spacing w:after="0" w:line="264" w:lineRule="auto"/>
        <w:rPr>
          <w:sz w:val="20"/>
          <w:szCs w:val="20"/>
          <w:color w:val="auto"/>
        </w:rPr>
      </w:pPr>
      <w:r>
        <w:rPr>
          <w:rFonts w:ascii="Courier New" w:cs="Courier New" w:eastAsia="Courier New" w:hAnsi="Courier New"/>
          <w:sz w:val="14"/>
          <w:szCs w:val="14"/>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w:t>
      </w:r>
    </w:p>
    <w:p>
      <w:pPr>
        <w:spacing w:after="0" w:line="165"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Any statement contained in a document incorporated by reference herein shall be deemed to be modified or superseded for all purposes to the extent that a statement contained in this Prospectus, or in any other subsequently filed document which is also incorporated by reference, modifies or replaces such statement. Any such statement so modified or superseded shall not be deemed, except as so modified or superseded, to constitute a part of this Prospectus.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Corporate Secretary, USA Waste Services, Inc., (i) if by telephone to (214) 383-7900 and</w:t>
      </w:r>
    </w:p>
    <w:p>
      <w:pPr>
        <w:spacing w:after="0" w:line="2" w:lineRule="exact"/>
        <w:rPr>
          <w:sz w:val="20"/>
          <w:szCs w:val="20"/>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mail to 5400 LBJ Freeway, Suite 300, Dallas, Texas 75240.</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0" w:lineRule="exact"/>
        <w:rPr>
          <w:rFonts w:ascii="Courier New" w:cs="Courier New" w:eastAsia="Courier New" w:hAnsi="Courier New"/>
          <w:sz w:val="15"/>
          <w:szCs w:val="15"/>
          <w:color w:val="auto"/>
        </w:rPr>
      </w:pPr>
    </w:p>
    <w:p>
      <w:pPr>
        <w:ind w:left="3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USA Waste is the third largest integrated solid waste management company in North America and serves municipal, commercial, industrial and residential customers in 24 states. The Company's solid waste management services include collection, transfer and disposal operations and, to a lesser extent, recycling and certain other waste management services. USA Waste owns or operates 39 landfills, 26 transfer stations and 72 collection operations and serves more than 1.3 million customers.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intends to continue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3"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Additional information concerning the Company's business, assets, management, results of operations, and other matters is included in the Company's reports filed under the Exchange Act that are incorporated by reference in this Prospectus, including the Company's Annual Report on Form</w:t>
      </w:r>
    </w:p>
    <w:p>
      <w:pPr>
        <w:spacing w:after="0" w:line="3"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10-K for the year ended December 31, 1995, and the Joint Proxy Statement and Prospectus dated July 19, 1996. See "Incorporation of Certain Information by Reference."</w:t>
      </w:r>
    </w:p>
    <w:p>
      <w:pPr>
        <w:spacing w:after="0" w:line="175"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The term "Company" and "USA Waste" refer to USA Waste Services Inc., a Delaware corporation, and its subsidiaries and predecessors unless the context requires otherwise. The Company's executive offices are located at 5400 LBJ Freeway, Suite 300, Dallas, Texas 75240, and its telephone number is (214)</w:t>
      </w:r>
    </w:p>
    <w:p>
      <w:pPr>
        <w:spacing w:after="0"/>
        <w:rPr>
          <w:sz w:val="20"/>
          <w:szCs w:val="20"/>
          <w:color w:val="auto"/>
        </w:rPr>
      </w:pPr>
      <w:r>
        <w:rPr>
          <w:rFonts w:ascii="Courier New" w:cs="Courier New" w:eastAsia="Courier New" w:hAnsi="Courier New"/>
          <w:sz w:val="15"/>
          <w:szCs w:val="15"/>
          <w:color w:val="auto"/>
        </w:rPr>
        <w:t>383-7900.</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materially expanded its operations and markets with its acquisition of Western Waste Industries ("Western") on May 7, 1996 (the "Western Merger"). With the addition of the Western operations, which include significant collection operations, the Company significantly increased its presence in California and added additional operations in Texas, Louisiana, Florida, Colorado, and Arkansas. Western had 91 municipal and regional authority contracts and served over 785,000 customers. As part of its business, Western operated six landfills, three transfer stations, and five recycling facilities.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June 22, 1996, the Company entered into an Agreement and Plan of Merger with Sanifill, Inc., a Delaware corporation ("Sanifill"), providing for, among other things, the merger (the "Sanifill Merger") of Quatro Acquisition Corp., a Delaware corporation and wholly-owned subsidiary of the Company with and into Sanifill and the conversion of each outstanding share of Sanifill common stock into 1.7 shares of the Company's Common Stock. Upon consummation of the Sanifill Merger, the Company would issue approximately 54.66 million shares of Common Stock. Sanifill owns and operates nonhazardous waste disposal, treatment, collection, transfer and recycling businesses and complimentary operations. Since it was founded in 1989, Sanifill has completed the acquisition of 140 disposal, collection and related businesses. As of March 31, 1996, Sanifill operated 50 disposal and treatment facilities, 25 transfer stations, and 36 collection operations. In addition, Sanifill provides sludge treatment and organic recycling services. Additional information concerning Sanifill is included in Sanifill's reports filed under the Exchange Act that are incorporated by reference in the Joint Proxy Statement and Prospectus dated July 15, 1996. See "Available Information" and "Incorporation of Certain Information by reference."</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other information set forth in this Prospectus, the following factors should be considered by prospective investors when evaluating an investment in the Common Stock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 MAY NOT PROVE ACCURATE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When used or incorporated by reference in this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Among the key factors that have a direct bearing on the Company's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The Company has also made certain assumptions relating to the outcome of various commercial, legal and regulatory proceedings relating to the Company's operations and the industry generally. These and other risk factors are discussed below.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BENEFITS OF SANIFILL MERGER MAY NOT BE ACHIEVED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There can be no assurance that if the Sanifill Merger is consummated, the expected benefits of the Sanifill Merger relative to the combined business as described in the Joint Proxy Statement and Prospectus dated July 15, 1996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Western, the Company's most recent large acquisition, or that the Company will be able to successfully integrate the operations of Sanifill if the Sanifill Merger is consummated.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CAPITAL; DEBT FINANCING</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long-term debt of the Company (including Western), including current maturities, as of March 31, 1996, was approximately $488 million and on a pro forma basis including Sanifill was approximately $86 million. The Company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180"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 addition, approximately $363 million of the Company's existing indebtedness at March 31, 1996, and approximately $52 million of Sanifill's existing indebtedness at March 31, 1996, is priced at variable interest rates that fluctuate as general interest rates change. As a result, an increase in interest rates could adversely impact the Company's future earnings.</w:t>
      </w:r>
    </w:p>
    <w:p>
      <w:pPr>
        <w:sectPr>
          <w:pgSz w:w="11900" w:h="16838" w:orient="portrait"/>
          <w:cols w:equalWidth="0" w:num="1">
            <w:col w:w="10219"/>
          </w:cols>
          <w:pgMar w:left="240" w:top="291"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555"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 impose fines on the Company, (ii) revoke or deny renewal of the Company's operating permits or licenses for violations of environmental laws or regulations, or (iii) require remediation of environmental problems at its sites or nearby properties, or resulting from transportation or predecessors' transportation and collection operations, all of which could have a material adverse effect on the Company. Liability may also arise from actions brought by individuals or community groups in connection with the permitting or licensing of its operations, any alleged violations of such permits and licenses, or other matters.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is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Liability may also arise from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 MAY ADVERSELY AFFECT MARKET PRICE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Sales of substantial amounts of Common Stock in the public market could adversely affect the market price of such stock. The Company recently filed a shelf registration statement for the benefit of certain stockholders relating to 4 million shares of the Company's Common Stock. In connection with the proposed Sanifill Merger, the Company entered into an agreement with these stockholders that provides that if the number of shares of Common Stock so registered falls below 2 million shares, such stockholders shall be entitled at their request to have the Company register additional shares of Common Stock; provided that at no time shall more than 4 million shares of Common Stock be registered. All of the initial 4 million shares of Common Stock remain available to be sold pursuant to such registration statement. Such shares are immediately saleable in the open market. In addition, the Company has a shelf registration statement covering approximately 2.5 million shares of Common Stock that may be used for acquisitions. In the event that the market price of Common Stock were adversely affected by such sales, the Company's access to equity capital markets could be adversely affected, and issuances of stock by the Company in connection with acquisitions, or otherwise, could dilute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This Prospectus relates to an aggregate of 128,500 shares of Common Stock that are being offered for the account of the Selling Shareholders. All proceeds from the sale of such shares will go to the Selling Shareholders.</w:t>
      </w:r>
    </w:p>
    <w:p>
      <w:pPr>
        <w:spacing w:after="0" w:line="348"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CAPITAL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authorized to issue 150,000,000 shares of Common Stock, par value $0.01 per share, of which 87,529,268 shares were outstanding at March 31, 1996. The Company is also authorized to issue 10,000,000 shares of Preferred Stock, $.01 par value (the "Preferred Stock"), none of which are outstanding. In connection with the proposed Sanifill Merger, the Company has submitted a proposal to its stockholders to increase the authorized number of shares of Common Stock from 150,000,000 to 300,000,000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transfer agent and registrar for the Common Stock is Boston Equiserv, 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OFFICERS AND DIRECTORS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Certificate of Incorporation of the Company provides that the directors of the Company shall not be liable to the Company or its shareholders for monetary damages for breach of fiduciary duty as a director to the fullest extent permitted by the Delaware General Corporation Law (the "DGCL"). The foregoing limitation does not eliminate or limit the liability of a director for any breach of a director's duty of loyalty to the Company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the Company also provides that the Company shall indemnify, and advance litigation expenses to, its officers, directors, employees, and agents to the fullest extent permitted by the DGCL and all other laws of the State of Delaware.</w:t>
      </w:r>
    </w:p>
    <w:p>
      <w:pPr>
        <w:spacing w:after="0" w:line="182"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DGCL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DGCL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83"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has entered into an Indemnification Agreement with each of its directors and executive officers (the "Indemnitees") pursuant to which the Company has agreed to indemnify and hold each of the Indemnitees harmless from and against all expenses, including reasonable fees and expenses of counsel, and all liabilities, including the amounts of any judgments, fines, penalties, excise taxes, and amounts paid in settlement actually incurred by an Indemnitee in connection with any threatened, pending or completed claim, action (including any action by or in the right of the Company), suit, or proceeding (whether formal or informal, or civil, criminal, administrative, legislative, arbitrative, or investigative) in respect of which the Indemnitee is, was, or at any time becomes, or is threatened to be made, a party, witness, subject, or target, by reason of the fact that the Indemnitee is or was an authorized representative of the Company; provided, however, no indemnity shall be paid on account of the Indemnitee's conduct that is finally adjudged to constitute willful misconduct or to have been knowingly fraudulent, deliberately dishonest, or from which the Indemnitee derives an improper personal benefit.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type w:val="continuous"/>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left="8" w:firstLine="451"/>
        <w:spacing w:after="0" w:line="244" w:lineRule="auto"/>
        <w:rPr>
          <w:sz w:val="20"/>
          <w:szCs w:val="20"/>
          <w:color w:val="auto"/>
        </w:rPr>
      </w:pPr>
      <w:r>
        <w:rPr>
          <w:rFonts w:ascii="Courier New" w:cs="Courier New" w:eastAsia="Courier New" w:hAnsi="Courier New"/>
          <w:sz w:val="15"/>
          <w:szCs w:val="15"/>
          <w:color w:val="auto"/>
        </w:rPr>
        <w:t>The Company maintains an officers and directors liability insurance policy insuring officers and directors of the Company and its subsidiaries against certain liabilities, including liabilities under the Securities Act. The effect of such policy is to indemnify the officers and directors of the Company against losses incurred by them while acting in such capacities.</w:t>
      </w:r>
    </w:p>
    <w:p>
      <w:pPr>
        <w:spacing w:after="0" w:line="177" w:lineRule="exact"/>
        <w:rPr>
          <w:sz w:val="20"/>
          <w:szCs w:val="20"/>
          <w:color w:val="auto"/>
        </w:rPr>
      </w:pPr>
    </w:p>
    <w:p>
      <w:pPr>
        <w:ind w:left="8" w:firstLine="451"/>
        <w:spacing w:after="0" w:line="244"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350" w:lineRule="exact"/>
        <w:rPr>
          <w:sz w:val="20"/>
          <w:szCs w:val="20"/>
          <w:color w:val="auto"/>
        </w:rPr>
      </w:pPr>
    </w:p>
    <w:p>
      <w:pPr>
        <w:jc w:val="center"/>
        <w:ind w:left="88"/>
        <w:spacing w:after="0"/>
        <w:rPr>
          <w:sz w:val="20"/>
          <w:szCs w:val="20"/>
          <w:color w:val="auto"/>
        </w:rPr>
      </w:pPr>
      <w:r>
        <w:rPr>
          <w:rFonts w:ascii="Courier New" w:cs="Courier New" w:eastAsia="Courier New" w:hAnsi="Courier New"/>
          <w:sz w:val="15"/>
          <w:szCs w:val="15"/>
          <w:color w:val="auto"/>
        </w:rPr>
        <w:t>SELLING SHAREHOLDERS</w:t>
      </w:r>
    </w:p>
    <w:p>
      <w:pPr>
        <w:spacing w:after="0" w:line="178" w:lineRule="exact"/>
        <w:rPr>
          <w:sz w:val="20"/>
          <w:szCs w:val="20"/>
          <w:color w:val="auto"/>
        </w:rPr>
      </w:pPr>
    </w:p>
    <w:p>
      <w:pPr>
        <w:ind w:left="8" w:firstLine="451"/>
        <w:spacing w:after="0" w:line="244" w:lineRule="auto"/>
        <w:rPr>
          <w:sz w:val="20"/>
          <w:szCs w:val="20"/>
          <w:color w:val="auto"/>
        </w:rPr>
      </w:pPr>
      <w:r>
        <w:rPr>
          <w:rFonts w:ascii="Courier New" w:cs="Courier New" w:eastAsia="Courier New" w:hAnsi="Courier New"/>
          <w:sz w:val="15"/>
          <w:szCs w:val="15"/>
          <w:color w:val="auto"/>
        </w:rPr>
        <w:t>This Prospectus covers offers from time to time by the Selling Shareholders of the Shares owned by them. The following table sets forth the names of the Selling Shareholders and the number of shares of Common Stock held be each as of the date of this Prospectus that are registered hereunder:</w:t>
      </w:r>
    </w:p>
    <w:p>
      <w:pPr>
        <w:spacing w:after="0" w:line="200" w:lineRule="exact"/>
        <w:rPr>
          <w:sz w:val="20"/>
          <w:szCs w:val="20"/>
          <w:color w:val="auto"/>
        </w:rPr>
      </w:pPr>
    </w:p>
    <w:p>
      <w:pPr>
        <w:spacing w:after="0" w:line="322"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spacing w:after="0"/>
        <w:tabs>
          <w:tab w:leader="none" w:pos="4220" w:val="left"/>
        </w:tabs>
        <w:rPr>
          <w:sz w:val="20"/>
          <w:szCs w:val="20"/>
          <w:color w:val="auto"/>
        </w:rPr>
      </w:pPr>
      <w:r>
        <w:rPr>
          <w:rFonts w:ascii="Courier New" w:cs="Courier New" w:eastAsia="Courier New" w:hAnsi="Courier New"/>
          <w:sz w:val="15"/>
          <w:szCs w:val="15"/>
          <w:color w:val="auto"/>
        </w:rPr>
        <w:t>Sam W. Humphreys (1)</w:t>
        <w:tab/>
        <w:t>. . . . . . . . . . . . . . . . . . . . . . . .</w:t>
      </w:r>
    </w:p>
    <w:p>
      <w:pPr>
        <w:spacing w:after="0" w:line="3" w:lineRule="exact"/>
        <w:rPr>
          <w:sz w:val="20"/>
          <w:szCs w:val="20"/>
          <w:color w:val="auto"/>
        </w:rPr>
      </w:pPr>
    </w:p>
    <w:p>
      <w:pPr>
        <w:jc w:val="right"/>
        <w:spacing w:after="0"/>
        <w:tabs>
          <w:tab w:leader="none" w:pos="3500" w:val="left"/>
        </w:tabs>
        <w:rPr>
          <w:sz w:val="20"/>
          <w:szCs w:val="20"/>
          <w:color w:val="auto"/>
        </w:rPr>
      </w:pPr>
      <w:r>
        <w:rPr>
          <w:rFonts w:ascii="Courier New" w:cs="Courier New" w:eastAsia="Courier New" w:hAnsi="Courier New"/>
          <w:sz w:val="15"/>
          <w:szCs w:val="15"/>
          <w:color w:val="auto"/>
        </w:rPr>
        <w:t>Donald F. Moorehead, Jr.(2)</w:t>
      </w:r>
      <w:r>
        <w:rPr>
          <w:sz w:val="20"/>
          <w:szCs w:val="20"/>
          <w:color w:val="auto"/>
        </w:rPr>
        <w:tab/>
      </w:r>
      <w:r>
        <w:rPr>
          <w:rFonts w:ascii="Courier New" w:cs="Courier New" w:eastAsia="Courier New" w:hAnsi="Courier New"/>
          <w:sz w:val="15"/>
          <w:szCs w:val="15"/>
          <w:color w:val="auto"/>
        </w:rPr>
        <w:t>. . . . . . . . . . . . . . . . . . . .</w:t>
      </w:r>
    </w:p>
    <w:p>
      <w:pPr>
        <w:spacing w:after="0" w:line="177" w:lineRule="exact"/>
        <w:rPr>
          <w:sz w:val="20"/>
          <w:szCs w:val="20"/>
          <w:color w:val="auto"/>
        </w:rPr>
      </w:pPr>
    </w:p>
    <w:p>
      <w:pPr>
        <w:jc w:val="both"/>
        <w:ind w:left="1348"/>
        <w:spacing w:after="0"/>
        <w:tabs>
          <w:tab w:leader="none" w:pos="1967" w:val="left"/>
        </w:tabs>
        <w:rPr>
          <w:sz w:val="20"/>
          <w:szCs w:val="20"/>
          <w:color w:val="auto"/>
        </w:rPr>
      </w:pPr>
      <w:r>
        <w:rPr>
          <w:rFonts w:ascii="Courier New" w:cs="Courier New" w:eastAsia="Courier New" w:hAnsi="Courier New"/>
          <w:sz w:val="15"/>
          <w:szCs w:val="15"/>
          <w:color w:val="auto"/>
        </w:rPr>
        <w:t>Total</w:t>
        <w:tab/>
        <w:t>. . . . . . . . . . . . . . . . . . . . . . . . . . . . .</w:t>
      </w:r>
    </w:p>
    <w:p>
      <w:pPr>
        <w:spacing w:after="0" w:line="350"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8" w:right="100" w:firstLine="3"/>
        <w:spacing w:after="0" w:line="243" w:lineRule="auto"/>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Humphreys was a Vice President and General Counsel of Envirofil, Inc. from May 1993, until it was acquired by the Company on May 27, 1994.</w:t>
      </w:r>
    </w:p>
    <w:p>
      <w:pPr>
        <w:spacing w:after="0" w:line="176" w:lineRule="exact"/>
        <w:rPr>
          <w:rFonts w:ascii="Courier New" w:cs="Courier New" w:eastAsia="Courier New" w:hAnsi="Courier New"/>
          <w:sz w:val="15"/>
          <w:szCs w:val="15"/>
          <w:color w:val="auto"/>
        </w:rPr>
      </w:pPr>
    </w:p>
    <w:p>
      <w:pPr>
        <w:ind w:left="448" w:right="280" w:firstLine="3"/>
        <w:spacing w:after="0" w:line="243" w:lineRule="auto"/>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Moorehead is the Vice Chairman and Chief Development Officer of the Company.</w:t>
      </w:r>
    </w:p>
    <w:p>
      <w:pPr>
        <w:spacing w:after="0" w:line="176" w:lineRule="exact"/>
        <w:rPr>
          <w:sz w:val="20"/>
          <w:szCs w:val="20"/>
          <w:color w:val="auto"/>
        </w:rPr>
      </w:pPr>
    </w:p>
    <w:p>
      <w:pPr>
        <w:ind w:left="8" w:right="280" w:firstLine="451"/>
        <w:spacing w:after="0" w:line="265" w:lineRule="auto"/>
        <w:rPr>
          <w:sz w:val="20"/>
          <w:szCs w:val="20"/>
          <w:color w:val="auto"/>
        </w:rPr>
      </w:pPr>
      <w:r>
        <w:rPr>
          <w:rFonts w:ascii="Courier New" w:cs="Courier New" w:eastAsia="Courier New" w:hAnsi="Courier New"/>
          <w:sz w:val="14"/>
          <w:szCs w:val="14"/>
          <w:color w:val="auto"/>
        </w:rPr>
        <w:t>Mr. Humphreys beneficially owns 50,000 shares of Common Stock of the Company (including warrants and options currently exercisable or exercisable within 60 days). Mr. Moorehead beneficially owns 2,247,953 shares of Common Stock of the Company (including 369,000 shares issuable pursuant to warrants and options currently exercisable or exercisable within 60 days and 228,832 shares owned by Mr. Moorehead's spouse and children.)</w:t>
      </w:r>
    </w:p>
    <w:p>
      <w:pPr>
        <w:spacing w:after="0" w:line="162" w:lineRule="exact"/>
        <w:rPr>
          <w:sz w:val="20"/>
          <w:szCs w:val="20"/>
          <w:color w:val="auto"/>
        </w:rPr>
      </w:pPr>
    </w:p>
    <w:p>
      <w:pPr>
        <w:jc w:val="center"/>
        <w:ind w:left="88"/>
        <w:spacing w:after="0"/>
        <w:rPr>
          <w:sz w:val="20"/>
          <w:szCs w:val="20"/>
          <w:color w:val="auto"/>
        </w:rPr>
      </w:pPr>
      <w:r>
        <w:rPr>
          <w:rFonts w:ascii="Courier New" w:cs="Courier New" w:eastAsia="Courier New" w:hAnsi="Courier New"/>
          <w:sz w:val="15"/>
          <w:szCs w:val="15"/>
          <w:color w:val="auto"/>
        </w:rPr>
        <w:t>MANNER OF OFFERING</w:t>
      </w:r>
    </w:p>
    <w:p>
      <w:pPr>
        <w:spacing w:after="0" w:line="178" w:lineRule="exact"/>
        <w:rPr>
          <w:sz w:val="20"/>
          <w:szCs w:val="20"/>
          <w:color w:val="auto"/>
        </w:rPr>
      </w:pPr>
    </w:p>
    <w:p>
      <w:pPr>
        <w:ind w:left="8" w:right="100" w:firstLine="451"/>
        <w:spacing w:after="0" w:line="244" w:lineRule="auto"/>
        <w:rPr>
          <w:sz w:val="20"/>
          <w:szCs w:val="20"/>
          <w:color w:val="auto"/>
        </w:rPr>
      </w:pPr>
      <w:r>
        <w:rPr>
          <w:rFonts w:ascii="Courier New" w:cs="Courier New" w:eastAsia="Courier New" w:hAnsi="Courier New"/>
          <w:sz w:val="15"/>
          <w:szCs w:val="15"/>
          <w:color w:val="auto"/>
        </w:rPr>
        <w:t>This Prospectus, as appropriately amended or supplemented, may be used from time to time by a Selling Shareholder, or his transferees, to offer and sell the Shares in transactions in which he and any broker-dealer through 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178" w:lineRule="exact"/>
        <w:rPr>
          <w:sz w:val="20"/>
          <w:szCs w:val="20"/>
          <w:color w:val="auto"/>
        </w:rPr>
      </w:pPr>
    </w:p>
    <w:p>
      <w:pPr>
        <w:ind w:left="8" w:right="100" w:firstLine="451"/>
        <w:spacing w:after="0" w:line="244" w:lineRule="auto"/>
        <w:rPr>
          <w:sz w:val="20"/>
          <w:szCs w:val="20"/>
          <w:color w:val="auto"/>
        </w:rPr>
      </w:pPr>
      <w:r>
        <w:rPr>
          <w:rFonts w:ascii="Courier New" w:cs="Courier New" w:eastAsia="Courier New" w:hAnsi="Courier New"/>
          <w:sz w:val="15"/>
          <w:szCs w:val="15"/>
          <w:color w:val="auto"/>
        </w:rPr>
        <w:t>The Company anticipates that resales of the Shares by the Selling Shareholders will be effected from time to time on the open market in ordinary brokerage transactions on the New York Stock Exchange ("NYSE"), on which the Common Stock is listed, in the over-the-counter market, or in private transactions (which may involve crosses and block transactions). The Shares will be offered for sale at market prices prevailing at the time of sale or at 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a Selling Shareholder's agent in the sale of the Shares by a Selling Shareholder and/or may acquire Shares as principal. Member firms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 Sales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50,000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78,500</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128,500</w:t>
      </w:r>
    </w:p>
    <w:p>
      <w:pPr>
        <w:spacing w:after="0" w:line="7648" w:lineRule="exact"/>
        <w:rPr>
          <w:sz w:val="20"/>
          <w:szCs w:val="20"/>
          <w:color w:val="auto"/>
        </w:rPr>
      </w:pPr>
    </w:p>
    <w:p>
      <w:pPr>
        <w:sectPr>
          <w:pgSz w:w="11900" w:h="16838" w:orient="portrait"/>
          <w:cols w:equalWidth="0" w:num="2">
            <w:col w:w="7128" w:space="260"/>
            <w:col w:w="2839"/>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91"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by the member firm may be made on the NYSE from time to time at prices related to prices then prevailing. Any such sales may be by block trade.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Participating broker-dealers may agree with a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a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such securities exchange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in negotiated transactions, or otherwise, at market prices prevailing at the time of sale or at negotiated prices, and in connection with such resales may pay to or receive commissions from the purchasers of such shares.</w:t>
      </w:r>
    </w:p>
    <w:p>
      <w:pPr>
        <w:spacing w:after="0" w:line="35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the Company's being notified by a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number of Shares involved, (ii) the price at which the Shares were sold, (iii) any participating brokers, dealers, agents or member firm involved, (iv) any discounts, commissions and other items paid as compensation from, and the resulting net proceeds to, the Selling Shareholder, (v) that such broker-dealers did not conduct any investigation to verify the information set out in this Prospectus, and (vi) other facts material to the transaction.</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Shares may be sold directly by a Selling Shareholder or through agents designated by a Selling Shareholder from time to time. Unless otherwise indicated in the a supplement to this Prospectus, any such agent will be acting on a best efforts basis for the period of its appointment.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Selling Shareholders and any brokers, dealers, agents, member firm or others that participate with the Selling Shareholders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may agree to indemnify the Selling Shareholders as underwriters under the Securities Act against certain liabilities, including liabilities arising under the Securities Act. Agents may be entitled under agreements entered into with the Selling Shareholders to indemnification against certain civil liabilities, including liabilities under the Securities Act.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Selling Shareholders will be subject to the applicable provisions of the Exchange Act and the rules and regulations thereunder, including without limitation Rules 10b-2, 10b-6, and 10b-7, which provisions may limit the timing of purchases and sales of any of the Common Stock by the Selling Shareholders. All of the foregoing may affect the marketability of the Common Stock.</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Company will pay substantially all the expenses incident to this offering of the Common Stock by the Selling Shareholders to the public other than brokerage fees, commissions and discounts of underwriters, dealers or agents.</w:t>
      </w:r>
    </w:p>
    <w:p>
      <w:pPr>
        <w:spacing w:after="0" w:line="176" w:lineRule="exact"/>
        <w:rPr>
          <w:sz w:val="20"/>
          <w:szCs w:val="20"/>
          <w:color w:val="auto"/>
        </w:rPr>
      </w:pPr>
    </w:p>
    <w:p>
      <w:pPr>
        <w:ind w:right="3199" w:firstLine="451"/>
        <w:spacing w:after="0" w:line="270" w:lineRule="auto"/>
        <w:rPr>
          <w:sz w:val="20"/>
          <w:szCs w:val="20"/>
          <w:color w:val="auto"/>
        </w:rPr>
      </w:pPr>
      <w:r>
        <w:rPr>
          <w:rFonts w:ascii="Courier New" w:cs="Courier New" w:eastAsia="Courier New" w:hAnsi="Courier New"/>
          <w:sz w:val="14"/>
          <w:szCs w:val="14"/>
          <w:color w:val="auto"/>
        </w:rPr>
        <w:t>In order to comply with certain states' securities laws, if applicable, the Common Stock will be sold in such jurisdictions only through registered or licensed brokers or dealers. In addition, in certain states the Common Stock</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may not be sold unless the Common Stock has been registered or qualified for sale in such state or an exemption from registration or qualification is available and is complied with.</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199" w:firstLine="451"/>
        <w:spacing w:after="0" w:line="278" w:lineRule="auto"/>
        <w:rPr>
          <w:sz w:val="20"/>
          <w:szCs w:val="20"/>
          <w:color w:val="auto"/>
        </w:rPr>
      </w:pPr>
      <w:r>
        <w:rPr>
          <w:rFonts w:ascii="Courier New" w:cs="Courier New" w:eastAsia="Courier New" w:hAnsi="Courier New"/>
          <w:sz w:val="14"/>
          <w:szCs w:val="14"/>
          <w:color w:val="auto"/>
        </w:rPr>
        <w:t>Certain legal matters in connection with the Shares have been passed upon for the Company by Snell &amp; Smith, A Professional Corporation, Houston, Texas.</w:t>
      </w:r>
    </w:p>
    <w:p>
      <w:pPr>
        <w:spacing w:after="0" w:line="3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(Amendment No. 3) filed July 1, 1996 incorporated by reference in this Prospectus, have been incorporated herein in reliance on the report of Coopers &amp; Lybrand L.L.P., independent accountants, given on the authority of that firm as experts in accounting and auditing.</w:t>
      </w:r>
    </w:p>
    <w:p>
      <w:pPr>
        <w:spacing w:after="0" w:line="181"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Western at June 30, 1995 and 1994, and for each of the three years in the period ended June 30, 1995, included in the Company's Current Report on Form 8-K dated January 9, 1996, have been audited by Ernst &amp; Young LLP, independent auditors, as set forth in their report thereon included in Western's Annual Report (Form 10-K) and incorporated herein by reference. Such consolidated financial statements are incorporated herein by reference in reliance upon such report given upon the authority of such firm as experts in accounting and auditing.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Sanifill appearing in Sanifill's Annual Report on Form 10-K for the year ended December 31, 1995 and the financial statements of various companies acquired by Sanifill appearing in Sanifill's Current Reports on Form 8-K dated February 5, 1996, February 11, 1996 and March 20, 1996 incorporated by reference in the Registration Statement on Form S-3 and the related Prospectus have been audited by Arthur Andersen LLP, independent public accountants, as indicated in their reports with respect thereto, and are incorporated by reference herein in reliance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620" w:right="3199"/>
        <w:spacing w:after="0" w:line="244" w:lineRule="auto"/>
        <w:rPr>
          <w:sz w:val="20"/>
          <w:szCs w:val="20"/>
          <w:color w:val="auto"/>
        </w:rPr>
      </w:pPr>
      <w:r>
        <w:rPr>
          <w:rFonts w:ascii="Courier New" w:cs="Courier New" w:eastAsia="Courier New" w:hAnsi="Courier New"/>
          <w:sz w:val="15"/>
          <w:szCs w:val="15"/>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Shareholders.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128,500 Shares</w:t>
      </w:r>
    </w:p>
    <w:p>
      <w:pPr>
        <w:spacing w:after="0" w:line="200" w:lineRule="exact"/>
        <w:rPr>
          <w:sz w:val="20"/>
          <w:szCs w:val="20"/>
          <w:color w:val="auto"/>
        </w:rPr>
      </w:pPr>
    </w:p>
    <w:p>
      <w:pPr>
        <w:spacing w:after="0" w:line="32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2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80"/>
        <w:spacing w:after="0"/>
        <w:tabs>
          <w:tab w:leader="none" w:pos="3580" w:val="left"/>
        </w:tabs>
        <w:rPr>
          <w:sz w:val="20"/>
          <w:szCs w:val="20"/>
          <w:color w:val="auto"/>
        </w:rPr>
      </w:pPr>
      <w:r>
        <w:rPr>
          <w:rFonts w:ascii="Courier New" w:cs="Courier New" w:eastAsia="Courier New" w:hAnsi="Courier New"/>
          <w:sz w:val="15"/>
          <w:szCs w:val="15"/>
          <w:color w:val="auto"/>
        </w:rPr>
        <w:t>July</w:t>
      </w:r>
      <w:r>
        <w:rPr>
          <w:sz w:val="20"/>
          <w:szCs w:val="20"/>
          <w:color w:val="auto"/>
        </w:rPr>
        <w:tab/>
      </w:r>
      <w:r>
        <w:rPr>
          <w:rFonts w:ascii="Courier New" w:cs="Courier New" w:eastAsia="Courier New" w:hAnsi="Courier New"/>
          <w:sz w:val="15"/>
          <w:szCs w:val="15"/>
          <w:color w:val="auto"/>
        </w:rPr>
        <w:t>,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the estimated expenses in connection with</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60" w:type="dxa"/>
            <w:vAlign w:val="bottom"/>
          </w:tcPr>
          <w:p>
            <w:pPr>
              <w:jc w:val="right"/>
              <w:ind w:right="1725"/>
              <w:spacing w:after="0"/>
              <w:rPr>
                <w:sz w:val="20"/>
                <w:szCs w:val="20"/>
                <w:color w:val="auto"/>
              </w:rPr>
            </w:pPr>
            <w:r>
              <w:rPr>
                <w:rFonts w:ascii="Courier New" w:cs="Courier New" w:eastAsia="Courier New" w:hAnsi="Courier New"/>
                <w:sz w:val="15"/>
                <w:szCs w:val="15"/>
                <w:color w:val="auto"/>
                <w:w w:val="99"/>
              </w:rPr>
              <w:t>the distribution of the securities covered by this Registration Statement.</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94"/>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Securities and Exchange Commission fee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1,147</w:t>
            </w:r>
          </w:p>
        </w:tc>
      </w:tr>
      <w:tr>
        <w:trPr>
          <w:trHeight w:val="173"/>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Printing expenses   . . . . . . . . . . . . . . . . . . . . . . . . . . . . . . . . . .</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Accountants' fees and expenses  . . . . . . . . . . . . . . . . . . . . . . . . . . . .</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3"/>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Blue sky fees and expenses  . . . . . . . . . . . . . . . . . . . . . . . . . . . . . .</w:t>
            </w:r>
          </w:p>
        </w:tc>
        <w:tc>
          <w:tcPr>
            <w:tcW w:w="42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Legal fees and expenses   . . . . . . . . . . . . . . . . . . . . . . . . . . . . . . .</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3"/>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Miscellaneous   . . . . . . . . . . . . . . . . . . . . . . . . . . . . . . . . . . . .</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8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  . .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13,147*</w:t>
            </w:r>
          </w:p>
        </w:tc>
      </w:tr>
      <w:tr>
        <w:trPr>
          <w:trHeight w:val="173"/>
        </w:trPr>
        <w:tc>
          <w:tcPr>
            <w:tcW w:w="8460" w:type="dxa"/>
            <w:vAlign w:val="bottom"/>
          </w:tcPr>
          <w:p>
            <w:pPr>
              <w:spacing w:after="0"/>
              <w:rPr>
                <w:sz w:val="15"/>
                <w:szCs w:val="15"/>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Estimated.</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w:t>
      </w:r>
    </w:p>
    <w:p>
      <w:pPr>
        <w:spacing w:after="0" w:line="5" w:lineRule="exact"/>
        <w:rPr>
          <w:sz w:val="20"/>
          <w:szCs w:val="20"/>
          <w:color w:val="auto"/>
        </w:rPr>
      </w:pPr>
    </w:p>
    <w:p>
      <w:pPr>
        <w:ind w:left="8" w:right="3279" w:hanging="8"/>
        <w:spacing w:after="0" w:line="244" w:lineRule="auto"/>
        <w:tabs>
          <w:tab w:leader="none" w:pos="5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76" w:lineRule="exact"/>
        <w:rPr>
          <w:sz w:val="20"/>
          <w:szCs w:val="20"/>
          <w:color w:val="auto"/>
        </w:rPr>
      </w:pPr>
    </w:p>
    <w:p>
      <w:pPr>
        <w:ind w:left="8" w:right="3379" w:firstLine="361"/>
        <w:spacing w:after="0" w:line="243" w:lineRule="auto"/>
        <w:rPr>
          <w:sz w:val="20"/>
          <w:szCs w:val="20"/>
          <w:color w:val="auto"/>
        </w:rPr>
      </w:pPr>
      <w:r>
        <w:rPr>
          <w:rFonts w:ascii="Courier New" w:cs="Courier New" w:eastAsia="Courier New" w:hAnsi="Courier New"/>
          <w:sz w:val="15"/>
          <w:szCs w:val="15"/>
          <w:color w:val="auto"/>
        </w:rPr>
        <w:t>The Restated Certificate of Incorporation of the registrant includes the following provisions:</w:t>
      </w:r>
    </w:p>
    <w:p>
      <w:pPr>
        <w:spacing w:after="0" w:line="176" w:lineRule="exact"/>
        <w:rPr>
          <w:sz w:val="20"/>
          <w:szCs w:val="20"/>
          <w:color w:val="auto"/>
        </w:rPr>
      </w:pPr>
    </w:p>
    <w:p>
      <w:pPr>
        <w:ind w:left="368" w:right="3099" w:firstLine="451"/>
        <w:spacing w:after="0" w:line="244" w:lineRule="auto"/>
        <w:rPr>
          <w:sz w:val="20"/>
          <w:szCs w:val="20"/>
          <w:color w:val="auto"/>
        </w:rPr>
      </w:pPr>
      <w:r>
        <w:rPr>
          <w:rFonts w:ascii="Courier New" w:cs="Courier New" w:eastAsia="Courier New" w:hAnsi="Courier New"/>
          <w:sz w:val="15"/>
          <w:szCs w:val="15"/>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27"/>
          </w:cols>
          <w:pgMar w:left="232" w:top="291" w:right="1440" w:bottom="1440" w:gutter="0" w:footer="0" w:header="0"/>
          <w:type w:val="continuous"/>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jc w:val="both"/>
        <w:ind w:left="368" w:right="3459"/>
        <w:spacing w:after="0" w:line="244" w:lineRule="auto"/>
        <w:rPr>
          <w:sz w:val="20"/>
          <w:szCs w:val="20"/>
          <w:color w:val="auto"/>
        </w:rPr>
      </w:pPr>
      <w:r>
        <w:rPr>
          <w:rFonts w:ascii="Courier New" w:cs="Courier New" w:eastAsia="Courier New" w:hAnsi="Courier New"/>
          <w:sz w:val="15"/>
          <w:szCs w:val="15"/>
          <w:color w:val="auto"/>
        </w:rPr>
        <w:t>exercise or perform any of the powers or duties otherwise conferred or imposed upon the board of directors by the Delaware General Corporation Law.</w:t>
      </w:r>
    </w:p>
    <w:p>
      <w:pPr>
        <w:spacing w:after="0" w:line="175"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Section 145 of the Delaware General Corporation Law provides as follows:</w:t>
      </w:r>
    </w:p>
    <w:p>
      <w:pPr>
        <w:spacing w:after="0" w:line="178" w:lineRule="exact"/>
        <w:rPr>
          <w:sz w:val="20"/>
          <w:szCs w:val="20"/>
          <w:color w:val="auto"/>
        </w:rPr>
      </w:pPr>
    </w:p>
    <w:p>
      <w:pPr>
        <w:ind w:left="8" w:right="3099" w:firstLine="353"/>
        <w:spacing w:after="0" w:line="244" w:lineRule="auto"/>
        <w:tabs>
          <w:tab w:leader="none" w:pos="90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8"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7" w:lineRule="exact"/>
        <w:rPr>
          <w:sz w:val="20"/>
          <w:szCs w:val="20"/>
          <w:color w:val="auto"/>
        </w:rPr>
      </w:pPr>
    </w:p>
    <w:p>
      <w:pPr>
        <w:ind w:left="8" w:right="3099" w:firstLine="353"/>
        <w:spacing w:after="0" w:line="244" w:lineRule="auto"/>
        <w:tabs>
          <w:tab w:leader="none" w:pos="81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4" w:lineRule="exact"/>
        <w:rPr>
          <w:rFonts w:ascii="Courier New" w:cs="Courier New" w:eastAsia="Courier New" w:hAnsi="Courier New"/>
          <w:sz w:val="15"/>
          <w:szCs w:val="15"/>
          <w:color w:val="auto"/>
        </w:rPr>
      </w:pPr>
    </w:p>
    <w:p>
      <w:pPr>
        <w:ind w:left="8" w:right="3379" w:firstLine="353"/>
        <w:spacing w:after="0" w:line="244" w:lineRule="auto"/>
        <w:tabs>
          <w:tab w:leader="none" w:pos="81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77" w:lineRule="exact"/>
        <w:rPr>
          <w:rFonts w:ascii="Courier New" w:cs="Courier New" w:eastAsia="Courier New" w:hAnsi="Courier New"/>
          <w:sz w:val="15"/>
          <w:szCs w:val="15"/>
          <w:color w:val="auto"/>
        </w:rPr>
      </w:pPr>
    </w:p>
    <w:p>
      <w:pPr>
        <w:ind w:left="8" w:right="3099" w:firstLine="353"/>
        <w:spacing w:after="0" w:line="244" w:lineRule="auto"/>
        <w:tabs>
          <w:tab w:leader="none" w:pos="81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w:t>
      </w:r>
    </w:p>
    <w:p>
      <w:pPr>
        <w:spacing w:after="0" w:line="3"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76" w:lineRule="exact"/>
        <w:rPr>
          <w:rFonts w:ascii="Courier New" w:cs="Courier New" w:eastAsia="Courier New" w:hAnsi="Courier New"/>
          <w:sz w:val="15"/>
          <w:szCs w:val="15"/>
          <w:color w:val="auto"/>
        </w:rPr>
      </w:pPr>
    </w:p>
    <w:p>
      <w:pPr>
        <w:ind w:left="8" w:right="3099" w:firstLine="353"/>
        <w:spacing w:after="0" w:line="244" w:lineRule="auto"/>
        <w:tabs>
          <w:tab w:leader="none" w:pos="81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fees)incurred by other employees and agents may be so paid upon such terms and conditions, if any, as the board of directors deems appropriate.</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27"/>
          </w:cols>
          <w:pgMar w:left="232"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right="3199" w:firstLine="353"/>
        <w:spacing w:after="0" w:line="244" w:lineRule="auto"/>
        <w:tabs>
          <w:tab w:leader="none" w:pos="81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77" w:lineRule="exact"/>
        <w:rPr>
          <w:rFonts w:ascii="Courier New" w:cs="Courier New" w:eastAsia="Courier New" w:hAnsi="Courier New"/>
          <w:sz w:val="15"/>
          <w:szCs w:val="15"/>
          <w:color w:val="auto"/>
        </w:rPr>
      </w:pPr>
    </w:p>
    <w:p>
      <w:pPr>
        <w:ind w:right="3099" w:firstLine="353"/>
        <w:spacing w:after="0" w:line="244" w:lineRule="auto"/>
        <w:tabs>
          <w:tab w:leader="none" w:pos="81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8" w:lineRule="exact"/>
        <w:rPr>
          <w:rFonts w:ascii="Courier New" w:cs="Courier New" w:eastAsia="Courier New" w:hAnsi="Courier New"/>
          <w:sz w:val="15"/>
          <w:szCs w:val="15"/>
          <w:color w:val="auto"/>
        </w:rPr>
      </w:pPr>
    </w:p>
    <w:p>
      <w:pPr>
        <w:ind w:right="3099" w:firstLine="353"/>
        <w:spacing w:after="0" w:line="244" w:lineRule="auto"/>
        <w:tabs>
          <w:tab w:leader="none" w:pos="81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0" w:lineRule="exact"/>
        <w:rPr>
          <w:rFonts w:ascii="Courier New" w:cs="Courier New" w:eastAsia="Courier New" w:hAnsi="Courier New"/>
          <w:sz w:val="15"/>
          <w:szCs w:val="15"/>
          <w:color w:val="auto"/>
        </w:rPr>
      </w:pPr>
    </w:p>
    <w:p>
      <w:pPr>
        <w:ind w:left="800" w:hanging="447"/>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"other enterprises"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80" w:lineRule="exact"/>
        <w:rPr>
          <w:sz w:val="20"/>
          <w:szCs w:val="20"/>
          <w:color w:val="auto"/>
        </w:rPr>
      </w:pPr>
    </w:p>
    <w:p>
      <w:pPr>
        <w:ind w:right="3099" w:firstLine="353"/>
        <w:spacing w:after="0" w:line="244" w:lineRule="auto"/>
        <w:tabs>
          <w:tab w:leader="none" w:pos="81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76" w:lineRule="exact"/>
        <w:rPr>
          <w:rFonts w:ascii="Courier New" w:cs="Courier New" w:eastAsia="Courier New" w:hAnsi="Courier New"/>
          <w:sz w:val="15"/>
          <w:szCs w:val="15"/>
          <w:color w:val="auto"/>
        </w:rPr>
      </w:pPr>
    </w:p>
    <w:p>
      <w:pPr>
        <w:ind w:right="3199" w:firstLine="353"/>
        <w:spacing w:after="0" w:line="244" w:lineRule="auto"/>
        <w:tabs>
          <w:tab w:leader="none" w:pos="81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77"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Restated Certificate of Incorporation of the registrant includes the following provision:</w:t>
      </w:r>
    </w:p>
    <w:p>
      <w:pPr>
        <w:spacing w:after="0" w:line="176" w:lineRule="exact"/>
        <w:rPr>
          <w:sz w:val="20"/>
          <w:szCs w:val="20"/>
          <w:color w:val="auto"/>
        </w:rPr>
      </w:pPr>
    </w:p>
    <w:p>
      <w:pPr>
        <w:ind w:left="360" w:right="3099" w:firstLine="451"/>
        <w:spacing w:after="0" w:line="244"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w:t>
      </w:r>
    </w:p>
    <w:p>
      <w:pPr>
        <w:sectPr>
          <w:pgSz w:w="11900" w:h="16838" w:orient="portrait"/>
          <w:cols w:equalWidth="0" w:num="1">
            <w:col w:w="10219"/>
          </w:cols>
          <w:pgMar w:left="240" w:top="291" w:right="1440" w:bottom="10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91" w:right="1440" w:bottom="1086" w:gutter="0" w:footer="0" w:header="0"/>
          <w:type w:val="continuous"/>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ind w:left="368" w:right="3700"/>
        <w:spacing w:after="0" w:line="244" w:lineRule="auto"/>
        <w:rPr>
          <w:sz w:val="20"/>
          <w:szCs w:val="20"/>
          <w:color w:val="auto"/>
        </w:rPr>
      </w:pPr>
      <w:r>
        <w:rPr>
          <w:rFonts w:ascii="Courier New" w:cs="Courier New" w:eastAsia="Courier New" w:hAnsi="Courier New"/>
          <w:sz w:val="15"/>
          <w:szCs w:val="15"/>
          <w:color w:val="auto"/>
        </w:rPr>
        <w:t>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176" w:lineRule="exact"/>
        <w:rPr>
          <w:sz w:val="20"/>
          <w:szCs w:val="20"/>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77" w:lineRule="exact"/>
        <w:rPr>
          <w:sz w:val="20"/>
          <w:szCs w:val="20"/>
          <w:color w:val="auto"/>
        </w:rPr>
      </w:pPr>
    </w:p>
    <w:p>
      <w:pPr>
        <w:ind w:left="8" w:right="3520" w:firstLine="361"/>
        <w:spacing w:after="0" w:line="244"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w:t>
            </w:r>
          </w:p>
        </w:tc>
        <w:tc>
          <w:tcPr>
            <w:tcW w:w="93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Restated Certificate of Incorporation [Incorporated by reference to Exhibit 3.1 to the Post-Effective</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Amendment</w:t>
            </w:r>
          </w:p>
        </w:tc>
        <w:tc>
          <w:tcPr>
            <w:tcW w:w="8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 1 to the Registrant's Registration Statement on Form S-4 (File No. 33-60103].</w:t>
            </w: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4.1(a)</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Amendment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to Registrant's</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[Incorporated by reference to Exhibit</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3.1(a) to</w:t>
            </w:r>
          </w:p>
        </w:tc>
        <w:tc>
          <w:tcPr>
            <w:tcW w:w="8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Registrant's Quarterly Report on Form 10-Q for the three months ended March 31, 1996]</w:t>
            </w: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4.1(b)</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Conformed</w:t>
            </w:r>
          </w:p>
        </w:tc>
        <w:tc>
          <w:tcPr>
            <w:tcW w:w="8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Copy of Registrant's Restated Certificate of Incorporation as amended [Incorporated by</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reference</w:t>
            </w:r>
          </w:p>
        </w:tc>
        <w:tc>
          <w:tcPr>
            <w:tcW w:w="8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Exhibit 3.1(b) to the Registrant's Quarterly Report on Form 10-Q for the three months</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ended March 31, 1996]</w:t>
            </w:r>
          </w:p>
        </w:tc>
        <w:tc>
          <w:tcPr>
            <w:tcW w:w="6820" w:type="dxa"/>
            <w:vAlign w:val="bottom"/>
          </w:tcPr>
          <w:p>
            <w:pPr>
              <w:spacing w:after="0"/>
              <w:rPr>
                <w:sz w:val="15"/>
                <w:szCs w:val="15"/>
                <w:color w:val="auto"/>
              </w:rPr>
            </w:pP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93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Bylaws [Incorporated by reference to Exhibit 3.2 to the Post-Effective Amendment No. 1 to the</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Registrant's Registration</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S-4 (File No. 33-60103].</w:t>
            </w: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4.3</w:t>
            </w:r>
          </w:p>
        </w:tc>
        <w:tc>
          <w:tcPr>
            <w:tcW w:w="93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Specimen Stock Certificate. [Incorporated by reference to Exhibit 4.3 to the Registrant's</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Registration Statement on</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Form S-3 (File No. 33-76224].</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Opinion of Snell &amp; Smith,</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A Professional Corporation.</w:t>
            </w:r>
          </w:p>
        </w:tc>
      </w:tr>
      <w:tr>
        <w:trPr>
          <w:trHeight w:val="173"/>
        </w:trPr>
        <w:tc>
          <w:tcPr>
            <w:tcW w:w="2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23.1</w:t>
            </w: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Consent of Snell &amp; Smith,</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A Professional Corporation (Included in Exhibit 5).</w:t>
            </w:r>
          </w:p>
        </w:tc>
      </w:tr>
    </w:tbl>
    <w:p>
      <w:pPr>
        <w:spacing w:after="0" w:line="3" w:lineRule="exact"/>
        <w:rPr>
          <w:sz w:val="20"/>
          <w:szCs w:val="20"/>
          <w:color w:val="auto"/>
        </w:rPr>
      </w:pPr>
    </w:p>
    <w:p>
      <w:pPr>
        <w:ind w:left="368" w:hanging="368"/>
        <w:spacing w:after="0"/>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23.2Consent of Coopers &amp; Lybrand L.L.P.</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Consent of Ernst &amp; Young LLP</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Consent of Arthur Andersen LLP</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23.5Consent of Deloitte &amp; Touche LLP</w:t>
      </w:r>
    </w:p>
    <w:p>
      <w:pPr>
        <w:spacing w:after="0" w:line="3" w:lineRule="exact"/>
        <w:rPr>
          <w:sz w:val="20"/>
          <w:szCs w:val="20"/>
          <w:color w:val="auto"/>
        </w:rPr>
      </w:pPr>
    </w:p>
    <w:p>
      <w:pPr>
        <w:ind w:left="8"/>
        <w:spacing w:after="0"/>
        <w:tabs>
          <w:tab w:leader="none" w:pos="347" w:val="left"/>
          <w:tab w:leader="none" w:pos="150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Powers of Attorney (Included on Page II-7).</w:t>
      </w:r>
    </w:p>
    <w:p>
      <w:pPr>
        <w:spacing w:after="0" w:line="350"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648"/>
          </w:cols>
          <w:pgMar w:left="232" w:top="291" w:right="101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1520" w:hanging="716"/>
        <w:spacing w:after="0"/>
        <w:tabs>
          <w:tab w:leader="none" w:pos="1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7" w:lineRule="exact"/>
        <w:rPr>
          <w:rFonts w:ascii="Courier New" w:cs="Courier New" w:eastAsia="Courier New" w:hAnsi="Courier New"/>
          <w:sz w:val="15"/>
          <w:szCs w:val="15"/>
          <w:color w:val="auto"/>
        </w:rPr>
      </w:pPr>
    </w:p>
    <w:p>
      <w:pPr>
        <w:ind w:left="800" w:right="3279" w:firstLine="725"/>
        <w:spacing w:after="0" w:line="244" w:lineRule="auto"/>
        <w:tabs>
          <w:tab w:leader="none" w:pos="2333"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5" w:lineRule="exact"/>
        <w:rPr>
          <w:rFonts w:ascii="Courier New" w:cs="Courier New" w:eastAsia="Courier New" w:hAnsi="Courier New"/>
          <w:sz w:val="15"/>
          <w:szCs w:val="15"/>
          <w:color w:val="auto"/>
        </w:rPr>
      </w:pPr>
    </w:p>
    <w:p>
      <w:pPr>
        <w:ind w:left="1520" w:right="3099" w:firstLine="817"/>
        <w:spacing w:after="0" w:line="243" w:lineRule="auto"/>
        <w:tabs>
          <w:tab w:leader="none" w:pos="3053"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520" w:right="3199" w:firstLine="817"/>
        <w:spacing w:after="0" w:line="244" w:lineRule="auto"/>
        <w:tabs>
          <w:tab w:leader="none" w:pos="3053"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7" w:lineRule="exact"/>
        <w:rPr>
          <w:rFonts w:ascii="Courier New" w:cs="Courier New" w:eastAsia="Courier New" w:hAnsi="Courier New"/>
          <w:sz w:val="15"/>
          <w:szCs w:val="15"/>
          <w:color w:val="auto"/>
        </w:rPr>
      </w:pPr>
    </w:p>
    <w:p>
      <w:pPr>
        <w:ind w:left="1520" w:right="3279" w:firstLine="817"/>
        <w:spacing w:after="0" w:line="244" w:lineRule="auto"/>
        <w:tabs>
          <w:tab w:leader="none" w:pos="3053"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1520" w:right="3099"/>
        <w:spacing w:after="0" w:line="244" w:lineRule="auto"/>
        <w:rPr>
          <w:sz w:val="20"/>
          <w:szCs w:val="20"/>
          <w:color w:val="auto"/>
        </w:rPr>
      </w:pPr>
      <w:r>
        <w:rPr>
          <w:rFonts w:ascii="Courier New" w:cs="Courier New" w:eastAsia="Courier New" w:hAnsi="Courier New"/>
          <w:sz w:val="15"/>
          <w:szCs w:val="15"/>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78" w:lineRule="exact"/>
        <w:rPr>
          <w:sz w:val="20"/>
          <w:szCs w:val="20"/>
          <w:color w:val="auto"/>
        </w:rPr>
      </w:pPr>
    </w:p>
    <w:p>
      <w:pPr>
        <w:ind w:left="800" w:right="3279" w:firstLine="725"/>
        <w:spacing w:after="0" w:line="244" w:lineRule="auto"/>
        <w:tabs>
          <w:tab w:leader="none" w:pos="23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2340" w:hanging="815"/>
        <w:spacing w:after="0"/>
        <w:tabs>
          <w:tab w:leader="none" w:pos="23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w:t>
      </w:r>
    </w:p>
    <w:p>
      <w:pPr>
        <w:spacing w:after="0" w:line="4" w:lineRule="exact"/>
        <w:rPr>
          <w:sz w:val="20"/>
          <w:szCs w:val="20"/>
          <w:color w:val="auto"/>
        </w:rPr>
      </w:pPr>
    </w:p>
    <w:p>
      <w:pPr>
        <w:ind w:left="800" w:right="3199"/>
        <w:spacing w:after="0" w:line="243" w:lineRule="auto"/>
        <w:rPr>
          <w:sz w:val="20"/>
          <w:szCs w:val="20"/>
          <w:color w:val="auto"/>
        </w:rPr>
      </w:pPr>
      <w:r>
        <w:rPr>
          <w:rFonts w:ascii="Courier New" w:cs="Courier New" w:eastAsia="Courier New" w:hAnsi="Courier New"/>
          <w:sz w:val="15"/>
          <w:szCs w:val="15"/>
          <w:color w:val="auto"/>
        </w:rPr>
        <w:t>post-effective amendment any of the securities being registered which remain unsold at the termination of the offering.</w:t>
      </w:r>
    </w:p>
    <w:p>
      <w:pPr>
        <w:spacing w:after="0" w:line="176" w:lineRule="exact"/>
        <w:rPr>
          <w:sz w:val="20"/>
          <w:szCs w:val="20"/>
          <w:color w:val="auto"/>
        </w:rPr>
      </w:pPr>
    </w:p>
    <w:p>
      <w:pPr>
        <w:ind w:right="3099" w:firstLine="804"/>
        <w:spacing w:after="0" w:line="244" w:lineRule="auto"/>
        <w:tabs>
          <w:tab w:leader="none" w:pos="15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right="3199" w:firstLine="804"/>
        <w:spacing w:after="0" w:line="244" w:lineRule="auto"/>
        <w:tabs>
          <w:tab w:leader="none" w:pos="15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9" w:lineRule="exact"/>
        <w:rPr>
          <w:rFonts w:ascii="Courier New" w:cs="Courier New" w:eastAsia="Courier New" w:hAnsi="Courier New"/>
          <w:sz w:val="15"/>
          <w:szCs w:val="15"/>
          <w:color w:val="auto"/>
        </w:rPr>
      </w:pPr>
    </w:p>
    <w:p>
      <w:pPr>
        <w:ind w:right="3199" w:firstLine="804"/>
        <w:spacing w:after="0" w:line="244" w:lineRule="auto"/>
        <w:tabs>
          <w:tab w:leader="none" w:pos="153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291"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duly caused this registration statement to be signed on its behalf by the undersigned, thereunto duly authorized, in the City of Dallas, State of Texas on July 22, 1996.</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By:/s/ JOHN E. DRURY</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John E. Drury,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91"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POWER OF ATTORNEY</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S-3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0"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Witness our hands on the date set forth below.</w:t>
      </w:r>
    </w:p>
    <w:p>
      <w:pPr>
        <w:spacing w:after="0" w:line="178" w:lineRule="exact"/>
        <w:rPr>
          <w:sz w:val="20"/>
          <w:szCs w:val="20"/>
          <w:color w:val="auto"/>
        </w:rPr>
      </w:pPr>
    </w:p>
    <w:p>
      <w:pPr>
        <w:ind w:left="8" w:right="33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or amendment thereto has been signed by the following persons in the capacities and on July 22, 1996.</w:t>
      </w:r>
    </w:p>
    <w:p>
      <w:pPr>
        <w:spacing w:after="0" w:line="200" w:lineRule="exact"/>
        <w:rPr>
          <w:sz w:val="20"/>
          <w:szCs w:val="20"/>
          <w:color w:val="auto"/>
        </w:rPr>
      </w:pPr>
    </w:p>
    <w:p>
      <w:pPr>
        <w:spacing w:after="0" w:line="321" w:lineRule="exact"/>
        <w:rPr>
          <w:sz w:val="20"/>
          <w:szCs w:val="20"/>
          <w:color w:val="auto"/>
        </w:rPr>
      </w:pPr>
    </w:p>
    <w:p>
      <w:pPr>
        <w:jc w:val="both"/>
        <w:ind w:left="1888"/>
        <w:spacing w:after="0"/>
        <w:tabs>
          <w:tab w:leader="none" w:pos="7467"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3" w:lineRule="exact"/>
        <w:rPr>
          <w:sz w:val="20"/>
          <w:szCs w:val="20"/>
          <w:color w:val="auto"/>
        </w:rPr>
      </w:pPr>
    </w:p>
    <w:p>
      <w:pPr>
        <w:ind w:left="1888"/>
        <w:spacing w:after="0"/>
        <w:tabs>
          <w:tab w:leader="none" w:pos="746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JOHN E. DRURY</w:t>
      </w:r>
      <w:r>
        <w:rPr>
          <w:sz w:val="20"/>
          <w:szCs w:val="20"/>
          <w:color w:val="auto"/>
        </w:rPr>
        <w:tab/>
      </w:r>
      <w:r>
        <w:rPr>
          <w:rFonts w:ascii="Courier New" w:cs="Courier New" w:eastAsia="Courier New" w:hAnsi="Courier New"/>
          <w:sz w:val="15"/>
          <w:szCs w:val="15"/>
          <w:color w:val="auto"/>
        </w:rPr>
        <w:t>Chairman of the Board and Chief Executive Officer</w:t>
      </w:r>
    </w:p>
    <w:p>
      <w:pPr>
        <w:spacing w:after="0" w:line="3"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Drury</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DONALD F. MOOREHEAD, JR.</w:t>
      </w:r>
      <w:r>
        <w:rPr>
          <w:sz w:val="20"/>
          <w:szCs w:val="20"/>
          <w:color w:val="auto"/>
        </w:rPr>
        <w:tab/>
      </w:r>
      <w:r>
        <w:rPr>
          <w:rFonts w:ascii="Courier New" w:cs="Courier New" w:eastAsia="Courier New" w:hAnsi="Courier New"/>
          <w:sz w:val="14"/>
          <w:szCs w:val="14"/>
          <w:color w:val="auto"/>
        </w:rPr>
        <w:t>Vice Chairman of the Board and Chief Development</w:t>
      </w:r>
    </w:p>
    <w:p>
      <w:pPr>
        <w:spacing w:after="0" w:line="3" w:lineRule="exact"/>
        <w:rPr>
          <w:sz w:val="20"/>
          <w:szCs w:val="20"/>
          <w:color w:val="auto"/>
        </w:rPr>
      </w:pPr>
    </w:p>
    <w:p>
      <w:pPr>
        <w:ind w:left="8"/>
        <w:spacing w:after="0"/>
        <w:tabs>
          <w:tab w:leader="none" w:pos="556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Officer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Donald F. Moorehead, Jr.</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KOSTI SHIRVANIAN</w:t>
      </w:r>
      <w:r>
        <w:rPr>
          <w:sz w:val="20"/>
          <w:szCs w:val="20"/>
          <w:color w:val="auto"/>
        </w:rPr>
        <w:tab/>
      </w:r>
      <w:r>
        <w:rPr>
          <w:rFonts w:ascii="Courier New" w:cs="Courier New" w:eastAsia="Courier New" w:hAnsi="Courier New"/>
          <w:sz w:val="14"/>
          <w:szCs w:val="14"/>
          <w:color w:val="auto"/>
        </w:rPr>
        <w:t>Vice Chairman of the Board</w:t>
      </w:r>
    </w:p>
    <w:p>
      <w:pPr>
        <w:spacing w:after="0" w:line="3"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4"/>
          <w:szCs w:val="14"/>
          <w:color w:val="auto"/>
        </w:rPr>
        <w:t>President, Chief Operating Officer, and Director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David Sutherland-Yoest</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EARL E. DeFRATES</w:t>
      </w:r>
      <w:r>
        <w:rPr>
          <w:sz w:val="20"/>
          <w:szCs w:val="20"/>
          <w:color w:val="auto"/>
        </w:rPr>
        <w:tab/>
      </w:r>
      <w:r>
        <w:rPr>
          <w:rFonts w:ascii="Courier New" w:cs="Courier New" w:eastAsia="Courier New" w:hAnsi="Courier New"/>
          <w:sz w:val="15"/>
          <w:szCs w:val="15"/>
          <w:color w:val="auto"/>
        </w:rPr>
        <w:t>Executive Vice President, Chief Financial Officer</w:t>
      </w:r>
    </w:p>
    <w:p>
      <w:pPr>
        <w:spacing w:after="0" w:line="3" w:lineRule="exact"/>
        <w:rPr>
          <w:sz w:val="20"/>
          <w:szCs w:val="20"/>
          <w:color w:val="auto"/>
        </w:rPr>
      </w:pPr>
    </w:p>
    <w:p>
      <w:pPr>
        <w:ind w:left="8"/>
        <w:spacing w:after="0"/>
        <w:tabs>
          <w:tab w:leader="none" w:pos="556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and Treasurer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Earl E. DeFrates</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BRUCE E. SNYDER</w:t>
      </w:r>
      <w:r>
        <w:rPr>
          <w:sz w:val="20"/>
          <w:szCs w:val="20"/>
          <w:color w:val="auto"/>
        </w:rPr>
        <w:tab/>
      </w:r>
      <w:r>
        <w:rPr>
          <w:rFonts w:ascii="Courier New" w:cs="Courier New" w:eastAsia="Courier New" w:hAnsi="Courier New"/>
          <w:sz w:val="14"/>
          <w:szCs w:val="14"/>
          <w:color w:val="auto"/>
        </w:rPr>
        <w:t>Vice President and Corporate Controller (Chief</w:t>
      </w:r>
    </w:p>
    <w:p>
      <w:pPr>
        <w:spacing w:after="0" w:line="3" w:lineRule="exact"/>
        <w:rPr>
          <w:sz w:val="20"/>
          <w:szCs w:val="20"/>
          <w:color w:val="auto"/>
        </w:rPr>
      </w:pPr>
    </w:p>
    <w:p>
      <w:pPr>
        <w:ind w:left="8"/>
        <w:spacing w:after="0"/>
        <w:tabs>
          <w:tab w:leader="none" w:pos="556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Accounting Officer)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Bruce E. Snyder</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GEORGE L. BALL</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George L. Ball</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PETER J. GIBBONS</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J. Gibbons</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27"/>
          </w:cols>
          <w:pgMar w:left="232" w:top="291" w:right="1440" w:bottom="1440" w:gutter="0" w:footer="0" w:header="0"/>
          <w:type w:val="continuous"/>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JOHN G. RANGOS, SR.</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4"/>
          <w:szCs w:val="14"/>
          <w:color w:val="auto"/>
        </w:rPr>
        <w:t>Vice Chairman of the Board</w:t>
      </w:r>
    </w:p>
    <w:p>
      <w:pPr>
        <w:spacing w:after="0" w:line="3"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350" w:lineRule="exact"/>
        <w:rPr>
          <w:sz w:val="20"/>
          <w:szCs w:val="20"/>
          <w:color w:val="auto"/>
        </w:rPr>
      </w:pPr>
    </w:p>
    <w:p>
      <w:pPr>
        <w:ind w:left="8"/>
        <w:spacing w:after="0"/>
        <w:tabs>
          <w:tab w:leader="none" w:pos="5387" w:val="left"/>
        </w:tabs>
        <w:rPr>
          <w:sz w:val="20"/>
          <w:szCs w:val="20"/>
          <w:color w:val="auto"/>
        </w:rPr>
      </w:pPr>
      <w:r>
        <w:rPr>
          <w:rFonts w:ascii="Courier New" w:cs="Courier New" w:eastAsia="Courier New" w:hAnsi="Courier New"/>
          <w:sz w:val="15"/>
          <w:szCs w:val="15"/>
          <w:color w:val="auto"/>
        </w:rPr>
        <w:t>/s/ SAVEY TUFENKIAN</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7"/>
          </w:cols>
          <w:pgMar w:left="232" w:top="291" w:right="1440"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INDEX TO EXHIBITS</w:t>
            </w:r>
          </w:p>
        </w:tc>
      </w:tr>
      <w:tr>
        <w:trPr>
          <w:trHeight w:val="694"/>
        </w:trPr>
        <w:tc>
          <w:tcPr>
            <w:tcW w:w="22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w:t>
            </w:r>
          </w:p>
        </w:tc>
        <w:tc>
          <w:tcPr>
            <w:tcW w:w="93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Restated Certificate of Incorporation [Incorporated by reference to Exhibit 3.1 to the Post-Effective</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Amendment</w:t>
            </w:r>
          </w:p>
        </w:tc>
        <w:tc>
          <w:tcPr>
            <w:tcW w:w="8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No. 1 to the Registrant's Registration Statement on Form S-4 (File No. 33-60103].</w:t>
            </w: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4.1(a)</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Amendment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Registrant's</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[Incorporated by reference to Exhibit</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3.1(a) to</w:t>
            </w:r>
          </w:p>
        </w:tc>
        <w:tc>
          <w:tcPr>
            <w:tcW w:w="8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Registrant's Quarterly Report on Form 10-Q for the three months ended March 31, 1996]</w:t>
            </w: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4.1(b)</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Conformed</w:t>
            </w:r>
          </w:p>
        </w:tc>
        <w:tc>
          <w:tcPr>
            <w:tcW w:w="8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Copy of Registrant's Restated Certificate of Incorporation as amended [Incorporated by</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reference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Exhibit 3.1(b) to the Registrant's Quarterly Report on Form 10-Q for the three months</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ended March 31, 1996]</w:t>
            </w:r>
          </w:p>
        </w:tc>
        <w:tc>
          <w:tcPr>
            <w:tcW w:w="6820" w:type="dxa"/>
            <w:vAlign w:val="bottom"/>
          </w:tcPr>
          <w:p>
            <w:pPr>
              <w:spacing w:after="0"/>
              <w:rPr>
                <w:sz w:val="15"/>
                <w:szCs w:val="15"/>
                <w:color w:val="auto"/>
              </w:rPr>
            </w:pP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93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Bylaws [Incorporated by reference to Exhibit 3.2 to the Post-Effective Amendment No. 1 to the</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Registrant's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Registration</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S-4 (File No. 33-60103].</w:t>
            </w:r>
          </w:p>
        </w:tc>
      </w:tr>
      <w:tr>
        <w:trPr>
          <w:trHeight w:val="173"/>
        </w:trPr>
        <w:tc>
          <w:tcPr>
            <w:tcW w:w="22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4.3</w:t>
            </w:r>
          </w:p>
        </w:tc>
        <w:tc>
          <w:tcPr>
            <w:tcW w:w="93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Specimen Stock Certificate. [Incorporated by reference to Exhibit 4.3 to the Registrant's</w:t>
            </w:r>
          </w:p>
        </w:tc>
      </w:tr>
      <w:tr>
        <w:trPr>
          <w:trHeight w:val="173"/>
        </w:trPr>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Registration</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Statement on</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Form S-3 (File No. 33-76224].</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25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Opinion of Snell &amp; Smith,</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A Professional Corporation.</w:t>
            </w:r>
          </w:p>
        </w:tc>
      </w:tr>
      <w:tr>
        <w:trPr>
          <w:trHeight w:val="173"/>
        </w:trPr>
        <w:tc>
          <w:tcPr>
            <w:tcW w:w="2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23.1</w:t>
            </w:r>
          </w:p>
        </w:tc>
        <w:tc>
          <w:tcPr>
            <w:tcW w:w="25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Consent of Snell &amp; Smith,</w:t>
            </w:r>
          </w:p>
        </w:tc>
        <w:tc>
          <w:tcPr>
            <w:tcW w:w="6820" w:type="dxa"/>
            <w:vAlign w:val="bottom"/>
          </w:tcPr>
          <w:p>
            <w:pPr>
              <w:ind w:left="40"/>
              <w:spacing w:after="0"/>
              <w:rPr>
                <w:sz w:val="20"/>
                <w:szCs w:val="20"/>
                <w:color w:val="auto"/>
              </w:rPr>
            </w:pPr>
            <w:r>
              <w:rPr>
                <w:rFonts w:ascii="Courier New" w:cs="Courier New" w:eastAsia="Courier New" w:hAnsi="Courier New"/>
                <w:sz w:val="15"/>
                <w:szCs w:val="15"/>
                <w:color w:val="auto"/>
              </w:rPr>
              <w:t>A Professional Corporation (Included in Exhibit 5).</w:t>
            </w:r>
          </w:p>
        </w:tc>
      </w:tr>
    </w:tbl>
    <w:p>
      <w:pPr>
        <w:spacing w:after="0" w:line="3" w:lineRule="exact"/>
        <w:rPr>
          <w:sz w:val="20"/>
          <w:szCs w:val="20"/>
          <w:color w:val="auto"/>
        </w:rPr>
      </w:pPr>
    </w:p>
    <w:p>
      <w:pPr>
        <w:ind w:left="368" w:hanging="368"/>
        <w:spacing w:after="0"/>
        <w:tabs>
          <w:tab w:leader="none" w:pos="3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23.2Consent of Coopers &amp; Lybrand L.L.P.</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Consent of Ernst &amp; Young LLP</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Consent of Arthur Andersen LLP</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23.5Consent of Deloitte &amp; Touche LLP</w:t>
      </w:r>
    </w:p>
    <w:p>
      <w:pPr>
        <w:spacing w:after="0" w:line="3" w:lineRule="exact"/>
        <w:rPr>
          <w:sz w:val="20"/>
          <w:szCs w:val="20"/>
          <w:color w:val="auto"/>
        </w:rPr>
      </w:pPr>
    </w:p>
    <w:p>
      <w:pPr>
        <w:ind w:left="8"/>
        <w:spacing w:after="0"/>
        <w:tabs>
          <w:tab w:leader="none" w:pos="347" w:val="left"/>
          <w:tab w:leader="none" w:pos="150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Powers of Attorney (Included on Page II-7).</w:t>
      </w:r>
    </w:p>
    <w:p>
      <w:pPr>
        <w:spacing w:after="0" w:line="350"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ectPr>
          <w:pgSz w:w="11900" w:h="16838" w:orient="portrait"/>
          <w:cols w:equalWidth="0" w:num="1">
            <w:col w:w="10648"/>
          </w:cols>
          <w:pgMar w:left="232" w:top="291" w:right="101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July 22, 1996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 Quorum, Suite 300</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Dallas, Texas</w:t>
        <w:tab/>
        <w:t>75240</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have acted as counsel for USA Waste Services, Inc., a Delaware corporation (the "Company"), in connection with the filing of the Registration Statement on Form S-3 with respect to the registration of 128,500 shares of the Common Stock, $.01 par value (the "Common Stock"), of the Company, for issuance and sale from time to time by certain selling shareholders of the Company.</w:t>
      </w:r>
    </w:p>
    <w:p>
      <w:pPr>
        <w:spacing w:after="0" w:line="177"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77" w:lineRule="exact"/>
        <w:rPr>
          <w:sz w:val="20"/>
          <w:szCs w:val="20"/>
          <w:color w:val="auto"/>
        </w:rPr>
      </w:pPr>
    </w:p>
    <w:p>
      <w:pPr>
        <w:ind w:right="3379" w:firstLine="804"/>
        <w:spacing w:after="0" w:line="243" w:lineRule="auto"/>
        <w:tabs>
          <w:tab w:leader="none" w:pos="15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Restated Certificate of Incorporation of the Company as filed with the Secretary of State of Delaware, as amended;</w:t>
      </w:r>
    </w:p>
    <w:p>
      <w:pPr>
        <w:spacing w:after="0" w:line="175" w:lineRule="exact"/>
        <w:rPr>
          <w:rFonts w:ascii="Courier New" w:cs="Courier New" w:eastAsia="Courier New" w:hAnsi="Courier New"/>
          <w:sz w:val="15"/>
          <w:szCs w:val="15"/>
          <w:color w:val="auto"/>
        </w:rPr>
      </w:pPr>
    </w:p>
    <w:p>
      <w:pPr>
        <w:ind w:left="1520" w:hanging="716"/>
        <w:spacing w:after="0"/>
        <w:tabs>
          <w:tab w:leader="none" w:pos="1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 and</w:t>
      </w:r>
    </w:p>
    <w:p>
      <w:pPr>
        <w:spacing w:after="0" w:line="177" w:lineRule="exact"/>
        <w:rPr>
          <w:rFonts w:ascii="Courier New" w:cs="Courier New" w:eastAsia="Courier New" w:hAnsi="Courier New"/>
          <w:sz w:val="15"/>
          <w:szCs w:val="15"/>
          <w:color w:val="auto"/>
        </w:rPr>
      </w:pPr>
    </w:p>
    <w:p>
      <w:pPr>
        <w:ind w:right="3379" w:firstLine="804"/>
        <w:spacing w:after="0" w:line="278" w:lineRule="auto"/>
        <w:tabs>
          <w:tab w:leader="none" w:pos="153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on Form S-3 of the Company filed with the Securities and Exchange Commission (the "Registration Statement").</w:t>
      </w:r>
    </w:p>
    <w:p>
      <w:pPr>
        <w:spacing w:after="0" w:line="15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or prerequisites to the effectiveness thereof.</w:t>
      </w:r>
    </w:p>
    <w:p>
      <w:pPr>
        <w:sectPr>
          <w:pgSz w:w="11900" w:h="16838" w:orient="portrait"/>
          <w:cols w:equalWidth="0" w:num="1">
            <w:col w:w="10219"/>
          </w:cols>
          <w:pgMar w:left="240" w:top="14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1996</w:t>
      </w:r>
    </w:p>
    <w:p>
      <w:pPr>
        <w:spacing w:after="0" w:line="200" w:lineRule="exact"/>
        <w:rPr>
          <w:sz w:val="20"/>
          <w:szCs w:val="20"/>
          <w:color w:val="auto"/>
        </w:rPr>
      </w:pPr>
    </w:p>
    <w:p>
      <w:pPr>
        <w:spacing w:after="0" w:line="324" w:lineRule="exact"/>
        <w:rPr>
          <w:sz w:val="20"/>
          <w:szCs w:val="20"/>
          <w:color w:val="auto"/>
        </w:rPr>
      </w:pPr>
    </w:p>
    <w:p>
      <w:pPr>
        <w:ind w:right="4179" w:firstLine="811"/>
        <w:spacing w:after="0" w:line="243" w:lineRule="auto"/>
        <w:rPr>
          <w:sz w:val="20"/>
          <w:szCs w:val="20"/>
          <w:color w:val="auto"/>
        </w:rPr>
      </w:pPr>
      <w:r>
        <w:rPr>
          <w:rFonts w:ascii="Courier New" w:cs="Courier New" w:eastAsia="Courier New" w:hAnsi="Courier New"/>
          <w:sz w:val="15"/>
          <w:szCs w:val="15"/>
          <w:color w:val="auto"/>
        </w:rPr>
        <w:t>Based upon the foregoing, and having regard for such legal considerations as we deem relevant, we are of the opinion that:</w:t>
      </w:r>
    </w:p>
    <w:p>
      <w:pPr>
        <w:spacing w:after="0" w:line="175" w:lineRule="exact"/>
        <w:rPr>
          <w:sz w:val="20"/>
          <w:szCs w:val="20"/>
          <w:color w:val="auto"/>
        </w:rPr>
      </w:pPr>
    </w:p>
    <w:p>
      <w:pPr>
        <w:ind w:left="2340" w:hanging="1536"/>
        <w:spacing w:after="0"/>
        <w:tabs>
          <w:tab w:leader="none" w:pos="2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and in good standing under the laws of the States of Delaware;</w:t>
      </w:r>
    </w:p>
    <w:p>
      <w:pPr>
        <w:spacing w:after="0" w:line="177" w:lineRule="exact"/>
        <w:rPr>
          <w:rFonts w:ascii="Courier New" w:cs="Courier New" w:eastAsia="Courier New" w:hAnsi="Courier New"/>
          <w:sz w:val="15"/>
          <w:szCs w:val="15"/>
          <w:color w:val="auto"/>
        </w:rPr>
      </w:pPr>
    </w:p>
    <w:p>
      <w:pPr>
        <w:ind w:right="3099" w:firstLine="804"/>
        <w:spacing w:after="0" w:line="244" w:lineRule="auto"/>
        <w:tabs>
          <w:tab w:leader="none" w:pos="234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of the Company consists of 150,000,000 shares of Common Stock, of which, as of March 31, 1996, 87,529,268 were issued and outstanding, and 10,000,000 shares of Preferred Stock, $.01 par value, of which, as of the date hereof, no shares are issued and outstanding;</w:t>
      </w:r>
    </w:p>
    <w:p>
      <w:pPr>
        <w:spacing w:after="0" w:line="175" w:lineRule="exact"/>
        <w:rPr>
          <w:rFonts w:ascii="Courier New" w:cs="Courier New" w:eastAsia="Courier New" w:hAnsi="Courier New"/>
          <w:sz w:val="15"/>
          <w:szCs w:val="15"/>
          <w:color w:val="auto"/>
        </w:rPr>
      </w:pPr>
    </w:p>
    <w:p>
      <w:pPr>
        <w:ind w:right="3199" w:firstLine="804"/>
        <w:spacing w:after="0" w:line="244" w:lineRule="auto"/>
        <w:tabs>
          <w:tab w:leader="none" w:pos="234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128,500 shares of Common Stock registered under the Registration Statement are duly authorized, legally issued, fully paid and non-assessable.</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176"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Very truly yours,</w:t>
      </w:r>
    </w:p>
    <w:p>
      <w:pPr>
        <w:spacing w:after="0" w:line="3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SNELL &amp; SMITH, A Professional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is included in USA Waste Services, Inc. Current Report on Form 8-K/A filed</w:t>
      </w:r>
    </w:p>
    <w:p>
      <w:pPr>
        <w:spacing w:after="0" w:line="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July 1, 1996 with the Securities and Exchange Commission. We also consent to the reference to our firm under the caption "Experts."</w:t>
      </w:r>
    </w:p>
    <w:p>
      <w:pPr>
        <w:spacing w:after="0" w:line="349"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COOPERS &amp; LYBRAND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1996</w:t>
      </w:r>
    </w:p>
    <w:p>
      <w:pPr>
        <w:sectPr>
          <w:pgSz w:w="11900" w:h="16838" w:orient="portrait"/>
          <w:cols w:equalWidth="0" w:num="1">
            <w:col w:w="10219"/>
          </w:cols>
          <w:pgMar w:left="240" w:top="14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S-3)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35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ERNST &amp; YOUNG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18, 1995</w:t>
      </w:r>
    </w:p>
    <w:p>
      <w:pPr>
        <w:sectPr>
          <w:pgSz w:w="11900" w:h="16838" w:orient="portrait"/>
          <w:cols w:equalWidth="0" w:num="1">
            <w:col w:w="10219"/>
          </w:cols>
          <w:pgMar w:left="240" w:top="141" w:right="1440" w:bottom="1440" w:gutter="0" w:footer="0" w:header="0"/>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23.4</w:t>
      </w:r>
    </w:p>
    <w:p>
      <w:pPr>
        <w:spacing w:after="0" w:line="350"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1" w:lineRule="exact"/>
        <w:rPr>
          <w:sz w:val="20"/>
          <w:szCs w:val="20"/>
          <w:color w:val="auto"/>
        </w:rPr>
      </w:pPr>
    </w:p>
    <w:p>
      <w:pPr>
        <w:ind w:left="8" w:right="3019" w:firstLine="811"/>
        <w:spacing w:after="0" w:line="262"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USA Waste Services, Inc. on Form S-3 and the related Prospectus (a) our report dated February 23, 1996 (except with respect to the matters discussed in Note 15,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 K for the year ended December 31, 1995; (b) our reports dated</w:t>
      </w:r>
    </w:p>
    <w:p>
      <w:pPr>
        <w:spacing w:after="0" w:line="2" w:lineRule="exact"/>
        <w:rPr>
          <w:sz w:val="20"/>
          <w:szCs w:val="20"/>
          <w:color w:val="auto"/>
        </w:rPr>
      </w:pPr>
    </w:p>
    <w:p>
      <w:pPr>
        <w:ind w:left="8" w:right="3019" w:hanging="8"/>
        <w:spacing w:after="0" w:line="244"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 and (e) to all references to our Firm included in this Registration Statement of USA Waste Services, Inc. on Form S-3 and the Prospectus which forms a part thereof.</w:t>
      </w:r>
    </w:p>
    <w:p>
      <w:pPr>
        <w:spacing w:after="0" w:line="364"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ARTHUR ANDERSEN LLP</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July 19, 1996</w:t>
      </w:r>
    </w:p>
    <w:p>
      <w:pPr>
        <w:sectPr>
          <w:pgSz w:w="11900" w:h="16838" w:orient="portrait"/>
          <w:cols w:equalWidth="0" w:num="1">
            <w:col w:w="10227"/>
          </w:cols>
          <w:pgMar w:left="232" w:top="14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23.5</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INDEPENDENT AUDITORS' CONSENT</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March 30, 1995 (relating to the consolidated financial statements of Chambers Development Company, Inc. and subsidiaries) appearing in USA Waste Services, Inc.'s Current Report on Form 8-K/A, Amendment No. 3, dated May 7, 1996.</w:t>
      </w:r>
    </w:p>
    <w:p>
      <w:pPr>
        <w:spacing w:after="0" w:line="349"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DELOITTE &amp; TOUCHE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1996</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4"/>
    </w:lvl>
  </w:abstractNum>
  <w:abstractNum w:abstractNumId="2">
    <w:nsid w:val="41A7C4C9"/>
    <w:multiLevelType w:val="hybridMultilevel"/>
    <w:lvl w:ilvl="0">
      <w:lvlJc w:val="left"/>
      <w:lvlText w:val="(%1)"/>
      <w:numFmt w:val="lowerRoman"/>
      <w:start w:val="2"/>
    </w:lvl>
  </w:abstractNum>
  <w:abstractNum w:abstractNumId="3">
    <w:nsid w:val="6B68079A"/>
    <w:multiLevelType w:val="hybridMultilevel"/>
    <w:lvl w:ilvl="0">
      <w:lvlJc w:val="left"/>
      <w:lvlText w:val="-"/>
      <w:numFmt w:val="bullet"/>
      <w:start w:val="1"/>
    </w:lvl>
    <w:lvl w:ilvl="1">
      <w:lvlJc w:val="left"/>
      <w:lvlText w:val="(%2)"/>
      <w:numFmt w:val="decimal"/>
      <w:start w:val="1"/>
    </w:lvl>
  </w:abstractNum>
  <w:abstractNum w:abstractNumId="4">
    <w:nsid w:val="4E6AFB66"/>
    <w:multiLevelType w:val="hybridMultilevel"/>
    <w:lvl w:ilvl="0">
      <w:lvlJc w:val="left"/>
      <w:lvlText w:val="(%1)"/>
      <w:numFmt w:val="lowerRoman"/>
      <w:start w:val="3"/>
    </w:lvl>
  </w:abstractNum>
  <w:abstractNum w:abstractNumId="5">
    <w:nsid w:val="25E45D32"/>
    <w:multiLevelType w:val="hybridMultilevel"/>
    <w:lvl w:ilvl="0">
      <w:lvlJc w:val="left"/>
      <w:lvlText w:val="%1."/>
      <w:numFmt w:val="decimal"/>
      <w:start w:val="145"/>
    </w:lvl>
  </w:abstractNum>
  <w:abstractNum w:abstractNumId="6">
    <w:nsid w:val="519B500D"/>
    <w:multiLevelType w:val="hybridMultilevel"/>
    <w:lvl w:ilvl="0">
      <w:lvlJc w:val="left"/>
      <w:lvlText w:val="%1"/>
      <w:numFmt w:val="lowerLetter"/>
      <w:start w:val="1"/>
    </w:lvl>
    <w:lvl w:ilvl="1">
      <w:lvlJc w:val="left"/>
      <w:lvlText w:val="(%2)"/>
      <w:numFmt w:val="lowerLetter"/>
      <w:start w:val="2"/>
    </w:lvl>
  </w:abstractNum>
  <w:abstractNum w:abstractNumId="7">
    <w:nsid w:val="431BD7B7"/>
    <w:multiLevelType w:val="hybridMultilevel"/>
    <w:lvl w:ilvl="0">
      <w:lvlJc w:val="left"/>
      <w:lvlText w:val="(%1)"/>
      <w:numFmt w:val="lowerLetter"/>
      <w:start w:val="2"/>
    </w:lvl>
    <w:lvl w:ilvl="1">
      <w:lvlJc w:val="left"/>
      <w:lvlText w:val="(%2)"/>
      <w:numFmt w:val="lowerLetter"/>
      <w:start w:val="5"/>
    </w:lvl>
  </w:abstractNum>
  <w:abstractNum w:abstractNumId="8">
    <w:nsid w:val="3F2DBA31"/>
    <w:multiLevelType w:val="hybridMultilevel"/>
    <w:lvl w:ilvl="0">
      <w:lvlJc w:val="left"/>
      <w:lvlText w:val="(%1)"/>
      <w:numFmt w:val="lowerLetter"/>
      <w:start w:val="6"/>
    </w:lvl>
  </w:abstractNum>
  <w:abstractNum w:abstractNumId="9">
    <w:nsid w:val="7C83E458"/>
    <w:multiLevelType w:val="hybridMultilevel"/>
    <w:lvl w:ilvl="0">
      <w:lvlJc w:val="left"/>
      <w:lvlText w:val="(%1)"/>
      <w:numFmt w:val="lowerLetter"/>
      <w:start w:val="10"/>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2019-12-20T04:11:04Z</dcterms:created>
  <dcterms:modified xsi:type="dcterms:W3CDTF">2019-12-20T04:11:04Z</dcterms:modified>
</cp:coreProperties>
</file>