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28,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second quarter of 2025, a copy of which is furnished as Exhibit 99.1 to this Form 8-K. The Company is conducting an audio webcast to discuss these results beginning at 10:00 a.m. Eastern Time on July 29, 2025. </w:t>
      </w:r>
      <w:r>
        <w:rPr>
          <w:rFonts w:ascii="Times New Roman" w:cs="Times New Roman" w:eastAsia="Times New Roman" w:hAnsi="Times New Roman"/>
          <w:sz w:val="18"/>
          <w:szCs w:val="18"/>
          <w:color w:val="0A0A0A"/>
        </w:rPr>
        <w:t>Listeners can access the live audio webcast by visiting investors.wm.com and selecting “Events &amp; Presentations” from the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28, 2025</w:t>
      </w:r>
    </w:p>
    <w:p>
      <w:pPr>
        <w:spacing w:after="0" w:line="225" w:lineRule="exact"/>
        <w:rPr>
          <w:sz w:val="20"/>
          <w:szCs w:val="20"/>
          <w:color w:val="auto"/>
        </w:rPr>
      </w:pPr>
    </w:p>
    <w:p>
      <w:pPr>
        <w:ind w:left="5580" w:right="3360" w:hanging="5572"/>
        <w:spacing w:after="0" w:line="783"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7AB800"/>
        </w:rPr>
        <w:t>WM Announces Second Quarter 2025 Earnings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Robust Income from Operations Growth in the Quarter Drives More Than 33% Increase in Net Cash Provided by Operating Activities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WM Releases 2025 Sustainability Report, Highlighting the Company’s Investments in Advancing Innovative Environmental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HOUSTON — July 28, 2025 </w:t>
      </w:r>
      <w:r>
        <w:rPr>
          <w:rFonts w:ascii="Times New Roman" w:cs="Times New Roman" w:eastAsia="Times New Roman" w:hAnsi="Times New Roman"/>
          <w:sz w:val="18"/>
          <w:szCs w:val="18"/>
          <w:color w:val="auto"/>
        </w:rPr>
        <w:t>— WM (NYSE: WM) today announced financial results for the quarter ended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5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272727"/>
              </w:rPr>
              <w:t>(in millions, except per share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millions, except per share</w:t>
            </w:r>
          </w:p>
        </w:tc>
        <w:tc>
          <w:tcPr>
            <w:tcW w:w="16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272727"/>
                <w:w w:val="99"/>
              </w:rPr>
              <w:t>amounts)</w:t>
            </w:r>
          </w:p>
        </w:tc>
        <w:tc>
          <w:tcPr>
            <w:tcW w:w="5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tcPr>
          <w:p>
            <w:pPr>
              <w:spacing w:after="0"/>
              <w:rPr>
                <w:sz w:val="21"/>
                <w:szCs w:val="21"/>
                <w:color w:val="auto"/>
              </w:rPr>
            </w:pPr>
          </w:p>
        </w:tc>
        <w:tc>
          <w:tcPr>
            <w:tcW w:w="12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7"/>
                <w:szCs w:val="17"/>
                <w:color w:val="auto"/>
              </w:rPr>
              <w:t>As Adjusted</w:t>
            </w:r>
            <w:r>
              <w:rPr>
                <w:rFonts w:ascii="Times New Roman" w:cs="Times New Roman" w:eastAsia="Times New Roman" w:hAnsi="Times New Roman"/>
                <w:sz w:val="28"/>
                <w:szCs w:val="28"/>
                <w:color w:val="auto"/>
                <w:vertAlign w:val="superscript"/>
              </w:rPr>
              <w:t>(a)</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Pr>
          <w:p>
            <w:pPr>
              <w:spacing w:after="0"/>
              <w:rPr>
                <w:sz w:val="21"/>
                <w:szCs w:val="21"/>
                <w:color w:val="auto"/>
              </w:rPr>
            </w:pPr>
          </w:p>
        </w:tc>
        <w:tc>
          <w:tcPr>
            <w:tcW w:w="12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7"/>
                <w:szCs w:val="17"/>
                <w:color w:val="auto"/>
              </w:rPr>
              <w:t>As Adjusted</w:t>
            </w:r>
            <w:r>
              <w:rPr>
                <w:rFonts w:ascii="Times New Roman" w:cs="Times New Roman" w:eastAsia="Times New Roman" w:hAnsi="Times New Roman"/>
                <w:sz w:val="28"/>
                <w:szCs w:val="28"/>
                <w:color w:val="auto"/>
                <w:vertAlign w:val="superscript"/>
              </w:rPr>
              <w:t>(a)</w:t>
            </w:r>
          </w:p>
        </w:tc>
        <w:tc>
          <w:tcPr>
            <w:tcW w:w="160" w:type="dxa"/>
            <w:vAlign w:val="bottom"/>
          </w:tcPr>
          <w:p>
            <w:pPr>
              <w:spacing w:after="0"/>
              <w:rPr>
                <w:sz w:val="21"/>
                <w:szCs w:val="2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1,151</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1,009</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Operating EBITDA</w:t>
            </w:r>
            <w:r>
              <w:rPr>
                <w:rFonts w:ascii="Times New Roman" w:cs="Times New Roman" w:eastAsia="Times New Roman" w:hAnsi="Times New Roman"/>
                <w:sz w:val="29"/>
                <w:szCs w:val="29"/>
                <w:color w:val="auto"/>
                <w:vertAlign w:val="superscript"/>
              </w:rPr>
              <w:t>(b)</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1,859</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EBITDA Margin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3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680</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described at our recent Investor Day, WM is building distinctive platforms to drive competitive differentiation and fuel a powerful, long-term growth engine to create shareholder value. Our second quarter results are a strong demonstration of our progress on all fronts,” said Jim Fish, WM’s CEO. “Our Collection and Disposal business produced robust organic revenue growth and margin expansion, achieving the Company’s best-ever operating expense margin. We also grew operating EBITDA by double digits in both our Recycling Processing and Sales and WM Renewable Energy segments, as the earnings contributions from investments we have made in our sustainability businesses accelerate. Additionally, we continue to integrate our newest segment, WM Healthcare Solutions, and benefit from the impact of WM’s culture and operational excellence on customer relationships, cost efficiency, and financial results.”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Fish continued, “We released our 2025 Sustainability Report, </w:t>
      </w:r>
      <w:r>
        <w:rPr>
          <w:rFonts w:ascii="Times New Roman" w:cs="Times New Roman" w:eastAsia="Times New Roman" w:hAnsi="Times New Roman"/>
          <w:sz w:val="18"/>
          <w:szCs w:val="18"/>
          <w:i w:val="1"/>
          <w:iCs w:val="1"/>
          <w:color w:val="auto"/>
        </w:rPr>
        <w:t>We’re Driving Sustainability</w:t>
      </w:r>
      <w:r>
        <w:rPr>
          <w:rFonts w:ascii="Times New Roman" w:cs="Times New Roman" w:eastAsia="Times New Roman" w:hAnsi="Times New Roman"/>
          <w:sz w:val="18"/>
          <w:szCs w:val="18"/>
          <w:color w:val="auto"/>
        </w:rPr>
        <w:t>, earlier this month, highlighting our progress toward our sustainability ambitions, including an impressive 22% reduction in greenhouse gas emissions since 2021. We’re proud of the work our team is doing to advance a more sustainable future for our communities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2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KEY HIGHLIGHTS FOR THE SECOND QUARTER OF 2025</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EBITDA</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Second Quarter 2025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Second Quarter 2024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in millions)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60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Pr>
          <w:p>
            <w:pPr>
              <w:spacing w:after="0"/>
              <w:rPr>
                <w:sz w:val="16"/>
                <w:szCs w:val="16"/>
                <w:color w:val="auto"/>
              </w:rPr>
            </w:pPr>
          </w:p>
        </w:tc>
        <w:tc>
          <w:tcPr>
            <w:tcW w:w="194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Pr>
          <w:p>
            <w:pPr>
              <w:spacing w:after="0"/>
              <w:rPr>
                <w:sz w:val="16"/>
                <w:szCs w:val="16"/>
                <w:color w:val="auto"/>
              </w:rPr>
            </w:pPr>
          </w:p>
        </w:tc>
        <w:tc>
          <w:tcPr>
            <w:tcW w:w="18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8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100" w:type="dxa"/>
            <w:vAlign w:val="bottom"/>
          </w:tcPr>
          <w:p>
            <w:pPr>
              <w:spacing w:after="0"/>
              <w:rPr>
                <w:sz w:val="20"/>
                <w:szCs w:val="20"/>
                <w:color w:val="auto"/>
              </w:rPr>
            </w:pPr>
          </w:p>
        </w:tc>
        <w:tc>
          <w:tcPr>
            <w:tcW w:w="18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operating EBITDA for the WM Legacy Business grew 12.1% and margin was 31.3%.</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Company’s Collection and Disposal business led the way with an adjusted margin of 37.9% driven by organic revenue growth, continued cost discipline, and optimized business mix.</w:t>
      </w:r>
    </w:p>
    <w:p>
      <w:pPr>
        <w:ind w:left="660" w:right="20"/>
        <w:spacing w:after="0" w:line="228"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Company’s Recycling Processing and Sales and WM Renewable Energy businesses together contributed $36 million to adjusted operating EBITDA growth, primarily due to sustainability growth projects.</w:t>
      </w:r>
      <w:r>
        <w:rPr>
          <w:rFonts w:ascii="Times New Roman" w:cs="Times New Roman" w:eastAsia="Times New Roman" w:hAnsi="Times New Roman"/>
          <w:sz w:val="29"/>
          <w:szCs w:val="29"/>
          <w:color w:val="auto"/>
          <w:vertAlign w:val="superscript"/>
        </w:rPr>
        <w:t>(a)(f)</w:t>
      </w:r>
    </w:p>
    <w:p>
      <w:pPr>
        <w:spacing w:after="0" w:line="80" w:lineRule="exact"/>
        <w:rPr>
          <w:rFonts w:ascii="Times New Roman" w:cs="Times New Roman" w:eastAsia="Times New Roman" w:hAnsi="Times New Roman"/>
          <w:sz w:val="36"/>
          <w:szCs w:val="36"/>
          <w:color w:val="auto"/>
          <w:vertAlign w:val="superscript"/>
        </w:rPr>
      </w:pPr>
    </w:p>
    <w:p>
      <w:pPr>
        <w:ind w:left="660" w:right="2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WM Healthcare Solutions contributed $110 million of adjusted operating EBITDA, in line with expectations.</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Company is on track to achieve the upper end of its targeted synergies of $80 to $100 million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1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Second Quarter 2025</w:t>
            </w:r>
          </w:p>
        </w:tc>
        <w:tc>
          <w:tcPr>
            <w:tcW w:w="120" w:type="dxa"/>
            <w:vAlign w:val="bottom"/>
          </w:tcPr>
          <w:p>
            <w:pPr>
              <w:spacing w:after="0"/>
              <w:rPr>
                <w:sz w:val="24"/>
                <w:szCs w:val="24"/>
                <w:color w:val="auto"/>
              </w:rPr>
            </w:pPr>
          </w:p>
        </w:tc>
        <w:tc>
          <w:tcPr>
            <w:tcW w:w="19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Second Quarter 2024</w:t>
            </w:r>
          </w:p>
        </w:tc>
      </w:tr>
      <w:tr>
        <w:trPr>
          <w:trHeight w:val="234"/>
        </w:trPr>
        <w:tc>
          <w:tcPr>
            <w:tcW w:w="2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0"/>
                <w:szCs w:val="20"/>
                <w:color w:val="auto"/>
              </w:rPr>
            </w:pPr>
          </w:p>
        </w:tc>
        <w:tc>
          <w:tcPr>
            <w:tcW w:w="19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 in millions)</w:t>
            </w:r>
          </w:p>
        </w:tc>
      </w:tr>
      <w:tr>
        <w:trPr>
          <w:trHeight w:val="210"/>
        </w:trPr>
        <w:tc>
          <w:tcPr>
            <w:tcW w:w="27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Growth</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Growth</w:t>
            </w:r>
          </w:p>
        </w:tc>
        <w:tc>
          <w:tcPr>
            <w:tcW w:w="160" w:type="dxa"/>
            <w:vAlign w:val="bottom"/>
            <w:tcBorders>
              <w:bottom w:val="single" w:sz="8" w:color="CCEEFF"/>
            </w:tcBorders>
          </w:tcPr>
          <w:p>
            <w:pPr>
              <w:spacing w:after="0"/>
              <w:rPr>
                <w:sz w:val="18"/>
                <w:szCs w:val="18"/>
                <w:color w:val="auto"/>
              </w:rPr>
            </w:pPr>
          </w:p>
        </w:tc>
      </w:tr>
      <w:tr>
        <w:trPr>
          <w:trHeight w:val="237"/>
        </w:trPr>
        <w:tc>
          <w:tcPr>
            <w:tcW w:w="27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ind w:left="660" w:hanging="328"/>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7.1% in the WM Legacy Business was driven by core price of 6.4% and Collection and Disposal yield of 4.1% as the Company continues its focus on customer lifetime value.</w:t>
      </w:r>
      <w:r>
        <w:rPr>
          <w:rFonts w:ascii="Times New Roman" w:cs="Times New Roman" w:eastAsia="Times New Roman" w:hAnsi="Times New Roman"/>
          <w:sz w:val="29"/>
          <w:szCs w:val="29"/>
          <w:color w:val="auto"/>
          <w:vertAlign w:val="superscript"/>
        </w:rPr>
        <w:t>(e)</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in the Collection and Disposal business grew 1.6% as compared to the second quarter of 2024, with robust growth in landfill volumes more than offsetting the Company’s loss of a relatively large residential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1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Second Quarter 2025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Second Quarter 2024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in millions)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Pr>
          <w:p>
            <w:pPr>
              <w:spacing w:after="0"/>
              <w:rPr>
                <w:sz w:val="16"/>
                <w:szCs w:val="16"/>
                <w:color w:val="auto"/>
              </w:rPr>
            </w:pPr>
          </w:p>
        </w:tc>
        <w:tc>
          <w:tcPr>
            <w:tcW w:w="194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Pr>
          <w:p>
            <w:pPr>
              <w:spacing w:after="0"/>
              <w:rPr>
                <w:sz w:val="16"/>
                <w:szCs w:val="16"/>
                <w:color w:val="auto"/>
              </w:rPr>
            </w:pPr>
          </w:p>
        </w:tc>
        <w:tc>
          <w:tcPr>
            <w:tcW w:w="18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8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100" w:type="dxa"/>
            <w:vAlign w:val="bottom"/>
          </w:tcPr>
          <w:p>
            <w:pPr>
              <w:spacing w:after="0"/>
              <w:rPr>
                <w:sz w:val="20"/>
                <w:szCs w:val="20"/>
                <w:color w:val="auto"/>
              </w:rPr>
            </w:pPr>
          </w:p>
        </w:tc>
        <w:tc>
          <w:tcPr>
            <w:tcW w:w="18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6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expenses as a percentage of revenue for the WM Legacy Business improved 150 basis points, reflecting the margin benefits of additional landfill volumes as well as the Company’s disciplined cost focus, demonstrated by improved driver turnover and safety performance, routing technology benefits, the strategic exit from low-margin residential collection business, and the benefit of capital investments made in the fleet.</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1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Second Quarter 2025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Second Quarter 2024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in millions)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Pr>
          <w:p>
            <w:pPr>
              <w:spacing w:after="0"/>
              <w:rPr>
                <w:sz w:val="16"/>
                <w:szCs w:val="16"/>
                <w:color w:val="auto"/>
              </w:rPr>
            </w:pPr>
          </w:p>
        </w:tc>
        <w:tc>
          <w:tcPr>
            <w:tcW w:w="194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Pr>
          <w:p>
            <w:pPr>
              <w:spacing w:after="0"/>
              <w:rPr>
                <w:sz w:val="16"/>
                <w:szCs w:val="16"/>
                <w:color w:val="auto"/>
              </w:rPr>
            </w:pPr>
          </w:p>
        </w:tc>
        <w:tc>
          <w:tcPr>
            <w:tcW w:w="18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8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100" w:type="dxa"/>
            <w:vAlign w:val="bottom"/>
          </w:tcPr>
          <w:p>
            <w:pPr>
              <w:spacing w:after="0"/>
              <w:rPr>
                <w:sz w:val="20"/>
                <w:szCs w:val="20"/>
                <w:color w:val="auto"/>
              </w:rPr>
            </w:pPr>
          </w:p>
        </w:tc>
        <w:tc>
          <w:tcPr>
            <w:tcW w:w="18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results in the WM Legacy Business demonstrate the Company’s commitment to cost discipline. The slight increase in SG&amp;A margin compared to the prior year quarter is primarily related to intentional spending to support technology and optimization initiatives.</w:t>
      </w:r>
    </w:p>
    <w:p>
      <w:pPr>
        <w:spacing w:after="0" w:line="161"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as a percentage of revenue for WM Healthcare Solutions improved 200 basis points sequentially, or 270 basis points on an adjusted basis, reflecting the contribution of synergies from the Company’s efforts to integrate and streamline its sales and back-office processes.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1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Investments</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first six months of the year, the Company generated $2.75 billion of net cash provided by operating activities, driven by strong operating EBITDA growth partially offset by higher cash interest related primarily to the funding of the Stericycle acquisition.</w:t>
      </w:r>
    </w:p>
    <w:p>
      <w:pPr>
        <w:spacing w:after="0" w:line="161"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in the first half of the year was $1.29 billion, driven by robust operating EBITDA growth partially offset by a planned increase in capital expenditures.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1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WM Healthcare Solutions Update</w:t>
      </w:r>
    </w:p>
    <w:p>
      <w:pPr>
        <w:spacing w:after="0" w:line="229"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progress its strategic investments in recycling and renewable natural gas facilities that drive economic and environmental value. During the quarter, three growth projects commenced operations, including a new renewable natural gas facility in Illinois, a recycling automation project in Pennsylvania and a new market recycling facility in Oregon. These additions bring total renewable natural gas projects completed to eight out of 20 planned facilities and total recycling automation and new market projects completed to 29 out of 39 planned.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WM Healthcare Solutions continues to advance, and as announced during the June Investor Day, the Company has identified $50 million of operating EBITDA opportunities from cross-selling solid waste and medical waste solutions to existing customers, with $11 million of annualized operating EBITDA already secured. Including the cross-selling opportunities, anticipated run-rate synergies are expected to total $300 million of operating EBITDA by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two quarters of the year complete, the Company is confident in its ability to deliver upon its full-year outlook for adjusted operating EBITDA and is positioned to deliver free cash flow in excess of its initial target.</w:t>
      </w:r>
    </w:p>
    <w:p>
      <w:pPr>
        <w:spacing w:after="0" w:line="162" w:lineRule="exact"/>
        <w:rPr>
          <w:sz w:val="20"/>
          <w:szCs w:val="20"/>
          <w:color w:val="auto"/>
        </w:rPr>
      </w:pPr>
    </w:p>
    <w:p>
      <w:pPr>
        <w:jc w:val="both"/>
        <w:ind w:left="660" w:hanging="328"/>
        <w:spacing w:after="0" w:line="27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delivered adjusted operating EBITDA in the first six months of the year in line with its expectations and initial guidance. The Company is affirming its adjusted operating EBITDA guidance midpoint of $7.550 billion and narrowing its range slightly to $7.475 and $7.625 billion.</w:t>
      </w:r>
      <w:r>
        <w:rPr>
          <w:rFonts w:ascii="Times New Roman" w:cs="Times New Roman" w:eastAsia="Times New Roman" w:hAnsi="Times New Roman"/>
          <w:sz w:val="29"/>
          <w:szCs w:val="29"/>
          <w:color w:val="auto"/>
          <w:vertAlign w:val="superscript"/>
        </w:rPr>
        <w:t>(a)</w:t>
      </w:r>
    </w:p>
    <w:p>
      <w:pPr>
        <w:spacing w:after="0" w:line="4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Free cash flow is now projected to be between $2.8 and $2.9 billion, an increase of $125 million from the Company’s initial guidance.</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increase in the free cash flow outlook is driven by recently enacted tax policy that restores bonus depreciation to 100%.</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94"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Company revenue is now expected to be between $25.275 and $25.475 billion. The decrease from prior expectations is primarily related to the recent decline in recycled commodity prices which has an outsized impact on the Company’s low-margin recycling brokerage business, as well as the impacts of a decline in certain Collection and Disposal volumes in the first quarter of 2025 due to the particularly harsh winter weather.</w:t>
      </w:r>
      <w:r>
        <w:rPr>
          <w:rFonts w:ascii="Times New Roman" w:cs="Times New Roman" w:eastAsia="Times New Roman" w:hAnsi="Times New Roman"/>
          <w:sz w:val="28"/>
          <w:szCs w:val="28"/>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328"/>
        <w:spacing w:after="0" w:line="29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EBITDA margin is now expected to be between 29.6% and 29.9%, an increase from the prior guidance of between 29.2% and 29.7%.</w:t>
      </w:r>
      <w:r>
        <w:rPr>
          <w:rFonts w:ascii="Times New Roman" w:cs="Times New Roman" w:eastAsia="Times New Roman" w:hAnsi="Times New Roman"/>
          <w:sz w:val="29"/>
          <w:szCs w:val="29"/>
          <w:color w:val="auto"/>
          <w:vertAlign w:val="superscript"/>
        </w:rPr>
        <w:t>(a)</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Fish concluded, “We set a high bar in 2025, and through the first half of the year we have met those high expectations. Our team is focused on serving our customers, optimizing our costs, and innovating to support differentiation and growth. Executing on these priorities is expected to drive strong results in the back half of 2025 and position us to deliver on our guidance, achieve attractive returns on investments and grow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operating EBITDA as GAAP income from operations before depreciation, depletion and amortization; this measure may not be comparable to similarly titled measures reported by other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WM Legacy Business as total Company GAAP results excluding the WM Healthcare Solutions segment.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blended average price received for single stream recycled commodities sold during the quarter was about $82 per ton compared to about $96 per ton in the prior year period. The average price received for Renewable Fuel Standard credits was $2.53 during the quarter compared to $3.11 in the prior year period. The average price received for natural gas was $2.81 per MMBtu during the quarter compared to $1.64 per MMBtu in the prior year period. The average price received for renewable electricity was about $67 per megawatt hour in the quarter compared to about $64 per megawatt hour in the prior year period.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now expects the blended average price received for single stream recycled commodities sold during 2025 to be about $80 per ton, down from its prior full year expectation of $85 per ton.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at 10 a.m. ET on July 29, 2025, to discuss the Second Quarter 2025 results. Information contained within this press release will be referenced and should be considered in conjunction with the call.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Listeners can access a live audio webcast of the conference call by visiting </w:t>
      </w:r>
      <w:r>
        <w:rPr>
          <w:rFonts w:ascii="Times New Roman" w:cs="Times New Roman" w:eastAsia="Times New Roman" w:hAnsi="Times New Roman"/>
          <w:sz w:val="18"/>
          <w:szCs w:val="18"/>
          <w:u w:val="single" w:color="auto"/>
          <w:color w:val="auto"/>
        </w:rPr>
        <w:t>investors.wm.com</w:t>
      </w:r>
      <w:r>
        <w:rPr>
          <w:rFonts w:ascii="Times New Roman" w:cs="Times New Roman" w:eastAsia="Times New Roman" w:hAnsi="Times New Roman"/>
          <w:sz w:val="18"/>
          <w:szCs w:val="18"/>
          <w:color w:val="auto"/>
        </w:rPr>
        <w:t xml:space="preserve"> and selecting “Events &amp; Presentations” from the website menu. A replay of the audio webcast will be available at the same location following the conclusion of the call.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Conference call participants should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to obtain their dial in and passcode details. This streamlined process improves security and eliminates wait times when joining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Healthcare Solutions provides collection and disposal services of regulated medical waste and secure information destruction services in the U.S., Canada and Western Europe.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under the heading “2025 Outlook” and all statements regarding future performance and results of our business; achievement of targets, financial guidance or outlook; growth and optimization of our business; integration of the Stericycle business (which is reported as the WM Healthcare Solutions segment) and related contributions, results and benefits, including amount and timing of synergies; amount and timing of sustainability investments, upgrades and project completions and related returns, contributions, and benefits; future capital allocation and acquisition spending; drivers of performance, including pricing programs and volume; and assumptions regarding commodity prices, natural gas production, tax credits and renewable fuel programs.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and tariffs;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Company’s projected adjusted operating EBITDA is anticipated to be adjusted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media@wm.com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400" w:type="dxa"/>
            <w:vAlign w:val="bottom"/>
            <w:gridSpan w:val="5"/>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5,402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3,839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8"/>
              </w:rPr>
              <w:t>3,291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(Gain) loss from divestitures, asset impairments and unusual items,</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8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5,279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4,393</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1,009</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2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402.6</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401.3</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8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404.3</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403.2</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8"/>
        </w:trPr>
        <w:tc>
          <w:tcPr>
            <w:tcW w:w="5080" w:type="dxa"/>
            <w:vAlign w:val="bottom"/>
            <w:gridSpan w:val="2"/>
          </w:tcPr>
          <w:p>
            <w:pPr>
              <w:jc w:val="center"/>
              <w:ind w:right="676"/>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80" w:type="dxa"/>
            <w:vAlign w:val="bottom"/>
            <w:gridSpan w:val="2"/>
          </w:tcPr>
          <w:p>
            <w:pPr>
              <w:jc w:val="center"/>
              <w:ind w:right="716"/>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jc w:val="center"/>
              <w:ind w:right="716"/>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gridSpan w:val="2"/>
          </w:tcPr>
          <w:p>
            <w:pPr>
              <w:jc w:val="center"/>
              <w:ind w:right="67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8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0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19,340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-1562735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-1279525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-1005205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-713740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-439420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-156845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-125095</wp:posOffset>
            </wp:positionV>
            <wp:extent cx="17741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180" w:space="720"/>
            <w:col w:w="834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4,852</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tcPr>
          <w:p>
            <w:pPr>
              <w:spacing w:after="0"/>
              <w:rPr>
                <w:sz w:val="18"/>
                <w:szCs w:val="18"/>
                <w:color w:val="auto"/>
              </w:rPr>
            </w:pPr>
          </w:p>
        </w:tc>
      </w:tr>
      <w:tr>
        <w:trPr>
          <w:trHeight w:val="229"/>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9"/>
                <w:szCs w:val="19"/>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22,541</w:t>
            </w:r>
          </w:p>
        </w:tc>
        <w:tc>
          <w:tcPr>
            <w:tcW w:w="80" w:type="dxa"/>
            <w:vAlign w:val="bottom"/>
            <w:shd w:val="clear" w:color="auto" w:fill="CCEEFF"/>
          </w:tcPr>
          <w:p>
            <w:pPr>
              <w:spacing w:after="0"/>
              <w:rPr>
                <w:sz w:val="18"/>
                <w:szCs w:val="18"/>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7,648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9"/>
                <w:szCs w:val="19"/>
                <w:color w:val="auto"/>
              </w:rPr>
            </w:pPr>
          </w:p>
        </w:tc>
      </w:tr>
      <w:tr>
        <w:trPr>
          <w:trHeight w:val="210"/>
        </w:trPr>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shd w:val="clear" w:color="auto" w:fill="CCEEFF"/>
          </w:tcPr>
          <w:p>
            <w:pPr>
              <w:spacing w:after="0"/>
              <w:rPr>
                <w:sz w:val="18"/>
                <w:szCs w:val="18"/>
                <w:color w:val="auto"/>
              </w:rPr>
            </w:pPr>
          </w:p>
        </w:tc>
      </w:tr>
      <w:tr>
        <w:trPr>
          <w:trHeight w:val="230"/>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r>
      <w:tr>
        <w:trPr>
          <w:trHeight w:val="210"/>
        </w:trPr>
        <w:tc>
          <w:tcPr>
            <w:tcW w:w="6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98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1,364</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r>
      <w:tr>
        <w:trPr>
          <w:trHeight w:val="230"/>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(1,563)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r>
      <w:tr>
        <w:trPr>
          <w:trHeight w:val="22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(839)</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borrowings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9,135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repayments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(9,234)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(8,752)</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gridSpan w:val="2"/>
          </w:tcPr>
          <w:p>
            <w:pPr>
              <w:spacing w:after="0"/>
              <w:rPr>
                <w:sz w:val="18"/>
                <w:szCs w:val="18"/>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8"/>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30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r>
      <w:tr>
        <w:trPr>
          <w:trHeight w:val="22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5"/>
        </w:trPr>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center"/>
              <w:ind w:right="281"/>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r>
      <w:tr>
        <w:trPr>
          <w:trHeight w:val="209"/>
        </w:trPr>
        <w:tc>
          <w:tcPr>
            <w:tcW w:w="2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Landfill</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r>
      <w:tr>
        <w:trPr>
          <w:trHeight w:val="178"/>
        </w:trPr>
        <w:tc>
          <w:tcPr>
            <w:tcW w:w="230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Collection and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Disposal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4,922</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30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r>
      <w:tr>
        <w:trPr>
          <w:trHeight w:val="22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5"/>
        </w:trPr>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center"/>
              <w:ind w:right="281"/>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10"/>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1,717</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1,427</w:t>
            </w:r>
          </w:p>
        </w:tc>
      </w:tr>
      <w:tr>
        <w:trPr>
          <w:trHeight w:val="210"/>
        </w:trPr>
        <w:tc>
          <w:tcPr>
            <w:tcW w:w="2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40" w:type="dxa"/>
            <w:vAlign w:val="bottom"/>
            <w:tcBorders>
              <w:top w:val="single" w:sz="8" w:color="CCEEFF"/>
            </w:tcBorders>
            <w:shd w:val="clear" w:color="auto" w:fill="CCEEFF"/>
          </w:tcPr>
          <w:p>
            <w:pPr>
              <w:spacing w:after="0"/>
              <w:rPr>
                <w:sz w:val="18"/>
                <w:szCs w:val="18"/>
                <w:color w:val="auto"/>
              </w:rPr>
            </w:pPr>
          </w:p>
        </w:tc>
      </w:tr>
      <w:tr>
        <w:trPr>
          <w:trHeight w:val="256"/>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Landfill</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1,665</w:t>
            </w: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r>
      <w:tr>
        <w:trPr>
          <w:trHeight w:val="178"/>
        </w:trPr>
        <w:tc>
          <w:tcPr>
            <w:tcW w:w="230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Collection and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Disposal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9,638</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The three months and six months ended June 30, 2024 were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7"/>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7"/>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4"/>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4"/>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gridSpan w:val="8"/>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gridSpan w:val="8"/>
          </w:tcPr>
          <w:p>
            <w:pPr>
              <w:jc w:val="center"/>
              <w:ind w:right="856"/>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June 30, 2025 vs. 2024</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June 30, 2025 vs. 2024</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5"/>
        </w:trPr>
        <w:tc>
          <w:tcPr>
            <w:tcW w:w="27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3"/>
                <w:szCs w:val="23"/>
                <w:color w:val="auto"/>
              </w:rPr>
            </w:pPr>
          </w:p>
        </w:tc>
        <w:tc>
          <w:tcPr>
            <w:tcW w:w="112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4"/>
              </w:rPr>
              <w:t>Business</w:t>
            </w:r>
            <w:r>
              <w:rPr>
                <w:rFonts w:ascii="Times New Roman" w:cs="Times New Roman" w:eastAsia="Times New Roman" w:hAnsi="Times New Roman"/>
                <w:sz w:val="29"/>
                <w:szCs w:val="29"/>
                <w:b w:val="1"/>
                <w:bCs w:val="1"/>
                <w:color w:val="auto"/>
                <w:w w:val="94"/>
                <w:vertAlign w:val="superscript"/>
              </w:rPr>
              <w:t>(a)</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Company</w:t>
            </w:r>
            <w:r>
              <w:rPr>
                <w:rFonts w:ascii="Times New Roman" w:cs="Times New Roman" w:eastAsia="Times New Roman" w:hAnsi="Times New Roman"/>
                <w:sz w:val="29"/>
                <w:szCs w:val="29"/>
                <w:b w:val="1"/>
                <w:bCs w:val="1"/>
                <w:color w:val="auto"/>
                <w:w w:val="95"/>
                <w:vertAlign w:val="superscript"/>
              </w:rPr>
              <w:t>(b)</w:t>
            </w:r>
          </w:p>
        </w:tc>
        <w:tc>
          <w:tcPr>
            <w:tcW w:w="9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4"/>
              </w:rPr>
              <w:t>Business</w:t>
            </w:r>
            <w:r>
              <w:rPr>
                <w:rFonts w:ascii="Times New Roman" w:cs="Times New Roman" w:eastAsia="Times New Roman" w:hAnsi="Times New Roman"/>
                <w:sz w:val="29"/>
                <w:szCs w:val="29"/>
                <w:b w:val="1"/>
                <w:bCs w:val="1"/>
                <w:color w:val="auto"/>
                <w:w w:val="94"/>
                <w:vertAlign w:val="superscript"/>
              </w:rPr>
              <w:t>(a)</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76"/>
              <w:spacing w:after="0" w:line="276" w:lineRule="exact"/>
              <w:rPr>
                <w:sz w:val="20"/>
                <w:szCs w:val="20"/>
                <w:color w:val="auto"/>
              </w:rPr>
            </w:pPr>
            <w:r>
              <w:rPr>
                <w:rFonts w:ascii="Times New Roman" w:cs="Times New Roman" w:eastAsia="Times New Roman" w:hAnsi="Times New Roman"/>
                <w:sz w:val="18"/>
                <w:szCs w:val="18"/>
                <w:b w:val="1"/>
                <w:bCs w:val="1"/>
                <w:color w:val="auto"/>
                <w:w w:val="95"/>
              </w:rPr>
              <w:t>Company</w:t>
            </w:r>
            <w:r>
              <w:rPr>
                <w:rFonts w:ascii="Times New Roman" w:cs="Times New Roman" w:eastAsia="Times New Roman" w:hAnsi="Times New Roman"/>
                <w:sz w:val="29"/>
                <w:szCs w:val="29"/>
                <w:b w:val="1"/>
                <w:bCs w:val="1"/>
                <w:color w:val="auto"/>
                <w:w w:val="95"/>
                <w:vertAlign w:val="superscript"/>
              </w:rPr>
              <w:t>(b)</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vMerge w:val="continue"/>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Recycling Processing and Sales and</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6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WM Renewable Energy</w:t>
            </w:r>
            <w:r>
              <w:rPr>
                <w:rFonts w:ascii="Times New Roman" w:cs="Times New Roman" w:eastAsia="Times New Roman" w:hAnsi="Times New Roman"/>
                <w:sz w:val="29"/>
                <w:szCs w:val="29"/>
                <w:color w:val="auto"/>
                <w:vertAlign w:val="superscript"/>
              </w:rPr>
              <w:t>(c)</w:t>
            </w:r>
          </w:p>
        </w:tc>
        <w:tc>
          <w:tcPr>
            <w:tcW w:w="300" w:type="dxa"/>
            <w:vAlign w:val="bottom"/>
          </w:tcPr>
          <w:p>
            <w:pPr>
              <w:spacing w:after="0"/>
              <w:rPr>
                <w:sz w:val="23"/>
                <w:szCs w:val="23"/>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surcharge and mandated fees</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Pr>
          <w:p>
            <w:pPr>
              <w:ind w:left="120"/>
              <w:spacing w:after="0" w:line="236" w:lineRule="exact"/>
              <w:rPr>
                <w:sz w:val="20"/>
                <w:szCs w:val="20"/>
                <w:color w:val="auto"/>
              </w:rPr>
            </w:pPr>
            <w:r>
              <w:rPr>
                <w:rFonts w:ascii="Times New Roman" w:cs="Times New Roman" w:eastAsia="Times New Roman" w:hAnsi="Times New Roman"/>
                <w:sz w:val="17"/>
                <w:szCs w:val="17"/>
                <w:color w:val="auto"/>
              </w:rPr>
              <w:t>Total average yield</w:t>
            </w:r>
            <w:r>
              <w:rPr>
                <w:rFonts w:ascii="Times New Roman" w:cs="Times New Roman" w:eastAsia="Times New Roman" w:hAnsi="Times New Roman"/>
                <w:sz w:val="27"/>
                <w:szCs w:val="27"/>
                <w:color w:val="auto"/>
                <w:vertAlign w:val="superscript"/>
              </w:rPr>
              <w:t>(d)</w:t>
            </w:r>
          </w:p>
        </w:tc>
        <w:tc>
          <w:tcPr>
            <w:tcW w:w="3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Volume</w:t>
            </w:r>
            <w:r>
              <w:rPr>
                <w:rFonts w:ascii="Times New Roman" w:cs="Times New Roman" w:eastAsia="Times New Roman" w:hAnsi="Times New Roman"/>
                <w:sz w:val="29"/>
                <w:szCs w:val="29"/>
                <w:color w:val="auto"/>
                <w:vertAlign w:val="superscript"/>
              </w:rPr>
              <w:t>(e)</w:t>
            </w:r>
          </w:p>
        </w:tc>
        <w:tc>
          <w:tcPr>
            <w:tcW w:w="3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Internal revenue growth</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Divestitures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jc w:val="center"/>
        <w:ind w:left="514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June 30, 2025 vs.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14605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-34925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5420"/>
        <w:spacing w:after="0"/>
        <w:tabs>
          <w:tab w:leader="none" w:pos="690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June 30, 2025 vs.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14605</wp:posOffset>
            </wp:positionV>
            <wp:extent cx="17919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jc w:val="center"/>
        <w:ind w:right="340"/>
        <w:spacing w:after="0" w:line="221" w:lineRule="auto"/>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-8890</wp:posOffset>
            </wp:positionV>
            <wp:extent cx="17919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ind w:left="240"/>
        <w:spacing w:after="0" w:line="183" w:lineRule="auto"/>
        <w:tabs>
          <w:tab w:leader="none" w:pos="166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(f)</w:t>
      </w:r>
    </w:p>
    <w:p>
      <w:pPr>
        <w:spacing w:after="0" w:line="21" w:lineRule="exact"/>
        <w:rPr>
          <w:sz w:val="20"/>
          <w:szCs w:val="20"/>
          <w:color w:val="auto"/>
        </w:rPr>
      </w:pPr>
    </w:p>
    <w:p>
      <w:pPr>
        <w:sectPr>
          <w:pgSz w:w="11900" w:h="16838" w:orient="portrait"/>
          <w:cols w:equalWidth="0" w:num="2">
            <w:col w:w="7700" w:space="720"/>
            <w:col w:w="28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0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5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158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58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14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4.7</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4.7</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7.0</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4.0</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020" w:type="dxa"/>
            <w:vAlign w:val="bottom"/>
            <w:gridSpan w:val="8"/>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80" w:type="dxa"/>
            <w:vAlign w:val="bottom"/>
            <w:gridSpan w:val="6"/>
          </w:tcPr>
          <w:p>
            <w:pPr>
              <w:jc w:val="center"/>
              <w:ind w:left="443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6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6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divested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items from prior periods, net of 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Landfill Depletion and Accretion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Cost basis of landfill assets</w:t>
            </w:r>
            <w:r>
              <w:rPr>
                <w:rFonts w:ascii="Times New Roman" w:cs="Times New Roman" w:eastAsia="Times New Roman" w:hAnsi="Times New Roman"/>
                <w:sz w:val="29"/>
                <w:szCs w:val="29"/>
                <w:color w:val="auto"/>
                <w:vertAlign w:val="superscript"/>
              </w:rPr>
              <w:t>(c)</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2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7"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second quarter of 2025 and the six months ended June 30, 2025, the increase in landfill depletion expense was driven by higher volumes, particularly at sites within our West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4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40" w:type="dxa"/>
            <w:vAlign w:val="bottom"/>
          </w:tcPr>
          <w:p>
            <w:pPr>
              <w:spacing w:after="0"/>
              <w:rPr>
                <w:sz w:val="16"/>
                <w:szCs w:val="16"/>
                <w:color w:val="auto"/>
              </w:rPr>
            </w:pPr>
          </w:p>
        </w:tc>
        <w:tc>
          <w:tcPr>
            <w:tcW w:w="100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58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tcPr>
          <w:p>
            <w:pPr>
              <w:spacing w:after="0"/>
              <w:rPr>
                <w:sz w:val="23"/>
                <w:szCs w:val="2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Stericycle acquisition and integration-related costs</w:t>
            </w:r>
            <w:r>
              <w:rPr>
                <w:rFonts w:ascii="Times New Roman" w:cs="Times New Roman" w:eastAsia="Times New Roman" w:hAnsi="Times New Roman"/>
                <w:sz w:val="29"/>
                <w:szCs w:val="29"/>
                <w:color w:val="auto"/>
                <w:vertAlign w:val="superscript"/>
              </w:rPr>
              <w:t>(b)</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Loss from asset impairments, unusual items and other, net</w:t>
            </w:r>
          </w:p>
        </w:tc>
        <w:tc>
          <w:tcPr>
            <w:tcW w:w="340" w:type="dxa"/>
            <w:vAlign w:val="bottom"/>
          </w:tcPr>
          <w:p>
            <w:pPr>
              <w:spacing w:after="0"/>
              <w:rPr>
                <w:sz w:val="17"/>
                <w:szCs w:val="17"/>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22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w:t>
            </w:r>
          </w:p>
        </w:tc>
        <w:tc>
          <w:tcPr>
            <w:tcW w:w="3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300" w:type="dxa"/>
            <w:vAlign w:val="bottom"/>
            <w:tcBorders>
              <w:bottom w:val="single" w:sz="8" w:color="CCEEFF"/>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87"/>
              </w:rPr>
              <w:t>(d)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4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29.9%</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4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40" w:type="dxa"/>
            <w:vAlign w:val="bottom"/>
          </w:tcPr>
          <w:p>
            <w:pPr>
              <w:spacing w:after="0"/>
              <w:rPr>
                <w:sz w:val="16"/>
                <w:szCs w:val="16"/>
                <w:color w:val="auto"/>
              </w:rPr>
            </w:pPr>
          </w:p>
        </w:tc>
        <w:tc>
          <w:tcPr>
            <w:tcW w:w="100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58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tcPr>
          <w:p>
            <w:pPr>
              <w:spacing w:after="0"/>
              <w:rPr>
                <w:sz w:val="23"/>
                <w:szCs w:val="2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costs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3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Loss from asset impairments, unusual items and other, net</w:t>
            </w:r>
          </w:p>
        </w:tc>
        <w:tc>
          <w:tcPr>
            <w:tcW w:w="3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w:t>
            </w:r>
          </w:p>
        </w:tc>
        <w:tc>
          <w:tcPr>
            <w:tcW w:w="34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3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87"/>
              </w:rPr>
              <w:t>(d)</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tcPr>
          <w:p>
            <w:pPr>
              <w:spacing w:after="0" w:line="20" w:lineRule="exact"/>
              <w:rPr>
                <w:sz w:val="1"/>
                <w:szCs w:val="1"/>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integration-related costs, severance and retention costs, and WM Healthcare Solutions Enterprise Resource Planning (ERP) system costs.</w:t>
      </w: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2025 includes net charges primarily related to a business engaged in oil recovery and sludge processing services. The three months ended June 30, 2024 includes net charges primarily related to an investment in a waste diversion technology business.</w:t>
      </w:r>
    </w:p>
    <w:p>
      <w:pPr>
        <w:jc w:val="both"/>
        <w:ind w:left="340" w:hanging="332"/>
        <w:spacing w:after="0" w:line="25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second quarter 2025 and 2024 adjusted effective tax rates were 21.8% and 23.9%,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5"/>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Recycling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6"/>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WM</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100" w:type="dxa"/>
            <w:vAlign w:val="bottom"/>
          </w:tcPr>
          <w:p>
            <w:pPr>
              <w:spacing w:after="0"/>
              <w:rPr>
                <w:sz w:val="19"/>
                <w:szCs w:val="19"/>
                <w:color w:val="auto"/>
              </w:rPr>
            </w:pPr>
          </w:p>
        </w:tc>
        <w:tc>
          <w:tcPr>
            <w:tcW w:w="1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Processing</w:t>
            </w:r>
          </w:p>
        </w:tc>
        <w:tc>
          <w:tcPr>
            <w:tcW w:w="4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Legacy</w:t>
            </w:r>
          </w:p>
        </w:tc>
        <w:tc>
          <w:tcPr>
            <w:tcW w:w="6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840" w:type="dxa"/>
            <w:vAlign w:val="bottom"/>
          </w:tcPr>
          <w:p>
            <w:pPr>
              <w:spacing w:after="0"/>
              <w:rPr>
                <w:sz w:val="23"/>
                <w:szCs w:val="23"/>
                <w:color w:val="auto"/>
              </w:rPr>
            </w:pPr>
          </w:p>
        </w:tc>
        <w:tc>
          <w:tcPr>
            <w:tcW w:w="1640" w:type="dxa"/>
            <w:vAlign w:val="bottom"/>
            <w:gridSpan w:val="6"/>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and Disposal</w:t>
            </w:r>
            <w:r>
              <w:rPr>
                <w:rFonts w:ascii="Times New Roman" w:cs="Times New Roman" w:eastAsia="Times New Roman" w:hAnsi="Times New Roman"/>
                <w:sz w:val="29"/>
                <w:szCs w:val="29"/>
                <w:b w:val="1"/>
                <w:bCs w:val="1"/>
                <w:color w:val="auto"/>
                <w:vertAlign w:val="superscript"/>
              </w:rPr>
              <w:t>(a)(b)</w:t>
            </w:r>
          </w:p>
        </w:tc>
        <w:tc>
          <w:tcPr>
            <w:tcW w:w="100" w:type="dxa"/>
            <w:vAlign w:val="bottom"/>
          </w:tcPr>
          <w:p>
            <w:pPr>
              <w:spacing w:after="0"/>
              <w:rPr>
                <w:sz w:val="23"/>
                <w:szCs w:val="23"/>
                <w:color w:val="auto"/>
              </w:rPr>
            </w:pPr>
          </w:p>
        </w:tc>
        <w:tc>
          <w:tcPr>
            <w:tcW w:w="1260" w:type="dxa"/>
            <w:vAlign w:val="bottom"/>
            <w:gridSpan w:val="5"/>
          </w:tcPr>
          <w:p>
            <w:pPr>
              <w:jc w:val="center"/>
              <w:ind w:right="360"/>
              <w:spacing w:after="0" w:line="276" w:lineRule="exact"/>
              <w:rPr>
                <w:sz w:val="20"/>
                <w:szCs w:val="20"/>
                <w:color w:val="auto"/>
              </w:rPr>
            </w:pPr>
            <w:r>
              <w:rPr>
                <w:rFonts w:ascii="Times New Roman" w:cs="Times New Roman" w:eastAsia="Times New Roman" w:hAnsi="Times New Roman"/>
                <w:sz w:val="18"/>
                <w:szCs w:val="18"/>
                <w:b w:val="1"/>
                <w:bCs w:val="1"/>
                <w:color w:val="auto"/>
                <w:w w:val="94"/>
              </w:rPr>
              <w:t>and Sales</w:t>
            </w:r>
            <w:r>
              <w:rPr>
                <w:rFonts w:ascii="Times New Roman" w:cs="Times New Roman" w:eastAsia="Times New Roman" w:hAnsi="Times New Roman"/>
                <w:sz w:val="29"/>
                <w:szCs w:val="29"/>
                <w:b w:val="1"/>
                <w:bCs w:val="1"/>
                <w:color w:val="auto"/>
                <w:w w:val="94"/>
                <w:vertAlign w:val="superscript"/>
              </w:rPr>
              <w:t>(a)</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4"/>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2"/>
              </w:rPr>
              <w:t>Energy</w:t>
            </w:r>
            <w:r>
              <w:rPr>
                <w:rFonts w:ascii="Times New Roman" w:cs="Times New Roman" w:eastAsia="Times New Roman" w:hAnsi="Times New Roman"/>
                <w:sz w:val="29"/>
                <w:szCs w:val="29"/>
                <w:b w:val="1"/>
                <w:bCs w:val="1"/>
                <w:color w:val="auto"/>
                <w:w w:val="92"/>
                <w:vertAlign w:val="superscript"/>
              </w:rPr>
              <w:t>(b)</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60" w:type="dxa"/>
            <w:vAlign w:val="bottom"/>
          </w:tcPr>
          <w:p>
            <w:pPr>
              <w:spacing w:after="0"/>
              <w:rPr>
                <w:sz w:val="23"/>
                <w:szCs w:val="23"/>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0" w:type="dxa"/>
            <w:vAlign w:val="bottom"/>
          </w:tcPr>
          <w:p>
            <w:pPr>
              <w:spacing w:after="0"/>
              <w:rPr>
                <w:sz w:val="1"/>
                <w:szCs w:val="1"/>
                <w:color w:val="auto"/>
              </w:rPr>
            </w:pPr>
          </w:p>
        </w:tc>
      </w:tr>
      <w:tr>
        <w:trPr>
          <w:trHeight w:val="174"/>
        </w:trPr>
        <w:tc>
          <w:tcPr>
            <w:tcW w:w="28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EBITDA and</w:t>
            </w: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EBITDA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operating revenues, as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7,128</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647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7,775</w:t>
            </w:r>
          </w:p>
        </w:tc>
        <w:tc>
          <w:tcPr>
            <w:tcW w:w="0" w:type="dxa"/>
            <w:vAlign w:val="bottom"/>
          </w:tcPr>
          <w:p>
            <w:pPr>
              <w:spacing w:after="0"/>
              <w:rPr>
                <w:sz w:val="1"/>
                <w:szCs w:val="1"/>
                <w:color w:val="auto"/>
              </w:rPr>
            </w:pPr>
          </w:p>
        </w:tc>
      </w:tr>
      <w:tr>
        <w:trPr>
          <w:trHeight w:val="22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174"/>
        </w:trPr>
        <w:tc>
          <w:tcPr>
            <w:tcW w:w="28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operating revenues, as</w:t>
            </w: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5,784</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646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6,430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from operations, as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1,461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w:t>
            </w: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1,151</w:t>
            </w:r>
          </w:p>
        </w:tc>
        <w:tc>
          <w:tcPr>
            <w:tcW w:w="0" w:type="dxa"/>
            <w:vAlign w:val="bottom"/>
          </w:tcPr>
          <w:p>
            <w:pPr>
              <w:spacing w:after="0"/>
              <w:rPr>
                <w:sz w:val="1"/>
                <w:szCs w:val="1"/>
                <w:color w:val="auto"/>
              </w:rPr>
            </w:pP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depletion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as reported</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Stericycle acquisition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840" w:type="dxa"/>
            <w:vAlign w:val="bottom"/>
          </w:tcPr>
          <w:p>
            <w:pPr>
              <w:ind w:left="240"/>
              <w:spacing w:after="0" w:line="271" w:lineRule="exact"/>
              <w:rPr>
                <w:sz w:val="20"/>
                <w:szCs w:val="20"/>
                <w:color w:val="auto"/>
              </w:rPr>
            </w:pPr>
            <w:r>
              <w:rPr>
                <w:rFonts w:ascii="Times New Roman" w:cs="Times New Roman" w:eastAsia="Times New Roman" w:hAnsi="Times New Roman"/>
                <w:sz w:val="18"/>
                <w:szCs w:val="18"/>
                <w:color w:val="auto"/>
              </w:rPr>
              <w:t>integration-related costs</w:t>
            </w:r>
            <w:r>
              <w:rPr>
                <w:rFonts w:ascii="Times New Roman" w:cs="Times New Roman" w:eastAsia="Times New Roman" w:hAnsi="Times New Roman"/>
                <w:sz w:val="29"/>
                <w:szCs w:val="29"/>
                <w:color w:val="auto"/>
                <w:vertAlign w:val="superscript"/>
              </w:rPr>
              <w:t>(c)</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Loss from asset impairments,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840" w:type="dxa"/>
            <w:vAlign w:val="bottom"/>
            <w:shd w:val="clear" w:color="auto" w:fill="CCEEFF"/>
          </w:tcPr>
          <w:p>
            <w:pPr>
              <w:ind w:left="240"/>
              <w:spacing w:after="0" w:line="284" w:lineRule="exact"/>
              <w:rPr>
                <w:sz w:val="20"/>
                <w:szCs w:val="20"/>
                <w:color w:val="auto"/>
              </w:rPr>
            </w:pPr>
            <w:r>
              <w:rPr>
                <w:rFonts w:ascii="Times New Roman" w:cs="Times New Roman" w:eastAsia="Times New Roman" w:hAnsi="Times New Roman"/>
                <w:sz w:val="18"/>
                <w:szCs w:val="18"/>
                <w:color w:val="auto"/>
              </w:rPr>
              <w:t>unusual items and other, net</w:t>
            </w:r>
            <w:r>
              <w:rPr>
                <w:rFonts w:ascii="Times New Roman" w:cs="Times New Roman" w:eastAsia="Times New Roman" w:hAnsi="Times New Roman"/>
                <w:sz w:val="29"/>
                <w:szCs w:val="29"/>
                <w:color w:val="auto"/>
                <w:vertAlign w:val="superscript"/>
              </w:rPr>
              <w:t>(d)</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Operating EBITDA margin, as</w:t>
            </w: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0" w:type="dxa"/>
            <w:vAlign w:val="bottom"/>
          </w:tcPr>
          <w:p>
            <w:pPr>
              <w:spacing w:after="0"/>
              <w:rPr>
                <w:sz w:val="1"/>
                <w:szCs w:val="1"/>
                <w:color w:val="auto"/>
              </w:rPr>
            </w:pPr>
          </w:p>
        </w:tc>
      </w:tr>
      <w:tr>
        <w:trPr>
          <w:trHeight w:val="194"/>
        </w:trPr>
        <w:tc>
          <w:tcPr>
            <w:tcW w:w="2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0" w:type="dxa"/>
            <w:vAlign w:val="bottom"/>
          </w:tcPr>
          <w:p>
            <w:pPr>
              <w:spacing w:after="0"/>
              <w:rPr>
                <w:sz w:val="1"/>
                <w:szCs w:val="1"/>
                <w:color w:val="auto"/>
              </w:rPr>
            </w:pPr>
          </w:p>
        </w:tc>
      </w:tr>
      <w:tr>
        <w:trPr>
          <w:trHeight w:val="473"/>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4"/>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Processing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5"/>
          </w:tcPr>
          <w:p>
            <w:pPr>
              <w:ind w:left="100"/>
              <w:spacing w:after="0" w:line="276" w:lineRule="exact"/>
              <w:rPr>
                <w:sz w:val="20"/>
                <w:szCs w:val="20"/>
                <w:color w:val="auto"/>
              </w:rPr>
            </w:pPr>
            <w:r>
              <w:rPr>
                <w:rFonts w:ascii="Times New Roman" w:cs="Times New Roman" w:eastAsia="Times New Roman" w:hAnsi="Times New Roman"/>
                <w:sz w:val="18"/>
                <w:szCs w:val="18"/>
                <w:b w:val="1"/>
                <w:bCs w:val="1"/>
                <w:color w:val="auto"/>
                <w:w w:val="92"/>
              </w:rPr>
              <w:t>and Disposal</w:t>
            </w:r>
            <w:r>
              <w:rPr>
                <w:rFonts w:ascii="Times New Roman" w:cs="Times New Roman" w:eastAsia="Times New Roman" w:hAnsi="Times New Roman"/>
                <w:sz w:val="29"/>
                <w:szCs w:val="29"/>
                <w:b w:val="1"/>
                <w:bCs w:val="1"/>
                <w:color w:val="auto"/>
                <w:w w:val="92"/>
                <w:vertAlign w:val="superscript"/>
              </w:rPr>
              <w:t>(a)(b)</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and Sales</w:t>
            </w:r>
            <w:r>
              <w:rPr>
                <w:rFonts w:ascii="Times New Roman" w:cs="Times New Roman" w:eastAsia="Times New Roman" w:hAnsi="Times New Roman"/>
                <w:sz w:val="29"/>
                <w:szCs w:val="29"/>
                <w:b w:val="1"/>
                <w:bCs w:val="1"/>
                <w:color w:val="auto"/>
                <w:w w:val="94"/>
                <w:vertAlign w:val="superscript"/>
              </w:rPr>
              <w:t>(a)</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4"/>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Energy</w:t>
            </w:r>
            <w:r>
              <w:rPr>
                <w:rFonts w:ascii="Times New Roman" w:cs="Times New Roman" w:eastAsia="Times New Roman" w:hAnsi="Times New Roman"/>
                <w:sz w:val="29"/>
                <w:szCs w:val="29"/>
                <w:b w:val="1"/>
                <w:bCs w:val="1"/>
                <w:color w:val="auto"/>
                <w:w w:val="95"/>
                <w:vertAlign w:val="superscript"/>
              </w:rPr>
              <w:t>(b)</w:t>
            </w:r>
          </w:p>
        </w:tc>
        <w:tc>
          <w:tcPr>
            <w:tcW w:w="60" w:type="dxa"/>
            <w:vAlign w:val="bottom"/>
          </w:tcPr>
          <w:p>
            <w:pPr>
              <w:spacing w:after="0"/>
              <w:rPr>
                <w:sz w:val="23"/>
                <w:szCs w:val="23"/>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40" w:type="dxa"/>
            <w:vAlign w:val="bottom"/>
          </w:tcPr>
          <w:p>
            <w:pPr>
              <w:spacing w:after="0"/>
              <w:rPr>
                <w:sz w:val="23"/>
                <w:szCs w:val="23"/>
                <w:color w:val="auto"/>
              </w:rPr>
            </w:pPr>
          </w:p>
        </w:tc>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8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EBITDA and</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EBITDA Margin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operating revenues, as reported</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6,051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475</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6,610</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revenues, as reported</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1,009</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depletion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as reported</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Stericycle transaction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99"/>
              </w:rPr>
              <w:t>Loss from asset impairments, unusual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840" w:type="dxa"/>
            <w:vAlign w:val="bottom"/>
          </w:tcPr>
          <w:p>
            <w:pPr>
              <w:ind w:left="240"/>
              <w:spacing w:after="0" w:line="284" w:lineRule="exact"/>
              <w:rPr>
                <w:sz w:val="20"/>
                <w:szCs w:val="20"/>
                <w:color w:val="auto"/>
              </w:rPr>
            </w:pPr>
            <w:r>
              <w:rPr>
                <w:rFonts w:ascii="Times New Roman" w:cs="Times New Roman" w:eastAsia="Times New Roman" w:hAnsi="Times New Roman"/>
                <w:sz w:val="18"/>
                <w:szCs w:val="18"/>
                <w:color w:val="auto"/>
              </w:rPr>
              <w:t>items and other, net</w:t>
            </w:r>
            <w:r>
              <w:rPr>
                <w:rFonts w:ascii="Times New Roman" w:cs="Times New Roman" w:eastAsia="Times New Roman" w:hAnsi="Times New Roman"/>
                <w:sz w:val="29"/>
                <w:szCs w:val="29"/>
                <w:color w:val="auto"/>
                <w:vertAlign w:val="superscript"/>
              </w:rPr>
              <w:t>(d)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Operating EBITDA margin, as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w:t>
            </w:r>
          </w:p>
        </w:tc>
        <w:tc>
          <w:tcPr>
            <w:tcW w:w="3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Adjusted operating EBITDA margin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w:t>
            </w:r>
          </w:p>
        </w:tc>
        <w:tc>
          <w:tcPr>
            <w:tcW w:w="3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2" w:lineRule="exact"/>
        <w:rPr>
          <w:sz w:val="20"/>
          <w:szCs w:val="20"/>
          <w:color w:val="auto"/>
        </w:rPr>
      </w:pPr>
    </w:p>
    <w:p>
      <w:pPr>
        <w:ind w:left="34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amounts in Income from Operations for the three months ended June 30, 2025 and 2024 are $20 million and $26 million, respectively.</w:t>
      </w:r>
    </w:p>
    <w:p>
      <w:pPr>
        <w:jc w:val="both"/>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and Corporate and Other businesses for landfill gas. The total amount of royalties in Income from Operations for the three months ended June 30, 2025 and 2024, are $17 million and $11 million, respectively.</w:t>
      </w: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integration-related costs, severance and retention costs, and WM Healthcare Solutions Enterprise Resource Planning (ERP)</w:t>
      </w:r>
    </w:p>
    <w:p>
      <w:pPr>
        <w:sectPr>
          <w:pgSz w:w="11900" w:h="16838" w:orient="portrait"/>
          <w:cols w:equalWidth="0" w:num="1">
            <w:col w:w="11240"/>
          </w:cols>
          <w:pgMar w:left="320" w:top="900" w:right="339" w:bottom="0" w:gutter="0" w:footer="0" w:header="0"/>
        </w:sectPr>
      </w:pPr>
    </w:p>
    <w:bookmarkStart w:id="17" w:name="page18"/>
    <w:bookmarkEnd w:id="17"/>
    <w:p>
      <w:pPr>
        <w:ind w:left="332"/>
        <w:spacing w:after="0"/>
        <w:rPr>
          <w:sz w:val="20"/>
          <w:szCs w:val="20"/>
          <w:color w:val="auto"/>
        </w:rPr>
      </w:pPr>
      <w:r>
        <w:rPr>
          <w:rFonts w:ascii="Times New Roman" w:cs="Times New Roman" w:eastAsia="Times New Roman" w:hAnsi="Times New Roman"/>
          <w:sz w:val="18"/>
          <w:szCs w:val="18"/>
          <w:color w:val="auto"/>
        </w:rPr>
        <w:t>system costs.</w:t>
      </w:r>
    </w:p>
    <w:p>
      <w:pPr>
        <w:spacing w:after="0" w:line="27" w:lineRule="exact"/>
        <w:rPr>
          <w:sz w:val="20"/>
          <w:szCs w:val="20"/>
          <w:color w:val="auto"/>
        </w:rPr>
      </w:pPr>
    </w:p>
    <w:p>
      <w:pPr>
        <w:ind w:left="332" w:hanging="332"/>
        <w:spacing w:after="0" w:line="260"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2025 includes net charges primarily related to a business engaged in oil recovery and sludge processing services. The three months ended June 30, 2024 includes net charges primarily related to an investment in a waste diversion technology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7"/>
          </w:tcPr>
          <w:p>
            <w:pPr>
              <w:jc w:val="center"/>
              <w:ind w:right="233"/>
              <w:spacing w:after="0"/>
              <w:rPr>
                <w:sz w:val="20"/>
                <w:szCs w:val="20"/>
                <w:color w:val="auto"/>
              </w:rPr>
            </w:pPr>
            <w:r>
              <w:rPr>
                <w:rFonts w:ascii="Times New Roman" w:cs="Times New Roman" w:eastAsia="Times New Roman" w:hAnsi="Times New Roman"/>
                <w:sz w:val="18"/>
                <w:szCs w:val="18"/>
                <w:b w:val="1"/>
                <w:bCs w:val="1"/>
                <w:color w:val="auto"/>
                <w:w w:val="98"/>
              </w:rPr>
              <w:t>Legacy</w:t>
            </w:r>
          </w:p>
        </w:tc>
        <w:tc>
          <w:tcPr>
            <w:tcW w:w="60" w:type="dxa"/>
            <w:vAlign w:val="bottom"/>
          </w:tcPr>
          <w:p>
            <w:pPr>
              <w:spacing w:after="0"/>
              <w:rPr>
                <w:sz w:val="19"/>
                <w:szCs w:val="19"/>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8"/>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3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w:t>
            </w: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Margin</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operating revenues, as reported</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7,128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7,775</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6,610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7"/>
          </w:tcPr>
          <w:p>
            <w:pPr>
              <w:jc w:val="right"/>
              <w:ind w:right="53"/>
              <w:spacing w:after="0"/>
              <w:rPr>
                <w:sz w:val="20"/>
                <w:szCs w:val="20"/>
                <w:color w:val="auto"/>
              </w:rPr>
            </w:pPr>
            <w:r>
              <w:rPr>
                <w:rFonts w:ascii="Times New Roman" w:cs="Times New Roman" w:eastAsia="Times New Roman" w:hAnsi="Times New Roman"/>
                <w:sz w:val="18"/>
                <w:szCs w:val="18"/>
                <w:color w:val="auto"/>
              </w:rPr>
              <w:t>(1,344)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3,839</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Stericycle acquisition and integration-related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5"/>
          </w:tcPr>
          <w:p>
            <w:pPr>
              <w:jc w:val="right"/>
              <w:ind w:right="11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gridSpan w:val="5"/>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77"/>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adjusted</w:t>
            </w: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3,433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3,835</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3,290</w:t>
            </w:r>
          </w:p>
        </w:tc>
        <w:tc>
          <w:tcPr>
            <w:tcW w:w="200" w:type="dxa"/>
            <w:vAlign w:val="bottom"/>
            <w:tcBorders>
              <w:bottom w:val="single" w:sz="8" w:color="CCEEFF"/>
            </w:tcBorders>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net revenues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7"/>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59.6%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tcBorders>
              <w:right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60.9%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1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75"/>
        </w:trPr>
        <w:tc>
          <w:tcPr>
            <w:tcW w:w="3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23"/>
                <w:szCs w:val="23"/>
                <w:color w:val="auto"/>
              </w:rPr>
            </w:pPr>
          </w:p>
        </w:tc>
        <w:tc>
          <w:tcPr>
            <w:tcW w:w="1820" w:type="dxa"/>
            <w:vAlign w:val="bottom"/>
            <w:gridSpan w:val="2"/>
          </w:tcPr>
          <w:p>
            <w:pPr>
              <w:jc w:val="center"/>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March 31, 2025</w:t>
            </w:r>
            <w:r>
              <w:rPr>
                <w:rFonts w:ascii="Times New Roman" w:cs="Times New Roman" w:eastAsia="Times New Roman" w:hAnsi="Times New Roman"/>
                <w:sz w:val="29"/>
                <w:szCs w:val="29"/>
                <w:b w:val="1"/>
                <w:bCs w:val="1"/>
                <w:color w:val="auto"/>
                <w:w w:val="95"/>
                <w:vertAlign w:val="superscript"/>
              </w:rPr>
              <w:t>(a)</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700" w:type="dxa"/>
            <w:vAlign w:val="bottom"/>
            <w:tcBorders>
              <w:top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4"/>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2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Legacy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2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4"/>
              </w:rPr>
              <w:t>Total WM</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Total WM</w:t>
            </w:r>
          </w:p>
        </w:tc>
        <w:tc>
          <w:tcPr>
            <w:tcW w:w="16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0" w:type="dxa"/>
            <w:vAlign w:val="bottom"/>
          </w:tcPr>
          <w:p>
            <w:pPr>
              <w:spacing w:after="0"/>
              <w:rPr>
                <w:sz w:val="1"/>
                <w:szCs w:val="1"/>
                <w:color w:val="auto"/>
              </w:rPr>
            </w:pPr>
          </w:p>
        </w:tc>
      </w:tr>
      <w:tr>
        <w:trPr>
          <w:trHeight w:val="174"/>
        </w:trPr>
        <w:tc>
          <w:tcPr>
            <w:tcW w:w="33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w:t>
            </w: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 Margin</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operating revenues, as reported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7,128</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7,775</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627</w:t>
            </w: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50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5,402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696</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1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Stericycle acquisition and integration-</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costs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adjusted</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w:t>
            </w:r>
          </w:p>
        </w:tc>
        <w:tc>
          <w:tcPr>
            <w:tcW w:w="16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0" w:type="dxa"/>
            <w:vAlign w:val="bottom"/>
          </w:tcPr>
          <w:p>
            <w:pPr>
              <w:spacing w:after="0"/>
              <w:rPr>
                <w:sz w:val="1"/>
                <w:szCs w:val="1"/>
                <w:color w:val="auto"/>
              </w:rPr>
            </w:pPr>
          </w:p>
        </w:tc>
      </w:tr>
      <w:tr>
        <w:trPr>
          <w:trHeight w:val="69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2025 Projected Free Cash Flow Reconciliation</w:t>
            </w:r>
            <w:r>
              <w:rPr>
                <w:rFonts w:ascii="Times New Roman" w:cs="Times New Roman" w:eastAsia="Times New Roman" w:hAnsi="Times New Roman"/>
                <w:sz w:val="29"/>
                <w:szCs w:val="29"/>
                <w:b w:val="1"/>
                <w:bCs w:val="1"/>
                <w:i w:val="1"/>
                <w:iCs w:val="1"/>
                <w:color w:val="auto"/>
                <w:vertAlign w:val="superscript"/>
              </w:rPr>
              <w:t>(b)</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40" w:type="dxa"/>
            <w:vAlign w:val="bottom"/>
          </w:tcPr>
          <w:p>
            <w:pPr>
              <w:spacing w:after="0"/>
              <w:rPr>
                <w:sz w:val="24"/>
                <w:szCs w:val="24"/>
                <w:color w:val="auto"/>
              </w:rPr>
            </w:pPr>
          </w:p>
        </w:tc>
        <w:tc>
          <w:tcPr>
            <w:tcW w:w="134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Scenario 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(2,575)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(2,625)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cash divested</w:t>
            </w: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80" w:type="dxa"/>
            <w:vAlign w:val="bottom"/>
          </w:tcPr>
          <w:p>
            <w:pPr>
              <w:spacing w:after="0"/>
              <w:rPr>
                <w:sz w:val="18"/>
                <w:szCs w:val="18"/>
                <w:color w:val="auto"/>
              </w:rPr>
            </w:pPr>
          </w:p>
        </w:tc>
        <w:tc>
          <w:tcPr>
            <w:tcW w:w="140" w:type="dxa"/>
            <w:vAlign w:val="bottom"/>
            <w:gridSpan w:val="3"/>
          </w:tcPr>
          <w:p>
            <w:pPr>
              <w:spacing w:after="0"/>
              <w:rPr>
                <w:sz w:val="18"/>
                <w:szCs w:val="18"/>
                <w:color w:val="auto"/>
              </w:rPr>
            </w:pP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1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Healthcare Solutions Q1 2025 results are included to provide a reconciliation for the sequential improvement in adjusted SG&amp;A as a percentage of revenue.</w:t>
      </w:r>
    </w:p>
    <w:p>
      <w:pPr>
        <w:ind w:left="34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2025.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19"/>
                <w:szCs w:val="19"/>
                <w:color w:val="auto"/>
              </w:rPr>
            </w:pPr>
          </w:p>
        </w:tc>
        <w:tc>
          <w:tcPr>
            <w:tcW w:w="25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9"/>
                <w:szCs w:val="19"/>
                <w:color w:val="auto"/>
              </w:rPr>
            </w:pPr>
          </w:p>
        </w:tc>
      </w:tr>
      <w:tr>
        <w:trPr>
          <w:trHeight w:val="187"/>
        </w:trPr>
        <w:tc>
          <w:tcPr>
            <w:tcW w:w="5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454"/>
        </w:trPr>
        <w:tc>
          <w:tcPr>
            <w:tcW w:w="5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19"/>
                <w:szCs w:val="19"/>
                <w:color w:val="auto"/>
              </w:rPr>
            </w:pPr>
          </w:p>
        </w:tc>
        <w:tc>
          <w:tcPr>
            <w:tcW w:w="25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9"/>
                <w:szCs w:val="19"/>
                <w:color w:val="auto"/>
              </w:rPr>
            </w:pPr>
          </w:p>
        </w:tc>
      </w:tr>
      <w:tr>
        <w:trPr>
          <w:trHeight w:val="187"/>
        </w:trPr>
        <w:tc>
          <w:tcPr>
            <w:tcW w:w="5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657"/>
        </w:trPr>
        <w:tc>
          <w:tcPr>
            <w:tcW w:w="5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4"/>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2025-07-28T15:53:20Z</dcterms:created>
  <dcterms:modified xsi:type="dcterms:W3CDTF">2025-07-28T15:53:20Z</dcterms:modified>
</cp:coreProperties>
</file>