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24,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description in Item 8.01 of this Current Report on Form 8-K under the heading “Issuance and Sale of Notes” is incorporated into this Item 1.01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24, 2024, Waste Management, Inc. (the “Company”) commenced and priced an underwritten public offering of $750,000,000 aggregate principal amount of its 4.950% Senior Notes due 2027 and $750,000,000 aggregate principal amount of its 4.950% Senior Notes due 2031 (collectively, the “Notes”) under the Company’s Registration Statement on Form S-3 (No. 333-264493). The Notes, which will be fully and unconditionally guaranteed by the Company’s wholly-owned subsidiary Waste Management Holdings, Inc. (“WM Holdings”), will be sold pursuant to an underwriting agreement (the “Underwriting Agreement”) entered into on June 24, 2024 among the Company, WM Holdings and BNP Paribas Securities Corp., SMBC Nikko Securities America, Inc., Truist Securities, Inc. and Wells Fargo Securities, LLC, as representatives of the several underwriters named therein.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Underwriting Agreement includes the terms and conditions for the issuance and sale of the Notes, indemnification and contribution obligations and other terms and conditions customary in agreements of this type. Certain of the underwriters or their respective affiliates in the offering are dealers under the Company’s commercial paper program and may receive 5% or more of the net proceeds of this offering by reason of the repayment of amounts outstanding under the Company’s commercial paper program, which is fully supported by the Company’s $3.5 billion revolving credit facility. Certain of the underwriters or one of their respective affiliates are lenders under the Company’s $3.5 billion revolving credit facility and have, from time to time, performed, and may in the future perform, various financial advisory, investment banking, commercial services and brokerage services for the Company, for which they have received or will receive customary fees and expense reimbursements.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Underwriting Agreement is being filed as Exhibit 1.1 to this Current Report on Form 8-K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and Sale of Notes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Closing of the issuance and sale of the Notes is expected to occur on July 3, 2024, subject to satisfaction of customary closing conditions. The Notes will be issued under an indenture dated as of September 10, 1997, between the Company and The Bank of New York Mellon Trust Company, N.A. (the current successor to Texas Commerce Bank National Association), as trustee (the “Indenture”). The terms of the Notes and the guarantees by WM Holdings will be set forth with respect to each series of Notes in an officers’ certificate (each, an “Officers’ Certificate”) of the Company, delivered pursuant to the Indenture on the closing date, and guarantee agreements (each, a “Guarantee Agreement”) by WM Holdings delivered on the closing date.</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Copies of the Indenture and the forms of the Officers’ Certificates and the Guarantee Agreements are being filed as Exhibits 4.1, 4.2, 4.3, 4.6 and 4.7,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0" w:type="dxa"/>
            <w:vAlign w:val="bottom"/>
            <w:gridSpan w:val="7"/>
          </w:tcPr>
          <w:p>
            <w:pPr>
              <w:ind w:left="14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6140" w:type="dxa"/>
            <w:vAlign w:val="bottom"/>
            <w:tcBorders>
              <w:bottom w:val="single" w:sz="8" w:color="auto"/>
            </w:tcBorders>
            <w:gridSpan w:val="6"/>
          </w:tcPr>
          <w:p>
            <w:pPr>
              <w:ind w:left="8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1.</w:t>
            </w:r>
            <w:r>
              <w:rPr>
                <w:rFonts w:ascii="Times New Roman" w:cs="Times New Roman" w:eastAsia="Times New Roman" w:hAnsi="Times New Roman"/>
                <w:sz w:val="18"/>
                <w:szCs w:val="18"/>
                <w:u w:val="single" w:color="auto"/>
                <w:color w:val="0000EE"/>
                <w:w w:val="97"/>
              </w:rPr>
              <w:t>1</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Underwriting Agreement dated June 24, 2024 by and among the Company, WM Holdings and BNP Paribas Securities Corp., SMBC</w:t>
            </w:r>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Nikko Securities America, Inc., Truist Securities, Inc. and Wells Fargo Securities, LLC, as representatives of the several underwriters</w:t>
            </w:r>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named therein.</w:t>
            </w: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Indenture dated September 10, 1997 by and between the Company and The Bank of New York Mellon Trust Company, N.A. (the</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0"/>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current successor to Texas Commerce Bank National Association), as trustee, relating to senior debt securities of the Company</w:t>
              </w:r>
            </w:hyperlink>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(incorporated by reference to Exhibit 4.1 to Current Report on Form 8-K filed September 24, 1997).</w:t>
              </w:r>
            </w:hyperlink>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4.950% Senior</w:t>
            </w:r>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due 2027.</w:t>
            </w:r>
          </w:p>
        </w:tc>
        <w:tc>
          <w:tcPr>
            <w:tcW w:w="8580" w:type="dxa"/>
            <w:vAlign w:val="bottom"/>
            <w:gridSpan w:val="8"/>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Form of Officers’ Certificate delivered pursuant to Section 3.01 of the Indenture establishing the terms and form of the 4.950% Senior</w:t>
            </w:r>
          </w:p>
        </w:tc>
      </w:tr>
      <w:tr>
        <w:trPr>
          <w:trHeight w:val="196"/>
        </w:trPr>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due 2031.</w:t>
            </w:r>
          </w:p>
        </w:tc>
        <w:tc>
          <w:tcPr>
            <w:tcW w:w="8580" w:type="dxa"/>
            <w:vAlign w:val="bottom"/>
            <w:gridSpan w:val="8"/>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4</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4.950% Senior Note due 2027 (included in Exhibit 4.2 above).</w:t>
            </w:r>
          </w:p>
        </w:tc>
        <w:tc>
          <w:tcPr>
            <w:tcW w:w="4620" w:type="dxa"/>
            <w:vAlign w:val="bottom"/>
            <w:gridSpan w:val="4"/>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5</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4.950% Senior Note due 2031 (included in Exhibit 4.3 above).</w:t>
            </w:r>
          </w:p>
        </w:tc>
        <w:tc>
          <w:tcPr>
            <w:tcW w:w="4620" w:type="dxa"/>
            <w:vAlign w:val="bottom"/>
            <w:gridSpan w:val="4"/>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6</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4.950% Senior Notes due 2027.</w:t>
            </w:r>
          </w:p>
        </w:tc>
        <w:tc>
          <w:tcPr>
            <w:tcW w:w="940" w:type="dxa"/>
            <w:vAlign w:val="bottom"/>
            <w:gridSpan w:val="2"/>
          </w:tcPr>
          <w:p>
            <w:pPr>
              <w:spacing w:after="0"/>
              <w:rPr>
                <w:sz w:val="17"/>
                <w:szCs w:val="17"/>
                <w:color w:val="auto"/>
              </w:rPr>
            </w:pPr>
          </w:p>
        </w:tc>
      </w:tr>
      <w:tr>
        <w:trPr>
          <w:trHeight w:val="196"/>
        </w:trPr>
        <w:tc>
          <w:tcPr>
            <w:tcW w:w="2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7</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Guarantee Agreement by WM Holdings in favor of the holders of the Company’s 4.950% Senior Notes due 2031.</w:t>
            </w:r>
          </w:p>
        </w:tc>
        <w:tc>
          <w:tcPr>
            <w:tcW w:w="940" w:type="dxa"/>
            <w:vAlign w:val="bottom"/>
            <w:gridSpan w:val="2"/>
          </w:tcPr>
          <w:p>
            <w:pPr>
              <w:spacing w:after="0"/>
              <w:rPr>
                <w:sz w:val="17"/>
                <w:szCs w:val="17"/>
                <w:color w:val="auto"/>
              </w:rPr>
            </w:pPr>
          </w:p>
        </w:tc>
      </w:tr>
      <w:tr>
        <w:trPr>
          <w:trHeight w:val="196"/>
        </w:trPr>
        <w:tc>
          <w:tcPr>
            <w:tcW w:w="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Opinion of Baker Botts L.L.P.</w:t>
            </w:r>
          </w:p>
        </w:tc>
      </w:tr>
      <w:tr>
        <w:trPr>
          <w:trHeight w:val="20"/>
        </w:trPr>
        <w:tc>
          <w:tcPr>
            <w:tcW w:w="2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7600" w:type="dxa"/>
            <w:vAlign w:val="bottom"/>
            <w:gridSpan w:val="7"/>
          </w:tcPr>
          <w:p>
            <w:pPr>
              <w:spacing w:after="0" w:line="20" w:lineRule="exact"/>
              <w:rPr>
                <w:sz w:val="1"/>
                <w:szCs w:val="1"/>
                <w:color w:val="auto"/>
              </w:rPr>
            </w:pPr>
          </w:p>
        </w:tc>
      </w:tr>
      <w:tr>
        <w:trPr>
          <w:trHeight w:val="237"/>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97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25, 2024</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Charles C. Boettcher</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16"/>
        </w:trPr>
        <w:tc>
          <w:tcPr>
            <w:tcW w:w="35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 and Chief Legal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3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$750,000,000 4.950% Senior Notes due 2027</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$750,000,000 4.950%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June 24,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Representatives named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II hereto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BNP Paribas Securities Corp.</w:t>
      </w:r>
    </w:p>
    <w:p>
      <w:pPr>
        <w:spacing w:after="0" w:line="192" w:lineRule="auto"/>
        <w:rPr>
          <w:sz w:val="20"/>
          <w:szCs w:val="20"/>
          <w:color w:val="auto"/>
        </w:rPr>
      </w:pPr>
      <w:r>
        <w:rPr>
          <w:rFonts w:ascii="Times New Roman" w:cs="Times New Roman" w:eastAsia="Times New Roman" w:hAnsi="Times New Roman"/>
          <w:sz w:val="18"/>
          <w:szCs w:val="18"/>
          <w:color w:val="auto"/>
        </w:rPr>
        <w:t>787 7th Avenue,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277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3333 Peachtree Road NE,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 30326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Wells Fargo Securities, LLC</w:t>
      </w:r>
    </w:p>
    <w:p>
      <w:pPr>
        <w:spacing w:after="0" w:line="192" w:lineRule="auto"/>
        <w:rPr>
          <w:sz w:val="20"/>
          <w:szCs w:val="20"/>
          <w:color w:val="auto"/>
        </w:rPr>
      </w:pPr>
      <w:r>
        <w:rPr>
          <w:rFonts w:ascii="Times New Roman" w:cs="Times New Roman" w:eastAsia="Times New Roman" w:hAnsi="Times New Roman"/>
          <w:sz w:val="18"/>
          <w:szCs w:val="18"/>
          <w:color w:val="auto"/>
        </w:rPr>
        <w:t>550 South Tryon Street,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Waste Management, Inc., a corporation organized under the laws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proposes to sell to the several underwriters named in Schedule II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are acting as representatives, $750,000,000 aggregate principal amount of 4.950% Senior Notes due 2027 (the “</w:t>
      </w:r>
      <w:r>
        <w:rPr>
          <w:rFonts w:ascii="Times New Roman" w:cs="Times New Roman" w:eastAsia="Times New Roman" w:hAnsi="Times New Roman"/>
          <w:sz w:val="18"/>
          <w:szCs w:val="18"/>
          <w:u w:val="single" w:color="auto"/>
          <w:color w:val="auto"/>
        </w:rPr>
        <w:t>2027 Notes</w:t>
      </w:r>
      <w:r>
        <w:rPr>
          <w:rFonts w:ascii="Times New Roman" w:cs="Times New Roman" w:eastAsia="Times New Roman" w:hAnsi="Times New Roman"/>
          <w:sz w:val="18"/>
          <w:szCs w:val="18"/>
          <w:color w:val="auto"/>
        </w:rPr>
        <w:t>”) and $750,000,000 aggregate principal amount of 4.950% Senior Notes due 2031 (the “</w:t>
      </w:r>
      <w:r>
        <w:rPr>
          <w:rFonts w:ascii="Times New Roman" w:cs="Times New Roman" w:eastAsia="Times New Roman" w:hAnsi="Times New Roman"/>
          <w:sz w:val="18"/>
          <w:szCs w:val="18"/>
          <w:u w:val="single" w:color="auto"/>
          <w:color w:val="auto"/>
        </w:rPr>
        <w:t>2031 Notes</w:t>
      </w:r>
      <w:r>
        <w:rPr>
          <w:rFonts w:ascii="Times New Roman" w:cs="Times New Roman" w:eastAsia="Times New Roman" w:hAnsi="Times New Roman"/>
          <w:sz w:val="18"/>
          <w:szCs w:val="18"/>
          <w:color w:val="auto"/>
        </w:rPr>
        <w:t>” and, together with the 2027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issued under an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dated as of September 10, 1997, between the Company and The Bank of New York Mellon Trust Company, N.A. (as the current successor to the initial trustee, Texas Commerce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to be guaranteed on a senior unsecured basis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by Waste Management Holdings, Inc. (“</w:t>
      </w:r>
      <w:r>
        <w:rPr>
          <w:rFonts w:ascii="Times New Roman" w:cs="Times New Roman" w:eastAsia="Times New Roman" w:hAnsi="Times New Roman"/>
          <w:sz w:val="18"/>
          <w:szCs w:val="18"/>
          <w:u w:val="single" w:color="auto"/>
          <w:color w:val="auto"/>
        </w:rPr>
        <w:t>Holdings</w:t>
      </w:r>
      <w:r>
        <w:rPr>
          <w:rFonts w:ascii="Times New Roman" w:cs="Times New Roman" w:eastAsia="Times New Roman" w:hAnsi="Times New Roman"/>
          <w:sz w:val="18"/>
          <w:szCs w:val="18"/>
          <w:color w:val="auto"/>
        </w:rPr>
        <w:t>”) pursuant to guarantees (the “</w:t>
      </w:r>
      <w:r>
        <w:rPr>
          <w:rFonts w:ascii="Times New Roman" w:cs="Times New Roman" w:eastAsia="Times New Roman" w:hAnsi="Times New Roman"/>
          <w:sz w:val="18"/>
          <w:szCs w:val="18"/>
          <w:u w:val="single" w:color="auto"/>
          <w:color w:val="auto"/>
        </w:rPr>
        <w:t>Guarantee Agreements</w:t>
      </w:r>
      <w:r>
        <w:rPr>
          <w:rFonts w:ascii="Times New Roman" w:cs="Times New Roman" w:eastAsia="Times New Roman" w:hAnsi="Times New Roman"/>
          <w:sz w:val="18"/>
          <w:szCs w:val="18"/>
          <w:color w:val="auto"/>
        </w:rPr>
        <w:t>”) in favor of the holders of the Notes to be dated as of the Closing Date (as defined in Section 3 hereof). The Notes and the Guarantees are sometimes referred to herein collectively as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19 hereof.  </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At or prior to the Time of Sale, the Company had prepared the following information (the “</w:t>
      </w:r>
      <w:r>
        <w:rPr>
          <w:rFonts w:ascii="Times New Roman" w:cs="Times New Roman" w:eastAsia="Times New Roman" w:hAnsi="Times New Roman"/>
          <w:sz w:val="18"/>
          <w:szCs w:val="18"/>
          <w:u w:val="single" w:color="auto"/>
          <w:color w:val="auto"/>
        </w:rPr>
        <w:t>Time of Sale Information</w:t>
      </w:r>
      <w:r>
        <w:rPr>
          <w:rFonts w:ascii="Times New Roman" w:cs="Times New Roman" w:eastAsia="Times New Roman" w:hAnsi="Times New Roman"/>
          <w:sz w:val="18"/>
          <w:szCs w:val="18"/>
          <w:color w:val="auto"/>
        </w:rPr>
        <w:t>”): the Preliminary Prospectus and each “free-writing prospectus” (as defined pursuant to Rule 405 under the Act) listed on Annex A hereto.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Representations and Warranties</w:t>
      </w:r>
      <w:r>
        <w:rPr>
          <w:rFonts w:ascii="Times New Roman" w:cs="Times New Roman" w:eastAsia="Times New Roman" w:hAnsi="Times New Roman"/>
          <w:sz w:val="18"/>
          <w:szCs w:val="18"/>
          <w:color w:val="auto"/>
        </w:rPr>
        <w:t>. Each of the Company and Holdings represents and warrants to, and agrees with, each Underwriter as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below in this Section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Company meets the requirements for use of Form S-3 under the Act and has prepared and filed with the Commission a registration statement (File Number 333-264493) on Form S-3, including a related base prospectus, for registration under the Act of the offering and sale of the Securities. The Registration Statement is an “automatic shelf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(b)            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representations or warranties as to (i) that part of the Registration Statement which shall constitute the Statement of Eligibility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 xml:space="preserve">(c)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other than (i) any document not constituting a prospectus pursuant to Section 2(a)(10)(a) of the Act or Rule 134 under the Act, (ii) the Preliminary Prospectus, (iii) the Final Prospectus, (iv) the documents listed on Annex A hereto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The Notes have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Notes conform to the description thereof in the Registration Statement, the Time of Sale Information and the Final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            The Guarantee Agreements have been duly authorized and, when executed and delivered by Holdings against payment for the Notes in accordance with the terms thereof, will have been validly executed and delivered, and will constitute valid and binding agreements of Holdings, enforceable against Holdings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Guarantees conform to the description thereof in the Registration Statement, the Time of Sale Information and the Final Prospectus.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Each of the Company’s “significant subsidiaries” (as such term is defined in Regulation S-X under the Exchange Act)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is included in the list of subsidiaries on Exhibit 21.1 of the Annual Report on Form 10-K for the year ended December 31, 2023,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              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This Agreement has been duly and validly authorized, executed and delivered by the Company and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            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or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 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the Representatives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(o)            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            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             Neither the Company nor Holdings has distributed and, prior to the later to occur of (i) the Closing Date and (ii) completion of the distribution of the Securities, 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             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(t)              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(u)            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(v)            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            The consolidated historical financial statements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in the United States applied on a consistent basis throughout the periods involved (except as otherwise noted therein).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(x)             Ernst &amp; Young LLP, who have audited certain financial statements of the Company and its consolidated subsidiaries and delivered their report with respect to the audited consolidated financial statements included in the Registration Statement, the Time of Sale Information and the Final Prospectus, are an independent registered public accounting firm with respect to the Company within the applicable rules and regulations adopted by the Commission and the Public Company Accounting Oversight Board (United States) and as required by the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(y)            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(z)             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(aa)           Except as would not have a Material Adverse Effect, (i) the Company and each of its Subsidiaries are insured by insurers of recognized financial responsibility against such losses and risks and in such amounts as are prudent and customary in the businesses in which they are engaged; (ii) all policies of insurance insuring the Company or any of its Subsidiaries or their respective businesses, assets, employees, officers and directors are in full force and effect; (iii) the Company and its Subsidiaries are in compliance with the terms of such policies and instruments; (iv) there are no claims by the Company or any of its Subsidiaries under any such policy or instrument as to which any insurance company is denying liability or defending under a reservation of rights clause; and (v)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or incorporated by reference in the Registration Statement, the Time of Sale Information and the Final Prospectus (exclusive of any amendment or supplement thereto).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(bb)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Registration Statement, the Time of Sale Information and the Final Prospectus (exclusive of any amendment or supplement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(cc)           Except as would not have a Material Adverse Effect, the Company and its subsidiaries possess and are in compliance with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(dd)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(ee)           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(ff)            The Company and its subsidiaries (i) are in compliance with any and all applicable foreign, federal, state and local laws, regulations and requirements relating to pollution, the protection of natural resources, human health and safety, the environment or hazardous or toxic substances or wastes, solid wastes, petroleum hydrocarbons or products, pollutants or contaminants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certificates and other authorizations or approvals required of them under applicable Environmental Laws to conduct their respective businesses; and (iii) have not received notice of any actual or potential cost or liability for the investigation or remediation of any disposal or release of hazardous or toxic substances or wastes, solid wastes, petroleum hydrocarbons or products, pollutants or contaminants, except where such 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(gg)          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certificate or other authorization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(hh)          Except as would not have a Material Adverse Effect, each of the Company and its subsidiaries has fulfilled its obligations, if any, under the minimum funding standards of Section 302 of the United States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the regulations and published interpretations thereunder with respect to each “plan” (as defined in Section 3(3) of ERISA and such regulations and published interpretations) in which current or former employees of the Company and all members of its controlled group (within the meaning of Section 303(d)(1)(B) of ERISA) are or have been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(ii)            No holders of securities of the Company or Holdings have rights to the registration of such securities under the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(jj)             The principal executive officer and principal financial officer of the Company have made all certifications required by the Sarbanes-Oxley Act of 2002 and the rules and regulations promulgated in connection therewith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(kk)           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periods covered by the Company’s Annual Report on Form 10-K for the year ended December 31, 2023 and the Company’s Quarterly Report on Form 10-Q for the quarterly period ended March 31, 2024; (ii) have been evaluated for effectiveness as of the end of the periods covered by the Company’s Annual Report on Form 10-K for the year ended December 31, 2023 and the Company’s Quarterly Report on Form 10-Q for the quarterly period ended March 31, 2024 pursuant to Rule 13a-15 of the Exchange Act; and (iii) are effective to ensure that the Company is able to collect, process and disclose the information required to be disclosed in reports filed with the Commission within required time periods.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(ll)             Based on the evaluation of its disclosure controls and procedures as of the end of the periods covered by the Company’s Annual Report on Form 10-K for the year ended December 31, 2023 and the Company’s Quarterly Report on Form 10-Q for the quarterly period ended March 31, 2024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(mm)         The Company maintains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(nn)          Since March 31, 2024, there have been no significant changes in internal controls or in other factors that could significantly affect the Company’s internal controls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 xml:space="preserve">(oo)           Other than Holdings, no subsidiary of the Company has guaranteed any outstanding senior indebtedness of the Company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guarantees made in the ordinary course of business.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(pp)          The Company is not an ineligible issuer and is a well-known seasoned issuer, in each case as defined under the Act, in each case at the times specified in the Act in connection with the offering of the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(qq)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or entities of the Foreign Corrupt Practices Act of 1977, as amended, and the rules and regulations thereunder, any applicable law or regulation implementing the OECD Convention on Combating Bribery of Foreign Public Officials in International Business Transactions, the Bribery Act 2010 of the United Kingdom or any other applicable anti-bribery or anti-corruption law (collectively,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without limitation, making or taking an act in furtherance of an offer, payment, promise to pay or authorization of the payment of any money, or other property, gift, promise to give, or authorization of the giving of anything of value to any foreign or domestic government official or employee, foreign political party or official thereof or candidate for foreign political office, in contravention of the Anti-Corruption Laws. The Company, its subsidiaries and, to the knowledge of the Company, its affiliates have conducted their businesses in compliance with the Anti-Corruption Laws and have instituted and maintain policies and procedures designed to ensure, and which are reasonably expected to continue to ensure, continued compliance therewith.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(rr)            None of the Company, any of its subsidiaries or, to the knowledge of the Company, any director, officer, agent, employee or affiliate of the Company or any of its subsidiaries is currently subject to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so-called Donetsk People’s Republic and the so-called Luhansk People’s Republic of Ukraine, the Crimea region of Ukraine, the non-government controlled areas of the Kherson and the Zaporizhzhia regions of Ukraine, Russia, Cuba, Iran, North Korea and Syria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any activities of or business with any person that, at the time of such funding, is the subject or target of Sanctions, or (ii) to fund any activities of or business in any Sanctioned Country.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(ss)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(tt)            Except as would not, individually or in the aggregate, reasonably be expected to result in a Material Adverse Effect,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u w:val="single" w:color="auto"/>
          <w:color w:val="auto"/>
        </w:rPr>
        <w:t>IT Systems</w:t>
      </w:r>
      <w:r>
        <w:rPr>
          <w:rFonts w:ascii="Times New Roman" w:cs="Times New Roman" w:eastAsia="Times New Roman" w:hAnsi="Times New Roman"/>
          <w:sz w:val="17"/>
          <w:szCs w:val="17"/>
          <w:color w:val="auto"/>
        </w:rPr>
        <w:t>”) are reasonably believed by the Company to be adequate for, and operate and perform as required in connection with, the operation of the business of the Company and its subsidiaries as currently conducted. The Company and its subsidiaries have implemented, and continue to monitor and develop, commercially reasonable controls, policies, procedures, and safeguards to prevent, detect, and address the risk of unauthorized use, misuse, intrusion and similar events involving the IT Systems and data (including all personal, personally identifiable, sensitive, confidential or regulated data (“</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used in connection with their businesses. To the knowledge of the Company, there have been no breaches or unauthorized uses of or accesses to the IT Systems or Personal Data, and no such incidents are under internal investigation, that individually or in the aggregate, have, or would reasonably be expected to result in,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certificate signed by any officer of the Company or Holdings and delivered to the Representatives or counsel for the Underwriters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offering of the Securities shall be deemed a representation and warranty by the Company or Holdings, as the case may be, as to matters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thereby, to each Underwriter.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Purchase and Sale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and in reliance upon the representations and warranties herein set forth, the Company agrees to sell to each Underwriter, and each Underwriter agrees, severally and not jointly, to purchase from the Company, at a purchase price of (i) 99.629% of the principal amount of the 2027 Notes and (ii) 98.993% of the principal amount of the 2031 Notes, plus, in each case, accrued interest, if any, from July 3, 2024 to the Closing Date, the principal amount of the Notes set forth opposite such Underwriter’s name in Schedule II hereto.  </w:t>
      </w:r>
    </w:p>
    <w:p>
      <w:pPr>
        <w:spacing w:after="0" w:line="20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  </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Delivery and Payment</w:t>
      </w:r>
      <w:r>
        <w:rPr>
          <w:rFonts w:ascii="Times New Roman" w:cs="Times New Roman" w:eastAsia="Times New Roman" w:hAnsi="Times New Roman"/>
          <w:sz w:val="18"/>
          <w:szCs w:val="18"/>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  </w:t>
      </w:r>
    </w:p>
    <w:p>
      <w:pPr>
        <w:spacing w:after="0" w:line="207"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Offering by Underwriters</w:t>
      </w:r>
      <w:r>
        <w:rPr>
          <w:rFonts w:ascii="Times New Roman" w:cs="Times New Roman" w:eastAsia="Times New Roman" w:hAnsi="Times New Roman"/>
          <w:sz w:val="18"/>
          <w:szCs w:val="18"/>
          <w:color w:val="auto"/>
        </w:rPr>
        <w:t>. It is understood that the several Underwriters propose to offer the Securities for sale to the public as set forth in the Registration Statement, the Time of Sale Information and the Final Prospectus.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Agreements</w:t>
      </w:r>
      <w:r>
        <w:rPr>
          <w:rFonts w:ascii="Times New Roman" w:cs="Times New Roman" w:eastAsia="Times New Roman" w:hAnsi="Times New Roman"/>
          <w:sz w:val="18"/>
          <w:szCs w:val="18"/>
          <w:color w:val="auto"/>
        </w:rPr>
        <w:t>. The Company agrees with the several Underwriters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shall pay the registration fees for this offering within the time period required by Rule 456(b)(1)(i) under the Act (without giving effect to the proviso therein) and in any event prior to the Closing Date.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(c)            The Company will promptly advise the Representatives (i)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to the Registration Statement, or any Rule 462(b) Registration Statement, or for any supplement to the Final Prospectus or for any additional information; (iv)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(v) of the receipt by the Company of any notification with respect to the suspension of the qualification of the Securities for sale in any jurisdiction or the institution or threatening of any proceeding for such purpose; and (vi)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the Underwriters in such quantities as they may reasonably request.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under which they were made, be misleading or so that the Time of Sale Information will comply with law.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 xml:space="preserve">(h)            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The Company will not, without the prior written consent of the Representatives,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the Closing Date.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(j)              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(k)            The Company will, pursuant to reasonable procedures developed in good faith, retain copies of each Issuer Free Writing Prospectus that is not filed with the Commission in accordance with Rule 433 under the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Certain Agreements of the Underwriters</w:t>
      </w:r>
      <w:r>
        <w:rPr>
          <w:rFonts w:ascii="Times New Roman" w:cs="Times New Roman" w:eastAsia="Times New Roman" w:hAnsi="Times New Roman"/>
          <w:sz w:val="18"/>
          <w:szCs w:val="18"/>
          <w:color w:val="auto"/>
        </w:rPr>
        <w:t>. Each Underwriter hereby represents and agrees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under the Act, (ii) any Issuer Free Writing Prospectus listed on Annex A or prepared pursuant to Section 1(d) or Section 5(b) above (including any electronic road show), or (iii) any free writing prospectus prepared by such Underwriter and approved by the Company in advance in writing. Notwithstanding the foregoing, the Underwriters may use a term sheet substantially in the form of Schedule I hereto without the consent of the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It is not subject to any pending proceeding under Section 8A of the Act with respect to the offering of the Securities (and will promptly notify the Company if any such proceeding against it is initiated during the Prospectus Delivery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Conditions to the Obligations of the Underwriters</w:t>
      </w:r>
      <w:r>
        <w:rPr>
          <w:rFonts w:ascii="Times New Roman" w:cs="Times New Roman" w:eastAsia="Times New Roman" w:hAnsi="Times New Roman"/>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  </w:t>
      </w:r>
    </w:p>
    <w:p>
      <w:pPr>
        <w:spacing w:after="0" w:line="20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 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Company shall have requested and caused Baker Botts L.L.P., counsel for the Company and Holdings, to have furnished to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Representatives their opinion, dated the Closing Date and addressed to the Representatives, to the effect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           this Agreement has been duly authorized, executed and delivered by the Company and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each of the global certificates representing the Notes is in a form authorized by the Indenture, the Notes have been duly authorized by the Company and, assuming the global certificates representing the Notes have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          the Guarantee Agreements have been duly authorized, executed and delivered by Holdings and, assuming the global certificates representing the Notes have been authenticated and delivered by the Trustee in the manner provided for in the Indenture and delivered against payment of the consideration therefor as specified in this Agreement, the Guarantee Agreements constitute valid and binding agreements of Holdings, enforceable against Holdings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the Indenture has been duly qualified under the Trust Indenture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         the Securities and the Indenture conform as to legal matters in all material respects to the descriptions thereof contained in the Registration Statement, the Time of Sale Information and the Final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(viii)        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(ix)           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           the execution and delivery of this Agreement, the consummation of the transactions contemplated by this Agreement and compliance with the terms of this Agreement and the Indenture do not and will not conflict with or result in a breach of any of the terms or provisions of, or constitute a default under, the charter or by-laws of the Company or Holdings, or the express terms of any agreement set forth on Annex B hereto (the “</w:t>
      </w:r>
      <w:r>
        <w:rPr>
          <w:rFonts w:ascii="Times New Roman" w:cs="Times New Roman" w:eastAsia="Times New Roman" w:hAnsi="Times New Roman"/>
          <w:sz w:val="18"/>
          <w:szCs w:val="18"/>
          <w:u w:val="single" w:color="auto"/>
          <w:color w:val="auto"/>
        </w:rPr>
        <w:t>Reviewed Agreements</w:t>
      </w:r>
      <w:r>
        <w:rPr>
          <w:rFonts w:ascii="Times New Roman" w:cs="Times New Roman" w:eastAsia="Times New Roman" w:hAnsi="Times New Roman"/>
          <w:sz w:val="18"/>
          <w:szCs w:val="18"/>
          <w:color w:val="auto"/>
        </w:rPr>
        <w:t>”), or any existing applicable laws, rule or regulation (excluding any state securities or state or federal anti-fraud law, rule or regulation);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(xi)           the statements set forth in the Preliminary Prospectus and the Final Prospectus under the heading “Certain U.S. Federal Tax Considerations for Non-U.S. Holders,” insofar as such statements purport to constitute a summary of matters of United States federal income tax law and regulations or legal conclusions with respect thereto, accurately summarize the matters described therein in all material respects, subject to the assumptions and qualifications set forth therein;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(xii)          neither the Company nor Holdings is an “investment company” or an entity “controlled” by an “investment company,” as such terms are defined in the 1940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In addition, such counsel shall state that they have reviewed the Registration Statement, the Time of Sale Information and the Final Prospectus and have participated in conferences with officers and other representatives of the Company, with representatives of the Company’s independent registered public accounting firm and with the Underwriters and counsel to the Underwriters, at which the contents of the Registration Statement, the Time of Sale Information, the Final Prospectus and related matters were discussed, and although the purpose of such counsel’s professional engagement was not to establish or confirm factual matters set forth in the Registration Statement, the Time of Sale Information or the Final Prospectus, and such counsel has not undertaken to verify independently any of the factual matters in such documents, and although many of the determinations required to be made in the preparation of the Registration Statement, the Time of Sale Information and the Final Prospectus involve matters of a non-legal nature and, accordingly, such counsel is not passing upon, and does not assume any responsibility for, the accuracy, completeness or fairness of the statements contained or included in the Registration Statement, the Time of Sale Information and the Final Prospectus (except to the extent stated in paragraphs (vii) and (xi) above), subject to the foregoing and on the basis of the information such counsel gained in the course of performing the services referred to above, such counsel shall advise that (a) the Registration Statement, as of the latest Effective Date, the Time of Sale Information, as of the Time of Sale, and the Final Prospectus, as of its date and the Closing Date, appear on their face to be appropriately responsive in all material respects to the requirements of the Act and the rules and regulations of the Commission thereunder; and (b) nothing came to such counsel’s attention that caused such counsel to believe that (1) the Registration Statement, as of the latest Effective Date, contained an untrue statement of a material fact or omitted to state a material fact required to be stated therein or necessary to make the statements therein not misleading; (2) the Time of Sale Information, as of the Time of Sale, included an untrue statement of a material fact or omitted to state a material fact necessary in order to make the statements therein, in the light of the circumstances under which they were made, not misleading; or (3) the Final Prospectus, as of its date or as of the Closing Date, included or includes an untrue statement of a material fact or omitted or omits to state a material fact necessary in order to make the statements therein, in the light of the circumstances under which they were made, not misleading; it being understood that in each case such counsel has not been asked to, and does not, express any belief with respect to (x) the financial statements or other financial or accounting information contained or included or incorporated by reference therein or omitted therefrom, (y) representations and warranties and other statements of fact contained in the exhibits to the Registration Statement or to documents incorporated by reference therein or (z) that part of the Registration Statement that constitutes the Trustee’s Statement of Eligibility on Form 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In rendering such opinions, such counsel may (A) state that the opinions are limited in all respects to matters of the contract law of the State of New York, the General Corporation Law of the State of Delaware and applicable federal laws of the United States, each as in effect on the Closing Date, and (B) rely, as to matters of fact, to the extent they deem proper, on certificates of responsible officers of the Company and public officials. References to the Final Prospectus in this paragraph (b) include any supplements thereto at the Closing Date.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(c)            Courtney A. Tippy, General Counsel – Securities &amp; Governance and Corporate Secretary of the Company, shall have furnished to the Representatives her opinion, dated the Closing Date and addressed to the Representatives, to the effect that: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were issued in violation of the preemptive or similar rights of any security holder thereof;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 documents incorporated by reference in the Registration Statement, the Time of Sale Information and the Final Prospectus (other than the financial statements and other financial data included therein or omitted therefrom, as to which such counsel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65" w:lineRule="auto"/>
        <w:rPr>
          <w:sz w:val="20"/>
          <w:szCs w:val="20"/>
          <w:color w:val="auto"/>
        </w:rPr>
      </w:pPr>
      <w:r>
        <w:rPr>
          <w:rFonts w:ascii="Times New Roman" w:cs="Times New Roman" w:eastAsia="Times New Roman" w:hAnsi="Times New Roman"/>
          <w:sz w:val="17"/>
          <w:szCs w:val="17"/>
          <w:color w:val="auto"/>
        </w:rPr>
        <w:t>(iii)           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such counsel does not know of any statutes or regulations or any pending or threatened legal or governmental proceedings required to be 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 as exhibits to the Registration Statement which are not described and filed or incorporated as required;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right="20" w:firstLine="648"/>
        <w:spacing w:after="0" w:line="250" w:lineRule="auto"/>
        <w:rPr>
          <w:sz w:val="20"/>
          <w:szCs w:val="20"/>
          <w:color w:val="auto"/>
        </w:rPr>
      </w:pPr>
      <w:r>
        <w:rPr>
          <w:rFonts w:ascii="Times New Roman" w:cs="Times New Roman" w:eastAsia="Times New Roman" w:hAnsi="Times New Roman"/>
          <w:sz w:val="18"/>
          <w:szCs w:val="18"/>
          <w:color w:val="auto"/>
        </w:rPr>
        <w:t>(v)           such counsel does not know of any holders of securities of the Company or Holdings that have rights to the registration of such securities under the Registration Statement;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(vi)          the execution and delivery of this Agreement, the Notes, the Guarantee Agreements and the execution and performance of the Indenture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 the consummation of the transactions contemplated in the Operative Agreements and compliance with the terms of the Operative Agreements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(d)           The Representatives shall have received from Gibson, Dunn &amp; Crutcher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(e)            Each of the Company and Holdings shall have furnished to the Representatives a certificate, signed by the General Counsel – Securities &amp; Governance and Corporate Secretary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in the case of Holdings, the representations and warranties of Holdings in this Agreement are true and correct on and as of the Closing Date with the same effect as if made on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in the case of the Company, 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no stop order suspending the effectiveness of the Registration Statement has been issued and no proceedings for that purpose have been instituted or, to the Company’s knowledge, threatened;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(iv)          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(f)            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            in their opinion the audited financial statements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           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the information included or incorporated by reference in the Company’s Annual Report on Form 10-K for the year ended December 31, 2023, and the Company’s Quarterly Report on Form 10-Q for the quarterly period ended March 31, 2024, incorporated by reference in the Registration Statement, the Time of Sale 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 and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firstLine="648"/>
        <w:spacing w:after="0" w:line="250" w:lineRule="auto"/>
        <w:rPr>
          <w:sz w:val="20"/>
          <w:szCs w:val="20"/>
          <w:color w:val="auto"/>
        </w:rPr>
      </w:pPr>
      <w:r>
        <w:rPr>
          <w:rFonts w:ascii="Times New Roman" w:cs="Times New Roman" w:eastAsia="Times New Roman" w:hAnsi="Times New Roman"/>
          <w:sz w:val="18"/>
          <w:szCs w:val="18"/>
          <w:color w:val="auto"/>
        </w:rPr>
        <w:t>(iii)          they have inquired of certain officials of the Company who have responsibility for financial and accounting matters as to whether: (A) at June 21, 2024 there was any change in the capital stock, increase in long-term indebtedness or any decreases in consolidated net current assets or in total equity of the Company as compared with the amounts shown on the March 31, 2024 unaudited consolidated balance sheet incorporated by reference in the Registration Statement; or (B) for the period from April 1, 2024 to June 21, 2024 there were any decreases, as compared with the corresponding period in the preceding year, in consolidated operating revenues or in the total or per-share amounts of consolidated net income attributable to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(g)           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65" w:lineRule="auto"/>
        <w:rPr>
          <w:sz w:val="20"/>
          <w:szCs w:val="20"/>
          <w:color w:val="auto"/>
        </w:rPr>
      </w:pPr>
      <w:r>
        <w:rPr>
          <w:rFonts w:ascii="Times New Roman" w:cs="Times New Roman" w:eastAsia="Times New Roman" w:hAnsi="Times New Roman"/>
          <w:sz w:val="17"/>
          <w:szCs w:val="17"/>
          <w:color w:val="auto"/>
        </w:rPr>
        <w:t>(h)           Subsequent to the Time of Sale, there shall not have been any decrease in the rating of any of the Company’s debt securities by any “nationally recognized statistical rating organization” (as defined in Section 3(a)(62) under the Exchange Act) or any notice given of any intended or potential decrease in any such rating or of a possible change in any such rating that does not indicate the direction of the possible change.</w:t>
      </w: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(i)            Prior to the Closing Date, the Company and Holdings shall have furnished to the Representatives such further information, certificates and documents as the Representatives may reasonably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any of the conditions specified in this Section 7 shall not have been fulfilled in all material respects when and as provided in this Agreement,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opinions and certificates mentioned above or elsewhere in this Agreement shall not be in all material respects reasonably satisfactory in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substance to the Representatives and counsel for the Underwriters, this Agreement and all obligations of the Underwriters hereunder may be canceled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or at any time prior to, the Closing Date by the Representatives. Notice of such cancellation shall be given to the Company in writing or by telephone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in 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The documents required to be delivered by this Section 7 shall be delivered at the office of Baker Botts L.L.P., counsel for the Company and Holdings, at 910 Louisiana Street, Houston, Texas 77002, on the Closing Date.  </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Reimbursement of Underwriters’ Expenses</w:t>
      </w:r>
      <w:r>
        <w:rPr>
          <w:rFonts w:ascii="Times New Roman" w:cs="Times New Roman" w:eastAsia="Times New Roman" w:hAnsi="Times New Roman"/>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out-of-pocket expenses (including reasonable fees and disbursements of counsel) that shall have been incurred by them in connection with the proposed purchase and sale of the Securities.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9.          </w:t>
      </w:r>
      <w:r>
        <w:rPr>
          <w:rFonts w:ascii="Times New Roman" w:cs="Times New Roman" w:eastAsia="Times New Roman" w:hAnsi="Times New Roman"/>
          <w:sz w:val="17"/>
          <w:szCs w:val="17"/>
          <w:u w:val="single" w:color="auto"/>
          <w:color w:val="auto"/>
        </w:rPr>
        <w:t>  Indemnification and Contribution</w:t>
      </w:r>
      <w:r>
        <w:rPr>
          <w:rFonts w:ascii="Times New Roman" w:cs="Times New Roman" w:eastAsia="Times New Roman" w:hAnsi="Times New Roman"/>
          <w:sz w:val="17"/>
          <w:szCs w:val="17"/>
          <w:color w:val="auto"/>
        </w:rPr>
        <w:t>. (a) Each of the Company and Holdings, jointly and severally, agrees to indemnify and hold harmless each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the directors, officers, employees, affiliates and agents of each Underwriter and each person who controls any Underwriter within the meaning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either the Act or the Exchange Act against any and all losses, claims, damages or liabilities, joint or several, to which they or any of them may become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under the Act, the Exchange Act or other Federal or state statutory law or regulation, at common law or otherwise, insofar as such losses,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or liabilities (or actions in respect thereof) (i) arise out of or are based upon any untrue statement or alleged untrue statement of a material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in the Registration Statement or in any amendment thereof, or arise out of or are based upon the omission or alleged omission to state therein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fact required to be stated therein or necessary to make the statements therein not misleading or (ii) arise out of or are based upon any untrue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or alleged untrue statement of a material fact contained in the Final Prospectus (or any amendment or supplement thereto), any Issuer Free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Writing Prospectus or the Time of Sale Information, or arise out of or are based upon any omission or alleged omission to state therein a material fact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in order to make the statements therein, in the light of the circumstances under which they were made, not misleading, and agrees to reimburse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such indemnified party, as incurred, for any legal or other expenses reasonably incurred by them in connection with investigating or defending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neither the Company nor Holdings will be liable in any such case to the extent that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loss, claim, damage or liability arises out of or is based upon any such untrue statement or alleged untrue statement or omission or alleged omission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therein in reliance upon and in conformity with written information furnished to the Company by or on behalf of any Underwriter through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Representatives specifically for inclusion therein. This indemnity agreement will be in addition to any liability that the Company or Holdings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Underwriter, severally and not jointly, agrees to indemnify and hold harmless the Company and Holdings, each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directors, each of their respective officers who signs the Registration Statement, and each person who controls either the Company or Holdings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meaning of either the Act or the Exchange Act, to the same extent as the foregoing indemnity from the Company or Holdings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 (the “</w:t>
      </w:r>
      <w:r>
        <w:rPr>
          <w:rFonts w:ascii="Times New Roman" w:cs="Times New Roman" w:eastAsia="Times New Roman" w:hAnsi="Times New Roman"/>
          <w:sz w:val="18"/>
          <w:szCs w:val="18"/>
          <w:u w:val="single" w:color="auto"/>
          <w:color w:val="auto"/>
        </w:rPr>
        <w:t>Foregoing Indemnity</w:t>
      </w:r>
      <w:r>
        <w:rPr>
          <w:rFonts w:ascii="Times New Roman" w:cs="Times New Roman" w:eastAsia="Times New Roman" w:hAnsi="Times New Roman"/>
          <w:sz w:val="18"/>
          <w:szCs w:val="18"/>
          <w:color w:val="auto"/>
        </w:rPr>
        <w:t>”), but only with reference to written information relating to such Underwriter furnished to the Company by or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such Underwriter through the Representatives specifically for inclusion in the documents referred to in the Foregoing Indemnity. This indemnity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will be in addition to any liability which any Underwriter may otherwise have. Each of the Company and Holdings acknowledges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statements set forth in the Time of Sale Information and the Final Prospectus constitute the only information furnished in writing by or on behalf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several Underwriters for inclusion in the documents referred to in the Foregoing Indemnity: (i) the statements in the last paragraph of the cover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regarding delivery of the Securities and (ii) (A) the list of Underwriters and their respective participation in the sale of the Securities, (B) the sentences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concessions and reallowances, and (C) the paragraphs related to stabilization, syndicate covering transactions and penalty bids, in each case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heading “Underwriting (Conflicts of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18"/>
          <w:szCs w:val="18"/>
          <w:color w:val="auto"/>
        </w:rPr>
        <w:t xml:space="preserve">(c)            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  </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(d)           In the event that the indemnity provided in paragraph (a) or (b) of this Section 9 is unavailable to or insufficient to hold harmless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indemnified party for any reason, the Company, Holdings and the Underwriters severally agree to contribute to the aggregate losses, claims, damages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(including legal or other expenses reasonably incurred in connection with investigating or defending the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to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Holdings and one or more of the Underwriters may be subject in such proportion as is appropriate to reflect the relative benefits received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and Holdings on the one hand and by the Underwriters on the other from the offering of the Securities;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case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any Underwriter (except as may be provided in any agreement among underwriters relating to the offering of the Securities) be responsible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in excess of the underwriting discount or commission applicable to the Securities purchased by such Underwriter hereunder. If the allocation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the immediately preceding sentence is unavailable for any reason, the Company, Holdings and the Underwriters severally shall contribute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proportion as is appropriate to reflect not only such relative benefits but also the relative fault of the Company and Holdings on the one hand and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on the other in connection with the statements or omissions which resulted in such Losses as well as any other relevant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 Benefits received by the Company and Holdings shall be deemed to be equal to the total net proceeds from the offering (before deducting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received by the Company, and benefits received by the Underwriters shall be deemed to be equal to the total underwriting discounts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in each case as set forth on the cover page of the Final Prospectus. Relative fault shall be determined by reference to, among other things,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any untrue or any alleged untrue statement of a material fact or the omission or alleged omission to state a material fact relates to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by the Company and Holdings on the one hand or the Underwriters on the other, the intent of the parties and their relative knowledge, access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and opportunity to correct or prevent such untrue statement or omission. The Company, Holdings and the Underwriters agree that it would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just and equitable if contribution were determined by pro rata allocation or any other method of allocation which does not take account of the equitable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considerations referred to above. Notwithstanding the provisions of this paragraph (d), no person guilty of fraudulent misrepresentation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of Section 11(f) of the Act) shall be entitled to contribution from any person who was not guilty of such fraudulent misrepresentation.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obligations in this paragraph (d) to contribute are several in proportion to their respective underwriting obligations and not joint.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this Section 9, each person who controls an Underwriter within the meaning of either the Act or the Exchange Act and each director,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and agent of an Underwriter shall have the same rights to contribution as such Underwriter, and each person who controls the Company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Holdings within the meaning of either the Act or the Exchange Act, each officer of the Company or Holdings who shall have signed the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and each director of the Company or Holdings shall have the same rights to contribution as the Company or Holdings, subject in each case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terms and conditions of this paragraph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Default by an Underwriter</w:t>
      </w:r>
      <w:r>
        <w:rPr>
          <w:rFonts w:ascii="Times New Roman" w:cs="Times New Roman" w:eastAsia="Times New Roman" w:hAnsi="Times New Roman"/>
          <w:sz w:val="18"/>
          <w:szCs w:val="18"/>
          <w:color w:val="auto"/>
        </w:rPr>
        <w:t>. If any one or more Underwriters shall fail to purchase and pay for any of the Securities agreed to be purchased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such Underwriter or Underwriters hereunder and such failure to purchase shall constitute a default in the performance of its or their obligations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the remaining Underwriters shall be obligated severally to take up and pay for (in the respective proportions which the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set forth opposite their names in Schedule II hereto bears to the aggregate principal amount of Notes set forth opposite the names of all the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Underwriters) the Securities which the defaulting Underwriter or Underwriters agreed but failed to purchase;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Notes which the defaulting Underwriter or Underwriters agreed but failed to purchase shall exceed 10% of the aggregate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Notes set forth in Schedule II hereto, the remaining Underwriters shall have the right to purchase all, but shall not be under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 to purchase any, of the Securities, and if such nondefaulting Underwriters do not purchase all the Securities, this Agreement will terminate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liability to any nondefaulting Underwriter, the Company or Holdings. In the event of a default by any Underwriter as set forth in this Section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 shall be postponed for such period, not exceeding five Business Days, as the Representatives shall determine in order that the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Registration Statement, the Time of Sale Information and the Final Prospectus or in any other documents or arrangements may be effected.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Nothing contained in this Agreement shall relieve any defaulting Underwriter of its liability, if any, to the Company and any nondefaulting Underwriter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damages occasioned by its default 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shall have occurred,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u w:val="single" w:color="auto"/>
          <w:color w:val="auto"/>
        </w:rPr>
        <w:t>  Representations and Indemnities to Survive</w:t>
      </w:r>
      <w:r>
        <w:rPr>
          <w:rFonts w:ascii="Times New Roman" w:cs="Times New Roman" w:eastAsia="Times New Roman" w:hAnsi="Times New Roman"/>
          <w:sz w:val="17"/>
          <w:szCs w:val="17"/>
          <w:color w:val="auto"/>
        </w:rPr>
        <w:t>. The respective agreements, representations, warranties, indemnities and other statements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Holdings or their respective officers and of the Underwriters set forth in or made pursuant to this Agreement will remain in full force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regardless of any investigation made by or on behalf of any Underwriter, the Company or Holdings or any of the officers, directors,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or controlling persons referred to in Section 9 hereof, and will survive delivery of and payment for the Securities. The provisions of Sections 8 and 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 shall survive the termination or cancellation of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All communications hereunder will be in writing and effective only on receipt, and, if sent to the Representatives, will be mailed, delivered or telefaxed to: (i) BNP Paribas Securities Corp., 787 7th Avenue,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 New York, New York 10019, Attention: Debt Syndicate, email: DL.US.Syndicate.Support@us.bnpparibas.com or campbell.andersen@us.bnpparibas.com; (ii) SMBC Nikko Securities America, Inc., 277 Park Avenue, New York, New York 10172, Attention: Debt Capital Markets; (iii) Truist Securities, Inc., 3333 Peachtree Road NE, 11th Floor, Atlanta, Georgia 30326; or (iv) Wells Fargo Securities, LLC, 550 South Tryon Street, 5th Floor, Charlotte, North Carolina 28202, Attention: Transaction Management, email: tmgcapitalmarkets@wellsfargo.com; or, if sent to the Company or Holdings, will be mailed or delivered to Waste Management, Inc., 800 Capitol Street, Suite 3000, Houston, Texas 77002, Attn: Leslie K. Nagy, Vice President and Treasurer, Email: lnagy@wm.com and GCLegal@wm.com.  </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directors, employees, agents and controlling persons referred to in Section 9 hereof, and no other person will have any right or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contracts made and to be performed within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Recognition of the U.S. Special Resolution Regimes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For purposes of this Section 16, the following definitions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 “covered entity” as that term is defined in, and interpreted in accordance with, 12 C.F.R. § 252.82(b);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 “covered bank” as that term is defined in, and interpreted in accordance with, 12 C.F.R. § 47.3(b);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a “covered FSI” as that term is defined in, and interpreted in accordance with, 12 C.F.R. § 382.2(b).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(A) the Federal Deposit Insurance Act and the regulations promulgated thereunder and (B) Title II of the Dodd-Frank Wall Street Reform and Consumer Protection Act and the regulations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Counterparts</w:t>
      </w:r>
      <w:r>
        <w:rPr>
          <w:rFonts w:ascii="Times New Roman" w:cs="Times New Roman" w:eastAsia="Times New Roman" w:hAnsi="Times New Roman"/>
          <w:sz w:val="18"/>
          <w:szCs w:val="18"/>
          <w:color w:val="auto"/>
        </w:rPr>
        <w:t>. This Agreement may be signed in one or more counterparts, each of which shall constitute an original and all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shall constitute one and the same agreement. The words “execution,” “signed,” “signature,” and words of like import in this Agreement or in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agreements, certificates, legal opinions, negative assurance letters or other documents entered into or delivered pursuant to or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this Agreement or the Indenture shall include images of manually executed signatures transmitted by facsimile or other electronic format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limitation, “pdf”, “tif” or “jpg”) and other electronic signatures (including, without limitation, DocuSign and AdobeSign). The use of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and electronic records (including, without limitation, any contract or other record created, generated, sent, communicated, received, or stored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means) shall be of the same legal effect, validity and enforceability as a manually executed signature or use of a paper-based record-keeping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 to the fullest extent permitted by applicable law, including the Federal Electronic Signatures in Global and National Commerce Act, the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Electronic Signatures and Records Act and any other applicable law, including, without limitation, any state law based on the Uniform Electronic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Act or the Uniform Commercial Code.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section headings used herein are for convenience only and shall not affect the construction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The terms that follow, when used in this Agreement, shall have the meanings indicated.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as amended.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 person that directly, or indirectly through one or more intermediaries, controls or is controlled by, or is under common control with, the person specified.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shall mean the prospectus referred to in Section 1(a) above contained in the Registration Statement at the Effective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 or Houston, Texas.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shall mean the prospectus supplement relating to the Securities that was first filed with the Commission pursuant to Rule 424(b) after the Time of Sale, together with the Base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shall mean the preliminary prospectus supplement relating to the Securities dated June 24, 2024 that was filed with the Commission pursuant to Rule 424(b) prior to the Time of Sale, together with the Base Prospectus.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the registration statement referred to in Section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462</w:t>
      </w:r>
      <w:r>
        <w:rPr>
          <w:rFonts w:ascii="Times New Roman" w:cs="Times New Roman" w:eastAsia="Times New Roman" w:hAnsi="Times New Roman"/>
          <w:sz w:val="18"/>
          <w:szCs w:val="18"/>
          <w:color w:val="auto"/>
        </w:rPr>
        <w:t>” refer to such rules under the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430 Information</w:t>
      </w:r>
      <w:r>
        <w:rPr>
          <w:rFonts w:ascii="Times New Roman" w:cs="Times New Roman" w:eastAsia="Times New Roman" w:hAnsi="Times New Roman"/>
          <w:sz w:val="18"/>
          <w:szCs w:val="18"/>
          <w:color w:val="auto"/>
        </w:rPr>
        <w:t>”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462(b) Registration Statement</w:t>
      </w:r>
      <w:r>
        <w:rPr>
          <w:rFonts w:ascii="Times New Roman" w:cs="Times New Roman" w:eastAsia="Times New Roman" w:hAnsi="Times New Roman"/>
          <w:sz w:val="18"/>
          <w:szCs w:val="18"/>
          <w:color w:val="auto"/>
        </w:rPr>
        <w:t>” shall mean a registration statement and any amendments thereto filed pursuant to Rule 462(b) relating to the offering covered by the registration statement referred to in Section 1(a)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shall mean 3:45 P.M. New York City time on June 24, 2024, the time when sales of the Securities were first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20.          </w:t>
      </w:r>
      <w:r>
        <w:rPr>
          <w:rFonts w:ascii="Times New Roman" w:cs="Times New Roman" w:eastAsia="Times New Roman" w:hAnsi="Times New Roman"/>
          <w:sz w:val="17"/>
          <w:szCs w:val="17"/>
          <w:u w:val="single" w:color="auto"/>
          <w:color w:val="auto"/>
        </w:rPr>
        <w:t>  Miscellaneous</w:t>
      </w:r>
      <w:r>
        <w:rPr>
          <w:rFonts w:ascii="Times New Roman" w:cs="Times New Roman" w:eastAsia="Times New Roman" w:hAnsi="Times New Roman"/>
          <w:sz w:val="17"/>
          <w:szCs w:val="17"/>
          <w:color w:val="auto"/>
        </w:rPr>
        <w:t>. In accordance with the requirements of the USA Patriot Act (Title III of Pub. L. 107-56 (signed into law October 26, 2001)),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Underwriters are required to obtain, verify and record information that identifies their respective clients, including the Company, which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include the name and address of their respective clients, as well as other information that will allow the Underwriters to properly identify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tbl>
      <w:tblPr>
        <w:tblLayout w:type="fixed"/>
        <w:tblInd w:w="0" w:type="dxa"/>
        <w:tblCellMar>
          <w:top w:w="0" w:type="dxa"/>
          <w:left w:w="0" w:type="dxa"/>
          <w:bottom w:w="0" w:type="dxa"/>
          <w:right w:w="0" w:type="dxa"/>
        </w:tblCellMar>
      </w:tblPr>
      <w:tr>
        <w:trPr>
          <w:trHeight w:val="198"/>
        </w:trPr>
        <w:tc>
          <w:tcPr>
            <w:tcW w:w="284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Leslie K. Nagy</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Leslie K. Nagy</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WASTE MANAGEMENT HOLDINGS, INC.</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0" w:type="dxa"/>
            <w:vAlign w:val="bottom"/>
            <w:gridSpan w:val="3"/>
          </w:tcPr>
          <w:p>
            <w:pPr>
              <w:ind w:left="2800"/>
              <w:spacing w:after="0"/>
              <w:rPr>
                <w:sz w:val="20"/>
                <w:szCs w:val="20"/>
                <w:color w:val="auto"/>
              </w:rPr>
            </w:pPr>
            <w:r>
              <w:rPr>
                <w:rFonts w:ascii="Times New Roman" w:cs="Times New Roman" w:eastAsia="Times New Roman" w:hAnsi="Times New Roman"/>
                <w:sz w:val="18"/>
                <w:szCs w:val="18"/>
                <w:color w:val="auto"/>
              </w:rPr>
              <w:t>By: /s/ Leslie K. Nagy</w:t>
            </w:r>
          </w:p>
        </w:tc>
      </w:tr>
      <w:tr>
        <w:trPr>
          <w:trHeight w:val="191"/>
        </w:trPr>
        <w:tc>
          <w:tcPr>
            <w:tcW w:w="2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Leslie K. Nagy</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ind w:left="28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0" w:type="dxa"/>
            <w:vAlign w:val="bottom"/>
          </w:tcPr>
          <w:p>
            <w:pPr>
              <w:spacing w:after="0"/>
              <w:rPr>
                <w:sz w:val="20"/>
                <w:szCs w:val="20"/>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foregoing Agreement is hereby</w:t>
            </w: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confirmed and accepted as of the date</w:t>
            </w:r>
          </w:p>
        </w:tc>
        <w:tc>
          <w:tcPr>
            <w:tcW w:w="40" w:type="dxa"/>
            <w:vAlign w:val="bottom"/>
          </w:tcPr>
          <w:p>
            <w:pPr>
              <w:spacing w:after="0"/>
              <w:rPr>
                <w:sz w:val="18"/>
                <w:szCs w:val="18"/>
                <w:color w:val="auto"/>
              </w:rPr>
            </w:pPr>
          </w:p>
        </w:tc>
      </w:tr>
      <w:tr>
        <w:trPr>
          <w:trHeight w:val="22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set forth above.</w:t>
            </w:r>
          </w:p>
        </w:tc>
        <w:tc>
          <w:tcPr>
            <w:tcW w:w="40" w:type="dxa"/>
            <w:vAlign w:val="bottom"/>
          </w:tcPr>
          <w:p>
            <w:pPr>
              <w:spacing w:after="0"/>
              <w:rPr>
                <w:sz w:val="19"/>
                <w:szCs w:val="19"/>
                <w:color w:val="auto"/>
              </w:rPr>
            </w:pP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BNP PARIBAS SECURITIES CORP.</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B. Campbell Andersen</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B. Campbell Andersen</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SMBC NIKKO SECURITIES AMERICA, INC.</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Thomas Bausand</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Thomas Bausand</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TRUIST SECURITIES, INC.</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Robert Nordlinger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Robert Nordlinger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WELLS FARGO SECURITIES, LLC</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16"/>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Carolyn Hurley</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191"/>
        </w:trPr>
        <w:tc>
          <w:tcPr>
            <w:tcW w:w="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Name: Carolyn Hurley</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Managing Director</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the other several Underwriters,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named in Schedule II to the foregoing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2959"/>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gridSpan w:val="2"/>
            <w:vMerge w:val="restart"/>
          </w:tcPr>
          <w:p>
            <w:pPr>
              <w:jc w:val="center"/>
              <w:ind w:right="321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216"/>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6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c>
          <w:tcPr>
            <w:tcW w:w="0" w:type="dxa"/>
            <w:vAlign w:val="bottom"/>
          </w:tcPr>
          <w:p>
            <w:pPr>
              <w:spacing w:after="0"/>
              <w:rPr>
                <w:sz w:val="1"/>
                <w:szCs w:val="1"/>
                <w:color w:val="auto"/>
              </w:rPr>
            </w:pPr>
          </w:p>
        </w:tc>
      </w:tr>
      <w:tr>
        <w:trPr>
          <w:trHeight w:val="198"/>
        </w:trPr>
        <w:tc>
          <w:tcPr>
            <w:tcW w:w="3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June 24, 2024 relating to the</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Preliminary Prospectus Supplement dated June 24, 2024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 Prospectus dated April 26, 2022</w:t>
            </w:r>
          </w:p>
        </w:tc>
        <w:tc>
          <w:tcPr>
            <w:tcW w:w="0" w:type="dxa"/>
            <w:vAlign w:val="bottom"/>
          </w:tcPr>
          <w:p>
            <w:pPr>
              <w:spacing w:after="0"/>
              <w:rPr>
                <w:sz w:val="1"/>
                <w:szCs w:val="1"/>
                <w:color w:val="auto"/>
              </w:rPr>
            </w:pPr>
          </w:p>
        </w:tc>
      </w:tr>
      <w:tr>
        <w:trPr>
          <w:trHeight w:val="234"/>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spacing w:after="0"/>
              <w:rPr>
                <w:sz w:val="20"/>
                <w:szCs w:val="20"/>
                <w:color w:val="auto"/>
              </w:rPr>
            </w:pP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333-264493</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7920" w:type="dxa"/>
            <w:vAlign w:val="bottom"/>
            <w:gridSpan w:val="2"/>
            <w:vMerge w:val="restart"/>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8"/>
              </w:rPr>
              <w:t>Pricing Term Sheet</w:t>
            </w:r>
          </w:p>
        </w:tc>
        <w:tc>
          <w:tcPr>
            <w:tcW w:w="0" w:type="dxa"/>
            <w:vAlign w:val="bottom"/>
          </w:tcPr>
          <w:p>
            <w:pPr>
              <w:spacing w:after="0"/>
              <w:rPr>
                <w:sz w:val="1"/>
                <w:szCs w:val="1"/>
                <w:color w:val="auto"/>
              </w:rPr>
            </w:pPr>
          </w:p>
        </w:tc>
      </w:tr>
      <w:tr>
        <w:trPr>
          <w:trHeight w:val="216"/>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7920" w:type="dxa"/>
            <w:vAlign w:val="bottom"/>
            <w:gridSpan w:val="2"/>
            <w:vMerge w:val="restart"/>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4.950% Senior Notes due 2027</w:t>
            </w:r>
          </w:p>
        </w:tc>
        <w:tc>
          <w:tcPr>
            <w:tcW w:w="0" w:type="dxa"/>
            <w:vAlign w:val="bottom"/>
          </w:tcPr>
          <w:p>
            <w:pPr>
              <w:spacing w:after="0"/>
              <w:rPr>
                <w:sz w:val="1"/>
                <w:szCs w:val="1"/>
                <w:color w:val="auto"/>
              </w:rPr>
            </w:pPr>
          </w:p>
        </w:tc>
      </w:tr>
      <w:tr>
        <w:trPr>
          <w:trHeight w:val="194"/>
        </w:trPr>
        <w:tc>
          <w:tcPr>
            <w:tcW w:w="3320" w:type="dxa"/>
            <w:vAlign w:val="bottom"/>
          </w:tcPr>
          <w:p>
            <w:pPr>
              <w:spacing w:after="0"/>
              <w:rPr>
                <w:sz w:val="16"/>
                <w:szCs w:val="16"/>
                <w:color w:val="auto"/>
              </w:rPr>
            </w:pPr>
          </w:p>
        </w:tc>
        <w:tc>
          <w:tcPr>
            <w:tcW w:w="7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920" w:type="dxa"/>
            <w:vAlign w:val="bottom"/>
            <w:gridSpan w:val="2"/>
          </w:tcPr>
          <w:p>
            <w:pPr>
              <w:jc w:val="center"/>
              <w:ind w:right="3230"/>
              <w:spacing w:after="0"/>
              <w:rPr>
                <w:sz w:val="20"/>
                <w:szCs w:val="20"/>
                <w:color w:val="auto"/>
              </w:rPr>
            </w:pPr>
            <w:r>
              <w:rPr>
                <w:rFonts w:ascii="Times New Roman" w:cs="Times New Roman" w:eastAsia="Times New Roman" w:hAnsi="Times New Roman"/>
                <w:sz w:val="18"/>
                <w:szCs w:val="18"/>
                <w:b w:val="1"/>
                <w:bCs w:val="1"/>
                <w:color w:val="auto"/>
                <w:w w:val="99"/>
              </w:rPr>
              <w:t>$750,000,000 4.950% Senior Notes due 2031</w:t>
            </w:r>
          </w:p>
        </w:tc>
        <w:tc>
          <w:tcPr>
            <w:tcW w:w="0" w:type="dxa"/>
            <w:vAlign w:val="bottom"/>
          </w:tcPr>
          <w:p>
            <w:pPr>
              <w:spacing w:after="0"/>
              <w:rPr>
                <w:sz w:val="1"/>
                <w:szCs w:val="1"/>
                <w:color w:val="auto"/>
              </w:rPr>
            </w:pPr>
          </w:p>
        </w:tc>
      </w:tr>
      <w:tr>
        <w:trPr>
          <w:trHeight w:val="198"/>
        </w:trPr>
        <w:tc>
          <w:tcPr>
            <w:tcW w:w="33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Waste Management, Inc.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Guarantor:</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Waste Management Holdings, Inc.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[Omitted in exhibit format]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June 24, 2024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T+7; July 3, 2024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$750,000,000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July 3, 2027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July 3, 2031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4.950%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 due June 15, 2027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4.625% due May 31, 2031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 and Yield:</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100-13 ¼ / 4.474%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102-06+ / 4.254%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+52 basis points</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+80 basis points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4.994%</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5.054%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99.879% of the principal amount</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99.393% of the principal amount  </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(before expenses):  </w:t>
            </w: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$1,489,665,000</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 </w:t>
            </w: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2027</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Notes: Semi-annually on January 3 and July 3, commencing on January 3, 2025</w:t>
            </w:r>
          </w:p>
        </w:tc>
        <w:tc>
          <w:tcPr>
            <w:tcW w:w="0" w:type="dxa"/>
            <w:vAlign w:val="bottom"/>
          </w:tcPr>
          <w:p>
            <w:pPr>
              <w:spacing w:after="0"/>
              <w:rPr>
                <w:sz w:val="1"/>
                <w:szCs w:val="1"/>
                <w:color w:val="auto"/>
              </w:rPr>
            </w:pPr>
          </w:p>
        </w:tc>
      </w:tr>
      <w:tr>
        <w:trPr>
          <w:trHeight w:val="234"/>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80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2031</w:t>
            </w: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Semi-annually on January 3 and July 3, commencing on January 3, 2025  </w:t>
            </w:r>
          </w:p>
        </w:tc>
        <w:tc>
          <w:tcPr>
            <w:tcW w:w="0" w:type="dxa"/>
            <w:vAlign w:val="bottom"/>
          </w:tcPr>
          <w:p>
            <w:pPr>
              <w:spacing w:after="0"/>
              <w:rPr>
                <w:sz w:val="1"/>
                <w:szCs w:val="1"/>
                <w:color w:val="auto"/>
              </w:rPr>
            </w:pPr>
          </w:p>
        </w:tc>
      </w:tr>
      <w:tr>
        <w:trPr>
          <w:trHeight w:val="216"/>
        </w:trPr>
        <w:tc>
          <w:tcPr>
            <w:tcW w:w="332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2027 Notes: Prior to June 3, 2027 (one month prior to the maturity date), the 2027 Notes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are redeemable at the option of the issuer, in whole or in part, at any time and from time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 time, at a redemption price equal to the greater of: (1) (a) the sum of the present values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the remaining scheduled payments of principal and interest thereon discounted to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redemption date (assuming the 2027 Notes matured on June 3, 2027) on a semi-annual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plus 10 basis points, less (b) interest accrued to the redemption date, and (2) 100% of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amount of the 2027 Notes to be redeemed, plus, in either case, accrued and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On or after June 3, 2027 (one month prior to the maturity date), the 2027 Notes are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time, at a redemption price equal to 100% of the principal amount of the 2027 Notes to be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2031 Notes: Prior to May 3, 2031 (two months prior to the maturity date), the 2031 Notes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are redeemable at the option of the issuer, in whole or in part, at any time and from time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 time, at a redemption price equal to the greater of: (1) (a) the sum of the present values</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 the remaining scheduled payments of principal and interest thereon discounted to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redemption date (assuming the 2031 Notes matured on May 3, 2031) on a semi-annual</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basis (assuming a 360-day year consisting of twelve 30-day months) at the Treasury Rate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plus 15 basis points, less (b) interest accrued to the redemption date, and (2) 100% of the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principal amount of the 2031 Notes to be redeemed, plus, in either case, accrued and</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unpaid interest thereon to the redemption date.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On or after May 3, 2031 (two months prior to the maturity date), the 2031 Notes are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redeemable at the option of the issuer, in whole or in part, at any time and from time to</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time, at a redemption price equal to 100% of the principal amount of the 2031 Notes to be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redeemed, plus accrued and unpaid interest thereon to the redemption date.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2027 Notes: 94106L BX6 / US94106LBX64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2031 Notes: 94106L BY4 / US94106LBY48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Truist Securities, Inc.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PNC Capital Markets LLC</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RBC Capital Markets, LLC</w:t>
            </w:r>
          </w:p>
        </w:tc>
        <w:tc>
          <w:tcPr>
            <w:tcW w:w="0" w:type="dxa"/>
            <w:vAlign w:val="bottom"/>
          </w:tcPr>
          <w:p>
            <w:pPr>
              <w:spacing w:after="0"/>
              <w:rPr>
                <w:sz w:val="1"/>
                <w:szCs w:val="1"/>
                <w:color w:val="auto"/>
              </w:rPr>
            </w:pPr>
          </w:p>
        </w:tc>
      </w:tr>
      <w:tr>
        <w:trPr>
          <w:trHeight w:val="234"/>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77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7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0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Schedule I-2</w:t>
            </w: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color w:val="auto"/>
        </w:rPr>
        <w:t>Co-Managers:</w:t>
      </w:r>
      <w:r>
        <w:rPr>
          <w:sz w:val="20"/>
          <w:szCs w:val="20"/>
          <w:color w:val="auto"/>
        </w:rPr>
        <w:tab/>
      </w:r>
      <w:r>
        <w:rPr>
          <w:rFonts w:ascii="Times New Roman" w:cs="Times New Roman" w:eastAsia="Times New Roman" w:hAnsi="Times New Roman"/>
          <w:sz w:val="17"/>
          <w:szCs w:val="17"/>
          <w:color w:val="auto"/>
        </w:rPr>
        <w:t>Deutsche Bank Securities Inc.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Stern Brothers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40" w:hanging="132"/>
        <w:spacing w:after="0"/>
        <w:tabs>
          <w:tab w:leader="none" w:pos="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review or withdrawal at any time.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issuer expects delivery of the notes will be made against payment therefor on or about July 3, 2024, which is the seventh business day following the date of pricing of the notes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date prior to one business day before delivery will be required, by virtue of the fact that the notes initially will settle in T+7, to specify an alternate settlement cycle at the time of any such trade to prevent failed settlement and should consult their own advisers.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term sheet supplements the information provided in the preliminary prospectus supplement dated June 24, 2024. To the extent information in this term sheet conflicts with information in the preliminary prospectus supplement, this term sheet controls. All capitalized terms used in this term sheet shall have the meaning ascribed to them in the preliminary prospectus supplement.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BNP Paribas Securities Corp. toll-free at 1 (800) 854-5674; (2) SMBC Nikko Securities America, Inc. toll-free at 1 (888) 868-6856; (3) Truist Securities, Inc. toll-free at 1 (800) 685-4786; or (4) Wells Fargo Securities, LLC toll-free at 1 (800) 645-3751.</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w:t>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Underwriters</w:t>
      </w:r>
      <w:r>
        <w:rPr>
          <w:rFonts w:ascii="Times New Roman" w:cs="Times New Roman" w:eastAsia="Times New Roman" w:hAnsi="Times New Roman"/>
          <w:sz w:val="18"/>
          <w:szCs w:val="18"/>
          <w:b w:val="1"/>
          <w:bCs w:val="1"/>
          <w:color w:val="auto"/>
        </w:rPr>
        <w:t> </w:t>
      </w:r>
    </w:p>
    <w:p>
      <w:pPr>
        <w:spacing w:after="0"/>
        <w:rPr>
          <w:sz w:val="20"/>
          <w:szCs w:val="20"/>
          <w:color w:val="auto"/>
        </w:rPr>
      </w:pPr>
      <w:r>
        <w:rPr>
          <w:rFonts w:ascii="Times New Roman" w:cs="Times New Roman" w:eastAsia="Times New Roman" w:hAnsi="Times New Roman"/>
          <w:sz w:val="22"/>
          <w:szCs w:val="22"/>
          <w:color w:val="auto"/>
        </w:rPr>
        <w:t> </w:t>
      </w: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jc w:val="center"/>
              <w:ind w:right="30"/>
              <w:spacing w:after="0" w:line="192" w:lineRule="exact"/>
              <w:rPr>
                <w:sz w:val="20"/>
                <w:szCs w:val="20"/>
                <w:color w:val="auto"/>
              </w:rPr>
            </w:pPr>
            <w:r>
              <w:rPr>
                <w:rFonts w:ascii="Times New Roman" w:cs="Times New Roman" w:eastAsia="Times New Roman" w:hAnsi="Times New Roman"/>
                <w:sz w:val="18"/>
                <w:szCs w:val="18"/>
                <w:b w:val="1"/>
                <w:bCs w:val="1"/>
                <w:color w:val="auto"/>
                <w:w w:val="99"/>
              </w:rPr>
              <w:t>Principal Amount of 2027</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jc w:val="center"/>
              <w:ind w:right="70"/>
              <w:spacing w:after="0" w:line="192" w:lineRule="exact"/>
              <w:rPr>
                <w:sz w:val="20"/>
                <w:szCs w:val="20"/>
                <w:color w:val="auto"/>
              </w:rPr>
            </w:pPr>
            <w:r>
              <w:rPr>
                <w:rFonts w:ascii="Times New Roman" w:cs="Times New Roman" w:eastAsia="Times New Roman" w:hAnsi="Times New Roman"/>
                <w:sz w:val="18"/>
                <w:szCs w:val="18"/>
                <w:b w:val="1"/>
                <w:bCs w:val="1"/>
                <w:color w:val="auto"/>
                <w:w w:val="99"/>
              </w:rPr>
              <w:t>Principal Amount of 2031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192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w:t>
            </w: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3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w:t>
            </w: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75"/>
              </w:rPr>
              <w:t> </w:t>
            </w: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2"/>
            <w:vMerge w:val="continue"/>
          </w:tcPr>
          <w:p>
            <w:pPr>
              <w:spacing w:after="0"/>
              <w:rPr>
                <w:sz w:val="20"/>
                <w:szCs w:val="20"/>
                <w:color w:val="auto"/>
              </w:rPr>
            </w:pPr>
          </w:p>
        </w:tc>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to be Purchased</w:t>
            </w:r>
          </w:p>
        </w:tc>
        <w:tc>
          <w:tcPr>
            <w:tcW w:w="360" w:type="dxa"/>
            <w:vAlign w:val="bottom"/>
            <w:gridSpan w:val="2"/>
            <w:vMerge w:val="continue"/>
          </w:tcPr>
          <w:p>
            <w:pPr>
              <w:spacing w:after="0"/>
              <w:rPr>
                <w:sz w:val="20"/>
                <w:szCs w:val="20"/>
                <w:color w:val="auto"/>
              </w:rPr>
            </w:pPr>
          </w:p>
        </w:tc>
        <w:tc>
          <w:tcPr>
            <w:tcW w:w="2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to be Purchased</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Corp.</w:t>
            </w:r>
          </w:p>
        </w:tc>
        <w:tc>
          <w:tcPr>
            <w:tcW w:w="1780" w:type="dxa"/>
            <w:vAlign w:val="bottom"/>
            <w:tcBorders>
              <w:top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3"/>
              </w:rPr>
              <w:t>105,000,000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3"/>
              </w:rPr>
              <w:t>105,000,000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54,375,000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33,750,000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33,750,000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33,750,000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15,000,000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15,000,000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Siebert Williams Shank &amp; Co., LLC</w:t>
            </w:r>
          </w:p>
        </w:tc>
        <w:tc>
          <w:tcPr>
            <w:tcW w:w="19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    $</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 </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Stern Brothers &amp; Co.</w:t>
            </w:r>
          </w:p>
        </w:tc>
        <w:tc>
          <w:tcPr>
            <w:tcW w:w="19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7,500,000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7,500,000 </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top w:val="single" w:sz="8" w:color="CCEEFF"/>
              <w:bottom w:val="single" w:sz="8" w:color="CCEEFF"/>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7"/>
              </w:rPr>
              <w:t>750,000,000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7"/>
              </w:rPr>
              <w:t>750,000,000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5"/>
              </w:rPr>
              <w:t> </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b w:val="1"/>
          <w:bCs w:val="1"/>
          <w:color w:val="auto"/>
        </w:rPr>
        <w:t>FREE WRITING PROSPECTUSES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Pricing Term Sheet, substantially in the form of Schedule I attached to this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REVIEWED AGREEMENTS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for Senior Debt Securities dated September 10, 1997, among Waste Management, Inc. (formerly known as USA Services Inc.) and The Bank of New York Mellon Trust Company, N.A. (the current successor to Texas Commerce Bank National Association), as Trustee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65" w:lineRule="auto"/>
        <w:tabs>
          <w:tab w:leader="none" w:pos="6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Officers’ Certificates delivered pursuant to Section 301 of the Indenture dated September 10, 1997 by and between Waste Management, Inc. and The Bank of New York Mellon Trust Company, N.A., as Trustee, which established the terms and form of Waste Management, Inc.’s: (i) 7.00% Senior Notes due 2028, (ii) 7.375% Senior Notes due 2029, (iii) 7.75% Senior Notes due 2032, (iv) 6.125% Senior Notes due 2039, (v) 3.125% Senior Notes due 2025, (vi) 3.90% Senior Notes due 2035, (vii) 4.10% Senior Notes due 2045, (viii) 3.15% Senior Notes due 2027, (ix) 4.15% Senior Notes due 2049, (x) 0.75% Senior Notes due 2025, (xi) 1.15% Senior Notes due 2028, (xii) 1.50% Senior Notes</w:t>
      </w:r>
    </w:p>
    <w:p>
      <w:pPr>
        <w:spacing w:after="0" w:line="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due 2031, (xiii) 2.50% Senior Notes due 2050, (xiv) 2.00% Senior Notes due 2029, (xv) 2.95% Senior Notes due 2041, (xvi) 4.15% Senior Notes due 2032, (xvii) 4.625% Senior Notes due 2030, (xviii) 4.625% Senior Notes due 2033, (xix) 4.875% Senior Notes due 2029 and (xx) 4.875% Senior Notes due 2034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65"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Guarantee Agreement by Waste Management Holdings, Inc. in favor of The Bank of New York Mellon Trust Company, N.A., as Trustee for the holders of Waste Management, Inc.’s: (i) 7.00% Senior Notes due 2028, (ii) 7.375% Senior Notes due 2029, (iii) 7.75% Senior Notes due 2032,</w:t>
      </w: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(iv) 6.125% Senior Notes due 2039, (v) 3.125% Senior Notes due 2025, (vi) 3.90% Senior Notes due 2035, (vii) 4.10% Senior Notes due 2045, (viii) 3.15% Senior Notes due 2027, (ix) 4.15% Senior Notes due 2049, (x) 0.75% Senior Notes due 2025, (xi) 1.15% Senior Notes due 2028, (xii) 1.50% Senior Notes due 2031, (xiii) 2.50% Senior Notes due 2050, (xiv) 2.00% Senior Notes due 2029, (xv) 2.95% Senior Notes due 2041, (xvi) 4.15% Senior Notes due 2032, (xvii) 4.625% Senior Notes due 2030, (xviii) 4.625% Senior Notes due 2033, (xix) 4.875% Senior Notes due 2029 and (xx) 4.875% Senior Notes due 2034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Billion Seventh Amended and Restated Revolving Credit Agreement dated as of May 8, 2024 by and among Waste Management, Inc., Waste Management of Canada Corporation, WM Quebec Inc. and Waste Management Holdings, Inc., certain banks party thereto, and Bank of America, N.A., as Administrative Agent, which agreement is filed as Exhibit 10.1 to Waste Management, Inc.’s Form 8-K dated May 8, 2024 and filed on May 10,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65" w:lineRule="auto"/>
        <w:tabs>
          <w:tab w:leader="none" w:pos="6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Paper Dealer Agreement, as executed with each of Mizuho Securities USA LLC (dated August 22, 2016), BofA Securities, Inc. (dated August 22, 2016), J.P. Morgan Securities LLC (dated August 22, 2016), MUFG Securities Americas Inc. (dated September 17, 2018), Wells Fargo Securities, LLC (dated September 17, 2018), RBC Capital Markets, LLC (dated January 12, 2023), Siebert Williams Shank &amp; Co., LLC (dated January 12, 2023) and Barclays Capital Inc. (dated October 27, 2023), as Dealer, each of which agreement is substantially in the form filed as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10.11 to Waste Management, Inc.’s Annual Report on Form 10-K for the year ended December 31,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Issuing and Paying Agent Agreement between Waste Management, Inc. and U.S. Bank Trust Company, National Association</w:t>
      </w:r>
    </w:p>
    <w:p>
      <w:pPr>
        <w:spacing w:after="0" w:line="9" w:lineRule="exact"/>
        <w:rPr>
          <w:sz w:val="20"/>
          <w:szCs w:val="20"/>
          <w:color w:val="auto"/>
        </w:rPr>
      </w:pPr>
    </w:p>
    <w:p>
      <w:pPr>
        <w:ind w:left="660" w:right="20"/>
        <w:spacing w:after="0" w:line="250" w:lineRule="auto"/>
        <w:rPr>
          <w:sz w:val="20"/>
          <w:szCs w:val="20"/>
          <w:color w:val="auto"/>
        </w:rPr>
      </w:pPr>
      <w:r>
        <w:rPr>
          <w:rFonts w:ascii="Times New Roman" w:cs="Times New Roman" w:eastAsia="Times New Roman" w:hAnsi="Times New Roman"/>
          <w:sz w:val="18"/>
          <w:szCs w:val="18"/>
          <w:color w:val="auto"/>
        </w:rPr>
        <w:t>dated October 28, 2022, which agreement is filed as Exhibit 10.11 to Waste Management, Inc.’s Annual Report on Form 10-K for the year ended December 31,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 2024</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 “Company”), hereby certify that: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(the “Indenture”) in connection with the Company Order dated July 3, 2024 (the “Order”) for the authentication and delivery by the Trustee of $750,000,000 aggregate principal amount of 4.950% Senior Notes due 2027 (the “Notes”).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3.            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 them to express an informed opinion as to whether or not all covenants and conditions provided for in the Indenture with respect to the Order have been complied with.</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6.            All covenants and conditions (including all conditions precedent) provided in the Indenture to the authentication and delivery by the Trustee of $750,000,000 aggregate principal amount of the Notes have been complied with, and such Notes may be delivered in accordance with the Order as provided in the Indenture.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            The terms of the Notes (including the Form of Note) as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Certificate have been approved by officers of the Company as authorized by resolutions duly adopted on March 1, 2022 and August 21, 2023 by the Board of Directors of the Company, which are in full force and effect as of the date hereof.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have hereunto executed this Officers’ Certificate as of the date first written above.</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Leslie K. Nagy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Treasurer</w:t>
      </w:r>
    </w:p>
    <w:p>
      <w:pPr>
        <w:spacing w:after="0" w:line="200" w:lineRule="exact"/>
        <w:rPr>
          <w:sz w:val="20"/>
          <w:szCs w:val="20"/>
          <w:color w:val="auto"/>
        </w:rPr>
      </w:pPr>
    </w:p>
    <w:p>
      <w:pPr>
        <w:spacing w:after="0" w:line="2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3566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Officers’ Certificate Delivered Pursuant to</w:t>
      </w:r>
    </w:p>
    <w:p>
      <w:pPr>
        <w:spacing w:after="0" w:line="9"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Section 301 of the Indenture dated as of September 10, 1997</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4" w:right="117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and August 21, 2023 and the Sole Director of Waste Management Holdings, Inc. on June 18, 2024,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187"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“4.950% Senior Notes due 2027” (the “Notes”).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$750,000,000 (except for 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7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July 3, 2027.</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July 3, 2024 at the fixed rate of 4.950% per annum; the Interest Payment Dates on which such interest shall be payable shall be January 3 and July 3 of each year, commencing January 3, 2025, until maturity, unless such date falls on a day that is not a Business Day, in which case, such payment shall be made on the next day that is a Business Day. The Regular Record Date for the determination of Holders to whom interest is payable shall be December 15 or June 15, respectively, immediately preceding such date, as the case may be.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 a portion of such Holder’s Notes at a price equal to 101% of the principal amount, plus accrued interest, if any, to the date of purchase, on the terms and subject to the conditions set forth in the Notes.</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left="652" w:hanging="652"/>
        <w:spacing w:after="0" w:line="261"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179"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61" w:lineRule="exact"/>
        <w:rPr>
          <w:rFonts w:ascii="Times New Roman" w:cs="Times New Roman" w:eastAsia="Times New Roman" w:hAnsi="Times New Roman"/>
          <w:sz w:val="18"/>
          <w:szCs w:val="18"/>
          <w:color w:val="auto"/>
        </w:rPr>
      </w:pPr>
    </w:p>
    <w:p>
      <w:pPr>
        <w:jc w:val="both"/>
        <w:ind w:left="1292" w:firstLine="4"/>
        <w:spacing w:after="0" w:line="266" w:lineRule="auto"/>
        <w:tabs>
          <w:tab w:leader="none" w:pos="15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1552" w:hanging="256"/>
        <w:spacing w:after="0"/>
        <w:tabs>
          <w:tab w:leader="none" w:pos="15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76"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“Par Call Date” means June 3, 2027.</w:t>
      </w:r>
    </w:p>
    <w:p>
      <w:pPr>
        <w:spacing w:after="0" w:line="225" w:lineRule="exact"/>
        <w:rPr>
          <w:sz w:val="20"/>
          <w:szCs w:val="20"/>
          <w:color w:val="auto"/>
        </w:rPr>
      </w:pPr>
    </w:p>
    <w:p>
      <w:pPr>
        <w:ind w:left="652" w:hanging="652"/>
        <w:spacing w:after="0" w:line="282"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61"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6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7" w:name="page48"/>
    <w:bookmarkEnd w:id="47"/>
    <w:p>
      <w:pPr>
        <w:jc w:val="both"/>
        <w:ind w:left="652" w:hanging="652"/>
        <w:spacing w:after="0" w:line="258"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 supplemented or modified by the terms and conditions set forth in the Notes in accordance with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c>
          <w:tcPr>
            <w:tcW w:w="0" w:type="dxa"/>
            <w:vAlign w:val="bottom"/>
          </w:tcPr>
          <w:p>
            <w:pPr>
              <w:spacing w:after="0"/>
              <w:rPr>
                <w:sz w:val="1"/>
                <w:szCs w:val="1"/>
                <w:color w:val="auto"/>
              </w:rPr>
            </w:pPr>
          </w:p>
        </w:tc>
      </w:tr>
      <w:tr>
        <w:trPr>
          <w:trHeight w:val="414"/>
        </w:trPr>
        <w:tc>
          <w:tcPr>
            <w:tcW w:w="7900" w:type="dxa"/>
            <w:vAlign w:val="bottom"/>
          </w:tcPr>
          <w:p>
            <w:pPr>
              <w:spacing w:after="0"/>
              <w:rPr>
                <w:sz w:val="24"/>
                <w:szCs w:val="24"/>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                   ,</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c>
          <w:tcPr>
            <w:tcW w:w="0" w:type="dxa"/>
            <w:vAlign w:val="bottom"/>
          </w:tcPr>
          <w:p>
            <w:pPr>
              <w:spacing w:after="0"/>
              <w:rPr>
                <w:sz w:val="1"/>
                <w:szCs w:val="1"/>
                <w:color w:val="auto"/>
              </w:rPr>
            </w:pPr>
          </w:p>
        </w:tc>
      </w:tr>
      <w:tr>
        <w:trPr>
          <w:trHeight w:val="234"/>
        </w:trPr>
        <w:tc>
          <w:tcPr>
            <w:tcW w:w="790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c>
          <w:tcPr>
            <w:tcW w:w="0" w:type="dxa"/>
            <w:vAlign w:val="bottom"/>
          </w:tcPr>
          <w:p>
            <w:pPr>
              <w:spacing w:after="0"/>
              <w:rPr>
                <w:sz w:val="1"/>
                <w:szCs w:val="1"/>
                <w:color w:val="auto"/>
              </w:rPr>
            </w:pPr>
          </w:p>
        </w:tc>
      </w:tr>
      <w:tr>
        <w:trPr>
          <w:trHeight w:val="432"/>
        </w:trPr>
        <w:tc>
          <w:tcPr>
            <w:tcW w:w="7900" w:type="dxa"/>
            <w:vAlign w:val="bottom"/>
          </w:tcPr>
          <w:p>
            <w:pPr>
              <w:jc w:val="center"/>
              <w:ind w:left="2390"/>
              <w:spacing w:after="0"/>
              <w:rPr>
                <w:sz w:val="20"/>
                <w:szCs w:val="20"/>
                <w:color w:val="auto"/>
              </w:rPr>
            </w:pPr>
            <w:r>
              <w:rPr>
                <w:rFonts w:ascii="Times New Roman" w:cs="Times New Roman" w:eastAsia="Times New Roman" w:hAnsi="Times New Roman"/>
                <w:sz w:val="18"/>
                <w:szCs w:val="18"/>
                <w:color w:val="auto"/>
              </w:rPr>
              <w:t>4.950% SENIOR NOTES DUE 2027</w:t>
            </w:r>
          </w:p>
        </w:tc>
        <w:tc>
          <w:tcPr>
            <w:tcW w:w="3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CUSIP 94106L BX6</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w:t>
      </w:r>
    </w:p>
    <w:p>
      <w:pPr>
        <w:jc w:val="both"/>
        <w:ind w:firstLine="733"/>
        <w:spacing w:after="0" w:line="253" w:lineRule="auto"/>
        <w:rPr>
          <w:sz w:val="20"/>
          <w:szCs w:val="20"/>
          <w:color w:val="auto"/>
        </w:rPr>
      </w:pPr>
      <w:r>
        <w:rPr>
          <w:rFonts w:ascii="Times New Roman" w:cs="Times New Roman" w:eastAsia="Times New Roman" w:hAnsi="Times New Roman"/>
          <w:sz w:val="18"/>
          <w:szCs w:val="18"/>
          <w:color w:val="auto"/>
        </w:rPr>
        <w:t>Million ($ ) U.S. dollars, or such lesser principal sum as is shown on the attached Schedule of Exchanges of Definitive Security, on July 3, 2027 in such coin or currency of the United States of America as at the time of payment shall be legal tender for the payment of public and private debts, and to pay interest at an annual rate of 4.950% payable on January 3 and July 3 of each year, to the person in whose name this Security is registered at the close of business on the record date for such interest, which shall be the preceding December 15 or June 15, respectively, payable commencing January 3, 2025, with interest accruing from July 3, 2024, or the most recent date to which interest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$750,000,000 in principal amount designated as the 4.950% Senior Notes due 2027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 signed by the Trustee under the Indenture.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34"/>
        </w:trPr>
        <w:tc>
          <w:tcPr>
            <w:tcW w:w="4320" w:type="dxa"/>
            <w:vAlign w:val="bottom"/>
          </w:tcPr>
          <w:p>
            <w:pPr>
              <w:spacing w:after="0"/>
              <w:rPr>
                <w:sz w:val="20"/>
                <w:szCs w:val="20"/>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432"/>
        </w:trPr>
        <w:tc>
          <w:tcPr>
            <w:tcW w:w="4320" w:type="dxa"/>
            <w:vAlign w:val="bottom"/>
          </w:tcPr>
          <w:p>
            <w:pPr>
              <w:spacing w:after="0"/>
              <w:rPr>
                <w:sz w:val="24"/>
                <w:szCs w:val="24"/>
                <w:color w:val="auto"/>
              </w:rPr>
            </w:pP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w:t>
            </w:r>
          </w:p>
        </w:tc>
      </w:tr>
      <w:tr>
        <w:trPr>
          <w:trHeight w:val="191"/>
        </w:trPr>
        <w:tc>
          <w:tcPr>
            <w:tcW w:w="43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880" w:type="dxa"/>
            <w:vAlign w:val="bottom"/>
          </w:tcPr>
          <w:p>
            <w:pPr>
              <w:spacing w:after="0"/>
              <w:rPr>
                <w:sz w:val="24"/>
                <w:szCs w:val="24"/>
                <w:color w:val="auto"/>
              </w:rPr>
            </w:pPr>
          </w:p>
        </w:tc>
        <w:tc>
          <w:tcPr>
            <w:tcW w:w="504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of Authentication:</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The Bank of New York Mellon Trust</w:t>
            </w:r>
          </w:p>
        </w:tc>
      </w:tr>
      <w:tr>
        <w:trPr>
          <w:trHeight w:val="234"/>
        </w:trPr>
        <w:tc>
          <w:tcPr>
            <w:tcW w:w="3680" w:type="dxa"/>
            <w:vAlign w:val="bottom"/>
          </w:tcPr>
          <w:p>
            <w:pPr>
              <w:spacing w:after="0"/>
              <w:rPr>
                <w:sz w:val="20"/>
                <w:szCs w:val="20"/>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Company, N.A., as Trustee</w:t>
            </w:r>
          </w:p>
        </w:tc>
      </w:tr>
      <w:tr>
        <w:trPr>
          <w:trHeight w:val="432"/>
        </w:trPr>
        <w:tc>
          <w:tcPr>
            <w:tcW w:w="3680" w:type="dxa"/>
            <w:vAlign w:val="bottom"/>
          </w:tcPr>
          <w:p>
            <w:pPr>
              <w:spacing w:after="0"/>
              <w:rPr>
                <w:sz w:val="24"/>
                <w:szCs w:val="24"/>
                <w:color w:val="auto"/>
              </w:rPr>
            </w:pP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36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Officer</w:t>
            </w:r>
          </w:p>
        </w:tc>
      </w:tr>
      <w:tr>
        <w:trPr>
          <w:trHeight w:val="657"/>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22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4.950% SENIOR NOTES DUE 2027</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4.950% Senior Notes due 2027 of the Company, in initial aggregate principal amount of $750,000,000 (the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4.950% per annum.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pay interest semi-annually on January 3 and July 3 of each year (each an “Interest Payment Date”), commencing January 3, 2025. Interest on the Securities will accrue from the most recent date to which interest has been paid or, if no interest has been paid on the Securities, from July 3,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 Indenture.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and August 21, 2023 (the “Resolutions”) and the written consent of the Sole Director of Waste Management Holdings, Inc. on June 18,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207" w:lineRule="exact"/>
        <w:rPr>
          <w:sz w:val="20"/>
          <w:szCs w:val="20"/>
          <w:color w:val="auto"/>
        </w:rPr>
      </w:pPr>
    </w:p>
    <w:p>
      <w:pPr>
        <w:jc w:val="both"/>
        <w:ind w:left="660" w:hanging="4"/>
        <w:spacing w:after="0" w:line="266" w:lineRule="auto"/>
        <w:tabs>
          <w:tab w:leader="none" w:pos="9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10 basis points, less (b) interest accrued to the Redemption Date, and</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Securities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4" w:name="page55"/>
    <w:bookmarkEnd w:id="5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 Redemption Price equal to 100% of the principal amount of the Securities to be redeemed, plus accrued and unpaid interest thereon to the Redemption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June 3, 2027.</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 paragraphs.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225"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Debt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in any material respect.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w:t>
      </w:r>
    </w:p>
    <w:p>
      <w:pPr>
        <w:spacing w:after="0" w:line="5" w:lineRule="exact"/>
        <w:rPr>
          <w:sz w:val="20"/>
          <w:szCs w:val="20"/>
          <w:color w:val="auto"/>
        </w:rPr>
      </w:pPr>
    </w:p>
    <w:p>
      <w:pPr>
        <w:jc w:val="both"/>
        <w:ind w:firstLine="8"/>
        <w:spacing w:after="0" w:line="251" w:lineRule="auto"/>
        <w:tabs>
          <w:tab w:leader="none" w:pos="30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 (D) all sums paid or advanced by the Trustee and the reasonable compensation, expenses, disbursements and advances of the Trustee, its agents and counsel and (2) all Events of Default under the Indenture with respect to the Securities, other than the 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 Subject to certain limitations, Holders of a majority in aggregate principal amount of the Securities then outstanding may direct the Trustee in its exercise of any trust or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 shall be added to the end of Section 401(1)(B) of the Indenture: “(provided that, upon any redemption that requires the payment of any make-whole or other premium, (x) the amount of cash that must be deposited shall be determined using an assumed applicable premium calculated as of the date of such deposit and (y) the Company shall deposit any deficit in trust on or prior to the Redemption Date as necessary to pay the applicable premium as determined by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40" w:type="dxa"/>
            <w:vAlign w:val="bottom"/>
            <w:gridSpan w:val="6"/>
          </w:tcPr>
          <w:p>
            <w:pPr>
              <w:ind w:left="1060"/>
              <w:spacing w:after="0"/>
              <w:rPr>
                <w:sz w:val="20"/>
                <w:szCs w:val="20"/>
                <w:color w:val="auto"/>
              </w:rPr>
            </w:pPr>
            <w:r>
              <w:rPr>
                <w:rFonts w:ascii="Times New Roman" w:cs="Times New Roman" w:eastAsia="Times New Roman" w:hAnsi="Times New Roman"/>
                <w:sz w:val="18"/>
                <w:szCs w:val="18"/>
                <w:color w:val="auto"/>
              </w:rPr>
              <w:t>SCHEDULE OF EXCHANGES OF DEFINITIVE SECURITY</w:t>
            </w:r>
          </w:p>
        </w:tc>
        <w:tc>
          <w:tcPr>
            <w:tcW w:w="2140" w:type="dxa"/>
            <w:vAlign w:val="bottom"/>
          </w:tcPr>
          <w:p>
            <w:pPr>
              <w:spacing w:after="0"/>
              <w:rPr>
                <w:sz w:val="20"/>
                <w:szCs w:val="20"/>
                <w:color w:val="auto"/>
              </w:rPr>
            </w:pPr>
          </w:p>
        </w:tc>
      </w:tr>
      <w:tr>
        <w:trPr>
          <w:trHeight w:val="432"/>
        </w:trPr>
        <w:tc>
          <w:tcPr>
            <w:tcW w:w="91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tc>
        <w:tc>
          <w:tcPr>
            <w:tcW w:w="2140" w:type="dxa"/>
            <w:vAlign w:val="bottom"/>
          </w:tcPr>
          <w:p>
            <w:pPr>
              <w:spacing w:after="0"/>
              <w:rPr>
                <w:sz w:val="24"/>
                <w:szCs w:val="24"/>
                <w:color w:val="auto"/>
              </w:rPr>
            </w:pPr>
          </w:p>
        </w:tc>
      </w:tr>
      <w:tr>
        <w:trPr>
          <w:trHeight w:val="410"/>
        </w:trPr>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 of increase</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14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Principal</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Amount of this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authorized officer</w:t>
            </w: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Trustee or</w:t>
            </w:r>
          </w:p>
        </w:tc>
      </w:tr>
      <w:tr>
        <w:trPr>
          <w:trHeight w:val="238"/>
        </w:trPr>
        <w:tc>
          <w:tcPr>
            <w:tcW w:w="22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1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Security Custodian</w:t>
            </w:r>
          </w:p>
        </w:tc>
      </w:tr>
      <w:tr>
        <w:trPr>
          <w:trHeight w:val="209"/>
        </w:trPr>
        <w:tc>
          <w:tcPr>
            <w:tcW w:w="2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891"/>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1061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10617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301 of the Indenture dated as of September 10, 1997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undersigned, the Vice President and Treasurer, and the Vice President and Corporate Secretary of Waste Management, Inc.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hereby certify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This Officers’ Certificate (this “Certificate”) is delivered to The Bank of New York Mellon Trust Company, N.A.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to Texas Commerce Bank National Association), as trustee (the “Trustee”), pursuant to Sections 102 and 301 of the Indenture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1997 between the Company, formerly known as USA Waste Services, Inc., and the Trustee (the “Indenture”)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Order dated July 3, 2024 (the “Order”) for the authentication and delivery by the Trustee of $750,000,000 aggregate principal amount of 4.950%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Notes due 2031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The undersigned have read Sections 102, 103, 301 and 303 of the Indenture and the definitions in the Indenture relating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The statements made herein are based either upon the personal knowledge of the persons making this Certificate or on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and reports furnished to such persons by the officers, counsel, department heads or employees of the Company who have knowledge of the facts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The undersigned have examined the Order, and they have read the covenants, conditions and provisions of the Indenture relating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In the opinion of the persons making this Certificate, they have made such examination or investigation as is necessary to enable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to express an informed opinion as to whether or not all covenants and conditions provided for in the Indenture with respect to the Order have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6.            All covenants and conditions (including all conditions precedent) provided in the Indenture to the authentication and delivery by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of $750,000,000 aggregate principal amount of the Notes have been complied with, and such Notes may be delivered in accordance with the Order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provided in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7.            The terms of the Notes (including the Form of Note) as set forth in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to this Certificate have been approved by officers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authorized by resolutions duly adopted on March 1, 2022 and August 21, 2023 by the Board of Directors of the Company, which are in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force and effect as of the date 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IN WITNESS WHEREOF, the undersigned have hereunto executed this Officers’ Certificate as of the date first written above.</w:t>
            </w:r>
          </w:p>
        </w:tc>
        <w:tc>
          <w:tcPr>
            <w:tcW w:w="0" w:type="dxa"/>
            <w:vAlign w:val="bottom"/>
          </w:tcPr>
          <w:p>
            <w:pPr>
              <w:spacing w:after="0"/>
              <w:rPr>
                <w:sz w:val="1"/>
                <w:szCs w:val="1"/>
                <w:color w:val="auto"/>
              </w:rPr>
            </w:pPr>
          </w:p>
        </w:tc>
      </w:tr>
      <w:tr>
        <w:trPr>
          <w:trHeight w:val="216"/>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0" w:type="dxa"/>
            <w:vAlign w:val="bottom"/>
            <w:vMerge w:val="continue"/>
          </w:tcPr>
          <w:p>
            <w:pPr>
              <w:spacing w:after="0"/>
              <w:rPr>
                <w:sz w:val="17"/>
                <w:szCs w:val="17"/>
                <w:color w:val="auto"/>
              </w:rPr>
            </w:pPr>
          </w:p>
        </w:tc>
        <w:tc>
          <w:tcPr>
            <w:tcW w:w="49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9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8"/>
              </w:rPr>
              <w:t>WASTE MANAGEMENT, INC.</w:t>
            </w:r>
          </w:p>
        </w:tc>
        <w:tc>
          <w:tcPr>
            <w:tcW w:w="0" w:type="dxa"/>
            <w:vAlign w:val="bottom"/>
          </w:tcPr>
          <w:p>
            <w:pPr>
              <w:spacing w:after="0"/>
              <w:rPr>
                <w:sz w:val="1"/>
                <w:szCs w:val="1"/>
                <w:color w:val="auto"/>
              </w:rPr>
            </w:pPr>
          </w:p>
        </w:tc>
      </w:tr>
      <w:tr>
        <w:trPr>
          <w:trHeight w:val="198"/>
        </w:trPr>
        <w:tc>
          <w:tcPr>
            <w:tcW w:w="680" w:type="dxa"/>
            <w:vAlign w:val="bottom"/>
          </w:tcPr>
          <w:p>
            <w:pPr>
              <w:spacing w:after="0"/>
              <w:rPr>
                <w:sz w:val="17"/>
                <w:szCs w:val="17"/>
                <w:color w:val="auto"/>
              </w:rPr>
            </w:pPr>
          </w:p>
        </w:tc>
        <w:tc>
          <w:tcPr>
            <w:tcW w:w="10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560" w:type="dxa"/>
            <w:vAlign w:val="bottom"/>
            <w:gridSpan w:val="2"/>
          </w:tcPr>
          <w:p>
            <w:pPr>
              <w:jc w:val="center"/>
              <w:ind w:right="570"/>
              <w:spacing w:after="0"/>
              <w:rPr>
                <w:sz w:val="20"/>
                <w:szCs w:val="20"/>
                <w:color w:val="auto"/>
              </w:rPr>
            </w:pPr>
            <w:r>
              <w:rPr>
                <w:rFonts w:ascii="Times New Roman" w:cs="Times New Roman" w:eastAsia="Times New Roman" w:hAnsi="Times New Roman"/>
                <w:sz w:val="18"/>
                <w:szCs w:val="18"/>
                <w:color w:val="auto"/>
                <w:w w:val="99"/>
              </w:rPr>
              <w:t>Officers’ Certificate Delivered Pursuant to</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56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w w:val="99"/>
              </w:rPr>
              <w:t>Section 301 of the Indenture dated as of September 10, 1997</w:t>
            </w:r>
          </w:p>
        </w:tc>
        <w:tc>
          <w:tcPr>
            <w:tcW w:w="0" w:type="dxa"/>
            <w:vAlign w:val="bottom"/>
          </w:tcPr>
          <w:p>
            <w:pPr>
              <w:spacing w:after="0"/>
              <w:rPr>
                <w:sz w:val="1"/>
                <w:szCs w:val="1"/>
                <w:color w:val="auto"/>
              </w:rPr>
            </w:pPr>
          </w:p>
        </w:tc>
      </w:tr>
      <w:tr>
        <w:trPr>
          <w:trHeight w:val="234"/>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56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color w:val="auto"/>
                <w:w w:val="99"/>
              </w:rPr>
              <w:t>Signature Page</w:t>
            </w: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9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Annex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Pursuant to authority granted by the Board of Directors of the Company on March 1, 2022 and August 21, 2023 and the Sole Director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 on June 18, 2024, the Company has approved the establishment, issuance, execution and delivery of a new series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defined in the Indenture) to be issued under the Indenture dated as of September 10, 1997 (the “Indenture”), between the Company, formerly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known as USA Waste Services, Inc., and The Bank of New York Mellon Trust Company, N.A. (the current successor to Texas Commerce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as trustee (the “Trustee”), the terms of which are set forth below. Capitalized terms used but not defined herein are used herein as defined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Securities shall be “4.950% Senior Notes due 2031” (the “Notes”).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general unsecured, senior obligations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Notes that may be authenticated and delivered under the Indenture shall be $750,000,000 (except for</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Notes authenticated and delivered upon registration of transfer of, or in exchange for, or in lieu of, other Notes pursuant to Section 304, 305, 306, 906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each Note shall be payable on July 3, 2031.</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shall bear interest from July 3, 2024 at the fixed rate of 4.950% per annum; the Interest Payment Dates on which such interest shall be payable shall be January 3 and July 3 of each year, commencing January 3, 2025, until maturity, unless such date falls on a day that is not a Business Day, in which case, such payment shall be made on the next day that is a Business Day. The Regular Record Date for the determination of Holders to whom interest is payable shall be December 15 or June 15, respectively, immediately preceding such date, as the case may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of Control Triggering Event” (as defined in the Notes) occurs, each Holder of the Notes may require the Company to purchase all or</w:t>
      </w:r>
    </w:p>
    <w:p>
      <w:pPr>
        <w:spacing w:after="0" w:line="9"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a portion of such Holder’s Notes at a price equal to 101% of the principal amount, plus accrued interest, if any, to the date of purchase, on the terms and subject to the conditions set forth in the Notes.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652"/>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Depository Trust Company, 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left="660" w:hanging="652"/>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in the Notes) plus 15 basis points, less (b) interest accrued to the Redemption Date,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at its option, in whole or in part, at any time and from time to time, at a Redemption Price equal to 100% of the principal amount of the Notes to be redeemed, plus accrued and unpaid interest thereon to the Redemption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May 3,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no obligation to redeem, purchase or repay the Notes pursuant to any mandatory redemption, sinking fund or analogous provisions or at the option of a Holder thereof.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subject to defeasance and discharge as contemplated by Section 1302 of the Indenture and to covenant defeasance under Section 1303 of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entitled to the benefit of the covenants contained in Sections 1008 and 1009 of the Indenture.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of New York Mellon Trust Company, N.A. shall serve initially as Security Registrar for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substantially in the form of Exhibit A hereto.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be fully and unconditionally guaranteed on a senior basis by the Company’s wholly owned subsidiary, Waste Management Holdings, Inc., pursuant to the terms and conditions of a Guarantee Agreement dated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6 of the 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subject to the satisfaction and discharge provisions set forth in Section 401 of the Indenture, as such provisions 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supplemented or modified by the terms and conditions set forth in the Notes in accordance with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right"/>
        <w:ind w:right="4019"/>
        <w:spacing w:after="0"/>
        <w:rPr>
          <w:sz w:val="20"/>
          <w:szCs w:val="20"/>
          <w:color w:val="auto"/>
        </w:rPr>
      </w:pPr>
      <w:r>
        <w:rPr>
          <w:rFonts w:ascii="Times New Roman" w:cs="Times New Roman" w:eastAsia="Times New Roman" w:hAnsi="Times New Roman"/>
          <w:sz w:val="18"/>
          <w:szCs w:val="18"/>
          <w:b w:val="1"/>
          <w:bCs w:val="1"/>
          <w:color w:val="auto"/>
        </w:rPr>
        <w:t>Form of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0"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BOOK-ENTRY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  </w:t>
      </w:r>
    </w:p>
    <w:p>
      <w:pPr>
        <w:spacing w:after="0" w:line="20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tbl>
      <w:tblPr>
        <w:tblLayout w:type="fixed"/>
        <w:tblInd w:w="0" w:type="dxa"/>
        <w:tblCellMar>
          <w:top w:w="0" w:type="dxa"/>
          <w:left w:w="0" w:type="dxa"/>
          <w:bottom w:w="0" w:type="dxa"/>
          <w:right w:w="0" w:type="dxa"/>
        </w:tblCellMar>
      </w:tblPr>
      <w:tr>
        <w:trPr>
          <w:trHeight w:val="200"/>
        </w:trPr>
        <w:tc>
          <w:tcPr>
            <w:tcW w:w="13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RGN</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41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                   ,</w:t>
            </w:r>
          </w:p>
        </w:tc>
      </w:tr>
      <w:tr>
        <w:trPr>
          <w:trHeight w:val="216"/>
        </w:trPr>
        <w:tc>
          <w:tcPr>
            <w:tcW w:w="1380" w:type="dxa"/>
            <w:vAlign w:val="bottom"/>
          </w:tcPr>
          <w:p>
            <w:pPr>
              <w:spacing w:after="0"/>
              <w:rPr>
                <w:sz w:val="18"/>
                <w:szCs w:val="18"/>
                <w:color w:val="auto"/>
              </w:rPr>
            </w:pPr>
          </w:p>
        </w:tc>
        <w:tc>
          <w:tcPr>
            <w:tcW w:w="6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which may be decreased</w:t>
            </w:r>
          </w:p>
        </w:tc>
      </w:tr>
      <w:tr>
        <w:trPr>
          <w:trHeight w:val="216"/>
        </w:trPr>
        <w:tc>
          <w:tcPr>
            <w:tcW w:w="1380" w:type="dxa"/>
            <w:vAlign w:val="bottom"/>
          </w:tcPr>
          <w:p>
            <w:pPr>
              <w:spacing w:after="0"/>
              <w:rPr>
                <w:sz w:val="18"/>
                <w:szCs w:val="18"/>
                <w:color w:val="auto"/>
              </w:rPr>
            </w:pPr>
          </w:p>
        </w:tc>
        <w:tc>
          <w:tcPr>
            <w:tcW w:w="6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w w:val="97"/>
              </w:rPr>
              <w:t>WASTE MANAGEMENT, INC.</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Schedule of</w:t>
            </w: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Exchanges of Definitive</w:t>
            </w: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Security attached hereto</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jc w:val="center"/>
              <w:ind w:left="1690"/>
              <w:spacing w:after="0"/>
              <w:rPr>
                <w:sz w:val="20"/>
                <w:szCs w:val="20"/>
                <w:color w:val="auto"/>
              </w:rPr>
            </w:pPr>
            <w:r>
              <w:rPr>
                <w:rFonts w:ascii="Times New Roman" w:cs="Times New Roman" w:eastAsia="Times New Roman" w:hAnsi="Times New Roman"/>
                <w:sz w:val="18"/>
                <w:szCs w:val="18"/>
                <w:color w:val="auto"/>
              </w:rPr>
              <w:t>4.950% SENIOR NOTES DUE 2031</w:t>
            </w:r>
          </w:p>
        </w:tc>
        <w:tc>
          <w:tcPr>
            <w:tcW w:w="3840" w:type="dxa"/>
            <w:vAlign w:val="bottom"/>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jc w:val="center"/>
              <w:ind w:left="1710"/>
              <w:spacing w:after="0"/>
              <w:rPr>
                <w:sz w:val="20"/>
                <w:szCs w:val="20"/>
                <w:color w:val="auto"/>
              </w:rPr>
            </w:pPr>
            <w:r>
              <w:rPr>
                <w:rFonts w:ascii="Times New Roman" w:cs="Times New Roman" w:eastAsia="Times New Roman" w:hAnsi="Times New Roman"/>
                <w:sz w:val="18"/>
                <w:szCs w:val="18"/>
                <w:color w:val="auto"/>
              </w:rPr>
              <w:t> </w:t>
            </w:r>
          </w:p>
        </w:tc>
        <w:tc>
          <w:tcPr>
            <w:tcW w:w="3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CUSIP 94106L BY4</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40" w:type="dxa"/>
            <w:vAlign w:val="bottom"/>
          </w:tcPr>
          <w:p>
            <w:pPr>
              <w:spacing w:after="0"/>
              <w:rPr>
                <w:sz w:val="20"/>
                <w:szCs w:val="20"/>
                <w:color w:val="auto"/>
              </w:rPr>
            </w:pPr>
          </w:p>
        </w:tc>
        <w:tc>
          <w:tcPr>
            <w:tcW w:w="3840" w:type="dxa"/>
            <w:vAlign w:val="bottom"/>
          </w:tcPr>
          <w:p>
            <w:pPr>
              <w:spacing w:after="0"/>
              <w:rPr>
                <w:sz w:val="20"/>
                <w:szCs w:val="20"/>
                <w:color w:val="auto"/>
              </w:rPr>
            </w:pPr>
          </w:p>
        </w:tc>
      </w:tr>
    </w:tbl>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Million ($                ) U.S. dollars, or such lesser principal sum as is shown on the attached Schedule of Exchanges of Definitive Security, on July 3, 2031 in such coin or currency of the United States of America as at the time of payment shall be legal tender for the payment of public and private debts, and to pay interest at an annual rate of 4.950% payable on January 3 and July 3 of each year, to the person in whose name this Security is registered at the close of business on the record date for such interest, which shall be the preceding December 15 or June 15, respectively, payable commencing January 3, 2025, with interest accruing from July 3, 2024, or the most recent date to which interest has been paid.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the further provisions of this Security set forth on the reverse hereof. Such further provisions shall for all purposes have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same effect as though fully set forth at this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issued in respect of a series of Securities of an initial aggregate of U.S. $750,000,000 in principal amount designated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4.950% Senior Notes due 2031 of the Company and is governed by the Indenture dated as of September 10, 1997, duly executed and delivered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formerly known as USA Waste Services, Inc., to The Bank of New York Mellon Trust Company, N.A. (the current successor to Texas Commerce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National Association) as trustee (the “Trustee”), as supplemented by Board Resolutions (as defined in the Indenture) (such Indenture and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Resolutions, collectively, the “Indenture”). The terms of the Indenture are incorporated herein by reference. This Security shall in all respects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same benefits as definitive Securities under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and to the extent that any provision of the Indenture limits, qualifies or conflicts with any other provision of the Indenture that is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the Indenture or is deemed applicable to the Indenture by virtue of the provisions of the Trust Indenture Act of 1939, as amended, such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shall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irrevocably undertakes to the Holder hereof to exchange this Security in accordance with the terms of the Indenture without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or become obligatory for any purpose until the Certificate of Authentication hereon shall have been manually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 the Trustee under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instrument to be duly executed under its corporate seal.</w:t>
      </w: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4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92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Attest: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4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Corporate Secretary</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AUTHENTICATION</w:t>
            </w:r>
          </w:p>
        </w:tc>
        <w:tc>
          <w:tcPr>
            <w:tcW w:w="17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spacing w:after="0"/>
              <w:rPr>
                <w:sz w:val="20"/>
                <w:szCs w:val="20"/>
                <w:color w:val="auto"/>
              </w:rPr>
            </w:pPr>
          </w:p>
        </w:tc>
        <w:tc>
          <w:tcPr>
            <w:tcW w:w="5160" w:type="dxa"/>
            <w:vAlign w:val="bottom"/>
          </w:tcPr>
          <w:p>
            <w:pPr>
              <w:spacing w:after="0"/>
              <w:rPr>
                <w:sz w:val="20"/>
                <w:szCs w:val="20"/>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within-mentioned Indenture.</w:t>
      </w: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spacing w:after="0"/>
              <w:rPr>
                <w:sz w:val="17"/>
                <w:szCs w:val="17"/>
                <w:color w:val="auto"/>
              </w:rPr>
            </w:pPr>
          </w:p>
        </w:tc>
        <w:tc>
          <w:tcPr>
            <w:tcW w:w="5160" w:type="dxa"/>
            <w:vAlign w:val="bottom"/>
          </w:tcPr>
          <w:p>
            <w:pPr>
              <w:spacing w:after="0"/>
              <w:rPr>
                <w:sz w:val="17"/>
                <w:szCs w:val="17"/>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of Authentication:</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The Bank of New York Mellon Trust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Company, N.A., as Trustee</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242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Authorized Officer  </w:t>
            </w:r>
          </w:p>
        </w:tc>
      </w:tr>
      <w:tr>
        <w:trPr>
          <w:trHeight w:val="234"/>
        </w:trPr>
        <w:tc>
          <w:tcPr>
            <w:tcW w:w="3660" w:type="dxa"/>
            <w:vAlign w:val="bottom"/>
          </w:tcPr>
          <w:p>
            <w:pPr>
              <w:spacing w:after="0"/>
              <w:rPr>
                <w:sz w:val="20"/>
                <w:szCs w:val="20"/>
                <w:color w:val="auto"/>
              </w:rPr>
            </w:pPr>
          </w:p>
        </w:tc>
        <w:tc>
          <w:tcPr>
            <w:tcW w:w="24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r>
      <w:tr>
        <w:trPr>
          <w:trHeight w:val="216"/>
        </w:trPr>
        <w:tc>
          <w:tcPr>
            <w:tcW w:w="36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tcPr>
          <w:p>
            <w:pPr>
              <w:spacing w:after="0"/>
              <w:rPr>
                <w:sz w:val="18"/>
                <w:szCs w:val="18"/>
                <w:color w:val="auto"/>
              </w:rPr>
            </w:pPr>
          </w:p>
        </w:tc>
      </w:tr>
    </w:tbl>
    <w:p>
      <w:pPr>
        <w:sectPr>
          <w:pgSz w:w="11900" w:h="16838" w:orient="portrait"/>
          <w:cols w:equalWidth="0" w:num="1">
            <w:col w:w="11240"/>
          </w:cols>
          <w:pgMar w:left="320" w:top="22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REVERSE OF BOOK-ENTRY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one of a duly authorized issue of unsecured debentures, notes or other evidences of indebtedness of the Company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the series hereinafter specified, all issued or to be issued under and pursuant to the Indenture, to which Indenture reference is hereby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the rights, limitations of rights, obligations, duties and immunities thereunder of the Trustee, the Company and the Holders of the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The Debt Securities may be issued in one or more series, which different series may be issued in various aggregate principal amounts,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mature at different times, may bear interest (if any) at different rates, may be subject to different sinking, purchase or analogous funds (if any) and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vary as provided in the Indenture. This Security is one of a series designated as the 4.950% Senior Notes due 2031 of the Company, in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amount of $750,000,000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i w:val="1"/>
          <w:iCs w:val="1"/>
          <w:color w:val="auto"/>
        </w:rPr>
        <w:t>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promises to pay interest on the principal amount of this Security at the rate of 4.950% per annum.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will pay interest semi-annually on January 3 and July 3 of each year (each an “Interest Payment Date”), commencing January 3, 2025. Interest on the Securities will accrue from the most recent date to which interest has been paid or, if no interest has been paid on the Securities, from July 3, 2024.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4.950% per annum, in each case to the extent lawful.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i w:val="1"/>
          <w:iCs w:val="1"/>
          <w:color w:val="auto"/>
        </w:rPr>
        <w:t>Method of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 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240 Greenwich Street, New York, New York, 10286 or at the option of the Company, payment of interest may be made by check mailed to the Holders on the Regular Record Date or on the Special Record Date at their addresses set forth in the Security Register of Holders.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i w:val="1"/>
          <w:iCs w:val="1"/>
          <w:color w:val="auto"/>
        </w:rPr>
        <w:t>Paying Agent and 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Initially, The Bank of New York Mellon Trust Company, N.A. will act as Paying Agent and Registrar. The Company may change any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Registrar or co-Registrar at any time upon notice to the Trustee and the Holders. The Company or any of its Subsidiaries may,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exceptions, act as Paying Agent, Registrar or co-Registrar.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i w:val="1"/>
          <w:iCs w:val="1"/>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is one of a duly authorized issue of Debt Securities of the Company issued and to be issued in one or more series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March 1, 2022 and August 21, 2023 (the “Resolutions”) and the written consent of the Sole Director of Waste Management Holdings, Inc. on June 18, 2024 (the “Consent”). The Securities are subject to all such terms, and Holders of Securities are referred to the Indenture, all indentures supplemental thereto, said Act, said Resolutions and said Consent and Officers’ Certificate for a statement of them. The Securities of this series are general unsecured obligations of the Company limited with an initial aggregate principal amount of $750,000,000.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i w:val="1"/>
          <w:iCs w:val="1"/>
          <w:color w:val="auto"/>
        </w:rPr>
        <w:t>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Prior to the Par Call Date, the Company may redeem the Securities at its option,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(expressed as a percentage of principal amount and rounded to three decimal places) equal to the greater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spacing w:after="0" w:line="250"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15 basis points, less (b) interest accrued to the Redemption Date,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100% of the principal amount of the Securities to be redeemed,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or after the Par Call Date, the Company may redeem the Securities at its option, in whole or in part, at any time and from time to time,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Securities to be redeemed, plus accrued and unpaid interest thereon to the Redemption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 Call Date” means May 3,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the yield determined by the Company in accordance with the following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spacing w:after="0" w:line="21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  </w:t>
      </w:r>
    </w:p>
    <w:p>
      <w:pPr>
        <w:spacing w:after="0" w:line="20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Securities called for redemption become due on the Redemption Date. Notices of redemption will be mailed or electronically delivered (or otherwise transmitted in accordance with the Depositary’s procedures) at least 10 but not more than 60 days before the Redemption Date to each holder of record of the Securities to be redeemed at its registered address. The notice of redemption for the Securities will state, among other things, the amount of Securities to be redeemed, the Redemption Date, the Redemption Price or, if not ascertainable, the manner of determining the Redemption Price and the place(s) that payment will be made upon presentation and surrender of Securities to be redeemed. Unless the Company defaults in payment of the Redemption Price, interest will cease to accrue on any Securities that have been called for redemption at the Redemption Date. If less than all the Securities are redeemed at any time, the Trustee will select the Securities to be redeemed on a pro rata basis, by lot or by such other method as the Trustee in its sole discretion deems appropriate and fair. In the case of Securities in global form, the Depositary will determine the allocation of the Redemption Price among beneficial owners in such global Securities in accordance with the Depositary’s applicable procedures.  </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above, the Securities will not be redeemable prior to their Stated Maturity and will not be entitled to the benefit of any sinking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may be redeemed in part in a minimum principal amount of $2,000, or any integral multiple of $1,000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such redemption will also comply with Article Eleven of the 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i w:val="1"/>
          <w:iCs w:val="1"/>
          <w:color w:val="auto"/>
        </w:rPr>
        <w:t>Change of Control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Change of Control Triggering Event occurs, unless the Company has exercised its option to redeem the Securities as described in Section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shall make an offer (a “Change of Control Offer”) to each Holder of the Securities to repurchase all or any part (equal to $2,000 or an integral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multiple of $1,000 in excess thereof) of that Holder’s Securities on the terms set forth herein. In a Change of Control Offer, the Company shall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in cash equal to 101% of the aggregate principal amount of Securities repurchased (a “Change of Control Payment”), plus accrued and unpaid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if any, on the Securities repurchased to the date of repurchase, subject to the right of holders of record on the applicable record date to receive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due on the next Interest Payment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offering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  </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Change of Control Payment Date, the Company shall, to the extent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Securities or portions of Securities properly tendered and not withdrawn pursuant to the Change of Control Offer;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right="20" w:hanging="644"/>
        <w:spacing w:after="0" w:line="250" w:lineRule="auto"/>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Change of Control Payment in respect of all Securities or portions of Securities properly tendered;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hanging="644"/>
        <w:spacing w:after="0" w:line="250"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need not make a Change of Control Offer upon the occurrence of a Change of Control Triggering Event if a third party makes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offer in the manner, at the times and otherwise in compliance with the requirements for an offer made by the Company and the third party repurchases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Securities properly tendered and not withdrawn under its offer. In addition, the Company shall not repurchase any Securities if there has occurred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on the Change of Control Payment Date an Event of Default under the Indenture, other than a default in the payment of the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upon a Change of Control Triggering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will comply with those securities laws and regulations and will not be deemed to have breached its obligations under the Change of Control Offer provisions of this Security by virtue of any such conflict.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Change of Control Offer provisions of the Securities, the following terms are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the liquidation or dissolution of the Company.  </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the preceding, a transaction will not be deemed to involve a Change of Control under clause (2) above if (i)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becomes a direct or indirect wholly-owned subsidiary of a holding company and (ii)(A) the direct or indirect holders of the Voting Stock of such holding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immediately following that transaction are substantially the same as the holders of Voting Stock of the Company immediately prior to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or (B) immediately following that transaction no person (other than a holding company satisfying the requirements of this sentence) is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 directly or indirectly, of more than 50% of the Voting Stock of such holding company. The term “person,” as used in this definition,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meaning given thereto in Section 13(d)(3) of the Exchange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“Fitch” means Fitch Inc.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“Investment Grade Rating” means a rating equal to or higher than BBB- (or the equivalent) by Fitch, Baa3 (or the equivalent) by Moody’s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BBB- (or the equivalent) by S&amp;P, and the equivalent investment grade credit rating from any replacement Rating Agency or Rating Agencies selected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“Moody’s” means Moody’s Investors Service, Inc.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Section 3(a)(62) of the Exchange Act selected by the Company (as certified by a resolution of the Board of Directors of the Company) as a replacement agency for Fitch, Moody’s or S&amp;P, or all of them, as the case may be.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“Rating Event” means the rating on the Securities is lowered by at least two of the three Rating Agencies and the Securities are rated below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Grade Rating by at least two of the three Rating Agencies, in any case on any day during the period (which period will be extended so long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rating of the Securities is under publicly announced consideration for a possible downgrade by any of the rating agencies) commencing 60 days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public notice of the occurrence of a Change of Control or the Company’s intention to effect a Change of Control and ending 60 days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consummation of such Change of Control.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  </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i w:val="1"/>
          <w:iCs w:val="1"/>
          <w:color w:val="auto"/>
        </w:rPr>
        <w:t>Denominations; Transfer;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are issued in registered form, without coupons, in a minimum denomination of $2,000 and integral multiples of $1,000 in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A Holder may register the transfer of, or exchange, Securities in accordance with the Indenture. The Securities Registrar may require a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to furnish appropriate endorsements and transfer documents and to pay any taxes and fees required by law or permitted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i w:val="1"/>
          <w:iCs w:val="1"/>
          <w:color w:val="auto"/>
        </w:rPr>
        <w:t>Person Deemed Owners.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registered Holder of a Security may be treated as the owner of it for all purposes.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i w:val="1"/>
          <w:iCs w:val="1"/>
          <w:color w:val="auto"/>
        </w:rPr>
        <w:t>Amendment; Supplement; Waiver.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certain exceptions, the Indenture may be amended or supplemented, and any existing Event of Default or compliance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may be waived, with the consent of the Holders of a majority in principal amount of the Outstanding Debt Securities of each series affected.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consent of any Holder, the parties thereto may amend or supplement the Indenture or the Securities to, among other things, cure any ambiguity,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defect or inconsistency, or make any other change that does not adversely affect the interests of any Holder of a Security in any material respect.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or waiver by the Holder of this Security (unless revoked as provided in the Indenture) shall be conclusive and binding upon such Holder and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future Holders and owners of this Security and any Securities which may be issued in exchange or substitution herefor, irrespective of whether or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notation thereof is made upon this Security or such other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i w:val="1"/>
          <w:iCs w:val="1"/>
          <w:color w:val="auto"/>
        </w:rPr>
        <w:t>Defaults and Remedies.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an Event of Default with respect to the Securities occurs and is continuing, then in every such case the Trustee or the Holders of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in principal amount of the Securities then Outstanding may declare the principal amount of all the Securities to be due and payable immediately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and with the effect provided in the Indenture. Notwithstanding the preceding sentence, however, if at any time after such a declaration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has been made and before judgment or decree for payment of the money due has been obtained by the Trustee as provided in the Indenture,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 majority in principal amount of the Outstanding Securities, by written notice to the Company and to the Trustee, may rescind and annul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declaration and its consequences if (1) the Company has paid or deposited with the Trustee a sum sufficient to pay (A) all overdue interest on all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the principal of (and premium, if any, on) any Securities which has become due otherwise than by such declaration of acceleration and any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thereon at the rate prescribed therefor herein, (C) to the extent that payment of such interest is lawful, interest upon overdue interest at the rate prescribed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 herein, and (D) all sums paid or advanced by the Trustee and the reasonable compensation, expenses, disbursements and advances of the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agents and counsel and (2) all Events of Default under the Indenture with respect to the Securities, other than the nonpayment of the principal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which has become due solely by such declaration acceleration, shall have been cured or shall have been waived. No such rescission shall affect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subsequent Event of Default or shall impair any right consequent thereon. Holders of Securities may not enforce the Indenture or the Securities except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provided in the Indenture. The Trustee may require indemnity satisfactory to it before it enforces the Indenture or the Securities. Subject to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limitations, Holders of a majority in aggregate principal amount of the Securities then outstanding may direct the Trustee in its exercise of any trust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i w:val="1"/>
          <w:iCs w:val="1"/>
          <w:color w:val="auto"/>
        </w:rPr>
        <w:t>Trustee Dealings with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Trustee under the Indenture, in its individual or any other capacity, may make loans to, accept deposits from, and perform services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and its Affiliates and any subsidiary of the Company’s Affiliates, and may otherwise deal with the Company and its Affiliates as if it were not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i w:val="1"/>
          <w:iCs w:val="1"/>
          <w:color w:val="auto"/>
        </w:rPr>
        <w:t>Authentication.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not be valid until the Trustee or authenticating agent signs the certificate of authentication on the other side of this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i w:val="1"/>
          <w:iCs w:val="1"/>
          <w:color w:val="auto"/>
        </w:rPr>
        <w:t>Abbreviations and Defined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Customary abbreviations may be used in the name of a Holder of a Security or an assignee, such as: TEN COM (tenant in common), TEN 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by the entireties), JT TEN (joint tenants with right of survivorship and not as tenants in common), CUST (Custodian), and U/G/M/A (Uniform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Gifts to Minors 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i w:val="1"/>
          <w:iCs w:val="1"/>
          <w:color w:val="auto"/>
        </w:rPr>
        <w:t>CUSIP 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i w:val="1"/>
          <w:iCs w:val="1"/>
          <w:color w:val="auto"/>
        </w:rPr>
        <w:t>Absolute Obligation.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the Indenture shall alter or impair the obligation of the Company,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absolute and unconditional, to pay the principal of, premium, if any, and interest on this Security in the manner, at the respective times, at the rate and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coin or currency herein prescribed.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i w:val="1"/>
          <w:iCs w:val="1"/>
          <w:color w:val="auto"/>
        </w:rPr>
        <w:t>No Recourse.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i w:val="1"/>
          <w:iCs w:val="1"/>
          <w:color w:val="auto"/>
        </w:rPr>
        <w:t>Governing Law.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Security shall be construed in accordance with and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i w:val="1"/>
          <w:iCs w:val="1"/>
          <w:color w:val="auto"/>
        </w:rPr>
        <w:t>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will be fully and unconditionally guaranteed on a senior basis by the Company’s wholly owned subsidiary, Waste Management Holdings, Inc., pursuant to the terms and conditions of a Guarantee, dated as of July 3, 2024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i w:val="1"/>
          <w:iCs w:val="1"/>
          <w:color w:val="auto"/>
        </w:rPr>
        <w:t>Satisfaction and Discharge.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Securities will be subject to Section 401 of the Indenture; provided, however, that solely with respect to the Securities, the following sentence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added to the end of Section 401(1)(B) of the Indenture: “(provided that, upon any redemption that requires the payment of any make-whole or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 (x) the amount of cash that must be deposited shall be determined using an assumed applicable premium calculated as of the date of such deposit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(y) the Company shall deposit any deficit in trust on or prior to the Redemption Date as necessary to pay the applicable premium as determined by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OF EXCHANGES OF DEFINITIVE SECURITY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exchanges of a part of this Book-Entry Security for definitive Securities have been made: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gridSpan w:val="2"/>
          </w:tcPr>
          <w:p>
            <w:pPr>
              <w:jc w:val="center"/>
              <w:ind w:right="200"/>
              <w:spacing w:after="0" w:line="203" w:lineRule="exact"/>
              <w:rPr>
                <w:sz w:val="20"/>
                <w:szCs w:val="20"/>
                <w:color w:val="auto"/>
              </w:rPr>
            </w:pPr>
            <w:r>
              <w:rPr>
                <w:rFonts w:ascii="Times New Roman" w:cs="Times New Roman" w:eastAsia="Times New Roman" w:hAnsi="Times New Roman"/>
                <w:sz w:val="18"/>
                <w:szCs w:val="18"/>
                <w:b w:val="1"/>
                <w:bCs w:val="1"/>
                <w:color w:val="auto"/>
                <w:w w:val="95"/>
              </w:rPr>
              <w:t> Amount of</w:t>
            </w:r>
          </w:p>
        </w:tc>
        <w:tc>
          <w:tcPr>
            <w:tcW w:w="20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Amount of increase</w:t>
            </w:r>
          </w:p>
        </w:tc>
        <w:tc>
          <w:tcPr>
            <w:tcW w:w="200" w:type="dxa"/>
            <w:vAlign w:val="bottom"/>
          </w:tcPr>
          <w:p>
            <w:pPr>
              <w:spacing w:after="0"/>
              <w:rPr>
                <w:sz w:val="17"/>
                <w:szCs w:val="17"/>
                <w:color w:val="auto"/>
              </w:rPr>
            </w:pPr>
          </w:p>
        </w:tc>
        <w:tc>
          <w:tcPr>
            <w:tcW w:w="20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decrease in</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Principal</w:t>
            </w:r>
          </w:p>
        </w:tc>
        <w:tc>
          <w:tcPr>
            <w:tcW w:w="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this Book-Entry</w:t>
            </w:r>
          </w:p>
        </w:tc>
        <w:tc>
          <w:tcPr>
            <w:tcW w:w="2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 of</w:t>
            </w:r>
          </w:p>
        </w:tc>
      </w:tr>
      <w:tr>
        <w:trPr>
          <w:trHeight w:val="216"/>
        </w:trPr>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this</w:t>
            </w:r>
          </w:p>
        </w:tc>
        <w:tc>
          <w:tcPr>
            <w:tcW w:w="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following</w:t>
            </w:r>
          </w:p>
        </w:tc>
        <w:tc>
          <w:tcPr>
            <w:tcW w:w="20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authorized officer</w:t>
            </w:r>
          </w:p>
        </w:tc>
      </w:tr>
      <w:tr>
        <w:trPr>
          <w:trHeight w:val="216"/>
        </w:trPr>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this Book-Entry</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2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such decrease (or</w:t>
            </w:r>
          </w:p>
        </w:tc>
        <w:tc>
          <w:tcPr>
            <w:tcW w:w="200" w:type="dxa"/>
            <w:vAlign w:val="bottom"/>
          </w:tcPr>
          <w:p>
            <w:pPr>
              <w:spacing w:after="0"/>
              <w:rPr>
                <w:sz w:val="18"/>
                <w:szCs w:val="18"/>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Trustee or</w:t>
            </w:r>
          </w:p>
        </w:tc>
      </w:tr>
      <w:tr>
        <w:trPr>
          <w:trHeight w:val="252"/>
        </w:trPr>
        <w:tc>
          <w:tcPr>
            <w:tcW w:w="100" w:type="dxa"/>
            <w:vAlign w:val="bottom"/>
          </w:tcPr>
          <w:p>
            <w:pPr>
              <w:spacing w:after="0"/>
              <w:rPr>
                <w:sz w:val="21"/>
                <w:szCs w:val="21"/>
                <w:color w:val="auto"/>
              </w:rPr>
            </w:pPr>
          </w:p>
        </w:tc>
        <w:tc>
          <w:tcPr>
            <w:tcW w:w="2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Date of Exchange</w:t>
            </w:r>
          </w:p>
        </w:tc>
        <w:tc>
          <w:tcPr>
            <w:tcW w:w="200" w:type="dxa"/>
            <w:vAlign w:val="bottom"/>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20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0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20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Custodian</w:t>
            </w:r>
          </w:p>
        </w:tc>
        <w:tc>
          <w:tcPr>
            <w:tcW w:w="100" w:type="dxa"/>
            <w:vAlign w:val="bottom"/>
          </w:tcPr>
          <w:p>
            <w:pPr>
              <w:spacing w:after="0"/>
              <w:rPr>
                <w:sz w:val="21"/>
                <w:szCs w:val="21"/>
                <w:color w:val="auto"/>
              </w:rPr>
            </w:pPr>
          </w:p>
        </w:tc>
      </w:tr>
      <w:tr>
        <w:trPr>
          <w:trHeight w:val="209"/>
        </w:trPr>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432"/>
        </w:trPr>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Favor of The Bank of New York Mellon Trust Company, N.A., as Trustee for the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4.950% Senior Notes due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GUARANTEE, dated as of July 3,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4.950% Senior Notes due 2027 (the “Debt Securities”) of Waste Management, Inc. (formerly known as USA Waste Services, Inc.), a Delaware corporation (the “Issuer”).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of the principal of, premium, if any, and interest on the Debt Securities and any amounts and obligations due and payable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under Section 607 of the Indenture (as amended, modified or otherwise supplemented from time to time, the “Indenture”),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1997, between the Issuer, as successor to USA Waste Services, Inc., and The Bank of New York Mellon Trust Company, N.A.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to Texas Commerce Bank National Association), as trustee (the “Trustee”) (the “Obligations”), according to the terms of the Debt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the Uniform Fraudulent Conveyance Act, the Uniform Fraudulent Transfer Act or any similar federal or state law to the extent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Guarantee. To effectuate the foregoing intention, the amount guaranteed by the Guarantor under this Guarantee shall be limited to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as will, after giving effect to such maximum amount and all other contingent and fixed liabilities of the Guarantor (other than guarantees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in respect of subordinated debt) that are relevant under such laws, result in the Obligations of the Guarantor under this Guarantee not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fraudulent transfer or conveyance. For purposes hereof, “Bankruptcy Law” means Title 11, U.S. Code, or any similar Federal or state law for the relief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firstLine="972"/>
        <w:spacing w:after="0" w:line="250"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firstLine="972"/>
        <w:spacing w:after="0" w:line="250"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The Guarantor shall be subrogated to all rights of the Trustee or the holders of any Debt Securities against the Issuer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amounts paid to the Trustee or such holder by the Guarantor pursuant to the provisions of this Guarantee; provided, however, that the Guarantor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entitled to enforce, or to receive any payments arising out of, or based upon, such right of subrogation until all Obligations shall have been 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(ii) be binding upon the Guarantor, its successors and assigns, and (iii) inure to the benefit of and be enforceable by any holder of Debt Securities, the Trustee, and by their respective successors, transferees, and assigns.  </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Debt Securities; provided, however, that if such amendment adversely affects the rights of the Trustee or any holder of the Debt Securities,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of the Trustee shall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tbl>
      <w:tblPr>
        <w:tblLayout w:type="fixed"/>
        <w:tblInd w:w="0" w:type="dxa"/>
        <w:tblCellMar>
          <w:top w:w="0" w:type="dxa"/>
          <w:left w:w="0" w:type="dxa"/>
          <w:bottom w:w="0" w:type="dxa"/>
          <w:right w:w="0" w:type="dxa"/>
        </w:tblCellMar>
      </w:tblPr>
      <w:tr>
        <w:trPr>
          <w:trHeight w:val="198"/>
        </w:trPr>
        <w:tc>
          <w:tcPr>
            <w:tcW w:w="22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3380"/>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2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Bennett</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ind w:left="338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vMerge w:val="restart"/>
          </w:tcPr>
          <w:p>
            <w:pPr>
              <w:ind w:left="2320"/>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8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8980" w:type="dxa"/>
            <w:vAlign w:val="bottom"/>
            <w:gridSpan w:val="2"/>
          </w:tcPr>
          <w:p>
            <w:pPr>
              <w:ind w:left="2180"/>
              <w:spacing w:after="0"/>
              <w:rPr>
                <w:sz w:val="20"/>
                <w:szCs w:val="20"/>
                <w:color w:val="auto"/>
              </w:rPr>
            </w:pPr>
            <w:r>
              <w:rPr>
                <w:rFonts w:ascii="Times New Roman" w:cs="Times New Roman" w:eastAsia="Times New Roman" w:hAnsi="Times New Roman"/>
                <w:sz w:val="18"/>
                <w:szCs w:val="18"/>
                <w:i w:val="1"/>
                <w:iCs w:val="1"/>
                <w:color w:val="auto"/>
              </w:rPr>
              <w:t>(4.950% Senior Notes due 2027)</w:t>
            </w: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GUARANTEE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BY 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(formerly known as 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Favor of The Bank of New York Mellon Trust Company, N.A., as Trustee for the 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Certain Debt Securities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July 3,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GUARANTEE, dated as of July 3, 2024 (as amended from time to time, this “Guarantee”), made by Waste Management Holdings, Inc. (formerly known as Waste Management, Inc.), a Delaware corporation (the “Guarantor”), in favor of The Bank of New York Mellon Trust Company, N.A., as trustee for the holders of the $750,000,000 aggregate principal amount of 4.950% Senior Notes due 2031 (the “Debt Securities”) of Waste Management, Inc. (formerly known as USA Waste Services, Inc.), a Delaware corporation (the “Issuer”).  </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WITNESSETH: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Guarantor hereby unconditionally guarantees the punctual payment when due, whether at stated maturity, by acceleration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of the principal of, premium, if any, and interest on the Debt Securities and any amounts and obligations due and payable with respect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Securities under Section 607 of the Indenture (as amended, modified or otherwise supplemented from time to time, the “Indenture”), dated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10, 1997, between the Issuer, as successor to USA Waste Services, Inc., and The Bank of New York Mellon Trust Company, N.A. (the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 to Texas Commerce Bank National Association), as trustee (the “Trustee”) (the “Obligations”), according to the terms of the Debt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as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It is the intention of the Guarantor that this Guarantee not constitute a fraudulent transfer or conveyance for purposes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Bankruptcy Law, the Uniform Fraudulent Conveyance Act, the Uniform Fraudulent Transfer Act or any similar federal or state law to the extent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Guarantee. To effectuate the foregoing intention, the amount guaranteed by the Guarantor under this Guarantee shall be limited to the maximum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as will, after giving effect to such maximum amount and all other contingent and fixed liabilities of the Guarantor (other than guarantees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in respect of subordinated debt) that are relevant under such laws, result in the Obligations of the Guarantor under this Guarantee not constituting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fraudulent transfer or conveyance. For purposes hereof, “Bankruptcy Law” means Title 11, U.S. Code, or any similar Federal or state law for the relief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Guarantee Absolute</w:t>
      </w:r>
      <w:r>
        <w:rPr>
          <w:rFonts w:ascii="Times New Roman" w:cs="Times New Roman" w:eastAsia="Times New Roman" w:hAnsi="Times New Roman"/>
          <w:sz w:val="18"/>
          <w:szCs w:val="18"/>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any lack of validity or enforceability of the Indenture, the Debt Securities or any other agreement or instrument relating thereto;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firstLine="972"/>
        <w:spacing w:after="0" w:line="250" w:lineRule="auto"/>
        <w:rPr>
          <w:sz w:val="20"/>
          <w:szCs w:val="20"/>
          <w:color w:val="auto"/>
        </w:rPr>
      </w:pPr>
      <w:r>
        <w:rPr>
          <w:rFonts w:ascii="Times New Roman" w:cs="Times New Roman" w:eastAsia="Times New Roman" w:hAnsi="Times New Roman"/>
          <w:sz w:val="18"/>
          <w:szCs w:val="18"/>
          <w:color w:val="auto"/>
        </w:rPr>
        <w:t>(ii)            any change in the time, manner or place of payment of, or in any other term of, all or any of the Obligations, or any other amendment or waiver of or any consent to departure from the Indenture;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20" w:firstLine="972"/>
        <w:spacing w:after="0" w:line="250" w:lineRule="auto"/>
        <w:rPr>
          <w:sz w:val="20"/>
          <w:szCs w:val="20"/>
          <w:color w:val="auto"/>
        </w:rPr>
      </w:pPr>
      <w:r>
        <w:rPr>
          <w:rFonts w:ascii="Times New Roman" w:cs="Times New Roman" w:eastAsia="Times New Roman" w:hAnsi="Times New Roman"/>
          <w:sz w:val="18"/>
          <w:szCs w:val="18"/>
          <w:color w:val="auto"/>
        </w:rPr>
        <w:t>(iii)           any exchange, release or non-perfection of any collateral, or any release or amendment or waiver of or consent to departure from any other guaranty, for all or any of the Obligations;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any other circumstance which might otherwise constitute a defense available to, or a discharge of, the Issuer or a guarantor.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Guarantor covenants and agrees that its obligation to make payments of the Obligations hereunder constitutes an unsecured obligation of the Guarantor ranking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existing and future senior indebtedness of the Guarantor and (b) senior in right of payment to all existing and future subordinated indebtedness of the Guarantor.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Waiver; Subrogation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  </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Guarantor shall be subrogated to all rights of the Trustee or the holders of any Debt Securities against the Issuer in respect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amounts paid to the Trustee or such holder by the Guarantor pursuant to the provisions of this Guarantee; provided, however, that the Guarantor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entitled to enforce, or to receive any payments arising out of, or based upon, such right of subrogation until all Obligations shall have been paid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No Waiver, Remedies</w:t>
      </w:r>
      <w:r>
        <w:rPr>
          <w:rFonts w:ascii="Times New Roman" w:cs="Times New Roman" w:eastAsia="Times New Roman" w:hAnsi="Times New Roman"/>
          <w:sz w:val="18"/>
          <w:szCs w:val="18"/>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  </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Continuing Guarantee; Transfer of Interest</w:t>
      </w:r>
      <w:r>
        <w:rPr>
          <w:rFonts w:ascii="Times New Roman" w:cs="Times New Roman" w:eastAsia="Times New Roman" w:hAnsi="Times New Roman"/>
          <w:sz w:val="18"/>
          <w:szCs w:val="18"/>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Seventh Amended and Restated Revolving Credit Agreement dated as of May 8, 2024 by and among the Issuer, Waste Management of Canada Corporation, WM Quebec Inc., the Guarantor (as guarantor), certain banks party thereto, and Bank of America, N.A., as administrative agent (or under any replacement or new principal credit facility of the Issuer), (ii) be binding upon the Guarantor, its successors and assigns, and (iii) inure to the benefit of and be enforceable by any holder of Debt Securities, the Trustee, and by their respective successors, transferees, and assigns.  </w:t>
      </w:r>
    </w:p>
    <w:p>
      <w:pPr>
        <w:spacing w:after="0" w:line="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  </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Guarantor may amend this Guarantee at any time for any purpose without the consent of the Trustee or any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Debt Securities; provided, however, that if such amendment adversely affects the rights of the Trustee or any holder of the Debt Securities,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 consent of the Trustee shall be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GUARANTEE SHALL BE GOVERNED BY, AND CONSTRUED IN ACCORDANCE WITH, THE LAWS OF THE STATE OF NEW YORK, WITHOUT REGARD TO THE PROVISIONS THEREOF RELATING TO CONFLICT OF LAWS.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color w:val="auto"/>
        </w:rPr>
        <w:t> </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WITNESS WHEREOF, the Guarantor has caused this Guarantee to be duly executed and delivered by its officer thereunto duly authorized as of the date first above written.</w:t>
      </w:r>
    </w:p>
    <w:tbl>
      <w:tblPr>
        <w:tblLayout w:type="fixed"/>
        <w:tblInd w:w="0" w:type="dxa"/>
        <w:tblCellMar>
          <w:top w:w="0" w:type="dxa"/>
          <w:left w:w="0" w:type="dxa"/>
          <w:bottom w:w="0" w:type="dxa"/>
          <w:right w:w="0" w:type="dxa"/>
        </w:tblCellMar>
      </w:tblPr>
      <w:tr>
        <w:trPr>
          <w:trHeight w:val="198"/>
        </w:trPr>
        <w:tc>
          <w:tcPr>
            <w:tcW w:w="23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Leslie K. Nagy</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1"/>
        </w:trPr>
        <w:tc>
          <w:tcPr>
            <w:tcW w:w="2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3320"/>
              <w:spacing w:after="0" w:line="191"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 Bennett</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6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92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8"/>
                <w:szCs w:val="18"/>
                <w:i w:val="1"/>
                <w:iCs w:val="1"/>
                <w:color w:val="auto"/>
              </w:rPr>
              <w:t>Signature Page to Guarantee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8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(4.950% Senior Notes due 2031)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240"/>
          </w:cols>
          <w:pgMar w:left="320" w:top="220" w:right="339" w:bottom="1440" w:gutter="0" w:footer="0" w:header="0"/>
        </w:sectPr>
      </w:pPr>
    </w:p>
    <w:bookmarkStart w:id="88" w:name="page89"/>
    <w:bookmarkEnd w:id="88"/>
    <w:tbl>
      <w:tblPr>
        <w:tblLayout w:type="fixed"/>
        <w:tblInd w:w="552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9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r>
      <w:tr>
        <w:trPr>
          <w:trHeight w:val="41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910 LOUISIANA</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AUSTIN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HOUSTON, TEXAS</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BRUSSELS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PALO ALTO</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77002-4995</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DALLAS</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RIYADH</w:t>
            </w:r>
          </w:p>
        </w:tc>
      </w:tr>
      <w:tr>
        <w:trPr>
          <w:trHeight w:val="216"/>
        </w:trPr>
        <w:tc>
          <w:tcPr>
            <w:tcW w:w="2160" w:type="dxa"/>
            <w:vAlign w:val="bottom"/>
          </w:tcPr>
          <w:p>
            <w:pPr>
              <w:spacing w:after="0"/>
              <w:rPr>
                <w:sz w:val="18"/>
                <w:szCs w:val="18"/>
                <w:color w:val="auto"/>
              </w:rPr>
            </w:pP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DUBAI</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SAN FRANCISCO</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TEL +1 713.229.1234</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HOUSTON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FAX +1 713.229.1522</w:t>
            </w:r>
          </w:p>
        </w:tc>
        <w:tc>
          <w:tcPr>
            <w:tcW w:w="1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LONDON</w:t>
            </w:r>
          </w:p>
        </w:tc>
        <w:tc>
          <w:tcPr>
            <w:tcW w:w="1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WASHINGTON</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BakerBotts.com</w:t>
            </w:r>
          </w:p>
        </w:tc>
        <w:tc>
          <w:tcPr>
            <w:tcW w:w="166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2040255" cy="265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40255" cy="2654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Capitol Street, Suite 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Waste Management, Inc., a Delaware corporation (the “Company”), and Waste Management Holdings, Inc., a Delaware corporation (“Holdings”), have engaged us to render the opinions expressed below in connection with the Company’s proposed issuance of $750,000,000 aggregate principal amount of its 4.950% Senior Notes due 2027 and $750,000,000 aggregate principal amount of its 4.950% Senior Notes due 2031 (collectively, the “Notes”) and the issuance of the related guarantees of the Notes by Holdings (the “Guarantees”), as contemplated by the Registration Statement on Form S-3 (Registration No. 333-264493)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Registration Statement has been filed with the Commission and became effective upon filing. The Company’s prospectus dated April 26, 2022 and prospectus supplement dated June 24, 2024 relating to the Notes (collectively, the “Prospectus”) have been filed with the Commission pursuant to Rule 424(b) under the Act.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Company and Holdings entered into an Underwriting Agreement (the “Underwriting Agreement”), dated June 24, 2024, with BNP Paribas Securities Corp., SMBC Nikko Securities America, Inc., Truist Securities, Inc. and Wells Fargo Securities, LLC,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N.A., as the current successor to Texas Commerce Bank National Association, as trustee.</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our capacity as counsel to the Company and Holdings in connection with the matters referred to above, we have examined the following: (i) the Fourth Restated Certificate of Incorporation and the Amended and Restated By-Laws of the Company, each as amended to date; (ii) the Third Restated Certificate of Incorporation and the Amended and Restated By-Laws of Holdings, each as amended to date; (iii) the Indenture; (iv) the form of Officers’ Certificates to be delivered pursuant to Section 301 of the Indenture; (v) the form of Guarantees to be entered into by Holdings in favor of the holders of the Notes concurrently with the issuance of the Notes under the Indenture (the “Guarantee Agreements”); (vi) the Underwriting Agreement;</w:t>
      </w:r>
    </w:p>
    <w:p>
      <w:pPr>
        <w:spacing w:after="0" w:line="3" w:lineRule="exact"/>
        <w:rPr>
          <w:sz w:val="20"/>
          <w:szCs w:val="20"/>
          <w:color w:val="auto"/>
        </w:rPr>
      </w:pPr>
    </w:p>
    <w:p>
      <w:pPr>
        <w:jc w:val="both"/>
        <w:ind w:firstLine="8"/>
        <w:spacing w:after="0" w:line="251" w:lineRule="auto"/>
        <w:tabs>
          <w:tab w:leader="none" w:pos="3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and (viii) originals, or copies certified or otherwise identified, of corporate records of the Company and Holdings, certificates of public officials and of representatives of the Company and Holdings, statutes and other instruments and documents as we have deemed necessary or advisable as a basis for the opinions hereinafter expressed. In giving the opinions set forth below, we have relied, with your consent and without independent investigation or verification, to the extent we deemed appropriate, upon certificates, statements or other representations of officers or other representatives of the Company and Holdings and of governmental and public officials with respect to the accuracy and completeness of the factual matters contained in or covered by such certificates, statements or representations. In making our examination, we have assumed, with your consent and without independent investigation or verification, the legal capacity and competency of all natural persons, that all signatures on documents examined by us are genuine, all documents submitted to us as originals are authentic and complete, all documents submitted to us as copies are true, correct and complete copies of the originals thereof and all information submitted to us was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-2-</w:t>
            </w:r>
          </w:p>
        </w:tc>
        <w:tc>
          <w:tcPr>
            <w:tcW w:w="326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7"/>
              </w:rPr>
              <w:t>June 25, 2024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1405890"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146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limitations and qualifications set forth herein, we are of the opinion that</w:t>
      </w:r>
    </w:p>
    <w:p>
      <w:pPr>
        <w:spacing w:after="0" w:line="27" w:lineRule="exact"/>
        <w:rPr>
          <w:sz w:val="20"/>
          <w:szCs w:val="20"/>
          <w:color w:val="auto"/>
        </w:rPr>
      </w:pPr>
    </w:p>
    <w:p>
      <w:pPr>
        <w:jc w:val="both"/>
        <w:ind w:firstLine="8"/>
        <w:spacing w:after="0" w:line="251" w:lineRule="auto"/>
        <w:tabs>
          <w:tab w:leader="none" w:pos="2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will, when they have been duly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(ii) the Guarantees will, when Holdings has duly executed and delivered the Guarantee Agreements and the Notes have been duly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396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39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-3-</w:t>
            </w:r>
          </w:p>
        </w:tc>
        <w:tc>
          <w:tcPr>
            <w:tcW w:w="3260" w:type="dxa"/>
            <w:vAlign w:val="bottom"/>
          </w:tcPr>
          <w:p>
            <w:pPr>
              <w:ind w:left="2260"/>
              <w:spacing w:after="0"/>
              <w:rPr>
                <w:sz w:val="20"/>
                <w:szCs w:val="20"/>
                <w:color w:val="auto"/>
              </w:rPr>
            </w:pPr>
            <w:r>
              <w:rPr>
                <w:rFonts w:ascii="Times New Roman" w:cs="Times New Roman" w:eastAsia="Times New Roman" w:hAnsi="Times New Roman"/>
                <w:sz w:val="18"/>
                <w:szCs w:val="18"/>
                <w:color w:val="auto"/>
                <w:w w:val="97"/>
              </w:rPr>
              <w:t>June 25, 2024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157480</wp:posOffset>
            </wp:positionV>
            <wp:extent cx="140589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146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opinions set forth in this letter are limited in all respects to matters of the General Corporation Law of the State of Delaware and the contract law of the State of New York, each as currently in effect.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Company’s Current Report on Form 8-K to be filed with the Commission on the date hereof and to the incorporation by reference of this opinion letter into the Registration Statement. We also consent to the reference to our Firm under the heading “Legal Matters” in the Prospectus. In giving this consent, we do not hereby admit that we are in the category of persons whose consent is required under Section 7 of the Act or the rules and regulations of the Commission thereunder.</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8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4"/>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8"/>
    </w:lvl>
    <w:lvl w:ilvl="1">
      <w:lvlJc w:val="left"/>
      <w:lvlText w:val="(%2)"/>
      <w:numFmt w:val="decimal"/>
      <w:start w:val="1"/>
    </w:lvl>
  </w:abstractNum>
  <w:abstractNum w:abstractNumId="11">
    <w:nsid w:val="2443A858"/>
    <w:multiLevelType w:val="hybridMultilevel"/>
    <w:lvl w:ilvl="0">
      <w:lvlJc w:val="left"/>
      <w:lvlText w:val="(%1)"/>
      <w:numFmt w:val="decimal"/>
      <w:start w:val="10"/>
    </w:lvl>
  </w:abstractNum>
  <w:abstractNum w:abstractNumId="12">
    <w:nsid w:val="2D1D5AE9"/>
    <w:multiLevelType w:val="hybridMultilevel"/>
    <w:lvl w:ilvl="0">
      <w:lvlJc w:val="left"/>
      <w:lvlText w:val="(%1)"/>
      <w:numFmt w:val="decimal"/>
      <w:start w:val="15"/>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upperLetter"/>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3"/>
    </w:lvl>
  </w:abstractNum>
  <w:abstractNum w:abstractNumId="18">
    <w:nsid w:val="B03E0C6"/>
    <w:multiLevelType w:val="hybridMultilevel"/>
    <w:lvl w:ilvl="0">
      <w:lvlJc w:val="left"/>
      <w:lvlText w:val="(%1)"/>
      <w:numFmt w:val="decimal"/>
      <w:start w:val="4"/>
    </w:lvl>
  </w:abstractNum>
  <w:abstractNum w:abstractNumId="19">
    <w:nsid w:val="189A769B"/>
    <w:multiLevelType w:val="hybridMultilevel"/>
    <w:lvl w:ilvl="0">
      <w:lvlJc w:val="left"/>
      <w:lvlText w:val="(%1)"/>
      <w:numFmt w:val="decimal"/>
      <w:start w:val="6"/>
    </w:lvl>
  </w:abstractNum>
  <w:abstractNum w:abstractNumId="20">
    <w:nsid w:val="54E49EB4"/>
    <w:multiLevelType w:val="hybridMultilevel"/>
    <w:lvl w:ilvl="0">
      <w:lvlJc w:val="left"/>
      <w:lvlText w:val="(%1)"/>
      <w:numFmt w:val="decimal"/>
      <w:start w:val="7"/>
    </w:lvl>
  </w:abstractNum>
  <w:abstractNum w:abstractNumId="21">
    <w:nsid w:val="71F32454"/>
    <w:multiLevelType w:val="hybridMultilevel"/>
    <w:lvl w:ilvl="0">
      <w:lvlJc w:val="left"/>
      <w:lvlText w:val="(%1)"/>
      <w:numFmt w:val="decimal"/>
      <w:start w:val="8"/>
    </w:lvl>
  </w:abstractNum>
  <w:abstractNum w:abstractNumId="22">
    <w:nsid w:val="2CA88611"/>
    <w:multiLevelType w:val="hybridMultilevel"/>
    <w:lvl w:ilvl="0">
      <w:lvlJc w:val="left"/>
      <w:lvlText w:val="(%1)"/>
      <w:numFmt w:val="decimal"/>
      <w:start w:val="9"/>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decimal"/>
      <w:start w:val="11"/>
    </w:lvl>
  </w:abstractNum>
  <w:abstractNum w:abstractNumId="25">
    <w:nsid w:val="3A95F874"/>
    <w:multiLevelType w:val="hybridMultilevel"/>
    <w:lvl w:ilvl="0">
      <w:lvlJc w:val="left"/>
      <w:lvlText w:val="(%1)"/>
      <w:numFmt w:val="decimal"/>
      <w:start w:val="12"/>
    </w:lvl>
  </w:abstractNum>
  <w:abstractNum w:abstractNumId="26">
    <w:nsid w:val="8138641"/>
    <w:multiLevelType w:val="hybridMultilevel"/>
    <w:lvl w:ilvl="0">
      <w:lvlJc w:val="left"/>
      <w:lvlText w:val="(%1)"/>
      <w:numFmt w:val="decimal"/>
      <w:start w:val="14"/>
    </w:lvl>
  </w:abstractNum>
  <w:abstractNum w:abstractNumId="27">
    <w:nsid w:val="1E7FF521"/>
    <w:multiLevelType w:val="hybridMultilevel"/>
    <w:lvl w:ilvl="0">
      <w:lvlJc w:val="left"/>
      <w:lvlText w:val="(%1)"/>
      <w:numFmt w:val="decimal"/>
      <w:start w:val="16"/>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lowerRoman"/>
      <w:start w:val="7"/>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5" Type="http://schemas.openxmlformats.org/officeDocument/2006/relationships/hyperlink" Target="https://www.sec.gov/Archives/edgar/data/823768/0000950129-97-00390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2024-06-25T16:43:25Z</dcterms:created>
  <dcterms:modified xsi:type="dcterms:W3CDTF">2024-06-25T16:43:25Z</dcterms:modified>
</cp:coreProperties>
</file>