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Filed Pursuant to Rule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424(b)(5)</w:t>
            </w:r>
          </w:p>
        </w:tc>
      </w:tr>
      <w:tr>
        <w:trPr>
          <w:trHeight w:val="180"/>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360" w:type="dxa"/>
            <w:vAlign w:val="bottom"/>
            <w:gridSpan w:val="3"/>
          </w:tcPr>
          <w:p>
            <w:pPr>
              <w:ind w:left="1540"/>
              <w:spacing w:after="0"/>
              <w:rPr>
                <w:sz w:val="20"/>
                <w:szCs w:val="20"/>
                <w:color w:val="auto"/>
              </w:rPr>
            </w:pPr>
            <w:r>
              <w:rPr>
                <w:rFonts w:ascii="Courier New" w:cs="Courier New" w:eastAsia="Courier New" w:hAnsi="Courier New"/>
                <w:sz w:val="16"/>
                <w:szCs w:val="16"/>
                <w:color w:val="auto"/>
              </w:rPr>
              <w:t>Registration No. 333-52197</w:t>
            </w:r>
          </w:p>
        </w:tc>
      </w:tr>
      <w:tr>
        <w:trPr>
          <w:trHeight w:val="180"/>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7"/>
              </w:rPr>
              <w:t>SUBJECT TO COMPLETION, DATED JULY 9, 1998</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1"/>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rPr>
              <w:t>PROSPECTUS SUPPLEMENT</w:t>
            </w:r>
          </w:p>
        </w:tc>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0"/>
        </w:trPr>
        <w:tc>
          <w:tcPr>
            <w:tcW w:w="940" w:type="dxa"/>
            <w:vAlign w:val="bottom"/>
          </w:tcPr>
          <w:p>
            <w:pPr>
              <w:ind w:left="380"/>
              <w:spacing w:after="0"/>
              <w:rPr>
                <w:sz w:val="20"/>
                <w:szCs w:val="20"/>
                <w:color w:val="auto"/>
              </w:rPr>
            </w:pPr>
            <w:r>
              <w:rPr>
                <w:rFonts w:ascii="Courier New" w:cs="Courier New" w:eastAsia="Courier New" w:hAnsi="Courier New"/>
                <w:sz w:val="16"/>
                <w:szCs w:val="16"/>
                <w:color w:val="auto"/>
                <w:w w:val="93"/>
              </w:rPr>
              <w:t>, 1998</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620" w:type="dxa"/>
            <w:vAlign w:val="bottom"/>
            <w:gridSpan w:val="4"/>
          </w:tcPr>
          <w:p>
            <w:pPr>
              <w:spacing w:after="0"/>
              <w:rPr>
                <w:sz w:val="20"/>
                <w:szCs w:val="20"/>
                <w:color w:val="auto"/>
              </w:rPr>
            </w:pPr>
            <w:r>
              <w:rPr>
                <w:rFonts w:ascii="Courier New" w:cs="Courier New" w:eastAsia="Courier New" w:hAnsi="Courier New"/>
                <w:sz w:val="16"/>
                <w:szCs w:val="16"/>
                <w:color w:val="auto"/>
              </w:rPr>
              <w:t>(TO PROSPECTUS DATED JUNE 17, 1998)</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60" w:type="dxa"/>
            <w:vAlign w:val="bottom"/>
          </w:tcPr>
          <w:p>
            <w:pPr>
              <w:jc w:val="center"/>
              <w:ind w:right="1002"/>
              <w:spacing w:after="0"/>
              <w:rPr>
                <w:sz w:val="20"/>
                <w:szCs w:val="20"/>
                <w:color w:val="auto"/>
              </w:rPr>
            </w:pPr>
            <w:r>
              <w:rPr>
                <w:rFonts w:ascii="Courier New" w:cs="Courier New" w:eastAsia="Courier New" w:hAnsi="Courier New"/>
                <w:sz w:val="16"/>
                <w:szCs w:val="16"/>
                <w:color w:val="auto"/>
                <w:w w:val="98"/>
              </w:rPr>
              <w:t>$400,000,000</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4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8"/>
              </w:rPr>
              <w:t>USA WASTE SERVICES, INC.</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40" w:type="dxa"/>
            <w:vAlign w:val="bottom"/>
            <w:gridSpan w:val="3"/>
          </w:tcPr>
          <w:p>
            <w:pPr>
              <w:spacing w:after="0"/>
              <w:rPr>
                <w:sz w:val="20"/>
                <w:szCs w:val="20"/>
                <w:color w:val="auto"/>
              </w:rPr>
            </w:pPr>
            <w:r>
              <w:rPr>
                <w:rFonts w:ascii="Courier New" w:cs="Courier New" w:eastAsia="Courier New" w:hAnsi="Courier New"/>
                <w:sz w:val="16"/>
                <w:szCs w:val="16"/>
                <w:color w:val="auto"/>
              </w:rPr>
              <w:t>% MANDATORILY TENDERED SENIOR NOTES DUE 2011</w:t>
            </w:r>
          </w:p>
        </w:tc>
        <w:tc>
          <w:tcPr>
            <w:tcW w:w="1000" w:type="dxa"/>
            <w:vAlign w:val="bottom"/>
          </w:tcPr>
          <w:p>
            <w:pPr>
              <w:spacing w:after="0"/>
              <w:rPr>
                <w:sz w:val="15"/>
                <w:szCs w:val="15"/>
                <w:color w:val="auto"/>
              </w:rPr>
            </w:pPr>
          </w:p>
        </w:tc>
      </w:tr>
      <w:tr>
        <w:trPr>
          <w:trHeight w:val="361"/>
        </w:trPr>
        <w:tc>
          <w:tcPr>
            <w:tcW w:w="63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The $400,000,000   % Mandatorily Tendered Senior Notes due 2011</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w w:val="98"/>
              </w:rPr>
              <w:t>"Notes") of USA Waste Services,</w:t>
            </w:r>
          </w:p>
        </w:tc>
        <w:tc>
          <w:tcPr>
            <w:tcW w:w="43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Inc. (the "Company") will bear interest at a</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rate of</w:t>
            </w:r>
          </w:p>
        </w:tc>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rPr>
              <w:t>% per annum from</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 1998 to but not including</w:t>
            </w:r>
          </w:p>
        </w:tc>
        <w:tc>
          <w:tcPr>
            <w:tcW w:w="1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 2001 (the</w:t>
            </w:r>
          </w:p>
        </w:tc>
      </w:tr>
      <w:tr>
        <w:trPr>
          <w:trHeight w:val="180"/>
        </w:trPr>
        <w:tc>
          <w:tcPr>
            <w:tcW w:w="6320" w:type="dxa"/>
            <w:vAlign w:val="bottom"/>
            <w:gridSpan w:val="5"/>
          </w:tcPr>
          <w:p>
            <w:pPr>
              <w:spacing w:after="0"/>
              <w:rPr>
                <w:sz w:val="20"/>
                <w:szCs w:val="20"/>
                <w:color w:val="auto"/>
              </w:rPr>
            </w:pPr>
            <w:r>
              <w:rPr>
                <w:rFonts w:ascii="Courier New" w:cs="Courier New" w:eastAsia="Courier New" w:hAnsi="Courier New"/>
                <w:sz w:val="16"/>
                <w:szCs w:val="16"/>
                <w:color w:val="auto"/>
                <w:w w:val="97"/>
              </w:rPr>
              <w:t>"Remarketing Date"). Interest on the Notes is payable semi-annually</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w w:val="96"/>
              </w:rPr>
              <w:t>and July</w:t>
            </w:r>
          </w:p>
        </w:tc>
        <w:tc>
          <w:tcPr>
            <w:tcW w:w="384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7"/>
              </w:rPr>
              <w:t>of each year, commencing January</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 1999.</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The Notes</w:t>
            </w:r>
          </w:p>
        </w:tc>
      </w:tr>
      <w:tr>
        <w:trPr>
          <w:trHeight w:val="180"/>
        </w:trPr>
        <w:tc>
          <w:tcPr>
            <w:tcW w:w="6320" w:type="dxa"/>
            <w:vAlign w:val="bottom"/>
            <w:gridSpan w:val="5"/>
          </w:tcPr>
          <w:p>
            <w:pPr>
              <w:spacing w:after="0"/>
              <w:rPr>
                <w:sz w:val="20"/>
                <w:szCs w:val="20"/>
                <w:color w:val="auto"/>
              </w:rPr>
            </w:pPr>
            <w:r>
              <w:rPr>
                <w:rFonts w:ascii="Courier New" w:cs="Courier New" w:eastAsia="Courier New" w:hAnsi="Courier New"/>
                <w:sz w:val="16"/>
                <w:szCs w:val="16"/>
                <w:color w:val="auto"/>
                <w:w w:val="97"/>
              </w:rPr>
              <w:t>constitute senior and unsecured obligations of the Company, ranking</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PARI PASSU</w:t>
            </w:r>
          </w:p>
        </w:tc>
      </w:tr>
      <w:tr>
        <w:trPr>
          <w:trHeight w:val="180"/>
        </w:trPr>
        <w:tc>
          <w:tcPr>
            <w:tcW w:w="6320" w:type="dxa"/>
            <w:vAlign w:val="bottom"/>
            <w:gridSpan w:val="5"/>
          </w:tcPr>
          <w:p>
            <w:pPr>
              <w:spacing w:after="0"/>
              <w:rPr>
                <w:sz w:val="20"/>
                <w:szCs w:val="20"/>
                <w:color w:val="auto"/>
              </w:rPr>
            </w:pPr>
            <w:r>
              <w:rPr>
                <w:rFonts w:ascii="Courier New" w:cs="Courier New" w:eastAsia="Courier New" w:hAnsi="Courier New"/>
                <w:sz w:val="16"/>
                <w:szCs w:val="16"/>
                <w:color w:val="auto"/>
                <w:w w:val="97"/>
              </w:rPr>
              <w:t>in right of payment with all other senior and unsecured obligations</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of the</w:t>
            </w:r>
          </w:p>
        </w:tc>
      </w:tr>
      <w:tr>
        <w:trPr>
          <w:trHeight w:val="180"/>
        </w:trPr>
        <w:tc>
          <w:tcPr>
            <w:tcW w:w="7320" w:type="dxa"/>
            <w:vAlign w:val="bottom"/>
            <w:gridSpan w:val="6"/>
          </w:tcPr>
          <w:p>
            <w:pPr>
              <w:spacing w:after="0"/>
              <w:rPr>
                <w:sz w:val="20"/>
                <w:szCs w:val="20"/>
                <w:color w:val="auto"/>
              </w:rPr>
            </w:pPr>
            <w:r>
              <w:rPr>
                <w:rFonts w:ascii="Courier New" w:cs="Courier New" w:eastAsia="Courier New" w:hAnsi="Courier New"/>
                <w:sz w:val="16"/>
                <w:szCs w:val="16"/>
                <w:color w:val="auto"/>
              </w:rPr>
              <w:t>Company. See "Description of Notes -- General."The Notes are subject to</w:t>
            </w:r>
          </w:p>
        </w:tc>
      </w:tr>
      <w:tr>
        <w:trPr>
          <w:trHeight w:val="180"/>
        </w:trPr>
        <w:tc>
          <w:tcPr>
            <w:tcW w:w="6320" w:type="dxa"/>
            <w:vAlign w:val="bottom"/>
            <w:gridSpan w:val="5"/>
          </w:tcPr>
          <w:p>
            <w:pPr>
              <w:spacing w:after="0"/>
              <w:rPr>
                <w:sz w:val="20"/>
                <w:szCs w:val="20"/>
                <w:color w:val="auto"/>
              </w:rPr>
            </w:pPr>
            <w:r>
              <w:rPr>
                <w:rFonts w:ascii="Courier New" w:cs="Courier New" w:eastAsia="Courier New" w:hAnsi="Courier New"/>
                <w:sz w:val="16"/>
                <w:szCs w:val="16"/>
                <w:color w:val="auto"/>
                <w:w w:val="97"/>
              </w:rPr>
              <w:t>mandatory tender on the Remarketing Date. If J.P. Morgan Securities</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Inc., as</w:t>
            </w:r>
          </w:p>
        </w:tc>
      </w:tr>
    </w:tbl>
    <w:p>
      <w:pPr>
        <w:spacing w:after="0" w:line="4"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Remarketing Dealer (the "Remarketing Dealer"), has elected to remarket the Notes on the Remarketing Date as described herein, the Notes will be subject to mandatory tender to the Remarketing Dealer at 100% of the principal amount thereof for remarketing on the Remarketing Date. See "Description of the Notes</w:t>
      </w:r>
    </w:p>
    <w:p>
      <w:pPr>
        <w:spacing w:after="0" w:line="6" w:lineRule="exact"/>
        <w:rPr>
          <w:sz w:val="24"/>
          <w:szCs w:val="24"/>
          <w:color w:val="auto"/>
        </w:rPr>
      </w:pPr>
    </w:p>
    <w:p>
      <w:pPr>
        <w:ind w:left="4" w:right="2539" w:hanging="4"/>
        <w:spacing w:after="0" w:line="237" w:lineRule="auto"/>
        <w:tabs>
          <w:tab w:leader="none" w:pos="19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Mandatory Tender of Notes; Remarketing." If the Remarketing Dealer elects not to remarket the Notes on the Remarketing Date, or for any reason does not purchase all of the Notes on the Remarketing Date, the Company will be required to purchase on the Remarketing Date any Notes that have not been purchased by the Remarketing Dealer at 100% of the principal amount thereof plus accrued</w:t>
      </w:r>
    </w:p>
    <w:p>
      <w:pPr>
        <w:spacing w:after="0" w:line="2"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interest, if any. See "Description of the Notes -- Repurchase."</w:t>
      </w:r>
    </w:p>
    <w:p>
      <w:pPr>
        <w:spacing w:after="0" w:line="185" w:lineRule="exact"/>
        <w:rPr>
          <w:sz w:val="24"/>
          <w:szCs w:val="24"/>
          <w:color w:val="auto"/>
        </w:rPr>
      </w:pPr>
    </w:p>
    <w:p>
      <w:pPr>
        <w:ind w:left="4" w:right="3099" w:firstLine="375"/>
        <w:spacing w:after="0" w:line="237" w:lineRule="auto"/>
        <w:rPr>
          <w:sz w:val="20"/>
          <w:szCs w:val="20"/>
          <w:color w:val="auto"/>
        </w:rPr>
      </w:pPr>
      <w:r>
        <w:rPr>
          <w:rFonts w:ascii="Courier New" w:cs="Courier New" w:eastAsia="Courier New" w:hAnsi="Courier New"/>
          <w:sz w:val="16"/>
          <w:szCs w:val="16"/>
          <w:color w:val="auto"/>
        </w:rPr>
        <w:t>The Notes will be redeemable by the Company on and after the Remarketing Date pursuant to the terms set forth in "Description of the Notes -- Redemption."The Notes are not subject to any sinking fund.</w:t>
      </w:r>
    </w:p>
    <w:p>
      <w:pPr>
        <w:spacing w:after="0" w:line="185" w:lineRule="exact"/>
        <w:rPr>
          <w:sz w:val="24"/>
          <w:szCs w:val="24"/>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The Notes will be represented by one or more global securities registered in the name of The Depository Trust Company ("DTC") or its nominee. Interests in the global securities will be shown on, and transfers thereof will be effected only through, records maintained by DTC and its participants. Purchasers of the Notes will not have the right to receive physical certificates evidencing their ownership of the Notes. The Notes will not be listed on any securities exchange. Settlement for the Notes will be made in immediately available funds and the Notes will trade in DTC's Same-Day Funds Settlement System until maturity. Secondary market trading activity in the Notes will therefore settle in immediately available funds. All payments of principal and interest will be made by the Company in immediately available funds.</w:t>
      </w:r>
    </w:p>
    <w:p>
      <w:pPr>
        <w:spacing w:after="0" w:line="174"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Concurrent with</w:t>
            </w:r>
          </w:p>
        </w:tc>
        <w:tc>
          <w:tcPr>
            <w:tcW w:w="36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this Offering, the Company is offering</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(the "2028 Notes</w:t>
            </w:r>
          </w:p>
        </w:tc>
      </w:tr>
      <w:tr>
        <w:trPr>
          <w:trHeight w:val="180"/>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Offering") pursuant</w:t>
            </w:r>
          </w:p>
        </w:tc>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 a separate Prospectus Supplement</w:t>
            </w:r>
          </w:p>
        </w:tc>
        <w:tc>
          <w:tcPr>
            <w:tcW w:w="22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$400,000,000 aggregate</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w w:val="83"/>
              </w:rPr>
              <w:t>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8"/>
              </w:rPr>
              <w:t>Senior Notes due 2028 (the "2028 Notes"). Consummation</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of this Offering</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w w:val="83"/>
              </w:rPr>
              <w:t>is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not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 condition to consummation of the</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w w:val="95"/>
              </w:rPr>
              <w:t>2028 Notes Offering,</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and consummation</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w w:val="83"/>
              </w:rPr>
              <w:t>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52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8"/>
              </w:rPr>
              <w:t>2028 Notes Offering is not a condition to consummation</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w w:val="96"/>
              </w:rPr>
              <w:t>of this Offering.</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5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THESE SECURITIES HAVE NOT BEEN APPROVED OR DISAPPROVED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BY</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THE SECURITIES AND</w:t>
            </w:r>
          </w:p>
        </w:tc>
      </w:tr>
      <w:tr>
        <w:trPr>
          <w:trHeight w:val="180"/>
        </w:trPr>
        <w:tc>
          <w:tcPr>
            <w:tcW w:w="2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EXCHANGE COMMISSION OR</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98"/>
              </w:rPr>
              <w:t>ANY STATE SECURITIES COMMISSION</w:t>
            </w:r>
          </w:p>
        </w:tc>
        <w:tc>
          <w:tcPr>
            <w:tcW w:w="22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NOR HAS THE SECURITIES</w:t>
            </w:r>
          </w:p>
        </w:tc>
      </w:tr>
      <w:tr>
        <w:trPr>
          <w:trHeight w:val="180"/>
        </w:trPr>
        <w:tc>
          <w:tcPr>
            <w:tcW w:w="7400" w:type="dxa"/>
            <w:vAlign w:val="bottom"/>
            <w:gridSpan w:val="6"/>
          </w:tcPr>
          <w:p>
            <w:pPr>
              <w:ind w:left="180"/>
              <w:spacing w:after="0"/>
              <w:rPr>
                <w:sz w:val="20"/>
                <w:szCs w:val="20"/>
                <w:color w:val="auto"/>
              </w:rPr>
            </w:pPr>
            <w:r>
              <w:rPr>
                <w:rFonts w:ascii="Courier New" w:cs="Courier New" w:eastAsia="Courier New" w:hAnsi="Courier New"/>
                <w:sz w:val="16"/>
                <w:szCs w:val="16"/>
                <w:color w:val="auto"/>
              </w:rPr>
              <w:t>AND EXCHANGE COMMISSION OR ANY STATE SECURITIES COMMISSION PASSED UPON THE</w:t>
            </w:r>
          </w:p>
        </w:tc>
      </w:tr>
      <w:tr>
        <w:trPr>
          <w:trHeight w:val="180"/>
        </w:trPr>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ACCURACY OR</w:t>
            </w:r>
          </w:p>
        </w:tc>
        <w:tc>
          <w:tcPr>
            <w:tcW w:w="36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ADEQUACY OF THIS PROSPECTUS SUPPLEMENT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OR</w:t>
            </w:r>
          </w:p>
        </w:tc>
        <w:tc>
          <w:tcPr>
            <w:tcW w:w="1920" w:type="dxa"/>
            <w:vAlign w:val="bottom"/>
          </w:tcPr>
          <w:p>
            <w:pPr>
              <w:ind w:left="60"/>
              <w:spacing w:after="0"/>
              <w:rPr>
                <w:sz w:val="20"/>
                <w:szCs w:val="20"/>
                <w:color w:val="auto"/>
              </w:rPr>
            </w:pPr>
            <w:r>
              <w:rPr>
                <w:rFonts w:ascii="Courier New" w:cs="Courier New" w:eastAsia="Courier New" w:hAnsi="Courier New"/>
                <w:sz w:val="16"/>
                <w:szCs w:val="16"/>
                <w:color w:val="auto"/>
              </w:rPr>
              <w:t>PROSPECTUS. ANY</w:t>
            </w:r>
          </w:p>
        </w:tc>
      </w:tr>
    </w:tbl>
    <w:p>
      <w:pPr>
        <w:ind w:left="1224"/>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200" w:lineRule="exact"/>
        <w:rPr>
          <w:sz w:val="24"/>
          <w:szCs w:val="24"/>
          <w:color w:val="auto"/>
        </w:rPr>
      </w:pPr>
    </w:p>
    <w:p>
      <w:pPr>
        <w:spacing w:after="0" w:line="344"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0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PROCEEDS TO</w:t>
      </w:r>
    </w:p>
    <w:p>
      <w:pPr>
        <w:ind w:left="5344"/>
        <w:spacing w:after="0"/>
        <w:tabs>
          <w:tab w:leader="none" w:pos="6643" w:val="left"/>
          <w:tab w:leader="none" w:pos="8243" w:val="left"/>
        </w:tabs>
        <w:rPr>
          <w:sz w:val="20"/>
          <w:szCs w:val="20"/>
          <w:color w:val="auto"/>
        </w:rPr>
      </w:pPr>
      <w:r>
        <w:rPr>
          <w:rFonts w:ascii="Courier New" w:cs="Courier New" w:eastAsia="Courier New" w:hAnsi="Courier New"/>
          <w:sz w:val="16"/>
          <w:szCs w:val="16"/>
          <w:color w:val="auto"/>
        </w:rPr>
        <w:t>PRICE TO</w:t>
      </w:r>
      <w:r>
        <w:rPr>
          <w:sz w:val="20"/>
          <w:szCs w:val="20"/>
          <w:color w:val="auto"/>
        </w:rPr>
        <w:tab/>
      </w: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COMPANY</w:t>
      </w:r>
    </w:p>
    <w:p>
      <w:pPr>
        <w:spacing w:after="0" w:line="5" w:lineRule="exact"/>
        <w:rPr>
          <w:sz w:val="24"/>
          <w:szCs w:val="24"/>
          <w:color w:val="auto"/>
        </w:rPr>
      </w:pPr>
    </w:p>
    <w:p>
      <w:pPr>
        <w:ind w:left="5244"/>
        <w:spacing w:after="0"/>
        <w:tabs>
          <w:tab w:leader="none" w:pos="6643" w:val="left"/>
          <w:tab w:leader="none" w:pos="8323" w:val="left"/>
        </w:tabs>
        <w:rPr>
          <w:sz w:val="20"/>
          <w:szCs w:val="20"/>
          <w:color w:val="auto"/>
        </w:rPr>
      </w:pPr>
      <w:r>
        <w:rPr>
          <w:rFonts w:ascii="Courier New" w:cs="Courier New" w:eastAsia="Courier New" w:hAnsi="Courier New"/>
          <w:sz w:val="16"/>
          <w:szCs w:val="16"/>
          <w:color w:val="auto"/>
        </w:rPr>
        <w:t>PUBLIC (1)</w:t>
      </w:r>
      <w:r>
        <w:rPr>
          <w:sz w:val="20"/>
          <w:szCs w:val="20"/>
          <w:color w:val="auto"/>
        </w:rPr>
        <w:tab/>
      </w:r>
      <w:r>
        <w:rPr>
          <w:rFonts w:ascii="Courier New" w:cs="Courier New" w:eastAsia="Courier New" w:hAnsi="Courier New"/>
          <w:sz w:val="16"/>
          <w:szCs w:val="16"/>
          <w:color w:val="auto"/>
        </w:rPr>
        <w:t>DISCOUNT (2)</w:t>
      </w:r>
      <w:r>
        <w:rPr>
          <w:sz w:val="20"/>
          <w:szCs w:val="20"/>
          <w:color w:val="auto"/>
        </w:rPr>
        <w:tab/>
      </w:r>
      <w:r>
        <w:rPr>
          <w:rFonts w:ascii="Courier New" w:cs="Courier New" w:eastAsia="Courier New" w:hAnsi="Courier New"/>
          <w:sz w:val="15"/>
          <w:szCs w:val="15"/>
          <w:color w:val="auto"/>
        </w:rPr>
        <w:t>(3)(4)</w:t>
      </w:r>
    </w:p>
    <w:p>
      <w:pPr>
        <w:spacing w:after="0" w:line="35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tabs>
          <w:tab w:leader="none" w:pos="6163" w:val="left"/>
          <w:tab w:leader="none" w:pos="7203" w:val="left"/>
          <w:tab w:leader="none" w:pos="8983" w:val="left"/>
        </w:tabs>
        <w:rPr>
          <w:sz w:val="20"/>
          <w:szCs w:val="20"/>
          <w:color w:val="auto"/>
        </w:rPr>
      </w:pPr>
      <w:r>
        <w:rPr>
          <w:rFonts w:ascii="Courier New" w:cs="Courier New" w:eastAsia="Courier New" w:hAnsi="Courier New"/>
          <w:sz w:val="16"/>
          <w:szCs w:val="16"/>
          <w:color w:val="auto"/>
        </w:rPr>
        <w:t>Per Note...........................................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4"/>
        <w:spacing w:after="0"/>
        <w:tabs>
          <w:tab w:leader="none" w:pos="5143" w:val="left"/>
          <w:tab w:leader="none" w:pos="6723" w:val="left"/>
          <w:tab w:leader="none" w:pos="814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4"/>
          <w:szCs w:val="24"/>
          <w:color w:val="auto"/>
        </w:rPr>
      </w:pP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ACCRUED INTEREST, IF ANY, FROM THE DATE OF ISSUANCE.</w:t>
      </w:r>
    </w:p>
    <w:p>
      <w:pPr>
        <w:spacing w:after="0" w:line="4" w:lineRule="exact"/>
        <w:rPr>
          <w:rFonts w:ascii="Courier New" w:cs="Courier New" w:eastAsia="Courier New" w:hAnsi="Courier New"/>
          <w:sz w:val="16"/>
          <w:szCs w:val="16"/>
          <w:color w:val="auto"/>
        </w:rPr>
      </w:pPr>
    </w:p>
    <w:p>
      <w:pPr>
        <w:ind w:left="384" w:right="3179" w:hanging="384"/>
        <w:spacing w:after="0" w:line="237" w:lineRule="auto"/>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AGREED TO INDEMNIFY THE UNDERWRITERS AGAINST CERTAIN LIABILITIES, INCLUDING LIABILITIES UNDER THE SECURITIES ACT OF 1933, AS AMENDED. SEE "UNDERWRITING."</w:t>
      </w: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EXPENSES PAYABLE BY THE COMPANY ESTIMATED AT $250,000.</w:t>
      </w:r>
    </w:p>
    <w:p>
      <w:pPr>
        <w:spacing w:after="0" w:line="3"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TO THE COMPANY INCLUDE A PREMIUM PAID BY THE REMARKETING DEALER PURSUANT TO THE REMARKETING AGREEMENT DESCRIBED HEREIN. SEE "DESCRIPTION OF NOTES--MANDATORY TENDER OF NOTES; REMARKETING--THE REMARKETING DEALER" AND "UNDERWRITING."</w:t>
      </w:r>
    </w:p>
    <w:p>
      <w:pPr>
        <w:spacing w:after="0" w:line="186" w:lineRule="exact"/>
        <w:rPr>
          <w:sz w:val="24"/>
          <w:szCs w:val="24"/>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The Notes are offered by the several underwriters when, as and if delivered to and accepted by them, subject to certain conditions, including their rights to withdraw, cancel or reject orders in whole or in part. It is expected that delivery of the Notes will be made in New York, New York, on or about July</w:t>
      </w:r>
    </w:p>
    <w:p>
      <w:pPr>
        <w:spacing w:after="0" w:line="2" w:lineRule="exact"/>
        <w:rPr>
          <w:sz w:val="24"/>
          <w:szCs w:val="24"/>
          <w:color w:val="auto"/>
        </w:rPr>
      </w:pPr>
    </w:p>
    <w:p>
      <w:pPr>
        <w:ind w:left="4" w:right="2899" w:firstLine="465"/>
        <w:spacing w:after="0" w:line="236"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1998, in book-entry form through the facilities of The Depository Trust Company against payment therefor in immediately available funds.</w:t>
      </w:r>
    </w:p>
    <w:p>
      <w:pPr>
        <w:spacing w:after="0" w:line="180"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JOINT BOOK-RUNNING MANAGERS</w:t>
      </w:r>
    </w:p>
    <w:p>
      <w:pPr>
        <w:sectPr>
          <w:pgSz w:w="11900" w:h="16848" w:orient="portrait"/>
          <w:cols w:equalWidth="0" w:num="1">
            <w:col w:w="10223"/>
          </w:cols>
          <w:pgMar w:left="236" w:top="41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DONALDSON, LUFKIN &amp; JENRETTE</w:t>
      </w:r>
    </w:p>
    <w:p>
      <w:pPr>
        <w:ind w:left="1120"/>
        <w:spacing w:after="0"/>
        <w:rPr>
          <w:sz w:val="20"/>
          <w:szCs w:val="20"/>
          <w:color w:val="auto"/>
        </w:rPr>
      </w:pPr>
      <w:r>
        <w:rPr>
          <w:rFonts w:ascii="Courier New" w:cs="Courier New" w:eastAsia="Courier New" w:hAnsi="Courier New"/>
          <w:sz w:val="16"/>
          <w:szCs w:val="16"/>
          <w:color w:val="auto"/>
        </w:rPr>
        <w:t>SECURITIES</w:t>
      </w:r>
    </w:p>
    <w:p>
      <w:pPr>
        <w:ind w:left="740"/>
        <w:spacing w:after="0" w:line="237" w:lineRule="auto"/>
        <w:rPr>
          <w:sz w:val="20"/>
          <w:szCs w:val="20"/>
          <w:color w:val="auto"/>
        </w:rPr>
      </w:pPr>
      <w:r>
        <w:rPr>
          <w:rFonts w:ascii="Courier New" w:cs="Courier New" w:eastAsia="Courier New" w:hAnsi="Courier New"/>
          <w:sz w:val="16"/>
          <w:szCs w:val="16"/>
          <w:color w:val="auto"/>
        </w:rPr>
        <w:t>CORPORATION</w:t>
      </w:r>
    </w:p>
    <w:p>
      <w:pPr>
        <w:spacing w:after="0"/>
        <w:rPr>
          <w:sz w:val="20"/>
          <w:szCs w:val="20"/>
          <w:color w:val="auto"/>
        </w:rPr>
      </w:pPr>
      <w:r>
        <w:rPr>
          <w:rFonts w:ascii="Courier New" w:cs="Courier New" w:eastAsia="Courier New" w:hAnsi="Courier New"/>
          <w:sz w:val="16"/>
          <w:szCs w:val="16"/>
          <w:color w:val="auto"/>
        </w:rPr>
        <w:t>BANCAMERICA ROBERTSON STEPHENS</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CHASE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J.P. MORGAN &amp; CO.</w:t>
      </w:r>
    </w:p>
    <w:p>
      <w:pPr>
        <w:spacing w:after="0" w:line="731" w:lineRule="exact"/>
        <w:rPr>
          <w:sz w:val="20"/>
          <w:szCs w:val="20"/>
          <w:color w:val="auto"/>
        </w:rPr>
      </w:pPr>
    </w:p>
    <w:p>
      <w:pPr>
        <w:sectPr>
          <w:pgSz w:w="11900" w:h="16838" w:orient="portrait"/>
          <w:cols w:equalWidth="0" w:num="2">
            <w:col w:w="5180" w:space="720"/>
            <w:col w:w="4319"/>
          </w:cols>
          <w:pgMar w:left="240" w:top="137" w:right="1440" w:bottom="1440" w:gutter="0" w:footer="0" w:header="0"/>
        </w:sectPr>
      </w:pPr>
    </w:p>
    <w:p>
      <w:pPr>
        <w:ind w:left="4500"/>
        <w:spacing w:after="0"/>
        <w:rPr>
          <w:sz w:val="20"/>
          <w:szCs w:val="20"/>
          <w:color w:val="auto"/>
        </w:rPr>
      </w:pPr>
      <w:r>
        <w:rPr>
          <w:rFonts w:ascii="Courier New" w:cs="Courier New" w:eastAsia="Courier New" w:hAnsi="Courier New"/>
          <w:sz w:val="15"/>
          <w:szCs w:val="15"/>
          <w:color w:val="auto"/>
        </w:rPr>
        <w:t>DEUTSCHE BANK SECURITIES</w:t>
      </w:r>
    </w:p>
    <w:p>
      <w:pPr>
        <w:sectPr>
          <w:pgSz w:w="11900" w:h="16838" w:orient="portrait"/>
          <w:cols w:equalWidth="0" w:num="1">
            <w:col w:w="10219"/>
          </w:cols>
          <w:pgMar w:left="240" w:top="137" w:right="1440" w:bottom="1440" w:gutter="0" w:footer="0" w:header="0"/>
          <w:type w:val="continuous"/>
        </w:sectPr>
      </w:pPr>
    </w:p>
    <w:bookmarkStart w:id="2" w:name="page3"/>
    <w:bookmarkEnd w:id="2"/>
    <w:p>
      <w:pPr>
        <w:ind w:right="2819"/>
        <w:spacing w:after="0" w:line="256" w:lineRule="auto"/>
        <w:rPr>
          <w:sz w:val="20"/>
          <w:szCs w:val="20"/>
          <w:color w:val="auto"/>
        </w:rPr>
      </w:pPr>
      <w:r>
        <w:rPr>
          <w:rFonts w:ascii="Courier New" w:cs="Courier New" w:eastAsia="Courier New" w:hAnsi="Courier New"/>
          <w:sz w:val="15"/>
          <w:szCs w:val="15"/>
          <w:color w:val="auto"/>
        </w:rPr>
        <w:t>Information contained herein is subject to completion or amendment. This Prospectus Supplement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478" w:right="1440" w:bottom="1440" w:gutter="0" w:footer="0" w:header="0"/>
        </w:sectPr>
      </w:pPr>
    </w:p>
    <w:bookmarkStart w:id="3" w:name="page4"/>
    <w:bookmarkEnd w:id="3"/>
    <w:p>
      <w:pPr>
        <w:ind w:right="2719" w:firstLine="375"/>
        <w:spacing w:after="0" w:line="237" w:lineRule="auto"/>
        <w:rPr>
          <w:sz w:val="20"/>
          <w:szCs w:val="20"/>
          <w:color w:val="auto"/>
        </w:rPr>
      </w:pPr>
      <w:r>
        <w:rPr>
          <w:rFonts w:ascii="Courier New" w:cs="Courier New" w:eastAsia="Courier New" w:hAnsi="Courier New"/>
          <w:sz w:val="16"/>
          <w:szCs w:val="16"/>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478" w:right="1440" w:bottom="1440" w:gutter="0" w:footer="0" w:header="0"/>
        </w:sectPr>
      </w:pPr>
    </w:p>
    <w:bookmarkStart w:id="4" w:name="page5"/>
    <w:bookmarkEnd w:id="4"/>
    <w:p>
      <w:pPr>
        <w:jc w:val="center"/>
        <w:ind w:right="2815"/>
        <w:spacing w:after="0"/>
        <w:rPr>
          <w:sz w:val="20"/>
          <w:szCs w:val="20"/>
          <w:color w:val="auto"/>
        </w:rPr>
      </w:pPr>
      <w:r>
        <w:rPr>
          <w:rFonts w:ascii="Courier New" w:cs="Courier New" w:eastAsia="Courier New" w:hAnsi="Courier New"/>
          <w:sz w:val="16"/>
          <w:szCs w:val="16"/>
          <w:color w:val="auto"/>
        </w:rPr>
        <w:t>PROSPECTUS SUPPLEMENT SUMMARY</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INCLUDING THE USA WASTE SELECTED HISTORICAL FINANCIAL DATA, THE USA WASTE AND WASTE MANAGEMENT SUMMARY COMBINED UNAUDITED PRO FORMA CONDENSED FINANCIAL INFORMATION AND THE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18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USA Waste is the third largest integrated, nonhazardous solid waste management company in North America, as measured by revenues for the 1997 fiscal year, and currently serves commercial, industrial, municipal and residential customers in various locations in the United States, Canada and Puerto Rico. The Company's solid waste management services include collection, transfer and disposal operations and, to a lesser extent, recycling and certain other waste management services. As of March 31, 1998, USA Waste, through its subsidiaries, owned or operated an extensive network of landfills, transfer stations and collection operations and served in excess of eight million customers.</w:t>
      </w:r>
    </w:p>
    <w:p>
      <w:pPr>
        <w:spacing w:after="0" w:line="179"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The Company believes that providing fully-integrated waste management services gives it a competitive advantage in its markets and allows for a relatively higher level of waste internalization and profitability. For the three months ended March 31, 1998, approximately 64% of the Company's revenues were attributable to collection operations, approximately 21% were attributable to landfill operations, approximately 12% were attributable to transfer operations, and approximately 3% were attributable to recycling and other waste management services.</w:t>
      </w:r>
    </w:p>
    <w:p>
      <w:pPr>
        <w:spacing w:after="0" w:line="185" w:lineRule="exact"/>
        <w:rPr>
          <w:sz w:val="20"/>
          <w:szCs w:val="20"/>
          <w:color w:val="auto"/>
        </w:rPr>
      </w:pPr>
    </w:p>
    <w:p>
      <w:pPr>
        <w:ind w:left="4" w:right="2899" w:firstLine="375"/>
        <w:spacing w:after="0" w:line="257" w:lineRule="auto"/>
        <w:rPr>
          <w:sz w:val="20"/>
          <w:szCs w:val="20"/>
          <w:color w:val="auto"/>
        </w:rPr>
      </w:pPr>
      <w:r>
        <w:rPr>
          <w:rFonts w:ascii="Courier New" w:cs="Courier New" w:eastAsia="Courier New" w:hAnsi="Courier New"/>
          <w:sz w:val="15"/>
          <w:szCs w:val="15"/>
          <w:color w:val="auto"/>
        </w:rPr>
        <w:t>The Company operates on a decentralized basis through five geographic regions with a diversified customer base. Based on collection revenues for the three months ended March 31, 1998, the Company's customers were approximately 40% commercial, 30% industrial and 30% municipal and residential.</w:t>
      </w:r>
    </w:p>
    <w:p>
      <w:pPr>
        <w:spacing w:after="0" w:line="174" w:lineRule="exact"/>
        <w:rPr>
          <w:sz w:val="20"/>
          <w:szCs w:val="20"/>
          <w:color w:val="auto"/>
        </w:rPr>
      </w:pPr>
    </w:p>
    <w:p>
      <w:pPr>
        <w:ind w:left="4" w:right="2899" w:firstLine="375"/>
        <w:spacing w:after="0" w:line="254" w:lineRule="auto"/>
        <w:rPr>
          <w:sz w:val="20"/>
          <w:szCs w:val="20"/>
          <w:color w:val="auto"/>
        </w:rPr>
      </w:pPr>
      <w:r>
        <w:rPr>
          <w:rFonts w:ascii="Courier New" w:cs="Courier New" w:eastAsia="Courier New" w:hAnsi="Courier New"/>
          <w:sz w:val="15"/>
          <w:szCs w:val="15"/>
          <w:color w:val="auto"/>
        </w:rPr>
        <w:t>The Company's strategy includes the following key elements: (i) increasing productivity and operating efficiencies in existing and acquired operations,</w:t>
      </w:r>
    </w:p>
    <w:p>
      <w:pPr>
        <w:spacing w:after="0" w:line="1" w:lineRule="exact"/>
        <w:rPr>
          <w:sz w:val="20"/>
          <w:szCs w:val="20"/>
          <w:color w:val="auto"/>
        </w:rPr>
      </w:pPr>
    </w:p>
    <w:p>
      <w:pPr>
        <w:ind w:left="4" w:right="2819" w:hanging="4"/>
        <w:spacing w:after="0" w:line="238" w:lineRule="auto"/>
        <w:tabs>
          <w:tab w:leader="none" w:pos="47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regularly pursues merger or acquisition transactions, some of which are significant, in new markets where the Company believes it can strengthen its overall competitive position as a national provider of integrated solid waste management services.</w:t>
      </w:r>
    </w:p>
    <w:p>
      <w:pPr>
        <w:spacing w:after="0" w:line="189"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82"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On March 10, 1998, the Company entered into a definitive agreement and plan of merger pursuant to which a subsidiary of the Company will be merged with and into Waste Management, Inc. ("Waste Management") and Waste Management will become a wholly-owned subsidiary of the Company (the "Merger"). Waste Management is a leading international provider of waste management and related services to governmental, residential, commercial and industrial customers in the United States and select international markets, and had revenues in 1997 of approximately $9.2 billion. As of the effective time of</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3"/>
          </w:cols>
          <w:pgMar w:left="236" w:top="473" w:right="1440" w:bottom="1440" w:gutter="0" w:footer="0" w:header="0"/>
        </w:sectPr>
      </w:pPr>
    </w:p>
    <w:bookmarkStart w:id="5" w:name="page6"/>
    <w:bookmarkEnd w:id="5"/>
    <w:p>
      <w:pPr>
        <w:ind w:left="4" w:right="2719"/>
        <w:spacing w:after="0" w:line="254" w:lineRule="auto"/>
        <w:rPr>
          <w:sz w:val="20"/>
          <w:szCs w:val="20"/>
          <w:color w:val="auto"/>
        </w:rPr>
      </w:pPr>
      <w:r>
        <w:rPr>
          <w:rFonts w:ascii="Courier New" w:cs="Courier New" w:eastAsia="Courier New" w:hAnsi="Courier New"/>
          <w:sz w:val="15"/>
          <w:szCs w:val="15"/>
          <w:color w:val="auto"/>
        </w:rPr>
        <w:t>the Merger, each outstanding share of Waste Management common stock ("Waste Management Common Stock"), other than shares held in Waste Management's treasury or owned by Waste Management, the Company or any wholly-owned subsidiaries of either of them, will be converted into the right to receive 0.725 of a share of the Company's common stock ("USA Waste Common Stock"). It is anticipated that the Company will issue approximately 353 million shares of its common stock (not including shares reserved for option and warrant exercises and convertible debt) in connection with the Merger and that the Merger will be accounted for as a pooling of interests. Following the Merger, the Company will be renamed "Waste Management, Inc." ("New Waste Management"). The consummation of the Merger is subject to a number of conditions, including obtaining all consents, approvals and authorizations legally required to be obtained to consummate the Merger (including under the Hart-Scott-Rodino Antitrust Improvements Act of 1976, as amended) and approval by the stockholders of the Company and Waste Management. It is expected that the Merger will be consummated shortly after the later of</w:t>
      </w:r>
    </w:p>
    <w:p>
      <w:pPr>
        <w:spacing w:after="0" w:line="8" w:lineRule="exact"/>
        <w:rPr>
          <w:sz w:val="20"/>
          <w:szCs w:val="20"/>
          <w:color w:val="auto"/>
        </w:rPr>
      </w:pPr>
    </w:p>
    <w:p>
      <w:pPr>
        <w:ind w:left="4" w:right="2719" w:hanging="4"/>
        <w:spacing w:after="0" w:line="238" w:lineRule="auto"/>
        <w:tabs>
          <w:tab w:leader="none" w:pos="37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from the Department of Justice and (b) approval by the stockholders of the Company and Waste Management. The Company and Waste Management each received a second request for information from the Department of Justice, and they have each set July 15, 1998 as the date of their stockholders' meeting to vote on the Merger. There can be no assurance that the conditions to the Merger will be satisfied or waived, and therefore, there can be no assurance that the Merger will be consummated.</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Following the consummation of the Merger, John E. Drury, the current Chief Executive Officer of the Company will remain in such position with New Waste Management, and the current President and Chief Operating Officer, and Executive Vice President and Chief Financial Officer of the Company are expected to remain in such positions with New Waste Management. The current Chairman of the Board and Chief Executive Officer of Waste Management will become non-executive Chairman of the New Waste Management Board of Directors for a 12-month term, after which Mr. Drury will become Chairman of the Board and will continue as Chief Executive Officer of New Waste Management. The Board of Directors of New Waste Management immediately following the effective time of the Merger will consist of 14 members, seven of whom will be designated by the Company and seven of whom will be designated by Waste Mangement.</w:t>
      </w:r>
    </w:p>
    <w:p>
      <w:pPr>
        <w:spacing w:after="0" w:line="173"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Pursuant to the Merger, as a condition to receiving pooling of interests</w:t>
      </w:r>
    </w:p>
    <w:p>
      <w:pPr>
        <w:ind w:left="4"/>
        <w:spacing w:after="0"/>
        <w:rPr>
          <w:sz w:val="20"/>
          <w:szCs w:val="20"/>
          <w:color w:val="auto"/>
        </w:rPr>
      </w:pPr>
      <w:r>
        <w:rPr>
          <w:rFonts w:ascii="Courier New" w:cs="Courier New" w:eastAsia="Courier New" w:hAnsi="Courier New"/>
          <w:sz w:val="16"/>
          <w:szCs w:val="16"/>
          <w:color w:val="auto"/>
        </w:rPr>
        <w:t>accounting treatment, Waste Management was required to issue approximately 20</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million shares of Waste Management Common Stock. This offering was completed on</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June 15, 1998, resulting in net proceeds to Waste Management of approximately</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$607.5 million. In addition, on May 15, 1998 Waste Management announced that its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Board of Directors has adopted a new dividend policy, reducing regular quarterly</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dividends from $0.17 per share to $0.01 per share.</w:t>
      </w:r>
    </w:p>
    <w:p>
      <w:pPr>
        <w:spacing w:after="0" w:line="185" w:lineRule="exact"/>
        <w:rPr>
          <w:sz w:val="20"/>
          <w:szCs w:val="20"/>
          <w:color w:val="auto"/>
        </w:rPr>
      </w:pPr>
    </w:p>
    <w:p>
      <w:pPr>
        <w:ind w:left="4" w:right="2999" w:firstLine="375"/>
        <w:spacing w:after="0" w:line="257" w:lineRule="auto"/>
        <w:rPr>
          <w:sz w:val="20"/>
          <w:szCs w:val="20"/>
          <w:color w:val="auto"/>
        </w:rPr>
      </w:pPr>
      <w:r>
        <w:rPr>
          <w:rFonts w:ascii="Courier New" w:cs="Courier New" w:eastAsia="Courier New" w:hAnsi="Courier New"/>
          <w:sz w:val="15"/>
          <w:szCs w:val="15"/>
          <w:color w:val="auto"/>
        </w:rPr>
        <w:t>On June 29, 1998, Waste Management announced that it had reached an agreement to acquire the publicly owned shares of its subsidiary, Waste Management International plc. Waste Management has indicated that the transaction is not expected to have a material impact on its future earnings.</w:t>
      </w:r>
    </w:p>
    <w:p>
      <w:pPr>
        <w:spacing w:after="0" w:line="174"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Upon the consummation of the Merger, it is expected that New Waste Management will enter into a revolving credit facility in the amount of $3.0 billion (the "New Credit Facility"), which will be in addition to the Company's existing $2.0 billion revolving credit facility (the "Credit Facility"). It is further expected that the New Credit Facility and the Credit Facility will each be guaranteed by Waste Management, Inc., as a subsidiary of New Waste Management. Further, upon the consummation of the Merger, New Waste Management will unconditionally guarantee the outstanding senior indebtedness of Waste Management, and Waste Management will unconditionally guarantee the outstanding senior indebtedness of New Waste Management, including the 2028 Notes and the Notes.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See "Description of Notes--General."</w:t>
      </w:r>
    </w:p>
    <w:p>
      <w:pPr>
        <w:spacing w:after="0" w:line="172"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23"/>
          </w:cols>
          <w:pgMar w:left="236" w:top="478" w:right="1440"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6"/>
          <w:szCs w:val="16"/>
          <w:color w:val="auto"/>
        </w:rPr>
        <w:t>USE OF PROCEEDS</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net proceeds to the Company from the sale of the Notes in this Offering</w:t>
      </w:r>
    </w:p>
    <w:p>
      <w:pPr>
        <w:spacing w:after="0" w:line="4" w:lineRule="exact"/>
        <w:rPr>
          <w:sz w:val="20"/>
          <w:szCs w:val="20"/>
          <w:color w:val="auto"/>
        </w:rPr>
      </w:pPr>
    </w:p>
    <w:p>
      <w:pPr>
        <w:ind w:right="3480"/>
        <w:spacing w:after="0" w:line="237" w:lineRule="auto"/>
        <w:rPr>
          <w:sz w:val="20"/>
          <w:szCs w:val="20"/>
          <w:color w:val="auto"/>
        </w:rPr>
      </w:pPr>
      <w:r>
        <w:rPr>
          <w:rFonts w:ascii="Courier New" w:cs="Courier New" w:eastAsia="Courier New" w:hAnsi="Courier New"/>
          <w:sz w:val="16"/>
          <w:szCs w:val="16"/>
          <w:color w:val="auto"/>
        </w:rPr>
        <w:t>are estimated to be $397.8 million (excluding the premium payment of $ to the Company by J.P. Morgan Securities Inc. pursuant to the Remarketing Agreement discussed herein), after deducting underwriting discounts and commissions and estimated offering expenses.</w:t>
      </w:r>
    </w:p>
    <w:p>
      <w:pPr>
        <w:spacing w:after="0" w:line="186" w:lineRule="exact"/>
        <w:rPr>
          <w:sz w:val="20"/>
          <w:szCs w:val="20"/>
          <w:color w:val="auto"/>
        </w:rPr>
      </w:pPr>
    </w:p>
    <w:p>
      <w:pPr>
        <w:ind w:right="3480" w:firstLine="375"/>
        <w:spacing w:after="0" w:line="255" w:lineRule="auto"/>
        <w:rPr>
          <w:sz w:val="20"/>
          <w:szCs w:val="20"/>
          <w:color w:val="auto"/>
        </w:rPr>
      </w:pPr>
      <w:r>
        <w:rPr>
          <w:rFonts w:ascii="Courier New" w:cs="Courier New" w:eastAsia="Courier New" w:hAnsi="Courier New"/>
          <w:sz w:val="15"/>
          <w:szCs w:val="15"/>
          <w:color w:val="auto"/>
        </w:rPr>
        <w:t>The net proceeds of this Offering and the concurrent 2028 Notes Offering are expected to be used to repay outstanding indebtedness under the Credit Facility. At March 31, 1998, the aggregate outstanding balance of loans and letters of credit under the Credit Facility was $1.8 billion ($483.3 million of which were letters of credit). Borrowings under the Credit Facility bear interest at a rate (currently 5.925%) equal to the Eurodollar rate plus an amount not in excess of 0.575% per annum and mature on August 7, 2002. Bank of America, an affiliate of BancAmerica Robertson Stephens, expects to receive up to $19.5 million of repayment under the Credit Facility from the proceeds of this Offering. Morgan Guaranty Trust Company of New York, an affiliate of J.P. Morgan Securities Inc., expects to receive up to $19.5 million of repayment under the Credit Facility from the proceeds of this Offering. Chase Bank, an affiliate of Chase Securities, Inc., expects to receive up to $16.6 million of repayment under the Credit Facility from the proceeds of this Offering. Deutsche Bank, an affiliate of Deutsche Bank Securities, expects to receive up to $16.6 million of repayment under the Credit Facility from the proceeds of this Offering. Amounts currently outstanding under the Credit Facility were incurred to refinance existing indebtedness and for capital expenditures and other general corporate purposes, including acquisitions. Amounts repaid on the Credit Facility may be reborrowed from time to time for capital expenditures and other general corporate purposes, including possible future acquisitions.</w:t>
      </w:r>
    </w:p>
    <w:p>
      <w:pPr>
        <w:spacing w:after="0" w:line="352"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5" w:lineRule="exact"/>
        <w:rPr>
          <w:sz w:val="20"/>
          <w:szCs w:val="20"/>
          <w:color w:val="auto"/>
        </w:rPr>
      </w:pPr>
    </w:p>
    <w:p>
      <w:pPr>
        <w:ind w:right="3480" w:firstLine="375"/>
        <w:spacing w:after="0" w:line="236"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Actual.....................................</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1.9x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2.3x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480" w:firstLine="375"/>
        <w:spacing w:after="0" w:line="238" w:lineRule="auto"/>
        <w:rPr>
          <w:sz w:val="20"/>
          <w:szCs w:val="20"/>
          <w:color w:val="auto"/>
        </w:rPr>
      </w:pPr>
      <w:r>
        <w:rPr>
          <w:rFonts w:ascii="Courier New" w:cs="Courier New" w:eastAsia="Courier New" w:hAnsi="Courier New"/>
          <w:sz w:val="16"/>
          <w:szCs w:val="16"/>
          <w:color w:val="auto"/>
        </w:rPr>
        <w:t>The Company's consolidated ratios of earnings to fixed charges were computed by dividing earnings available for fixed charges by fixed charges. For this purpose, earnings available for fixed charges are the sum of income before income taxes, undistributed earnings from affiliated companies minority interest,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86" w:lineRule="exact"/>
        <w:rPr>
          <w:sz w:val="20"/>
          <w:szCs w:val="20"/>
          <w:color w:val="auto"/>
        </w:rPr>
      </w:pPr>
    </w:p>
    <w:p>
      <w:pPr>
        <w:ind w:right="3480" w:firstLine="375"/>
        <w:spacing w:after="0" w:line="237"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Supplemental...............................</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2.0x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4.5x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580" w:firstLine="375"/>
        <w:spacing w:after="0" w:line="237" w:lineRule="auto"/>
        <w:rPr>
          <w:sz w:val="20"/>
          <w:szCs w:val="20"/>
          <w:color w:val="auto"/>
        </w:rPr>
      </w:pPr>
      <w:r>
        <w:rPr>
          <w:rFonts w:ascii="Courier New" w:cs="Courier New" w:eastAsia="Courier New" w:hAnsi="Courier New"/>
          <w:sz w:val="16"/>
          <w:szCs w:val="16"/>
          <w:color w:val="auto"/>
        </w:rPr>
        <w:t>Nonrecurring items in 1997 represent merger costs, primarily related to the Company's merger with United Waste Systems, Inc. ("United") in August 1997, and unusual items, primarily related to the closure of two transfer stations in Minnesota, estimated losses related to the closure and abandonment of two landfills in Massachusetts, and various other terminated projects. Nonrecurring items in 1996 represent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980"/>
          </w:cols>
          <w:pgMar w:left="240" w:top="473" w:right="679" w:bottom="1440" w:gutter="0" w:footer="0" w:header="0"/>
        </w:sectPr>
      </w:pPr>
    </w:p>
    <w:bookmarkStart w:id="7" w:name="page8"/>
    <w:bookmarkEnd w:id="7"/>
    <w:p>
      <w:pPr>
        <w:ind w:right="3480"/>
        <w:spacing w:after="0" w:line="255" w:lineRule="auto"/>
        <w:rPr>
          <w:sz w:val="20"/>
          <w:szCs w:val="20"/>
          <w:color w:val="auto"/>
        </w:rPr>
      </w:pPr>
      <w:r>
        <w:rPr>
          <w:rFonts w:ascii="Courier New" w:cs="Courier New" w:eastAsia="Courier New" w:hAnsi="Courier New"/>
          <w:sz w:val="15"/>
          <w:szCs w:val="15"/>
          <w:color w:val="auto"/>
        </w:rPr>
        <w:t>merger costs, primarily related to mergers with Sanifill, Inc. ("Sanifill")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178" w:lineRule="exact"/>
        <w:rPr>
          <w:sz w:val="20"/>
          <w:szCs w:val="20"/>
          <w:color w:val="auto"/>
        </w:rPr>
      </w:pPr>
    </w:p>
    <w:p>
      <w:pPr>
        <w:ind w:right="3860" w:firstLine="375"/>
        <w:spacing w:after="0" w:line="237" w:lineRule="auto"/>
        <w:rPr>
          <w:sz w:val="20"/>
          <w:szCs w:val="20"/>
          <w:color w:val="auto"/>
        </w:rPr>
      </w:pPr>
      <w:r>
        <w:rPr>
          <w:rFonts w:ascii="Courier New" w:cs="Courier New" w:eastAsia="Courier New" w:hAnsi="Courier New"/>
          <w:sz w:val="16"/>
          <w:szCs w:val="16"/>
          <w:color w:val="auto"/>
        </w:rPr>
        <w:t>The following table sets forth for the periods presented the ratios of earnings to fixed charges on a pro forma combined basis giving effect to the Merger and excluding nonrecurring items: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THREE MONTHS</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4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41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120" w:type="dxa"/>
            <w:vAlign w:val="bottom"/>
          </w:tcPr>
          <w:p>
            <w:pPr>
              <w:spacing w:after="0"/>
              <w:rPr>
                <w:sz w:val="15"/>
                <w:szCs w:val="15"/>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1994</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Pro Forma Combined.........................</w:t>
            </w:r>
          </w:p>
        </w:tc>
        <w:tc>
          <w:tcPr>
            <w:tcW w:w="1320" w:type="dxa"/>
            <w:vAlign w:val="bottom"/>
          </w:tcPr>
          <w:p>
            <w:pPr>
              <w:jc w:val="right"/>
              <w:ind w:right="313"/>
              <w:spacing w:after="0"/>
              <w:rPr>
                <w:sz w:val="20"/>
                <w:szCs w:val="20"/>
                <w:color w:val="auto"/>
              </w:rPr>
            </w:pPr>
            <w:r>
              <w:rPr>
                <w:rFonts w:ascii="Courier New" w:cs="Courier New" w:eastAsia="Courier New" w:hAnsi="Courier New"/>
                <w:sz w:val="16"/>
                <w:szCs w:val="16"/>
                <w:color w:val="auto"/>
              </w:rPr>
              <w:t>3.5x</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3.1x</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3.3x</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3.1x</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2.7x</w:t>
            </w:r>
          </w:p>
        </w:tc>
        <w:tc>
          <w:tcPr>
            <w:tcW w:w="1700" w:type="dxa"/>
            <w:vAlign w:val="bottom"/>
          </w:tcPr>
          <w:p>
            <w:pPr>
              <w:ind w:left="940"/>
              <w:spacing w:after="0"/>
              <w:rPr>
                <w:sz w:val="20"/>
                <w:szCs w:val="20"/>
                <w:color w:val="auto"/>
              </w:rPr>
            </w:pPr>
            <w:r>
              <w:rPr>
                <w:rFonts w:ascii="Courier New" w:cs="Courier New" w:eastAsia="Courier New" w:hAnsi="Courier New"/>
                <w:sz w:val="16"/>
                <w:szCs w:val="16"/>
                <w:color w:val="auto"/>
              </w:rPr>
              <w:t>3.0x</w:t>
            </w:r>
          </w:p>
        </w:tc>
      </w:tr>
    </w:tbl>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 addition to the nonrecurring items discussed above, the pro forma</w:t>
      </w:r>
    </w:p>
    <w:p>
      <w:pPr>
        <w:spacing w:after="0"/>
        <w:rPr>
          <w:sz w:val="20"/>
          <w:szCs w:val="20"/>
          <w:color w:val="auto"/>
        </w:rPr>
      </w:pPr>
      <w:r>
        <w:rPr>
          <w:rFonts w:ascii="Courier New" w:cs="Courier New" w:eastAsia="Courier New" w:hAnsi="Courier New"/>
          <w:sz w:val="16"/>
          <w:szCs w:val="16"/>
          <w:color w:val="auto"/>
        </w:rPr>
        <w:t>combined ratios of earnings to fixed charges exclude asset impairment losses of</w:t>
      </w:r>
    </w:p>
    <w:p>
      <w:pPr>
        <w:spacing w:after="0" w:line="237" w:lineRule="auto"/>
        <w:rPr>
          <w:sz w:val="20"/>
          <w:szCs w:val="20"/>
          <w:color w:val="auto"/>
        </w:rPr>
      </w:pPr>
      <w:r>
        <w:rPr>
          <w:rFonts w:ascii="Courier New" w:cs="Courier New" w:eastAsia="Courier New" w:hAnsi="Courier New"/>
          <w:sz w:val="16"/>
          <w:szCs w:val="16"/>
          <w:color w:val="auto"/>
        </w:rPr>
        <w:t>$1,480,262,000 and special charges of $145,990,000 for the year ended December</w:t>
      </w:r>
    </w:p>
    <w:p>
      <w:pPr>
        <w:spacing w:after="0"/>
        <w:rPr>
          <w:sz w:val="20"/>
          <w:szCs w:val="20"/>
          <w:color w:val="auto"/>
        </w:rPr>
      </w:pPr>
      <w:r>
        <w:rPr>
          <w:rFonts w:ascii="Courier New" w:cs="Courier New" w:eastAsia="Courier New" w:hAnsi="Courier New"/>
          <w:sz w:val="16"/>
          <w:szCs w:val="16"/>
          <w:color w:val="auto"/>
        </w:rPr>
        <w:t>31, 1997, asset impairment losses of $64,729,000 and special charges of</w:t>
      </w:r>
    </w:p>
    <w:p>
      <w:pPr>
        <w:spacing w:after="0" w:line="238" w:lineRule="auto"/>
        <w:rPr>
          <w:sz w:val="20"/>
          <w:szCs w:val="20"/>
          <w:color w:val="auto"/>
        </w:rPr>
      </w:pPr>
      <w:r>
        <w:rPr>
          <w:rFonts w:ascii="Courier New" w:cs="Courier New" w:eastAsia="Courier New" w:hAnsi="Courier New"/>
          <w:sz w:val="16"/>
          <w:szCs w:val="16"/>
          <w:color w:val="auto"/>
        </w:rPr>
        <w:t>$370,735,000 for the year ended December 31, 1996, asset impairment losses of</w:t>
      </w:r>
    </w:p>
    <w:p>
      <w:pPr>
        <w:spacing w:after="0"/>
        <w:rPr>
          <w:sz w:val="20"/>
          <w:szCs w:val="20"/>
          <w:color w:val="auto"/>
        </w:rPr>
      </w:pPr>
      <w:r>
        <w:rPr>
          <w:rFonts w:ascii="Courier New" w:cs="Courier New" w:eastAsia="Courier New" w:hAnsi="Courier New"/>
          <w:sz w:val="16"/>
          <w:szCs w:val="16"/>
          <w:color w:val="auto"/>
        </w:rPr>
        <w:t>$53,772,000 and special charges of $335,587,000 for the year ended December 31,</w:t>
      </w:r>
    </w:p>
    <w:p>
      <w:pPr>
        <w:spacing w:after="0" w:line="238" w:lineRule="auto"/>
        <w:rPr>
          <w:sz w:val="20"/>
          <w:szCs w:val="20"/>
          <w:color w:val="auto"/>
        </w:rPr>
      </w:pPr>
      <w:r>
        <w:rPr>
          <w:rFonts w:ascii="Courier New" w:cs="Courier New" w:eastAsia="Courier New" w:hAnsi="Courier New"/>
          <w:sz w:val="16"/>
          <w:szCs w:val="16"/>
          <w:color w:val="auto"/>
        </w:rPr>
        <w:t>1995, asset impairment losses of $33,970,000 for the year ended December 31,</w:t>
      </w:r>
    </w:p>
    <w:p>
      <w:pPr>
        <w:spacing w:after="0"/>
        <w:rPr>
          <w:sz w:val="20"/>
          <w:szCs w:val="20"/>
          <w:color w:val="auto"/>
        </w:rPr>
      </w:pPr>
      <w:r>
        <w:rPr>
          <w:rFonts w:ascii="Courier New" w:cs="Courier New" w:eastAsia="Courier New" w:hAnsi="Courier New"/>
          <w:sz w:val="16"/>
          <w:szCs w:val="16"/>
          <w:color w:val="auto"/>
        </w:rPr>
        <w:t>1994, and asset impairment losses of $29,009,000 and special charges of</w:t>
      </w:r>
    </w:p>
    <w:p>
      <w:pPr>
        <w:spacing w:after="0" w:line="237" w:lineRule="auto"/>
        <w:rPr>
          <w:sz w:val="20"/>
          <w:szCs w:val="20"/>
          <w:color w:val="auto"/>
        </w:rPr>
      </w:pPr>
      <w:r>
        <w:rPr>
          <w:rFonts w:ascii="Courier New" w:cs="Courier New" w:eastAsia="Courier New" w:hAnsi="Courier New"/>
          <w:sz w:val="16"/>
          <w:szCs w:val="16"/>
          <w:color w:val="auto"/>
        </w:rPr>
        <w:t>$524,767,000 for the year ended December 31, 1993.</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980"/>
          </w:cols>
          <w:pgMar w:left="240" w:top="478" w:right="679" w:bottom="1440" w:gutter="0" w:footer="0" w:header="0"/>
        </w:sectPr>
      </w:pPr>
    </w:p>
    <w:bookmarkStart w:id="8" w:name="page9"/>
    <w:bookmarkEnd w:id="8"/>
    <w:p>
      <w:pPr>
        <w:jc w:val="center"/>
        <w:ind w:right="2719"/>
        <w:spacing w:after="0"/>
        <w:rPr>
          <w:sz w:val="20"/>
          <w:szCs w:val="20"/>
          <w:color w:val="auto"/>
        </w:rPr>
      </w:pPr>
      <w:r>
        <w:rPr>
          <w:rFonts w:ascii="Courier New" w:cs="Courier New" w:eastAsia="Courier New" w:hAnsi="Courier New"/>
          <w:sz w:val="16"/>
          <w:szCs w:val="16"/>
          <w:color w:val="auto"/>
        </w:rPr>
        <w:t>CAPITALIZATION</w:t>
      </w:r>
    </w:p>
    <w:p>
      <w:pPr>
        <w:spacing w:after="0" w:line="185" w:lineRule="exact"/>
        <w:rPr>
          <w:sz w:val="20"/>
          <w:szCs w:val="20"/>
          <w:color w:val="auto"/>
        </w:rPr>
      </w:pPr>
    </w:p>
    <w:p>
      <w:pPr>
        <w:ind w:right="2899" w:firstLine="375"/>
        <w:spacing w:after="0" w:line="238" w:lineRule="auto"/>
        <w:rPr>
          <w:sz w:val="20"/>
          <w:szCs w:val="20"/>
          <w:color w:val="auto"/>
        </w:rPr>
      </w:pPr>
      <w:r>
        <w:rPr>
          <w:rFonts w:ascii="Courier New" w:cs="Courier New" w:eastAsia="Courier New" w:hAnsi="Courier New"/>
          <w:sz w:val="16"/>
          <w:szCs w:val="16"/>
          <w:color w:val="auto"/>
        </w:rPr>
        <w:t>The following table sets forth the (i) actual consolidated cash and cash equivalents and capitalization of the Company as of March 31, 1998; (ii) the consolidated cash and cash equivalents and capitalization, as adjusted to give effect to this Offering and the 2028 Notes Offering and the anticipated application of the aggregate net proceeds of $794.0 million; and (iii) the pro forma combined cash and cash equivalents and capitalization of the Company and Waste Management as of March 31, 1998, giving effect to the Merger and as adjusted in (ii) above for this Offering and the 2028 Notes Offering. See "Use of Proceeds."</w:t>
      </w:r>
    </w:p>
    <w:p>
      <w:pPr>
        <w:spacing w:after="0" w:line="18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pro forma combined as adjusted cash and cash equivalents and capitalization reflects the sale of 20 million shares of Waste Management Common Stock that occurred June 15, 1998. For the purposes of this table, net proceeds from the Waste Management Common Stock offering were assumed to have been $614.4 million, as discussed in the pro forma financial information provided herein. The actual proceeds from the Waste Management Common Stock offering did not differ materially from the amounts assumed. A portion of the proceeds from the Waste Management Common Stock offering were used to reduce Waste Management's obligations to former stockholders of Wheelabrator Technologies, Inc. ("WTI").</w:t>
      </w:r>
    </w:p>
    <w:p>
      <w:pPr>
        <w:spacing w:after="0" w:line="179"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This table should be read in conjunction with and is qualified by reference to the Company's Consolidated Financial Statements and Notes thereto and the USA Waste and Waste Management Combined Unaudited Pro Forma Condensed Financial Statements included or incorporated by reference in this Prospectus Supplement and the accompanying Prospectus.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3660" w:type="dxa"/>
            <w:vAlign w:val="bottom"/>
            <w:gridSpan w:val="4"/>
          </w:tcPr>
          <w:p>
            <w:pPr>
              <w:jc w:val="right"/>
              <w:ind w:right="782"/>
              <w:spacing w:after="0"/>
              <w:rPr>
                <w:sz w:val="20"/>
                <w:szCs w:val="20"/>
                <w:color w:val="auto"/>
              </w:rPr>
            </w:pPr>
            <w:r>
              <w:rPr>
                <w:rFonts w:ascii="Courier New" w:cs="Courier New" w:eastAsia="Courier New" w:hAnsi="Courier New"/>
                <w:sz w:val="16"/>
                <w:szCs w:val="16"/>
                <w:color w:val="auto"/>
              </w:rPr>
              <w:t>AS OF MARCH 31, 1998</w:t>
            </w:r>
          </w:p>
        </w:tc>
      </w:tr>
      <w:tr>
        <w:trPr>
          <w:trHeight w:val="180"/>
        </w:trPr>
        <w:tc>
          <w:tcPr>
            <w:tcW w:w="4880" w:type="dxa"/>
            <w:vAlign w:val="bottom"/>
          </w:tcPr>
          <w:p>
            <w:pPr>
              <w:spacing w:after="0"/>
              <w:rPr>
                <w:sz w:val="15"/>
                <w:szCs w:val="15"/>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COMPANY AND</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WASTE MANAGEMENT</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COMPANY</w:t>
            </w:r>
          </w:p>
        </w:tc>
        <w:tc>
          <w:tcPr>
            <w:tcW w:w="3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PRO FORMA</w:t>
            </w:r>
          </w:p>
        </w:tc>
      </w:tr>
      <w:tr>
        <w:trPr>
          <w:trHeight w:val="180"/>
        </w:trPr>
        <w:tc>
          <w:tcPr>
            <w:tcW w:w="48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COMPANY</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AS</w:t>
            </w:r>
          </w:p>
        </w:tc>
        <w:tc>
          <w:tcPr>
            <w:tcW w:w="340" w:type="dxa"/>
            <w:vAlign w:val="bottom"/>
          </w:tcPr>
          <w:p>
            <w:pPr>
              <w:spacing w:after="0"/>
              <w:rPr>
                <w:sz w:val="15"/>
                <w:szCs w:val="15"/>
                <w:color w:val="auto"/>
              </w:rPr>
            </w:pPr>
          </w:p>
        </w:tc>
        <w:tc>
          <w:tcPr>
            <w:tcW w:w="122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8"/>
              </w:rPr>
              <w:t>COMBINED</w:t>
            </w:r>
          </w:p>
        </w:tc>
      </w:tr>
      <w:tr>
        <w:trPr>
          <w:trHeight w:val="180"/>
        </w:trPr>
        <w:tc>
          <w:tcPr>
            <w:tcW w:w="48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ACTUAL</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ADJUSTED</w:t>
            </w: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AS ADJUSTED</w:t>
            </w:r>
          </w:p>
        </w:tc>
      </w:tr>
      <w:tr>
        <w:trPr>
          <w:trHeight w:val="180"/>
        </w:trPr>
        <w:tc>
          <w:tcPr>
            <w:tcW w:w="4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(IN THOUSANDS)</w:t>
            </w:r>
          </w:p>
        </w:tc>
      </w:tr>
      <w:tr>
        <w:trPr>
          <w:trHeight w:val="361"/>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Cash and cash equivalents..........................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46,260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  46,260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358,121</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 maturities):</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Credit facility..................................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$1,333,000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$ 539,000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719,000</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Commercial paper.................................</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427,595</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Obligation to former WTI stockholders............</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261,832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Existing Notes and debentures....................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1,091,240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1,091,240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4,774,495</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Senior Notes due 2028........................</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400,000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400,000</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Mandatorily Tendered Senior Notes due 2011...</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400,000</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400,000</w:t>
            </w: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Convertible subordinated notes and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subordinated notes.......................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799,775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799,775</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1,249,312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WTI project debt.................................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784,146</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407,399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407,399</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1,306,683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ind w:left="380"/>
              <w:spacing w:after="0"/>
              <w:rPr>
                <w:sz w:val="20"/>
                <w:szCs w:val="20"/>
                <w:color w:val="auto"/>
              </w:rPr>
            </w:pPr>
            <w:r>
              <w:rPr>
                <w:rFonts w:ascii="Courier New" w:cs="Courier New" w:eastAsia="Courier New" w:hAnsi="Courier New"/>
                <w:sz w:val="16"/>
                <w:szCs w:val="16"/>
                <w:color w:val="auto"/>
              </w:rPr>
              <w:t>Total long-term debt, including current</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maturities...................................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3,631,414</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3,637,414</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10,323,063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10,000,000 shares authorized,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none issued....................................</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center"/>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Common stock, 500,000,000 shares authorized,</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ind w:left="380"/>
              <w:spacing w:after="0"/>
              <w:rPr>
                <w:sz w:val="20"/>
                <w:szCs w:val="20"/>
                <w:color w:val="auto"/>
              </w:rPr>
            </w:pPr>
            <w:r>
              <w:rPr>
                <w:rFonts w:ascii="Courier New" w:cs="Courier New" w:eastAsia="Courier New" w:hAnsi="Courier New"/>
                <w:sz w:val="16"/>
                <w:szCs w:val="16"/>
                <w:color w:val="auto"/>
              </w:rPr>
              <w:t>219,834,550 shares (572,269,938 pro forma</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 issued.................................</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2,198</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2,198</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5,723</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2,436,447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2,436,447</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3,267,468</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Retained earnings................................</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374,459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374,459</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2,033,929</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Accumulated other comprehensive income...........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(37,498)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(37,498)</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(316,298)</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Treasury stock...................................</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(484)</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Restricted stock unearned compensation...........</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(10,252)</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Employee stock benefit trust.....................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(335,436)</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stockholders' equity.....................</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2,775,122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2,775,122</w:t>
            </w:r>
          </w:p>
        </w:tc>
        <w:tc>
          <w:tcPr>
            <w:tcW w:w="34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4,644,650</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capitalization...........................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$6,406,536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$6,412,536</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$ 14,967,713</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48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S-7</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473" w:right="1440" w:bottom="1440" w:gutter="0" w:footer="0" w:header="0"/>
        </w:sectPr>
      </w:pPr>
    </w:p>
    <w:bookmarkStart w:id="9" w:name="page10"/>
    <w:bookmarkEnd w:id="9"/>
    <w:p>
      <w:pPr>
        <w:jc w:val="center"/>
        <w:ind w:right="2719"/>
        <w:spacing w:after="0"/>
        <w:rPr>
          <w:sz w:val="20"/>
          <w:szCs w:val="20"/>
          <w:color w:val="auto"/>
        </w:rPr>
      </w:pPr>
      <w:r>
        <w:rPr>
          <w:rFonts w:ascii="Courier New" w:cs="Courier New" w:eastAsia="Courier New" w:hAnsi="Courier New"/>
          <w:sz w:val="16"/>
          <w:szCs w:val="16"/>
          <w:color w:val="auto"/>
        </w:rPr>
        <w:t>SELECTED HISTORICAL AND SUMMARY COMBINED UNAUDITED PRO FORMA</w:t>
      </w:r>
    </w:p>
    <w:p>
      <w:pPr>
        <w:jc w:val="center"/>
        <w:ind w:right="2819"/>
        <w:spacing w:after="0"/>
        <w:rPr>
          <w:sz w:val="20"/>
          <w:szCs w:val="20"/>
          <w:color w:val="auto"/>
        </w:rPr>
      </w:pPr>
      <w:r>
        <w:rPr>
          <w:rFonts w:ascii="Courier New" w:cs="Courier New" w:eastAsia="Courier New" w:hAnsi="Courier New"/>
          <w:sz w:val="16"/>
          <w:szCs w:val="16"/>
          <w:color w:val="auto"/>
        </w:rPr>
        <w:t>CONDENSED FINANCIAL INFORMATION</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selected historical financial information of USA Waste for each of the five years in the period ended December 31, 1997 has been derived from its audited historical financial statements. The following selected historical financial information of USA Waste as of and for the three months ended March 31, 1997 and 1998 has been derived from its unaudited historical financial statements and reflects all adjustments management considers necessary for a fair presentation of the financial position and results of operations for these periods. The selected historical financial information should be read in conjunction with the historical financial statements and notes thereto incorporated by reference in this Prospectus Supplement and the accompanying Prospectus.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included in this Prospectus Supplement.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47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6040" w:type="dxa"/>
            <w:vAlign w:val="bottom"/>
            <w:gridSpan w:val="5"/>
          </w:tcPr>
          <w:p>
            <w:pPr>
              <w:jc w:val="right"/>
              <w:ind w:right="142"/>
              <w:spacing w:after="0"/>
              <w:rPr>
                <w:sz w:val="20"/>
                <w:szCs w:val="20"/>
                <w:color w:val="auto"/>
              </w:rPr>
            </w:pPr>
            <w:r>
              <w:rPr>
                <w:rFonts w:ascii="Courier New" w:cs="Courier New" w:eastAsia="Courier New" w:hAnsi="Courier New"/>
                <w:sz w:val="16"/>
                <w:szCs w:val="16"/>
                <w:color w:val="auto"/>
              </w:rPr>
              <w:t>USA WASTE SELECTED HISTORICAL FINANCIAL DATA</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ENDED</w:t>
            </w:r>
          </w:p>
        </w:tc>
        <w:tc>
          <w:tcPr>
            <w:tcW w:w="800" w:type="dxa"/>
            <w:vAlign w:val="bottom"/>
          </w:tcPr>
          <w:p>
            <w:pPr>
              <w:spacing w:after="0"/>
              <w:rPr>
                <w:sz w:val="15"/>
                <w:szCs w:val="15"/>
                <w:color w:val="auto"/>
              </w:rPr>
            </w:pP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jc w:val="right"/>
              <w:ind w:right="422"/>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0"/>
        </w:trPr>
        <w:tc>
          <w:tcPr>
            <w:tcW w:w="39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1993</w:t>
            </w:r>
          </w:p>
        </w:tc>
        <w:tc>
          <w:tcPr>
            <w:tcW w:w="14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1994</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1995</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3"/>
              </w:rPr>
              <w:t>1996</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1997</w:t>
            </w:r>
          </w:p>
        </w:tc>
        <w:tc>
          <w:tcPr>
            <w:tcW w:w="180" w:type="dxa"/>
            <w:vAlign w:val="bottom"/>
          </w:tcPr>
          <w:p>
            <w:pPr>
              <w:spacing w:after="0"/>
              <w:rPr>
                <w:sz w:val="15"/>
                <w:szCs w:val="15"/>
                <w:color w:val="auto"/>
              </w:rPr>
            </w:pPr>
          </w:p>
        </w:tc>
        <w:tc>
          <w:tcPr>
            <w:tcW w:w="86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8"/>
              </w:rPr>
              <w:t>1997</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(IN THOUSANDS, EXCEPT PER SHARE</w:t>
            </w:r>
          </w:p>
        </w:tc>
        <w:tc>
          <w:tcPr>
            <w:tcW w:w="1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AMOUNTS)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887,972</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$1,043,687</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$1,216,082</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$1,649,131</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$2,613,768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$ 460,484</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$ 769,440</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Operating (exclusive of depreciation</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and amortization shown below)........</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514,483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596,868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672,117</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881,401</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1,345,769</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241,318</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397,492</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144,623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159,097</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169,686</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200,101</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284,946</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53,677</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81,916</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108,024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127,108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143,878</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191,044</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303,241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56,178</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86,110</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3,782</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26,539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126,626</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109,411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2,672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8,863</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4,733</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63,800</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24,720</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769,802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895,718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1,016,953</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1,462,972</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2,068,087</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353,169</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565,518</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118,170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147,969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199,129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186,159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545,681</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107,315</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203,922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Other income (expenses):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Shareholder litigation settlement and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litigation related costs.......</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(1,254)</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(50,737)</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(54,102)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(58,619)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(60,497)</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(104,261)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(16,098)</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(38,368)</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5,072</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5,085</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6,682</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6,699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7,634</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2,053</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1,799</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1,749</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2,629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4,891</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6,376</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14,213</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3,646</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34,251</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(49,416)</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(127,042)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(58,040)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(47,422)</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(82,414)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(10,399)</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(2,318)</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68,754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20,927</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141,089</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138,737</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463,267</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96,916</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201,604</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29,170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8,959</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60,313</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70,398</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189,944</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38,954</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80,642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before extraordinary item.........</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39,584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11,968</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80,776</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68,339</w:t>
            </w:r>
          </w:p>
        </w:tc>
        <w:tc>
          <w:tcPr>
            <w:tcW w:w="1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273,323</w:t>
            </w:r>
          </w:p>
        </w:tc>
        <w:tc>
          <w:tcPr>
            <w:tcW w:w="1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57,962</w:t>
            </w: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120,962</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Extraordinary item related to early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retirement of debt, net of taxes.......</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(6,293)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39,584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11,968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80,776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68,339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$ 267,030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57,962</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$ 120,962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1.31</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0.37</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spacing w:after="0"/>
              <w:rPr>
                <w:sz w:val="15"/>
                <w:szCs w:val="15"/>
                <w:color w:val="auto"/>
              </w:rPr>
            </w:pP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spacing w:after="0"/>
              <w:rPr>
                <w:sz w:val="15"/>
                <w:szCs w:val="15"/>
                <w:color w:val="auto"/>
              </w:rPr>
            </w:pP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0.37</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1.23</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Dividends per common share...............</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3"/>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center"/>
              <w:ind w:right="24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ind w:right="282"/>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ind w:right="3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Working capital..........................</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37,565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1,901</w:t>
            </w:r>
          </w:p>
        </w:tc>
        <w:tc>
          <w:tcPr>
            <w:tcW w:w="140" w:type="dxa"/>
            <w:vAlign w:val="bottom"/>
          </w:tcPr>
          <w:p>
            <w:pPr>
              <w:ind w:left="60"/>
              <w:spacing w:after="0"/>
              <w:rPr>
                <w:sz w:val="20"/>
                <w:szCs w:val="20"/>
                <w:color w:val="auto"/>
              </w:rPr>
            </w:pPr>
            <w:r>
              <w:rPr>
                <w:rFonts w:ascii="Courier New" w:cs="Courier New" w:eastAsia="Courier New" w:hAnsi="Courier New"/>
                <w:sz w:val="13"/>
                <w:szCs w:val="13"/>
                <w:color w:val="auto"/>
                <w:w w:val="76"/>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26,134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31,842</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86,736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$ 148,997</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$ 177,910</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Intangible assets, net...................</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196,353</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250,551</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433,944</w:t>
            </w:r>
          </w:p>
        </w:tc>
        <w:tc>
          <w:tcPr>
            <w:tcW w:w="18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804,251</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1,645,985</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1,110,900</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2,031,811</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assets.............................</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1,617,422</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1,833,099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2,455,102</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3,631,547</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6,622,845</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4,591,544</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7,589,405</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maturities.............................</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711,014</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759,123</w:t>
            </w:r>
          </w:p>
        </w:tc>
        <w:tc>
          <w:tcPr>
            <w:tcW w:w="1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909,050</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1,504,888</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2,763,729</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1,732,825</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3,631,414</w:t>
            </w:r>
          </w:p>
        </w:tc>
      </w:tr>
      <w:tr>
        <w:trPr>
          <w:trHeight w:val="180"/>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Stockholders' equity.....................</w:t>
            </w:r>
          </w:p>
        </w:tc>
        <w:tc>
          <w:tcPr>
            <w:tcW w:w="2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623,510</w:t>
            </w:r>
          </w:p>
        </w:tc>
        <w:tc>
          <w:tcPr>
            <w:tcW w:w="1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688,603</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1,149,885</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1,473,990</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2,628,976</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2,118,698</w:t>
            </w:r>
          </w:p>
        </w:tc>
        <w:tc>
          <w:tcPr>
            <w:tcW w:w="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2,775,122</w:t>
            </w:r>
          </w:p>
        </w:tc>
      </w:tr>
      <w:tr>
        <w:trPr>
          <w:trHeight w:val="541"/>
        </w:trPr>
        <w:tc>
          <w:tcPr>
            <w:tcW w:w="3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160"/>
          </w:cols>
          <w:pgMar w:left="240" w:top="473" w:right="499" w:bottom="1440" w:gutter="0" w:footer="0" w:header="0"/>
        </w:sectPr>
      </w:pPr>
    </w:p>
    <w:bookmarkStart w:id="11" w:name="page12"/>
    <w:bookmarkEnd w:id="11"/>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899" w:hanging="384"/>
        <w:spacing w:after="0" w:line="237"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in 1997 include charges for merger costs that primarily related to a pooling of interests with United and unusual items for the closure and abandonment of certain landfills and transfer stations and reserves for various other terminated projects.</w:t>
      </w:r>
    </w:p>
    <w:p>
      <w:pPr>
        <w:spacing w:after="0" w:line="185"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1996, USA Waste recorded merger costs primarily related to its poolings of interests with Western and Sanifill,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85" w:lineRule="exact"/>
        <w:rPr>
          <w:rFonts w:ascii="Courier New" w:cs="Courier New" w:eastAsia="Courier New" w:hAnsi="Courier New"/>
          <w:sz w:val="16"/>
          <w:szCs w:val="16"/>
          <w:color w:val="auto"/>
        </w:rPr>
      </w:pPr>
    </w:p>
    <w:p>
      <w:pPr>
        <w:ind w:left="384" w:right="3099" w:hanging="384"/>
        <w:spacing w:after="0" w:line="237"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Waste's results of operations in 1995 include merger costs primarily related to its merger with Chambers and nonrecurring interest related to extension fees and other charges associated with the refinancing of Chambers' pre-merger debt.</w:t>
      </w:r>
    </w:p>
    <w:p>
      <w:pPr>
        <w:spacing w:after="0" w:line="185" w:lineRule="exact"/>
        <w:rPr>
          <w:rFonts w:ascii="Courier New" w:cs="Courier New" w:eastAsia="Courier New" w:hAnsi="Courier New"/>
          <w:sz w:val="16"/>
          <w:szCs w:val="16"/>
          <w:color w:val="auto"/>
        </w:rPr>
      </w:pPr>
    </w:p>
    <w:p>
      <w:pPr>
        <w:ind w:left="384" w:right="2819" w:hanging="384"/>
        <w:spacing w:after="0" w:line="256" w:lineRule="auto"/>
        <w:tabs>
          <w:tab w:leader="none" w:pos="3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3"/>
          </w:cols>
          <w:pgMar w:left="236" w:top="473" w:right="1440" w:bottom="1440" w:gutter="0" w:footer="0" w:header="0"/>
        </w:sectPr>
      </w:pPr>
    </w:p>
    <w:bookmarkStart w:id="12" w:name="page13"/>
    <w:bookmarkEnd w:id="12"/>
    <w:p>
      <w:pPr>
        <w:jc w:val="center"/>
        <w:ind w:right="310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3100"/>
        <w:spacing w:after="0"/>
        <w:rPr>
          <w:sz w:val="20"/>
          <w:szCs w:val="20"/>
          <w:color w:val="auto"/>
        </w:rPr>
      </w:pPr>
      <w:r>
        <w:rPr>
          <w:rFonts w:ascii="Courier New" w:cs="Courier New" w:eastAsia="Courier New" w:hAnsi="Courier New"/>
          <w:sz w:val="16"/>
          <w:szCs w:val="16"/>
          <w:color w:val="auto"/>
        </w:rPr>
        <w:t>SUMMARY COMBINED UNAUDITED PRO FORMA CONDENSED FINANCIAL INFORMATION</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5"/>
              </w:rPr>
              <w:t>ENDED</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506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4"/>
              </w:rPr>
              <w: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1995</w:t>
            </w:r>
          </w:p>
        </w:tc>
        <w:tc>
          <w:tcPr>
            <w:tcW w:w="22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10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1998</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60" w:type="dxa"/>
            <w:vAlign w:val="bottom"/>
            <w:gridSpan w:val="7"/>
          </w:tcPr>
          <w:p>
            <w:pPr>
              <w:jc w:val="right"/>
              <w:ind w:right="762"/>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10,316,307</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10,874,767</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11,802,350</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$ 2,901,061</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ind w:left="380"/>
              <w:spacing w:after="0"/>
              <w:rPr>
                <w:sz w:val="20"/>
                <w:szCs w:val="20"/>
                <w:color w:val="auto"/>
              </w:rPr>
            </w:pPr>
            <w:r>
              <w:rPr>
                <w:rFonts w:ascii="Courier New" w:cs="Courier New" w:eastAsia="Courier New" w:hAnsi="Courier New"/>
                <w:sz w:val="16"/>
                <w:szCs w:val="16"/>
                <w:color w:val="auto"/>
              </w:rPr>
              <w:t>Operating (exclusive of depreciation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shown below)......................</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6,176,196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6,498,708</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7,479,745</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1,757,707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1,260,192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1,294,471</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1,413,244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345,581</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1,178,896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1,256,727</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1,382,356</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351,458</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26,539</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126,626</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109,411</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394,092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499,264</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1,650,972</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held for</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 net of minority interest.....................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9,930</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2,416</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9,010,805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9,675,481</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12,045,658</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2,457,162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operations........................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1,305,502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1,199,286</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443,899</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c>
          <w:tcPr>
            <w:tcW w:w="22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(522,480)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(153,942)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41,565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34,603</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45,214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6,109</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(25,302)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257,586</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108,390</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126,172</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70,323</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(102,812)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989,812</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778,069</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341,087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3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492,885</w:t>
            </w:r>
          </w:p>
        </w:tc>
        <w:tc>
          <w:tcPr>
            <w:tcW w:w="22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486,616</w:t>
            </w:r>
          </w:p>
        </w:tc>
        <w:tc>
          <w:tcPr>
            <w:tcW w:w="34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361,464</w:t>
            </w: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161,815</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496,927</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291,453</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4"/>
              </w:rPr>
              <w:t>(1,029,977)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 from</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 from</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0.99</w:t>
            </w:r>
          </w:p>
        </w:tc>
        <w:tc>
          <w:tcPr>
            <w:tcW w:w="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0.54</w:t>
            </w:r>
          </w:p>
        </w:tc>
        <w:tc>
          <w:tcPr>
            <w:tcW w:w="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Working capital (deficit)............................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$(1,537,137)</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Intangible assets, net...............................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5,651,426</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assets.........................................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21,248,259</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Long-term debt, including current maturities.........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10,317,063</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Stockholders' equity.................................</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4,644,650</w:t>
            </w:r>
          </w:p>
        </w:tc>
      </w:tr>
      <w:tr>
        <w:trPr>
          <w:trHeight w:val="541"/>
        </w:trPr>
        <w:tc>
          <w:tcPr>
            <w:tcW w:w="50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S-11</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00"/>
          </w:cols>
          <w:pgMar w:left="240" w:top="473" w:right="1059" w:bottom="144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DESCRIPTION OF THE NOTES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Notes constitute a series of Senior Debt Securities described in the accompanying Prospectus that will be issued under an indenture, dated as of September 10, 1997 (the "Senior Indenture"), between the Company and Chase Bank of Texas,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Notes offered by this Prospectus Supplement will be limited in aggregate principal amount to $400,000,000. The Notes constitute senior and unsecured obligations of the Company, ranking PARI PASSU in right of payment with all other senior and unsecured obligations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w w:val="99"/>
              </w:rPr>
              <w:t>The Notes</w:t>
            </w:r>
          </w:p>
        </w:tc>
        <w:tc>
          <w:tcPr>
            <w:tcW w:w="24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will mature on</w:t>
            </w:r>
          </w:p>
        </w:tc>
        <w:tc>
          <w:tcPr>
            <w:tcW w:w="380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8"/>
              </w:rPr>
              <w:t>, 2011 (the "Stated Maturity Date") and</w:t>
            </w:r>
          </w:p>
        </w:tc>
      </w:tr>
      <w:tr>
        <w:trPr>
          <w:trHeight w:val="180"/>
        </w:trPr>
        <w:tc>
          <w:tcPr>
            <w:tcW w:w="2300" w:type="dxa"/>
            <w:vAlign w:val="bottom"/>
            <w:gridSpan w:val="3"/>
          </w:tcPr>
          <w:p>
            <w:pPr>
              <w:spacing w:after="0"/>
              <w:rPr>
                <w:sz w:val="20"/>
                <w:szCs w:val="20"/>
                <w:color w:val="auto"/>
              </w:rPr>
            </w:pPr>
            <w:r>
              <w:rPr>
                <w:rFonts w:ascii="Courier New" w:cs="Courier New" w:eastAsia="Courier New" w:hAnsi="Courier New"/>
                <w:sz w:val="16"/>
                <w:szCs w:val="16"/>
                <w:color w:val="auto"/>
                <w:w w:val="98"/>
              </w:rPr>
              <w:t>will bear interest at an</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annual rate of</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 to but not</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including</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2001</w:t>
            </w:r>
          </w:p>
        </w:tc>
      </w:tr>
      <w:tr>
        <w:trPr>
          <w:trHeight w:val="18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(the "Remarketing</w:t>
            </w:r>
          </w:p>
        </w:tc>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w w:val="98"/>
              </w:rPr>
              <w:t>Date"). Interest on the Notes will be</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payable semi-annually on</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January   and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July</w:t>
            </w:r>
          </w:p>
        </w:tc>
        <w:tc>
          <w:tcPr>
            <w:tcW w:w="35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of each year, commencing January</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 1999 to the persons in</w:t>
            </w:r>
          </w:p>
        </w:tc>
      </w:tr>
      <w:tr>
        <w:trPr>
          <w:trHeight w:val="180"/>
        </w:trPr>
        <w:tc>
          <w:tcPr>
            <w:tcW w:w="2300" w:type="dxa"/>
            <w:vAlign w:val="bottom"/>
            <w:gridSpan w:val="3"/>
          </w:tcPr>
          <w:p>
            <w:pPr>
              <w:spacing w:after="0"/>
              <w:rPr>
                <w:sz w:val="20"/>
                <w:szCs w:val="20"/>
                <w:color w:val="auto"/>
              </w:rPr>
            </w:pPr>
            <w:r>
              <w:rPr>
                <w:rFonts w:ascii="Courier New" w:cs="Courier New" w:eastAsia="Courier New" w:hAnsi="Courier New"/>
                <w:sz w:val="16"/>
                <w:szCs w:val="16"/>
                <w:color w:val="auto"/>
                <w:w w:val="98"/>
              </w:rPr>
              <w:t>whose name the Notes are</w:t>
            </w:r>
          </w:p>
        </w:tc>
        <w:tc>
          <w:tcPr>
            <w:tcW w:w="4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registered at the close of business on the</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and</w:t>
            </w:r>
          </w:p>
        </w:tc>
      </w:tr>
      <w:tr>
        <w:trPr>
          <w:trHeight w:val="180"/>
        </w:trPr>
        <w:tc>
          <w:tcPr>
            <w:tcW w:w="16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immediately</w:t>
            </w:r>
          </w:p>
        </w:tc>
        <w:tc>
          <w:tcPr>
            <w:tcW w:w="5820" w:type="dxa"/>
            <w:vAlign w:val="bottom"/>
            <w:gridSpan w:val="5"/>
          </w:tcPr>
          <w:p>
            <w:pPr>
              <w:spacing w:after="0"/>
              <w:rPr>
                <w:sz w:val="20"/>
                <w:szCs w:val="20"/>
                <w:color w:val="auto"/>
              </w:rPr>
            </w:pPr>
            <w:r>
              <w:rPr>
                <w:rFonts w:ascii="Courier New" w:cs="Courier New" w:eastAsia="Courier New" w:hAnsi="Courier New"/>
                <w:sz w:val="16"/>
                <w:szCs w:val="16"/>
                <w:color w:val="auto"/>
                <w:w w:val="99"/>
              </w:rPr>
              <w:t>preceding the related Interest Payment Date. Interest will be</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calculated 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w w:val="98"/>
              </w:rPr>
              <w:t>basis of a 360-day year consisting of</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twelve 30-day months.</w:t>
            </w:r>
          </w:p>
        </w:tc>
      </w:tr>
      <w:tr>
        <w:trPr>
          <w:trHeight w:val="18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The Notes will be</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issued</w:t>
            </w:r>
          </w:p>
        </w:tc>
        <w:tc>
          <w:tcPr>
            <w:tcW w:w="2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only in fully registered form,</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without coupons, in</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denominations</w:t>
            </w:r>
          </w:p>
        </w:tc>
        <w:tc>
          <w:tcPr>
            <w:tcW w:w="624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7"/>
              </w:rPr>
              <w:t>of $1,000 and integral multiples thereof. There is no sinking fund</w:t>
            </w:r>
          </w:p>
        </w:tc>
      </w:tr>
      <w:tr>
        <w:trPr>
          <w:trHeight w:val="180"/>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applicable to</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Notes.</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the Remarketing Dealer elects to remarket the Notes on the Remarketing Date, then the Notes will be subject to mandatory tender to the Remarketing Dealer, for purchase at 100% of the principal amount thereof on the Remarketing Date on the terms and subject to the conditions described herein (interest accrued to but not including the Remarketing Date will be paid by the Company on such date to holders on the immediately preceding Record Date). See "-- Mandatory Tender of Notes; Remarketing." If the Remarketing Dealer does not elect to exercise its right to a mandatory tender of the Notes on the Remarketing Date, if the Remarketing Dealer does not receive by the Determination Date (as defined below) any firm committed bids to purchase all the Notes from a Reference Corporate Dealer, as provided below, or if for any reason the Remarketing Dealer does not purchase all of the Notes on the Remarketing Date, then the Company is required to repurchase any Notes that have not been purchased by the Remarketing Dealer from the holders thereof at 100% of the principal amount thereof plus accrued interest, if any. See "-- Repurchase." The Notes will be redeemable by the Company on and after the Remarketing Date pursuant to the terms set forth in "-- Redemption."</w:t>
      </w:r>
    </w:p>
    <w:p>
      <w:pPr>
        <w:spacing w:after="0" w:line="191"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If the Remarketing Dealer remarkets the Notes on the Remarketing Date, then, as of the Remarketing Date, the interest rate on the Notes will be reset at a fixed rate until the Stated Maturity Date, as determined by the Remarketing Dealer based on bids requested from certain dealers in the Company's publicly-traded debt securities. See "-- Mandatory Tender of Notes; Remarketing."</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Notes will be issued in the form of one or more registered global securities and will be deposited with, or on behalf of, DTC and registered in the name of DTC or its nominee. See "-- Book-Entry, Delivery and Form." Settlement for the Notes will be made in immediately available funds and the Notes will trade on the DTC's Same-Day Funds Settlement System until maturity. Secondary market trading activity in the Notes will therefore settle in immediately available funds. All payments of principal and interest will be made by the Company in immediately available funds.</w:t>
      </w:r>
    </w:p>
    <w:p>
      <w:pPr>
        <w:spacing w:after="0" w:line="185" w:lineRule="exact"/>
        <w:rPr>
          <w:sz w:val="20"/>
          <w:szCs w:val="20"/>
          <w:color w:val="auto"/>
        </w:rPr>
      </w:pPr>
    </w:p>
    <w:p>
      <w:pPr>
        <w:jc w:val="both"/>
        <w:ind w:right="2819" w:firstLine="375"/>
        <w:spacing w:after="0" w:line="237" w:lineRule="auto"/>
        <w:rPr>
          <w:sz w:val="20"/>
          <w:szCs w:val="20"/>
          <w:color w:val="auto"/>
        </w:rPr>
      </w:pPr>
      <w:r>
        <w:rPr>
          <w:rFonts w:ascii="Courier New" w:cs="Courier New" w:eastAsia="Courier New" w:hAnsi="Courier New"/>
          <w:sz w:val="16"/>
          <w:szCs w:val="16"/>
          <w:color w:val="auto"/>
        </w:rPr>
        <w:t>Although the United States federal income tax treatment of the Notes is not certain, the terms of the Notes provide that the Company and all holders of the Notes agree to treat the Notes as fixed rate debt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473" w:right="1440" w:bottom="1440" w:gutter="0" w:footer="0" w:header="0"/>
        </w:sectPr>
      </w:pPr>
    </w:p>
    <w:bookmarkStart w:id="14" w:name="page15"/>
    <w:bookmarkEnd w:id="14"/>
    <w:p>
      <w:pPr>
        <w:ind w:right="2719"/>
        <w:spacing w:after="0" w:line="263" w:lineRule="auto"/>
        <w:rPr>
          <w:sz w:val="20"/>
          <w:szCs w:val="20"/>
          <w:color w:val="auto"/>
        </w:rPr>
      </w:pPr>
      <w:r>
        <w:rPr>
          <w:rFonts w:ascii="Courier New" w:cs="Courier New" w:eastAsia="Courier New" w:hAnsi="Courier New"/>
          <w:sz w:val="15"/>
          <w:szCs w:val="15"/>
          <w:color w:val="auto"/>
        </w:rPr>
        <w:t>instruments that mature on the Remarketing Date for United States federal income tax purposes. See "Certain United States Federal Income Tax Considerations."</w:t>
      </w:r>
    </w:p>
    <w:p>
      <w:pPr>
        <w:spacing w:after="0" w:line="16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Company's obligations under the Credit Facility are currently guaranteed by United and Sanifill, both wholly-owned subsidiaries of the Company. Upon consummation of the Merger, it is expected that New Waste Management will enter into the New Credit Facility, and that each of the Credit Facility and the New Credit Facility will be guaranteed by Waste Management, Inc., as a subsidiary of New Waste Management. Further, upon consummation of the Merger, it is expected that New Waste Management will unconditionally guarantee the outstanding senior indebtedness of Waste Management, and Waste Management will unconditionally guarantee the outstanding senior indebtedness of New Waste Management, including the Notes and the 2028 Notes. It is expected that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The Company is seeking, among other proposed amendments, to amend the Credit Facility to have the guarantees provided by United and Sanifill removed, although there can be no assurance such guarantees will be removed. If such guarantees by United and Sanifill are removed, Waste Management, Inc. will be the only subsidiary of New Waste Management guaranteeing the Credit Facility and the New Credit Facility. In such event, the claims of creditors of United, Sanifill and (with the exception of Waste Management assuming the Merger is consummated and the Waste Management guarantee is entered into as described hereinabove) the Company's other subsidiaries (including holders of the $150.0 million aggregate principal amount of outstanding 4% Convertible Subordinated Debentures due June 1, 2001 of United, and $115.0 million aggregate amount of outstanding 5% Convertible Subordinated Debentures due March 1, 2006 of Sanifill) will effectively have priority with respect to the assets and earnings of such subsidiaries, over the claims of creditors of the Company, including the holders of the Notes. However, upon consummation of the Merger, the claims of creditors of Waste Management will not have such priority as a consequence of Waste Management's guarantee of the Company's senior indebtedness described above during the period such guarantee is in effect.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TENDER OF NOTES; REMARKETING</w:t>
      </w:r>
    </w:p>
    <w:p>
      <w:pPr>
        <w:spacing w:after="0" w:line="185" w:lineRule="exact"/>
        <w:rPr>
          <w:sz w:val="20"/>
          <w:szCs w:val="20"/>
          <w:color w:val="auto"/>
        </w:rPr>
      </w:pPr>
    </w:p>
    <w:p>
      <w:pPr>
        <w:ind w:right="3179" w:firstLine="375"/>
        <w:spacing w:after="0" w:line="259" w:lineRule="auto"/>
        <w:rPr>
          <w:sz w:val="20"/>
          <w:szCs w:val="20"/>
          <w:color w:val="auto"/>
        </w:rPr>
      </w:pPr>
      <w:r>
        <w:rPr>
          <w:rFonts w:ascii="Courier New" w:cs="Courier New" w:eastAsia="Courier New" w:hAnsi="Courier New"/>
          <w:sz w:val="15"/>
          <w:szCs w:val="15"/>
          <w:color w:val="auto"/>
        </w:rPr>
        <w:t>The following description sets forth the terms and conditions of the remarketing of the Notes on the Remarketing Date, if the Remarketing Dealer elects to purchase the Notes on the Remarketing Date for remarketing.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TENDER</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If the Remarketing Dealer gives notice to the Company and the Trustee on a Business Day not later than fifteen Business Days prior to the Remarketing Date (the "Notification Date") of its intention to purchase the Notes for remarketing on the Remarketing Date, all outstanding Notes will be automatically tendered to the Remarketing Dealer for purchase on the Remarketing Date. The purchase price of the Notes will be equal in each case to 100% of the principal amount thereof. When the Notes are tendered for remarketing, the Remarketing Dealer may remarket the Notes for its own account at a price or prices to be determined by the Remarketing Dealer at the time of each sale or may sell such Notes to the Reference Corporate Dealer (defined below) submitting the lowest firm, committed bid on the Determination Date (defined below), as described below.</w:t>
      </w:r>
    </w:p>
    <w:p>
      <w:pPr>
        <w:spacing w:after="0" w:line="17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the Remarketing Dealer elects to remarket the Notes on the Remarketing Date, then from and including the Remarketing Date to but excluding the Stated Maturity Date, the Notes will bear interest at the Interest Rate to Maturity (determined as provided below). If the Remarketing Dealer elects to remarket the Notes on the Remarketing Date, the obligation of the Remarketing Dealer to purchase the Notes on the Remarketing Date is subject to several conditions set forth in a Remarketing Agreement</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478" w:right="1440" w:bottom="1440" w:gutter="0" w:footer="0" w:header="0"/>
        </w:sectPr>
      </w:pPr>
    </w:p>
    <w:bookmarkStart w:id="15" w:name="page16"/>
    <w:bookmarkEnd w:id="15"/>
    <w:p>
      <w:pPr>
        <w:ind w:right="2719"/>
        <w:spacing w:after="0" w:line="256" w:lineRule="auto"/>
        <w:rPr>
          <w:sz w:val="20"/>
          <w:szCs w:val="20"/>
          <w:color w:val="auto"/>
        </w:rPr>
      </w:pPr>
      <w:r>
        <w:rPr>
          <w:rFonts w:ascii="Courier New" w:cs="Courier New" w:eastAsia="Courier New" w:hAnsi="Courier New"/>
          <w:sz w:val="15"/>
          <w:szCs w:val="15"/>
          <w:color w:val="auto"/>
        </w:rPr>
        <w:t>between the Company and the Remarketing Dealer (the "Remarketing Agreement"). In addition, the Remarketing Dealer may terminate the Remarketing Agreement upon the occurrence of certain events set forth therein. See "-- The Remarketing Dealer." If for any reason the Remarketing Dealer does not purchase all outstanding Notes on the Remarketing Date, the Company will be required on the Remarketing Date to repurchase any Notes that have not been purchased by the Remarketing Dealer from the holders thereof at a price equal to 100% of the principal amount thereof plus all accrued interest, if any. See "-- Repurchase."</w:t>
      </w:r>
    </w:p>
    <w:p>
      <w:pPr>
        <w:spacing w:after="0" w:line="173"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The Remarketing Dealer shall determine the interest rate the Notes will bear from and including the Remarketing Date to but excluding the Stated Maturity Date (the "Interest Rate to Maturity") on the third Business Day immediately preceding the Remarketing Date (the "Determination Date") by soliciting by 3:30 p.m., New York City time, on the Determination Date the Reference Corporate Dealers (defined below) for firm, committed bids to purchase all outstanding Notes at the Dollar Price (defined below), and by selecting the lowest such firm, committed bid (regardless of whether each of the Referenced Corporate Dealers actually submits a bid). Each bid shall be expressed in terms of the Interest Rate to Maturity that the Notes would bear (quoted as a spread over</w:t>
      </w:r>
    </w:p>
    <w:p>
      <w:pPr>
        <w:ind w:left="460" w:hanging="182"/>
        <w:spacing w:after="0"/>
        <w:tabs>
          <w:tab w:leader="none" w:pos="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annum (the "Base Rate")) based on the following assumptions:</w:t>
      </w:r>
    </w:p>
    <w:p>
      <w:pPr>
        <w:spacing w:after="0" w:line="184" w:lineRule="exact"/>
        <w:rPr>
          <w:rFonts w:ascii="Courier New" w:cs="Courier New" w:eastAsia="Courier New" w:hAnsi="Courier New"/>
          <w:sz w:val="16"/>
          <w:szCs w:val="16"/>
          <w:color w:val="auto"/>
        </w:rPr>
      </w:pPr>
    </w:p>
    <w:p>
      <w:pPr>
        <w:ind w:left="380" w:right="2999" w:firstLine="367"/>
        <w:spacing w:after="0" w:line="236" w:lineRule="auto"/>
        <w:tabs>
          <w:tab w:leader="none" w:pos="113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 sold to such Reference Corporate Dealer on the Remarketing Date for settlement on the same day;</w:t>
      </w:r>
    </w:p>
    <w:p>
      <w:pPr>
        <w:spacing w:after="0" w:line="179" w:lineRule="exact"/>
        <w:rPr>
          <w:rFonts w:ascii="Courier New" w:cs="Courier New" w:eastAsia="Courier New" w:hAnsi="Courier New"/>
          <w:sz w:val="16"/>
          <w:szCs w:val="16"/>
          <w:color w:val="auto"/>
        </w:rPr>
      </w:pPr>
    </w:p>
    <w:p>
      <w:pPr>
        <w:ind w:left="1220" w:hanging="473"/>
        <w:spacing w:after="0"/>
        <w:tabs>
          <w:tab w:leader="none" w:pos="12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mature on the Stated Maturity Date; and</w:t>
      </w:r>
    </w:p>
    <w:p>
      <w:pPr>
        <w:spacing w:after="0" w:line="185" w:lineRule="exact"/>
        <w:rPr>
          <w:sz w:val="20"/>
          <w:szCs w:val="20"/>
          <w:color w:val="auto"/>
        </w:rPr>
      </w:pPr>
    </w:p>
    <w:p>
      <w:pPr>
        <w:ind w:left="380" w:right="2719" w:firstLine="273"/>
        <w:spacing w:after="0" w:line="237" w:lineRule="auto"/>
        <w:tabs>
          <w:tab w:leader="none" w:pos="122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would bear interest from and including the Remarketing Date to but excluding the Stated Maturity Date at a stated rate equal to the Interest Rate to Maturity bid by such Reference Corporate Dealer, payable semi-annually on the Interest Payment Dates for the Notes.</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Interest Rate to Maturity announced by the Remarketing Dealer as a result of such process will be quoted to the nearest one hundred-thousandth (0.00001) of one percent per annum and, absent manifest error, will be binding and conclusive upon the holders of the Notes, the Company and the Trustee. The Remarketing Dealer shall have the discretion to select the time at which the Interest Rate to Maturity is determined on the Determination Date.</w:t>
      </w:r>
    </w:p>
    <w:p>
      <w:pPr>
        <w:spacing w:after="0" w:line="189"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"Dollar Price" means the discounted present value to the Remarketing Date of the cash flows on a bond</w:t>
      </w:r>
    </w:p>
    <w:p>
      <w:pPr>
        <w:spacing w:after="0" w:line="185" w:lineRule="exact"/>
        <w:rPr>
          <w:sz w:val="20"/>
          <w:szCs w:val="20"/>
          <w:color w:val="auto"/>
        </w:rPr>
      </w:pPr>
    </w:p>
    <w:p>
      <w:pPr>
        <w:ind w:left="380" w:right="2899" w:firstLine="367"/>
        <w:spacing w:after="0" w:line="236" w:lineRule="auto"/>
        <w:tabs>
          <w:tab w:leader="none" w:pos="113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a principal amount equal to the aggregate principal amount of the Notes,</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maturing on the Stated Maturity Date, and</w:t>
      </w:r>
    </w:p>
    <w:p>
      <w:pPr>
        <w:spacing w:after="0" w:line="179" w:lineRule="exact"/>
        <w:rPr>
          <w:rFonts w:ascii="Courier New" w:cs="Courier New" w:eastAsia="Courier New" w:hAnsi="Courier New"/>
          <w:sz w:val="16"/>
          <w:szCs w:val="16"/>
          <w:color w:val="auto"/>
        </w:rPr>
      </w:pPr>
    </w:p>
    <w:p>
      <w:pPr>
        <w:ind w:left="1120" w:hanging="373"/>
        <w:spacing w:after="0"/>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bearing interest at a rate equal to the Base Rate,</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using a discount rate equal to the Treasury Rate (defined below), payable semi-annually (assuming a 360-day year consisting of twelve 30-day months) on the Interest Payment Dates of the Notes from and including the Remarketing Date to but excluding the Stated Maturity Date.</w:t>
      </w:r>
    </w:p>
    <w:p>
      <w:pPr>
        <w:spacing w:after="0" w:line="186"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"Reference Corporate Dealer" means J.P. Morgan Securities Inc., Donaldson, Lufkin &amp; Jenrette Securities Corporation, BancAmerica Robertson Stephens, Chase Securities, Inc., and Deutsche Bank Securities. If any of such persons shall cease to be a leading dealer of publicly-traded debt securities of the Company, then the Remarketing Dealer may replace, with the approval of the Company (not to be unreasonably withheld), such person with any other leading dealer of publicly-traded debt securities of the Company.</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"Treasury Rate" means the annual rate equal to the semi-annual equivalent yield to maturity or interpolated (on a 30/360 day count basis) yield to maturity on the Determination Date of the Comparable Treasury Issue (defined below) for value on the Remarketing Date, assuming a price for the Comparable Treasury Issue (expressed as a percentage of its principal amount) equal to the Comparable Treasury Price (as defined below).</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10219"/>
          </w:cols>
          <w:pgMar w:left="240" w:top="478" w:right="1440" w:bottom="1440" w:gutter="0" w:footer="0" w:header="0"/>
        </w:sectPr>
      </w:pPr>
    </w:p>
    <w:bookmarkStart w:id="16" w:name="page17"/>
    <w:bookmarkEnd w:id="16"/>
    <w:p>
      <w:pPr>
        <w:ind w:right="2719" w:firstLine="375"/>
        <w:spacing w:after="0" w:line="237"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Remarketing Dealer as having an actual maturity on the Determination Date (or the United States Treasury securities selected by the Remarketing Dealer to derive an interpolated maturity on the Determination Date) comparable to the remaining term of the Notes.</w:t>
      </w:r>
    </w:p>
    <w:p>
      <w:pPr>
        <w:spacing w:after="0" w:line="18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"Comparable Treasury Price" means (a) the offer price for the Comparable Treasury Issue (expressed as a percentage of its principal amount) on the Determination Date, as set forth on Telerate Page 500 (as defined below), adjusted to reflect settlement on the Remarketing Date if prices quoted on Telerate Page 500 are for settlement on any date other than the Remarketing Date, or (b) if such page (or any successor page) is not displayed or does not contain such offer prices on such Business Day, (i) the average of five Reference Treasury Dealer Quotations (as defined below) for the Remarketing Date, excluding the highest and lowest of such Reference Treasury Dealer Quotations (unless there is more than one highest or lowest quotation, in which case only one such highest and/or lowest quotations shall be excluded) or (ii) if the Remarketing Dealer obtains fewer than five such Reference Treasury Dealer Quotations, the average of all such Reference Treasury Dealer Quotations.</w:t>
      </w:r>
    </w:p>
    <w:p>
      <w:pPr>
        <w:spacing w:after="0" w:line="17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"Telerate Page 500" means the display designated on "Telerate Page 500" on Dow Jones Markets Limited (or such other page as may replace Telerate page 500 on such service) or such other service displaying the offer prices specified in clause (a) of the definition of Comparable Treasury Price as may replace Dow Jones Markets Limited.</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the offer price(s) for the Comparable Treasury Issue (expressed as a percentage of its principal amount) for settlement on the Remarketing Date quoted in writing to the Remarketing Dealer by such Reference Treasury Dealer by 3:30 p.m., New York City time, on the Determination Date.</w:t>
      </w:r>
    </w:p>
    <w:p>
      <w:pPr>
        <w:spacing w:after="0" w:line="176" w:lineRule="exact"/>
        <w:rPr>
          <w:sz w:val="20"/>
          <w:szCs w:val="20"/>
          <w:color w:val="auto"/>
        </w:rPr>
      </w:pPr>
    </w:p>
    <w:p>
      <w:pPr>
        <w:ind w:right="3279" w:firstLine="375"/>
        <w:spacing w:after="0" w:line="237" w:lineRule="auto"/>
        <w:rPr>
          <w:sz w:val="20"/>
          <w:szCs w:val="20"/>
          <w:color w:val="auto"/>
        </w:rPr>
      </w:pPr>
      <w:r>
        <w:rPr>
          <w:rFonts w:ascii="Courier New" w:cs="Courier New" w:eastAsia="Courier New" w:hAnsi="Courier New"/>
          <w:sz w:val="16"/>
          <w:szCs w:val="16"/>
          <w:color w:val="auto"/>
        </w:rPr>
        <w:t>"Reference Treasury Dealer" means a primary U.S. Government securities dealer in The City of New York (which may include the Remarketing Dealer) selected by the Remarketing Dealer.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NOTIFICATION OF RESULTS; SETTLEMENT</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If the Remarketing Dealer has elected to remarket the Notes on the Remarketing Date as provided herein, then the Remarketing Dealer will notify the Company, the Trustee and DTC by telephone, confirmed in writing by 5:00 p.m., New York City time on the Determination Date, of the Interest Rate to Maturity applicable to the Notes effective from and including the Remarketing Date.</w:t>
      </w:r>
    </w:p>
    <w:p>
      <w:pPr>
        <w:spacing w:after="0" w:line="17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All outstanding Notes will be automatically delivered to the account of the Trustee by book-entry through DTC, pending payment of the purchase price therefor, on the Remarketing Date.</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The Remarketing Dealer will make, or cause the Trustee to make, payment to DTC by the close of business on the Remarketing Date, against delivery through DTC of the tendered Notes, of the purchase price for all of the tendered Notes. The purchase price of the tendered Notes will be equal to 100% of the principal amount thereof and will be paid in immediately available funds. If the Remarketing Dealer does not purchase all of the Notes on the Remarketing Date, then the Company is obligated to make or cause to be made such payment for all of the Notes not purchased by the Remarketing Dealer, as described below under "-- Repurchase." In any case, the Company will make, or cause the Trustee to make, payment of interest due on the Remarketing Date to holders of Notes as of the Record Date by book entry through DTC by the close of business on the Remarketing Date.</w:t>
      </w:r>
    </w:p>
    <w:p>
      <w:pPr>
        <w:spacing w:after="0" w:line="18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tender and settlement procedures described above may be modified without the consent of the holders of the Notes to the extent required by DTC or, if the book-entry system is no longer available for the Notes at the time of the remarketing, to the extent required to facilitate the tendering and remarketing of Notes in certificated form. In addition, the Remarketing Dealer may modify without any such consent the settlement procedures set forth above in order to facilitate the settlement process.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0219"/>
          </w:cols>
          <w:pgMar w:left="240" w:top="478" w:right="1440" w:bottom="1440" w:gutter="0" w:footer="0" w:header="0"/>
        </w:sectPr>
      </w:pPr>
    </w:p>
    <w:bookmarkStart w:id="17" w:name="page18"/>
    <w:bookmarkEnd w:id="17"/>
    <w:p>
      <w:pPr>
        <w:ind w:right="2719" w:firstLine="375"/>
        <w:spacing w:after="0" w:line="238" w:lineRule="auto"/>
        <w:rPr>
          <w:sz w:val="20"/>
          <w:szCs w:val="20"/>
          <w:color w:val="auto"/>
        </w:rPr>
      </w:pPr>
      <w:r>
        <w:rPr>
          <w:rFonts w:ascii="Courier New" w:cs="Courier New" w:eastAsia="Courier New" w:hAnsi="Courier New"/>
          <w:sz w:val="16"/>
          <w:szCs w:val="16"/>
          <w:color w:val="auto"/>
        </w:rPr>
        <w:t>As long as DTC's nominee holds the certificates representing any Notes in the book entry system of DTC, no certificates for such Notes will be delivered by or to any selling beneficial owner to reflect any transfer of such Notes effected in the remarketing. In addition, under and subject to the terms of the Notes and the Remarketing Agreement, the Company (i) has agreed that it will use its best efforts to maintain the Notes in book-entry form with DTC or any successor thereto and to appoint a successor depositary to the extent necessary to maintain the Notes in book-entry form and (ii) has waived any discretionary right it otherwise has under the Senior Indenture to cause the Notes to be issued in certificated form.</w:t>
      </w:r>
    </w:p>
    <w:p>
      <w:pPr>
        <w:spacing w:after="0" w:line="187" w:lineRule="exact"/>
        <w:rPr>
          <w:sz w:val="20"/>
          <w:szCs w:val="20"/>
          <w:color w:val="auto"/>
        </w:rPr>
      </w:pPr>
    </w:p>
    <w:p>
      <w:pPr>
        <w:ind w:right="3099" w:firstLine="375"/>
        <w:spacing w:after="0" w:line="257" w:lineRule="auto"/>
        <w:rPr>
          <w:sz w:val="20"/>
          <w:szCs w:val="20"/>
          <w:color w:val="auto"/>
        </w:rPr>
      </w:pPr>
      <w:r>
        <w:rPr>
          <w:rFonts w:ascii="Courier New" w:cs="Courier New" w:eastAsia="Courier New" w:hAnsi="Courier New"/>
          <w:sz w:val="15"/>
          <w:szCs w:val="15"/>
          <w:color w:val="auto"/>
        </w:rPr>
        <w:t>For further information with respect to transfers and settlement through DTC, see "-- Book-Entry, Delivery and Form" below, and "Description of Debt Securities -- Provisions Applicable to Both Senior and Subordinated Debt Securities -- Global Debt Securities" in the accompanying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REMARKETING DEALER</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On or prior to the date of issuance of the Notes, the Company and the Remarketing Dealer will enter into the Remarketing Agreement which will provide for the Notes to be remarketed substantially on the terms described below and in "-- Mandatory Tender of Notes; Remarketing." The Remarketing Dealer will not receive any fees from the Company in connection with the remarketing, but the Company will reimburse the Remarketing Dealer's reasonable out-of-pocket expenses under certain circumstances.</w:t>
      </w:r>
    </w:p>
    <w:p>
      <w:pPr>
        <w:spacing w:after="0" w:line="185" w:lineRule="exact"/>
        <w:rPr>
          <w:sz w:val="20"/>
          <w:szCs w:val="20"/>
          <w:color w:val="auto"/>
        </w:rPr>
      </w:pPr>
    </w:p>
    <w:p>
      <w:pPr>
        <w:ind w:right="2719" w:firstLine="375"/>
        <w:spacing w:after="0" w:line="259" w:lineRule="auto"/>
        <w:rPr>
          <w:sz w:val="20"/>
          <w:szCs w:val="20"/>
          <w:color w:val="auto"/>
        </w:rPr>
      </w:pPr>
      <w:r>
        <w:rPr>
          <w:rFonts w:ascii="Courier New" w:cs="Courier New" w:eastAsia="Courier New" w:hAnsi="Courier New"/>
          <w:sz w:val="15"/>
          <w:szCs w:val="15"/>
          <w:color w:val="auto"/>
        </w:rPr>
        <w:t>The Company will agree to indemnify the Remarketing Dealer against certain liabilities, including liabilities under the Securities Act of 1933, as amended, arising out of or in connection with its duties under the Remarketing Agreement.</w:t>
      </w:r>
    </w:p>
    <w:p>
      <w:pPr>
        <w:spacing w:after="0" w:line="171"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Remarketing Dealer has the right under the Remarketing Agreement to elect whether or not to remarket the Notes. If the Remarketing Dealer elects to remarket the Notes on the Remarketing Date as described herein, the obligation of the Remarketing Dealer to purchase Notes from holders thereof will be subject to several conditions set forth in the Remarketing Agreement. In addition, the Remarketing Agreement will provide for the termination thereof by the Remarketing Dealer on or before the Remarketing Date upon the occurrence of certain events, including events that customarily give underwriters the right to terminate an underwriting agreement or would give rise to a failure to satisfy a closing condition to an underwriting agreement in the Company's public debt offerings.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As a result of these conditions and termination rights, holders of Notes cannot be assured that their Notes will be purchased by the Remarketing Dealer in connection with a mandatory tender. The Remarketing Dealer is not required to purchase the Notes and no holder of any Notes shall have any rights or claims under the Remarketing Agreement or against the Company or the Remarketing Dealer as a result of the Remarketing Dealer not purchasing such Notes. If the Remarketing Dealer does not purchase all of the Notes on the Remarketing Date, the Company will be required to purchase on the Remarketing Date any Notes that have not been purchased by the Remarketing Dealer on the Remarketing Date at 100% of the principal amount thereof plus accrued interest, if any. See "-- Repurchase."</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Remarketing Agreement will also provide that the Remarketing Dealer may resign as Remarketing Dealer (i) at any time prior to its giving notice of its intention to remarket the Notes, such resignation to be effective ten Business Days after the delivery to the Company and the Trustee of notice of such resignation or (ii) immediately upon termination of the Remarketing Agreement. The Company shall have the right, but not the obligation, to appoint a successor Remarketing Dealer.</w:t>
      </w:r>
    </w:p>
    <w:p>
      <w:pPr>
        <w:spacing w:after="0" w:line="185"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The Remarketing Dealer, in its individual or any other capacity, may buy, sell, hold and deal in any of the Notes. The Remarketing Dealer, as a holder or beneficial owner of Notes may exercise any vote or join in any action which any holder or beneficial owner of Notes may be entitled to exercise or take with like effect as if it did not act in any capacity under the Remarketing Agreement. The Remarketing Dealer, in its individual capacity, either as principal or agent, may also engage in or have an interest in any financial or</w:t>
      </w:r>
    </w:p>
    <w:p>
      <w:pPr>
        <w:spacing w:after="0" w:line="1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478" w:right="1440" w:bottom="1440" w:gutter="0" w:footer="0" w:header="0"/>
        </w:sectPr>
      </w:pPr>
    </w:p>
    <w:bookmarkStart w:id="18" w:name="page19"/>
    <w:bookmarkEnd w:id="18"/>
    <w:p>
      <w:pPr>
        <w:ind w:right="3479"/>
        <w:spacing w:after="0" w:line="236" w:lineRule="auto"/>
        <w:rPr>
          <w:sz w:val="20"/>
          <w:szCs w:val="20"/>
          <w:color w:val="auto"/>
        </w:rPr>
      </w:pPr>
      <w:r>
        <w:rPr>
          <w:rFonts w:ascii="Courier New" w:cs="Courier New" w:eastAsia="Courier New" w:hAnsi="Courier New"/>
          <w:sz w:val="16"/>
          <w:szCs w:val="16"/>
          <w:color w:val="auto"/>
        </w:rPr>
        <w:t>other transaction with the Company as freely as if it did not act in any capacity under the Remarketing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If the Remarketing Dealer for any reason does not purchase all of the Notes on the Remarketing Date, the Company shall repurchase on the Remarketing Date, at a price equal to 100% of the principal amount of the Notes plus all accrued and unpaid interest, if any, on the Notes to (but excluding) the Remarketing Date, any Notes that have not been purchased by the Remarketing Dealer on the Remarketing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REMARKETING DATE</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If the Remarketing Dealer has elected to remarket the Notes on the Remarketing Date, the Company shall have the right to redeem the Notes in whole but not in part, from the Remarketing Dealer on the Remarketing Date by giving written notice of such redemption to the Remarketing Dealer no later than the later of:</w:t>
      </w:r>
    </w:p>
    <w:p>
      <w:pPr>
        <w:spacing w:after="0" w:line="182" w:lineRule="exact"/>
        <w:rPr>
          <w:sz w:val="20"/>
          <w:szCs w:val="20"/>
          <w:color w:val="auto"/>
        </w:rPr>
      </w:pPr>
    </w:p>
    <w:p>
      <w:pPr>
        <w:ind w:left="740" w:hanging="369"/>
        <w:spacing w:after="0"/>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Day immediately prior to the Determination Date or</w:t>
      </w:r>
    </w:p>
    <w:p>
      <w:pPr>
        <w:spacing w:after="0" w:line="184" w:lineRule="exact"/>
        <w:rPr>
          <w:rFonts w:ascii="Courier New" w:cs="Courier New" w:eastAsia="Courier New" w:hAnsi="Courier New"/>
          <w:sz w:val="16"/>
          <w:szCs w:val="16"/>
          <w:color w:val="auto"/>
        </w:rPr>
      </w:pPr>
    </w:p>
    <w:p>
      <w:pPr>
        <w:ind w:right="2719" w:firstLine="371"/>
        <w:spacing w:after="0" w:line="237" w:lineRule="auto"/>
        <w:tabs>
          <w:tab w:leader="none" w:pos="84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fewer than three Reference Corporate Dealers timely submit firm, committed bids for all outstanding Notes to the Remarketing Dealer on the Determination Date, immediately after the deadline set by the Remarketing Dealer for receiving such bids has passed;</w:t>
      </w:r>
    </w:p>
    <w:p>
      <w:pPr>
        <w:spacing w:after="0" w:line="18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by paying the amount equal to the greater of (x) 100% of the aggregate principal amount of the Notes and (y) the Dollar Price with respect to such Notes. In either such case, it shall pay such redemption price for the Notes in same-day funds by wire transfer on the Remarketing Date to an account designated by the Remarketing Dealer.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REMARKETING DATE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After the Remarketing Date, if the Remarketing Dealer has elected to remarket the Notes on the Remarketing Date, the Notes will be redeemable (a "Post-Remarketing Redemption"), in whole or in part, at the option of the Company at any time at a redemption price equal to the greater of (i) 100% of the principal amount of such Notes or (ii) the sum of the present values of the remaining scheduled payments of principal and interest thereon (not including the portion of any such payments of interest accrued as of the redemption date) discounted to the redemption date on a semiannual basis (assuming a 360-day year consisting of twelve 30-day months) at the Adjusted Treasury Rate (as defined below) (determined on the third Business Day preceding such redemption date), plus, in each case, accrued and unpaid interest thereon to (but excluding) the redemption date.</w:t>
      </w:r>
    </w:p>
    <w:p>
      <w:pPr>
        <w:spacing w:after="0" w:line="188"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Notice of any Post-Remarketing Redemption will be mailed at least 30 days but not more than 60 days before the redemption date to each holder of the Notes to be redeemed. Unless the Company defaults in payment of the redemption price, on and after the redemption date, interest will cease to accrue on the Notes or portions thereof called for redemption pursuant to a Post-Remarketing Redemption.</w:t>
      </w:r>
    </w:p>
    <w:p>
      <w:pPr>
        <w:spacing w:after="0" w:line="189" w:lineRule="exact"/>
        <w:rPr>
          <w:sz w:val="20"/>
          <w:szCs w:val="20"/>
          <w:color w:val="auto"/>
        </w:rPr>
      </w:pPr>
    </w:p>
    <w:p>
      <w:pPr>
        <w:ind w:right="2819" w:firstLine="375"/>
        <w:spacing w:after="0" w:line="254" w:lineRule="auto"/>
        <w:rPr>
          <w:sz w:val="20"/>
          <w:szCs w:val="20"/>
          <w:color w:val="auto"/>
        </w:rPr>
      </w:pPr>
      <w:r>
        <w:rPr>
          <w:rFonts w:ascii="Courier New" w:cs="Courier New" w:eastAsia="Courier New" w:hAnsi="Courier New"/>
          <w:sz w:val="15"/>
          <w:szCs w:val="15"/>
          <w:color w:val="auto"/>
        </w:rPr>
        <w:t>"ADJUSTED TREASURY RATE" means (i) the arithmetic means of the yields under the heading "Week Ending" published in the Statistical Release most recently published prior to the date of determination under the caption "Treasury Constant Maturities" for the maturity (rounded to the nearest month) corresponding to the remaining life to the maturity, as of the redemption date,</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of the principal being redeemed plus (ii) %. If no maturity set forth under such heading exactly corresponds to the maturity of such principal, yields for the two published maturities most closely corresponding to the maturity of such principal shall be calculated pursuant to the immediately preceding sentence, and the Adjusted Treasury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478" w:right="1440" w:bottom="1440" w:gutter="0" w:footer="0" w:header="0"/>
        </w:sectPr>
      </w:pPr>
    </w:p>
    <w:bookmarkStart w:id="19" w:name="page20"/>
    <w:bookmarkEnd w:id="19"/>
    <w:p>
      <w:pPr>
        <w:ind w:right="2899"/>
        <w:spacing w:after="0" w:line="236" w:lineRule="auto"/>
        <w:rPr>
          <w:sz w:val="20"/>
          <w:szCs w:val="20"/>
          <w:color w:val="auto"/>
        </w:rPr>
      </w:pPr>
      <w:r>
        <w:rPr>
          <w:rFonts w:ascii="Courier New" w:cs="Courier New" w:eastAsia="Courier New" w:hAnsi="Courier New"/>
          <w:sz w:val="16"/>
          <w:szCs w:val="16"/>
          <w:color w:val="auto"/>
        </w:rPr>
        <w:t>Rate shall be interpolated or extrapolated from such yields on a straight-line basis, rounding in each of the relevant periods to the nearest month.</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"STATISTICAL RELEASE" means the statistical release designated "H.15(519)" or any successor publication which is published weekly by the Federal Reserve System and which establishes yields on actively-traded United States government securities adjusted to constant maturities, or, if such statistical release is not published at the time of any determination under the terms of the Notes, then such other reasonably comparable index which shall be designated by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8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Depository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177"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17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478" w:right="1440" w:bottom="1440" w:gutter="0" w:footer="0" w:header="0"/>
        </w:sectPr>
      </w:pPr>
    </w:p>
    <w:bookmarkStart w:id="20" w:name="page21"/>
    <w:bookmarkEnd w:id="20"/>
    <w:p>
      <w:pPr>
        <w:ind w:right="2819"/>
        <w:spacing w:after="0" w:line="237" w:lineRule="auto"/>
        <w:rPr>
          <w:sz w:val="20"/>
          <w:szCs w:val="20"/>
          <w:color w:val="auto"/>
        </w:rPr>
      </w:pPr>
      <w:r>
        <w:rPr>
          <w:rFonts w:ascii="Courier New" w:cs="Courier New" w:eastAsia="Courier New" w:hAnsi="Courier New"/>
          <w:sz w:val="16"/>
          <w:szCs w:val="16"/>
          <w:color w:val="auto"/>
        </w:rPr>
        <w:t>otherwise act upon the instructions of beneficial owners owning through them. Issuance of the Notes in book-entry form may reduce the liquidity of such Notes in the secondary trading market because investors may be unwilling to purchase Notes for which they cannot obtain physical certificates.</w:t>
      </w:r>
    </w:p>
    <w:p>
      <w:pPr>
        <w:spacing w:after="0" w:line="186"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the Notes.</w:t>
      </w:r>
    </w:p>
    <w:p>
      <w:pPr>
        <w:spacing w:after="0" w:line="18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the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Notes as shown on the records of the Depositary. Payments by the Participants and the Indirect Participants to the beneficial owners will be governed by standing instructions and customary practice and will be the sole responsibility of the Participants or the Indirect Participants.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the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189"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7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its Participants or the Indirect Participants of their respective obligations as described hereunder or under the rules and procedures governing their respective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FUNDS SETTLEMENT AND PAYMENT</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S-19</w:t>
      </w:r>
    </w:p>
    <w:p>
      <w:pPr>
        <w:sectPr>
          <w:pgSz w:w="11900" w:h="16838" w:orient="portrait"/>
          <w:cols w:equalWidth="0" w:num="1">
            <w:col w:w="10219"/>
          </w:cols>
          <w:pgMar w:left="240" w:top="478" w:right="1440" w:bottom="1440" w:gutter="0" w:footer="0" w:header="0"/>
        </w:sectPr>
      </w:pPr>
    </w:p>
    <w:bookmarkStart w:id="21" w:name="page22"/>
    <w:bookmarkEnd w:id="21"/>
    <w:p>
      <w:pPr>
        <w:ind w:right="2719"/>
        <w:spacing w:after="0" w:line="238" w:lineRule="auto"/>
        <w:rPr>
          <w:sz w:val="20"/>
          <w:szCs w:val="20"/>
          <w:color w:val="auto"/>
        </w:rPr>
      </w:pPr>
      <w:r>
        <w:rPr>
          <w:rFonts w:ascii="Courier New" w:cs="Courier New" w:eastAsia="Courier New" w:hAnsi="Courier New"/>
          <w:sz w:val="16"/>
          <w:szCs w:val="16"/>
          <w:color w:val="auto"/>
        </w:rPr>
        <w:t>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219"/>
          </w:cols>
          <w:pgMar w:left="240" w:top="478" w:right="1440" w:bottom="1440" w:gutter="0" w:footer="0" w:header="0"/>
        </w:sectPr>
      </w:pPr>
    </w:p>
    <w:bookmarkStart w:id="22" w:name="page23"/>
    <w:bookmarkEnd w:id="22"/>
    <w:p>
      <w:pPr>
        <w:ind w:left="112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is a general discussion of the principal U.S. federal income tax consequences of the purchase, ownership and disposition of the Notes to initial holders purchasing Notes at the "issue price." The "issue price" of a Note will equal the first price to the public (not including bond houses, brokers or similar persons or organizations acting in the capacity of underwriters, placement agents or wholesalers) at which a substantial amount of the Note is sold for money. This summary is based upon laws, regulations, rulings and decisions currently in effect, all of which are subject to change, which change may be retroactive. Moreover, it deals only with purchasers who hold Notes as "capital assets" (generally, property held for investment) within the meaning of Section 1221 of the Internal Revenue Code of 1986, as amended (the "Code"), and does not purport to deal with persons in special tax situations, such as financial institutions, insurance companies, regulated investment companies, dealers in securities or currencies, persons holding Notes as a hedge against currency risk or as a position in a "straddle," "conversion" or another integrated transaction for tax purposes, or U.S. Holders (as defined below) whose functional currency is not the U.S. dollar. In addition, this discussion only addresses the U.S. federal income tax consequences of the Notes until the Remarketing Date.</w:t>
      </w:r>
    </w:p>
    <w:p>
      <w:pPr>
        <w:spacing w:after="0" w:line="192"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As used herein, the term "U.S. Holder" means a beneficial owner of Notes that is, for U.S. federal income tax purposes, (i) a citizen or resident of the United States, (ii) a corporation, partnership or other entity created or organized in or under the laws of the United States or of any political subdivision thereof (other than a partnership that is not treated as a U.S. person under any applicable Treasury regulations and certain partnerships that have one or more partners who are not U.S. persons), (iii) an estate whose income is subject to U.S. federal income tax regardless of its source, or (iv) a trust if a court within the United States is able to exercise primary supervision over the trust's administration and one or more U.S. fiduciaries have the authority to control all its substantial decisions. As used herein, the term "non-U.S. Holder" means a beneficial owner of a Note that is not a U.S. Holder.</w:t>
      </w:r>
    </w:p>
    <w:p>
      <w:pPr>
        <w:spacing w:after="0" w:line="18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Because the Notes are subject to mandatory tender for purchase by the Remarketing Dealer or purchase by the Company if not purchased by the Remarketing Dealer on the Remarketing Date, the Company intends to treat the Notes as maturing on the Remarketing Date for U.S. federal income tax purposes and as being reissued on the Remarketing Date should the Remarketing Dealer remarket the Notes. By purchasing the Notes a holder agrees to follow such treatment for U.S. federal income tax purposes. Because no debt instrument closely comparable to the Notes has been the subject of any Treasury regulation, revenue ruling or judicial decision, the U.S. federal income tax treatment of the Notes is not certain. Prospective purchasers should note that no rulings have been or are expected to be sought from the Internal Revenue Service ("IRS") with respect to any of the issues discussed herein, and no assurances can be given that the IRS will not take contrary positions. Accordingly, significant aspects of the U.S. federal income tax consequences of an investment in the Notes are uncertain, and no assurance can be given that the IRS or the court will agree that the Notes should be treated as maturing on the Remarketing Date. Furthermore, no advice has been received or is expected to be sought from any state, local or foreign taxing authority as to the income, franchise, personal property or other taxation, or as to the treatment, of the Notes by any such state, local or foreign jurisdiction. PROSPECTIVE PURCHASERS ARE STRONGLY URGED TO CONSULT THEIR TAX ADVISERS REGARDING THE U.S. FEDERAL INCOME TAX CONSEQUENCES OF AN INVESTMENT IN THE NOTES (INCLUDING ALTERNATIVE CHARACTERIZATIONS OF THE NOTES). EXCEPT WHERE INDICATED TO THE CONTRARY, THE FOLLOWING DISCUSSION ASSUMES THAT THE COMPANY'S TREATMENT OF THE NOTES WILL BE RESPECTED FOR U.S. FEDERAL INCOME TAX PURPOSES. PROSPECTIVE PURCHASERS SHOULD ALSO CONSULT THEIR TAX ADVISERS WITH RESPECT TO ANY TAX CONSEQUENCES ARISING UNDER THE LAWS OF ANY STATE, LOCAL OR FOREIGN TAXING JURISDICTION.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S-21</w:t>
      </w:r>
    </w:p>
    <w:p>
      <w:pPr>
        <w:sectPr>
          <w:pgSz w:w="11900" w:h="16838" w:orient="portrait"/>
          <w:cols w:equalWidth="0" w:num="1">
            <w:col w:w="10219"/>
          </w:cols>
          <w:pgMar w:left="240" w:top="47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TAX TREATMENT OF U.S. HOLDERS</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Assuming the characterization of the Notes set forth above, the following tax consequences will result with respect to U.S.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Interest on the Notes will generally be taxable as ordinary income for U.S. federal income tax purposes when received or accrued by a U.S. Holder in accordance with its regular method of tax accounting. The Company does not anticipate that the initial issuance of the Notes will result in original issue discount ("OID"), generally defined as the excess of the stated redemption price at the maturity of the Notes over its issue price. However, if a Note is issued with OID, the holder of such debt instrument with OID generally will be required to recognize as ordinary income the amount of OID on the debt instrument as such discount accrued, in accordance with a constant yield market.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OR LOSS ON SALE OR REDEMPTION</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When a Note is sold or redeemed, the U.S. Holder will recognize gain or loss equal to the difference between the amount realized on the sale or redemption (excluding any amount attributable to accrued interest not previously included in income) and the adjusted basis in its Notes. The adjusted basis of the Notes generally will equal the U.S. Holder's cost, increased by any OID previously includable in the U.S. Holder's income with respect to the Notes and reduced by the principal payment previously received with respect to the Notes gain or loss on sale or redemption of a Notes will generally be capital gain or loss.</w:t>
      </w:r>
    </w:p>
    <w:p>
      <w:pPr>
        <w:spacing w:after="0" w:line="173"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Capital gains of individuals derived with respect to capital assets held for more than one year are eligible for reduced rates of taxation depending upon the holding period of such capital assets. The deductibility of capital losses is subject to certain limitations.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U.S. FEDERAL INCOME TAX TREATMENT</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There can be no assurance that the IRS will agree with, or that a court will uphold, the Company's treatment of the Notes as maturing on the Remarketing Date and as thereafter being reissued should the Notes be remarketed, and it is possible that the IRS could assert another characterization. In particular, the IRS could seek to treat the Notes as maturing on the Stated Maturity Date and possibly also to treat the issue price of the Notes as including the value of the mandatory tender rights. Because of the possible reset interest rate, if the Notes were treated as maturing on the Stated Maturity Date, Treasury regulations relating to contingent payment debt obligations (the "Contingent Payment Debt Regulations") would apply. In such case, the timing and character of income on the Notes would be significantly affected. Among other things, U.S. Holders, regardless of their regular method of tax accounting, would be required to accrue income annually as OID, subject to the adjustments described below, at a "comparable yield" on the adjusted issue price, which could be higher than the actual cash payments received on the Notes in a taxable year. Furthermore, any gain realized with respect to the sale or redemption of the Notes would generally be treated as ordinary income, and any loss realized would generally be treated as ordinary loss to the extent of the U.S. Holder's ordinary income inclusions with respect to the Notes. Any remaining loss generally would be treated as capital loss. In particular, upon the sale of a Notes (other than through the mandatory tender), the IRS could take the position that the gain or loss with respect to the mandatory tender rights and the gain or loss with respect to the debt obligation must be separately determined, in which case any deemed loss with respect to the mandatory tender rights would be treated as a capital loss, and a corresponding amount of additional ordinary income would need to be recognized by the U.S. Holder with respect to the sale. The ability to use capital losses to offset ordinary income in determining taxable income is generally limited.</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S-22</w:t>
      </w:r>
    </w:p>
    <w:p>
      <w:pPr>
        <w:sectPr>
          <w:pgSz w:w="11900" w:h="16838" w:orient="portrait"/>
          <w:cols w:equalWidth="0" w:num="1">
            <w:col w:w="10219"/>
          </w:cols>
          <w:pgMar w:left="240" w:top="473" w:right="1440" w:bottom="1440" w:gutter="0" w:footer="0" w:header="0"/>
        </w:sectPr>
      </w:pPr>
    </w:p>
    <w:bookmarkStart w:id="24" w:name="page25"/>
    <w:bookmarkEnd w:id="24"/>
    <w:p>
      <w:pPr>
        <w:ind w:right="2719" w:firstLine="375"/>
        <w:spacing w:after="0" w:line="237" w:lineRule="auto"/>
        <w:rPr>
          <w:sz w:val="20"/>
          <w:szCs w:val="20"/>
          <w:color w:val="auto"/>
        </w:rPr>
      </w:pPr>
      <w:r>
        <w:rPr>
          <w:rFonts w:ascii="Courier New" w:cs="Courier New" w:eastAsia="Courier New" w:hAnsi="Courier New"/>
          <w:sz w:val="16"/>
          <w:szCs w:val="16"/>
          <w:color w:val="auto"/>
        </w:rPr>
        <w:t>PROSPECTIVE U.S. PURCHASERS ARE STRONGLY URGED TO CONSULT THEIR TAX ADVISERS REGARDING THE U.S. FEDERAL INCOME TAX CONSEQUENCES OF AN INVESTMENT IN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NON-U.S. HOLDERS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 non-U.S. Holder will not be subject to U.S. federal income or withholding tax on payments of principal, premium (if any) or interest (including original issue discount and accruals under the Contingent Payment Debt Regulations, if any) on a Note unless such non-U.S. Holder owns actually or constructively 10% or more of the total combined voting power of the Company, is a controlled foreign corporation related to the Company through stock ownership or is a bank receiving interest described in Section 881(c)(3)(A) of the Code. Sections 871(h) and 881(c) of the Code, and applicable Treasury regulations, require that, in order to obtain the exemption from withholding tax described above, either the beneficial owner of the Notes or a securities clearing organization, bank or other financial institution that holds customers' securities in the ordinary course of its trade or business (a "Financial Institution") and that is holding the Notes on behalf of such beneficial owner, file a statement with the withholding agent to the effect that the beneficial owner of the Notes is not a U.S. person. In general, such requirements will be fulfilled if the beneficial owner of a Note certifies on IRS Form W-8, under penalties of perjury, that it is not a U.S. person and provides its name and address, and any Financial Institution holding the Notes on behalf of the beneficial owner files a statement with the withholding agent to the effect that it has received such statement from the Holder (and furnishes the withholding agent with a copy thereof).</w:t>
      </w:r>
    </w:p>
    <w:p>
      <w:pPr>
        <w:spacing w:after="0" w:line="194"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Generally, a non-U.S. Holder will not be subject to U.S. federal income tax on any amount which constitutes gain upon retirement or disposition of a Note provided the gain is not effectively connected with the conduct of a trade or business in the United States by the non-U.S. Holder. Certain other exceptions may be applicable, and a non-U.S. Holder should consult its tax adviser in this regard.</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a non-U.S. Holder of a Note is engaged in a trade or business in the United States, and if interest (including OID, if any) or gain on the Note is effectively connected with the conduct of such trade or business, the non-U.S. Holder, although exempt from the withholding tax discussed above, will generally be subject to regular U.S. income tax on interest and on any gain realized on the sale, exchange or other disposition of a Note in the same manner as if it were a U.S. Holder. In lieu of the statement described above, such Holder will be required to provide to the Company a properly executed Form 4224 (or successor form) in order to claim an exemption from withholding tax. In addition, if such non-U.S. Holder is a foreign corporation, it may be subject to a branch profits tax equal to 30% (or such lower rate provided by an applicable treaty) of its effectively connected earnings and profits for the taxable year, subject to certain adjustments. For purposes of the branch profits tax, interest on and any gain recognized on the sale, exchange or other disposition of a Note will be included in the effectively connected earnings and profits of such non-U.S. Holder if such interest or gain, as the case may be, is effectively connected with the conduct by the non-U.S. Holder of a trade or business in the United States.</w:t>
      </w:r>
    </w:p>
    <w:p>
      <w:pPr>
        <w:spacing w:after="0" w:line="192"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Notes will not be includable in the estate of a non-U.S. Holder unless the individual is a direct or indirect 10% or greater shareholder of the Company or, at the time of such individual's death, payments in respect of the Notes would have been effectively connected with the conduct by such individual of a trade or business in the United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REPORTING AND BACKUP WITHHOLDING</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A holder may be subject to backup withholding at the rate of 31% of the interest and other "reportable payments" (including, under certain circumstances, principal payments and sales proceeds) paid with respect to the Notes if, in general, the holder fails to comply with certain certification procedures and is not an exempt recipient under applicable provisions of the Code.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S-23</w:t>
      </w:r>
    </w:p>
    <w:p>
      <w:pPr>
        <w:sectPr>
          <w:pgSz w:w="11900" w:h="16838" w:orient="portrait"/>
          <w:cols w:equalWidth="0" w:num="1">
            <w:col w:w="10219"/>
          </w:cols>
          <w:pgMar w:left="240" w:top="478" w:right="1440" w:bottom="1440" w:gutter="0" w:footer="0" w:header="0"/>
        </w:sectPr>
      </w:pPr>
    </w:p>
    <w:bookmarkStart w:id="25" w:name="page26"/>
    <w:bookmarkEnd w:id="25"/>
    <w:p>
      <w:pPr>
        <w:ind w:right="2719" w:firstLine="375"/>
        <w:spacing w:after="0" w:line="237" w:lineRule="auto"/>
        <w:rPr>
          <w:sz w:val="20"/>
          <w:szCs w:val="20"/>
          <w:color w:val="auto"/>
        </w:rPr>
      </w:pPr>
      <w:r>
        <w:rPr>
          <w:rFonts w:ascii="Courier New" w:cs="Courier New" w:eastAsia="Courier New" w:hAnsi="Courier New"/>
          <w:sz w:val="16"/>
          <w:szCs w:val="16"/>
          <w:color w:val="auto"/>
        </w:rPr>
        <w:t>On October 6, 1997, the Treasury Department issued new regulations (the "New Regulations") which make modifications to the withholding, backup withholding and information reporting rules described above. The New Regulations will generally be effective for payments made after December 31, 1999, subject to certain transition rules. Prospective purchasers are urged to consult their tax advisers regarding the New Regulations.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THIS DISCLOSURE IS INTENDED TO BE A GENERAL SUMMARY ONLY. DUE TO THE COMPLEXITY OF THE RULES DESCRIBED ABOVE, THE CURRENT UNCERTAINTY AS TO THE MANNER OF THEIR APPLICATIONS TO HOLDERS OF THE NOTES AND POSSIBLE CHANGES IN LAW, IT IS PARTICULARLY IMPORTANT THAT PROSPECTIVE PURCHASERS CONSULT THEIR OWN TAX ADVISERS REGARDING THE TAX TREATMENT OF THE ACQUISITION, OWNERSHIP AND DISPOSITION OF THE NOTES UNDER THE LAWS OF THE UNITED STATES AND THOSE OF ANY STATE, LOCAL OR FOREIGN TAXING JURISDICTION.</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S-24</w:t>
      </w:r>
    </w:p>
    <w:p>
      <w:pPr>
        <w:sectPr>
          <w:pgSz w:w="11900" w:h="16838" w:orient="portrait"/>
          <w:cols w:equalWidth="0" w:num="1">
            <w:col w:w="10219"/>
          </w:cols>
          <w:pgMar w:left="240" w:top="478" w:right="1440" w:bottom="1440" w:gutter="0" w:footer="0" w:header="0"/>
        </w:sectPr>
      </w:pPr>
    </w:p>
    <w:bookmarkStart w:id="26" w:name="page27"/>
    <w:bookmarkEnd w:id="26"/>
    <w:p>
      <w:pPr>
        <w:jc w:val="center"/>
        <w:ind w:right="3180"/>
        <w:spacing w:after="0"/>
        <w:rPr>
          <w:sz w:val="20"/>
          <w:szCs w:val="20"/>
          <w:color w:val="auto"/>
        </w:rPr>
      </w:pPr>
      <w:r>
        <w:rPr>
          <w:rFonts w:ascii="Courier New" w:cs="Courier New" w:eastAsia="Courier New" w:hAnsi="Courier New"/>
          <w:sz w:val="16"/>
          <w:szCs w:val="16"/>
          <w:color w:val="auto"/>
        </w:rPr>
        <w:t>UNDERWRITING</w:t>
      </w:r>
    </w:p>
    <w:p>
      <w:pPr>
        <w:spacing w:after="0" w:line="185" w:lineRule="exact"/>
        <w:rPr>
          <w:sz w:val="20"/>
          <w:szCs w:val="20"/>
          <w:color w:val="auto"/>
        </w:rPr>
      </w:pPr>
    </w:p>
    <w:p>
      <w:pPr>
        <w:ind w:right="3280" w:firstLine="375"/>
        <w:spacing w:after="0" w:line="256"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relating to the Notes (the "Underwriting Agreement"), the Company has agreed to sell to the several Underwriters named below (the "Underwriters"), and the several Underwriters have agreed to purchase from the Company, the principal amounts of Notes set forth opposite their names below:</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100" w:type="dxa"/>
            <w:vAlign w:val="bottom"/>
          </w:tcPr>
          <w:p>
            <w:pPr>
              <w:spacing w:after="0"/>
              <w:rPr>
                <w:sz w:val="15"/>
                <w:szCs w:val="15"/>
                <w:color w:val="auto"/>
              </w:rPr>
            </w:pP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PRINCIPAL AMOUNT</w:t>
            </w:r>
          </w:p>
        </w:tc>
      </w:tr>
      <w:tr>
        <w:trPr>
          <w:trHeight w:val="180"/>
        </w:trPr>
        <w:tc>
          <w:tcPr>
            <w:tcW w:w="9100" w:type="dxa"/>
            <w:vAlign w:val="bottom"/>
          </w:tcPr>
          <w:p>
            <w:pPr>
              <w:jc w:val="right"/>
              <w:ind w:right="3962"/>
              <w:spacing w:after="0"/>
              <w:rPr>
                <w:sz w:val="20"/>
                <w:szCs w:val="20"/>
                <w:color w:val="auto"/>
              </w:rPr>
            </w:pPr>
            <w:r>
              <w:rPr>
                <w:rFonts w:ascii="Courier New" w:cs="Courier New" w:eastAsia="Courier New" w:hAnsi="Courier New"/>
                <w:sz w:val="16"/>
                <w:szCs w:val="16"/>
                <w:color w:val="auto"/>
              </w:rPr>
              <w:t>UNDERWRITERS</w:t>
            </w:r>
          </w:p>
        </w:tc>
        <w:tc>
          <w:tcPr>
            <w:tcW w:w="15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OF NOTES</w:t>
            </w:r>
          </w:p>
        </w:tc>
      </w:tr>
      <w:tr>
        <w:trPr>
          <w:trHeight w:val="361"/>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Donaldson, Lufkin &amp; Jenrette Securities Corporation.............................................</w:t>
            </w:r>
          </w:p>
        </w:tc>
        <w:tc>
          <w:tcPr>
            <w:tcW w:w="1580" w:type="dxa"/>
            <w:vAlign w:val="bottom"/>
          </w:tcPr>
          <w:p>
            <w:pPr>
              <w:spacing w:after="0"/>
              <w:rPr>
                <w:sz w:val="24"/>
                <w:szCs w:val="24"/>
                <w:color w:val="auto"/>
              </w:rPr>
            </w:pPr>
          </w:p>
        </w:tc>
      </w:tr>
      <w:tr>
        <w:trPr>
          <w:trHeight w:val="180"/>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J.P. Morgan Securities Inc......................................................................</w:t>
            </w:r>
          </w:p>
        </w:tc>
        <w:tc>
          <w:tcPr>
            <w:tcW w:w="1580" w:type="dxa"/>
            <w:vAlign w:val="bottom"/>
          </w:tcPr>
          <w:p>
            <w:pPr>
              <w:spacing w:after="0"/>
              <w:rPr>
                <w:sz w:val="15"/>
                <w:szCs w:val="15"/>
                <w:color w:val="auto"/>
              </w:rPr>
            </w:pPr>
          </w:p>
        </w:tc>
      </w:tr>
      <w:tr>
        <w:trPr>
          <w:trHeight w:val="180"/>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BancAmerica Robertson Stephens..................................................................</w:t>
            </w:r>
          </w:p>
        </w:tc>
        <w:tc>
          <w:tcPr>
            <w:tcW w:w="1580" w:type="dxa"/>
            <w:vAlign w:val="bottom"/>
          </w:tcPr>
          <w:p>
            <w:pPr>
              <w:spacing w:after="0"/>
              <w:rPr>
                <w:sz w:val="15"/>
                <w:szCs w:val="15"/>
                <w:color w:val="auto"/>
              </w:rPr>
            </w:pPr>
          </w:p>
        </w:tc>
      </w:tr>
      <w:tr>
        <w:trPr>
          <w:trHeight w:val="180"/>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Chase Securities, Inc...........................................................................</w:t>
            </w:r>
          </w:p>
        </w:tc>
        <w:tc>
          <w:tcPr>
            <w:tcW w:w="1580" w:type="dxa"/>
            <w:vAlign w:val="bottom"/>
          </w:tcPr>
          <w:p>
            <w:pPr>
              <w:spacing w:after="0"/>
              <w:rPr>
                <w:sz w:val="15"/>
                <w:szCs w:val="15"/>
                <w:color w:val="auto"/>
              </w:rPr>
            </w:pPr>
          </w:p>
        </w:tc>
      </w:tr>
      <w:tr>
        <w:trPr>
          <w:trHeight w:val="180"/>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Deutsche Bank Securities........................................................................</w:t>
            </w:r>
          </w:p>
        </w:tc>
        <w:tc>
          <w:tcPr>
            <w:tcW w:w="1580" w:type="dxa"/>
            <w:vAlign w:val="bottom"/>
          </w:tcPr>
          <w:p>
            <w:pPr>
              <w:spacing w:after="0"/>
              <w:rPr>
                <w:sz w:val="15"/>
                <w:szCs w:val="15"/>
                <w:color w:val="auto"/>
              </w:rPr>
            </w:pPr>
          </w:p>
        </w:tc>
      </w:tr>
      <w:tr>
        <w:trPr>
          <w:trHeight w:val="180"/>
        </w:trPr>
        <w:tc>
          <w:tcPr>
            <w:tcW w:w="9100" w:type="dxa"/>
            <w:vAlign w:val="bottom"/>
          </w:tcPr>
          <w:p>
            <w:pPr>
              <w:spacing w:after="0"/>
              <w:rPr>
                <w:sz w:val="15"/>
                <w:szCs w:val="15"/>
                <w:color w:val="auto"/>
              </w:rPr>
            </w:pP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9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15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  400,000,000</w:t>
            </w:r>
          </w:p>
        </w:tc>
      </w:tr>
      <w:tr>
        <w:trPr>
          <w:trHeight w:val="180"/>
        </w:trPr>
        <w:tc>
          <w:tcPr>
            <w:tcW w:w="9100" w:type="dxa"/>
            <w:vAlign w:val="bottom"/>
          </w:tcPr>
          <w:p>
            <w:pPr>
              <w:spacing w:after="0"/>
              <w:rPr>
                <w:sz w:val="15"/>
                <w:szCs w:val="15"/>
                <w:color w:val="auto"/>
              </w:rPr>
            </w:pP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9100" w:type="dxa"/>
            <w:vAlign w:val="bottom"/>
          </w:tcPr>
          <w:p>
            <w:pPr>
              <w:spacing w:after="0"/>
              <w:rPr>
                <w:sz w:val="15"/>
                <w:szCs w:val="15"/>
                <w:color w:val="auto"/>
              </w:rPr>
            </w:pPr>
          </w:p>
        </w:tc>
        <w:tc>
          <w:tcPr>
            <w:tcW w:w="15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w:t>
            </w:r>
          </w:p>
        </w:tc>
      </w:tr>
    </w:tbl>
    <w:p>
      <w:pPr>
        <w:spacing w:after="0" w:line="365" w:lineRule="exact"/>
        <w:rPr>
          <w:sz w:val="20"/>
          <w:szCs w:val="20"/>
          <w:color w:val="auto"/>
        </w:rPr>
      </w:pPr>
    </w:p>
    <w:p>
      <w:pPr>
        <w:ind w:right="3460" w:firstLine="375"/>
        <w:spacing w:after="0" w:line="237"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 all the Notes must be purchased.</w:t>
      </w:r>
    </w:p>
    <w:p>
      <w:pPr>
        <w:spacing w:after="0" w:line="187" w:lineRule="exact"/>
        <w:rPr>
          <w:sz w:val="20"/>
          <w:szCs w:val="20"/>
          <w:color w:val="auto"/>
        </w:rPr>
      </w:pPr>
    </w:p>
    <w:p>
      <w:pPr>
        <w:ind w:right="3180" w:firstLine="375"/>
        <w:spacing w:after="0" w:line="237" w:lineRule="auto"/>
        <w:rPr>
          <w:sz w:val="20"/>
          <w:szCs w:val="20"/>
          <w:color w:val="auto"/>
        </w:rPr>
      </w:pPr>
      <w:r>
        <w:rPr>
          <w:rFonts w:ascii="Courier New" w:cs="Courier New" w:eastAsia="Courier New" w:hAnsi="Courier New"/>
          <w:sz w:val="16"/>
          <w:szCs w:val="16"/>
          <w:color w:val="auto"/>
        </w:rPr>
        <w:t>The Company has agreed to indemnify the Underwriters against certain liabilities, including liabilities under the Securities Act of 1933, as amended, or to contribute to payments that the Underwriters may be required to make in respect 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Underwriters have advised the Company that they propose initially</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00" w:type="dxa"/>
            <w:vAlign w:val="bottom"/>
          </w:tcPr>
          <w:p>
            <w:pPr>
              <w:spacing w:after="0"/>
              <w:rPr>
                <w:sz w:val="15"/>
                <w:szCs w:val="15"/>
                <w:color w:val="auto"/>
              </w:rPr>
            </w:pPr>
          </w:p>
        </w:tc>
      </w:tr>
      <w:tr>
        <w:trPr>
          <w:trHeight w:val="180"/>
        </w:trPr>
        <w:tc>
          <w:tcPr>
            <w:tcW w:w="7400" w:type="dxa"/>
            <w:vAlign w:val="bottom"/>
            <w:gridSpan w:val="5"/>
          </w:tcPr>
          <w:p>
            <w:pPr>
              <w:spacing w:after="0"/>
              <w:rPr>
                <w:sz w:val="20"/>
                <w:szCs w:val="20"/>
                <w:color w:val="auto"/>
              </w:rPr>
            </w:pPr>
            <w:r>
              <w:rPr>
                <w:rFonts w:ascii="Courier New" w:cs="Courier New" w:eastAsia="Courier New" w:hAnsi="Courier New"/>
                <w:sz w:val="16"/>
                <w:szCs w:val="16"/>
                <w:color w:val="auto"/>
              </w:rPr>
              <w:t>offer the Notes to the public at the public offering price set forth on the</w:t>
            </w:r>
          </w:p>
        </w:tc>
        <w:tc>
          <w:tcPr>
            <w:tcW w:w="100" w:type="dxa"/>
            <w:vAlign w:val="bottom"/>
          </w:tcPr>
          <w:p>
            <w:pPr>
              <w:spacing w:after="0"/>
              <w:rPr>
                <w:sz w:val="15"/>
                <w:szCs w:val="15"/>
                <w:color w:val="auto"/>
              </w:rPr>
            </w:pPr>
          </w:p>
        </w:tc>
      </w:tr>
      <w:tr>
        <w:trPr>
          <w:trHeight w:val="180"/>
        </w:trPr>
        <w:tc>
          <w:tcPr>
            <w:tcW w:w="6900" w:type="dxa"/>
            <w:vAlign w:val="bottom"/>
            <w:gridSpan w:val="4"/>
          </w:tcPr>
          <w:p>
            <w:pPr>
              <w:spacing w:after="0"/>
              <w:rPr>
                <w:sz w:val="20"/>
                <w:szCs w:val="20"/>
                <w:color w:val="auto"/>
              </w:rPr>
            </w:pPr>
            <w:r>
              <w:rPr>
                <w:rFonts w:ascii="Courier New" w:cs="Courier New" w:eastAsia="Courier New" w:hAnsi="Courier New"/>
                <w:sz w:val="16"/>
                <w:szCs w:val="16"/>
                <w:color w:val="auto"/>
                <w:w w:val="98"/>
              </w:rPr>
              <w:t>cover page of this Prospectus Supplement, and to certain dealers (who may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include the Underwriters) at such price, less a concession not in</w:t>
            </w:r>
          </w:p>
        </w:tc>
        <w:tc>
          <w:tcPr>
            <w:tcW w:w="1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excess of</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of the principal amount of the Notes. The Remarketing Dealer will</w:t>
            </w:r>
          </w:p>
        </w:tc>
        <w:tc>
          <w:tcPr>
            <w:tcW w:w="1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pay to the</w:t>
            </w:r>
          </w:p>
        </w:tc>
        <w:tc>
          <w:tcPr>
            <w:tcW w:w="10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Company, on the same date the Underwriters pay the purchase price</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 the</w:t>
            </w:r>
          </w:p>
        </w:tc>
        <w:tc>
          <w:tcPr>
            <w:tcW w:w="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Notes,</w:t>
            </w:r>
          </w:p>
        </w:tc>
      </w:tr>
      <w:tr>
        <w:trPr>
          <w:trHeight w:val="180"/>
        </w:trPr>
        <w:tc>
          <w:tcPr>
            <w:tcW w:w="1880" w:type="dxa"/>
            <w:vAlign w:val="bottom"/>
          </w:tcPr>
          <w:p>
            <w:pPr>
              <w:spacing w:after="0"/>
              <w:rPr>
                <w:sz w:val="20"/>
                <w:szCs w:val="20"/>
                <w:color w:val="auto"/>
              </w:rPr>
            </w:pPr>
            <w:r>
              <w:rPr>
                <w:rFonts w:ascii="Courier New" w:cs="Courier New" w:eastAsia="Courier New" w:hAnsi="Courier New"/>
                <w:sz w:val="16"/>
                <w:szCs w:val="16"/>
                <w:color w:val="auto"/>
              </w:rPr>
              <w:t>an amount equal to</w:t>
            </w:r>
          </w:p>
        </w:tc>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w w:val="98"/>
              </w:rPr>
              <w:t>% of the principal amount of the Notes. The</w:t>
            </w:r>
          </w:p>
        </w:tc>
        <w:tc>
          <w:tcPr>
            <w:tcW w:w="1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Underwriters</w:t>
            </w:r>
          </w:p>
        </w:tc>
        <w:tc>
          <w:tcPr>
            <w:tcW w:w="10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may allow, and such dealers may re-allow, discounts not in excess</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of the</w:t>
            </w:r>
          </w:p>
        </w:tc>
      </w:tr>
      <w:tr>
        <w:trPr>
          <w:trHeight w:val="180"/>
        </w:trPr>
        <w:tc>
          <w:tcPr>
            <w:tcW w:w="6740" w:type="dxa"/>
            <w:vAlign w:val="bottom"/>
            <w:gridSpan w:val="3"/>
          </w:tcPr>
          <w:p>
            <w:pPr>
              <w:spacing w:after="0"/>
              <w:rPr>
                <w:sz w:val="20"/>
                <w:szCs w:val="20"/>
                <w:color w:val="auto"/>
              </w:rPr>
            </w:pPr>
            <w:r>
              <w:rPr>
                <w:rFonts w:ascii="Courier New" w:cs="Courier New" w:eastAsia="Courier New" w:hAnsi="Courier New"/>
                <w:sz w:val="16"/>
                <w:szCs w:val="16"/>
                <w:color w:val="auto"/>
                <w:w w:val="97"/>
              </w:rPr>
              <w:t>principal amount of the Notes to any other Underwriter and certain other</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w w:val="98"/>
              </w:rPr>
              <w:t>dealers. After the initial offering, the offering price and other</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selling</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w w:val="91"/>
              </w:rPr>
              <w:t>terms</w:t>
            </w:r>
          </w:p>
        </w:tc>
        <w:tc>
          <w:tcPr>
            <w:tcW w:w="10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of the Notes may be changed by the Underwriters.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85" w:lineRule="exact"/>
        <w:rPr>
          <w:sz w:val="20"/>
          <w:szCs w:val="20"/>
          <w:color w:val="auto"/>
        </w:rPr>
      </w:pPr>
    </w:p>
    <w:p>
      <w:pPr>
        <w:ind w:right="3180" w:firstLine="375"/>
        <w:spacing w:after="0" w:line="255" w:lineRule="auto"/>
        <w:rPr>
          <w:sz w:val="20"/>
          <w:szCs w:val="20"/>
          <w:color w:val="auto"/>
        </w:rPr>
      </w:pPr>
      <w:r>
        <w:rPr>
          <w:rFonts w:ascii="Courier New" w:cs="Courier New" w:eastAsia="Courier New" w:hAnsi="Courier New"/>
          <w:sz w:val="15"/>
          <w:szCs w:val="15"/>
          <w:color w:val="auto"/>
        </w:rPr>
        <w:t>In connection with the Offering, the Underwriters may engage in transactions that stabilize, maintain or otherwise affect the price of the Notes. Specifically, the Underwriters may overallot the Offering, creating a syndicate short position. Underwriters may bid for and purchase the Notes in the open market to cover such a syndicate short position. In addition, the Underwriters may bid for and purchase the Notes in the open market to stabilize the price of the Notes. These activities may stabilize or maintain the market price of the Notes above independent market levels. The Underwriters are not required to engage in these activities and may end these activities at any time.</w:t>
      </w:r>
    </w:p>
    <w:p>
      <w:pPr>
        <w:spacing w:after="0" w:line="179" w:lineRule="exact"/>
        <w:rPr>
          <w:sz w:val="20"/>
          <w:szCs w:val="20"/>
          <w:color w:val="auto"/>
        </w:rPr>
      </w:pPr>
    </w:p>
    <w:p>
      <w:pPr>
        <w:ind w:right="3180" w:firstLine="375"/>
        <w:spacing w:after="0" w:line="238" w:lineRule="auto"/>
        <w:rPr>
          <w:sz w:val="20"/>
          <w:szCs w:val="20"/>
          <w:color w:val="auto"/>
        </w:rPr>
      </w:pPr>
      <w:r>
        <w:rPr>
          <w:rFonts w:ascii="Courier New" w:cs="Courier New" w:eastAsia="Courier New" w:hAnsi="Courier New"/>
          <w:sz w:val="16"/>
          <w:szCs w:val="16"/>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185" w:lineRule="exact"/>
        <w:rPr>
          <w:sz w:val="20"/>
          <w:szCs w:val="20"/>
          <w:color w:val="auto"/>
        </w:rPr>
      </w:pPr>
    </w:p>
    <w:p>
      <w:pPr>
        <w:ind w:right="3180" w:firstLine="375"/>
        <w:spacing w:after="0" w:line="256"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the Merger and was paid customary fees in connection therewith. Donaldson, Lufkin &amp; Jenrette Securities Corporation was lead manager, and J.P. Morgan Securities Inc. and Deutsche Bank Securities were co-managers in a public offering of senior notes of the Company completed in</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S-25</w:t>
      </w:r>
    </w:p>
    <w:p>
      <w:pPr>
        <w:sectPr>
          <w:pgSz w:w="11900" w:h="16838" w:orient="portrait"/>
          <w:cols w:equalWidth="0" w:num="1">
            <w:col w:w="10680"/>
          </w:cols>
          <w:pgMar w:left="240" w:top="473" w:right="979" w:bottom="1440" w:gutter="0" w:footer="0" w:header="0"/>
        </w:sectPr>
      </w:pPr>
    </w:p>
    <w:bookmarkStart w:id="27" w:name="page28"/>
    <w:bookmarkEnd w:id="27"/>
    <w:p>
      <w:pPr>
        <w:ind w:right="2719"/>
        <w:spacing w:after="0" w:line="238" w:lineRule="auto"/>
        <w:rPr>
          <w:sz w:val="20"/>
          <w:szCs w:val="20"/>
          <w:color w:val="auto"/>
        </w:rPr>
      </w:pPr>
      <w:r>
        <w:rPr>
          <w:rFonts w:ascii="Courier New" w:cs="Courier New" w:eastAsia="Courier New" w:hAnsi="Courier New"/>
          <w:sz w:val="16"/>
          <w:szCs w:val="16"/>
          <w:color w:val="auto"/>
        </w:rPr>
        <w:t>December 1997. Donaldson, Lufkin &amp; Jenrette Securities Corporation was lead manager, and J.P. Morgan Securities Inc. and Deutsche Bank Securities were co-managers in a public offering of senior notes of the Company completed in September 1997. Affiliates of J.P. Morgan Securities Inc., BancAmerica Robertson Stephens, Chase Securities, Inc. and Deutsche Bank Securities are lenders under the Credit Facility and will receive repayment of certain amounts under the Credit Facility from the proceeds of this Offering. As a result, this Offering is subject to Rules 2710(c)(8) and 2720(c)(3)(C) of the Conduct Rules of the National Association of Securities Dealers, Inc. An affiliate of J.P. Morgan Securities Inc. serves as the agent under the Credit Facility and receives customary compensation therefor. See "Use of Proceeds."</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S-26</w:t>
      </w:r>
    </w:p>
    <w:p>
      <w:pPr>
        <w:sectPr>
          <w:pgSz w:w="11900" w:h="16838" w:orient="portrait"/>
          <w:cols w:equalWidth="0" w:num="1">
            <w:col w:w="10219"/>
          </w:cols>
          <w:pgMar w:left="240" w:top="47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10220" w:type="dxa"/>
            <w:vAlign w:val="bottom"/>
            <w:gridSpan w:val="2"/>
          </w:tcPr>
          <w:p>
            <w:pPr>
              <w:jc w:val="right"/>
              <w:ind w:right="5082"/>
              <w:spacing w:after="0"/>
              <w:rPr>
                <w:sz w:val="20"/>
                <w:szCs w:val="20"/>
                <w:color w:val="auto"/>
              </w:rPr>
            </w:pPr>
            <w:r>
              <w:rPr>
                <w:rFonts w:ascii="Courier New" w:cs="Courier New" w:eastAsia="Courier New" w:hAnsi="Courier New"/>
                <w:sz w:val="16"/>
                <w:szCs w:val="16"/>
                <w:color w:val="auto"/>
              </w:rPr>
              <w:t>INDEX TO FINANCIAL STATEMENTS</w:t>
            </w:r>
          </w:p>
        </w:tc>
        <w:tc>
          <w:tcPr>
            <w:tcW w:w="840" w:type="dxa"/>
            <w:vAlign w:val="bottom"/>
          </w:tcPr>
          <w:p>
            <w:pPr>
              <w:spacing w:after="0"/>
              <w:rPr>
                <w:sz w:val="15"/>
                <w:szCs w:val="15"/>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USA</w:t>
            </w:r>
          </w:p>
        </w:tc>
        <w:tc>
          <w:tcPr>
            <w:tcW w:w="7500" w:type="dxa"/>
            <w:vAlign w:val="bottom"/>
          </w:tcPr>
          <w:p>
            <w:pPr>
              <w:spacing w:after="0"/>
              <w:rPr>
                <w:sz w:val="20"/>
                <w:szCs w:val="20"/>
                <w:color w:val="auto"/>
              </w:rPr>
            </w:pPr>
            <w:r>
              <w:rPr>
                <w:rFonts w:ascii="Courier New" w:cs="Courier New" w:eastAsia="Courier New" w:hAnsi="Courier New"/>
                <w:sz w:val="16"/>
                <w:szCs w:val="16"/>
                <w:color w:val="auto"/>
              </w:rPr>
              <w:t>WASTE AND WASTE MANAGEMENT</w:t>
            </w:r>
          </w:p>
        </w:tc>
        <w:tc>
          <w:tcPr>
            <w:tcW w:w="840" w:type="dxa"/>
            <w:vAlign w:val="bottom"/>
          </w:tcPr>
          <w:p>
            <w:pPr>
              <w:spacing w:after="0"/>
              <w:rPr>
                <w:sz w:val="15"/>
                <w:szCs w:val="15"/>
                <w:color w:val="auto"/>
              </w:rPr>
            </w:pPr>
          </w:p>
        </w:tc>
      </w:tr>
      <w:tr>
        <w:trPr>
          <w:trHeight w:val="180"/>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COMBINED UNAUDITED</w:t>
            </w:r>
          </w:p>
        </w:tc>
        <w:tc>
          <w:tcPr>
            <w:tcW w:w="7500" w:type="dxa"/>
            <w:vAlign w:val="bottom"/>
          </w:tcPr>
          <w:p>
            <w:pPr>
              <w:spacing w:after="0"/>
              <w:rPr>
                <w:sz w:val="20"/>
                <w:szCs w:val="20"/>
                <w:color w:val="auto"/>
              </w:rPr>
            </w:pPr>
            <w:r>
              <w:rPr>
                <w:rFonts w:ascii="Courier New" w:cs="Courier New" w:eastAsia="Courier New" w:hAnsi="Courier New"/>
                <w:sz w:val="16"/>
                <w:szCs w:val="16"/>
                <w:color w:val="auto"/>
              </w:rPr>
              <w:t>PRO FORMA CONDENSED FINANCIAL STATEMENTS</w:t>
            </w:r>
          </w:p>
        </w:tc>
        <w:tc>
          <w:tcPr>
            <w:tcW w:w="840" w:type="dxa"/>
            <w:vAlign w:val="bottom"/>
          </w:tcPr>
          <w:p>
            <w:pPr>
              <w:spacing w:after="0"/>
              <w:rPr>
                <w:sz w:val="15"/>
                <w:szCs w:val="15"/>
                <w:color w:val="auto"/>
              </w:rPr>
            </w:pPr>
          </w:p>
        </w:tc>
      </w:tr>
      <w:tr>
        <w:trPr>
          <w:trHeight w:val="721"/>
        </w:trPr>
        <w:tc>
          <w:tcPr>
            <w:tcW w:w="27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PAGE</w:t>
            </w:r>
          </w:p>
        </w:tc>
      </w:tr>
      <w:tr>
        <w:trPr>
          <w:trHeight w:val="361"/>
        </w:trPr>
        <w:tc>
          <w:tcPr>
            <w:tcW w:w="10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7"/>
              </w:rPr>
              <w:t>General....................................................................................................</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F-2</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Balance Sheet as of March 31, 1998..................................</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F-3</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Three Months Ended March 31, 1998...</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F-5</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1997........</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F-6</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1996........</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F-7</w:t>
            </w:r>
          </w:p>
        </w:tc>
      </w:tr>
      <w:tr>
        <w:trPr>
          <w:trHeight w:val="361"/>
        </w:trPr>
        <w:tc>
          <w:tcPr>
            <w:tcW w:w="2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Combined Unaudited Pro Forma</w:t>
            </w:r>
          </w:p>
        </w:tc>
        <w:tc>
          <w:tcPr>
            <w:tcW w:w="75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Condensed Statement of Operations for the Year Ended December 31, 1995........</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F-8</w:t>
            </w:r>
          </w:p>
        </w:tc>
      </w:tr>
      <w:tr>
        <w:trPr>
          <w:trHeight w:val="361"/>
        </w:trPr>
        <w:tc>
          <w:tcPr>
            <w:tcW w:w="10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7"/>
              </w:rPr>
              <w:t>Notes to Combined Unaudited Pro Forma Condensed Financial Statements.......................................</w:t>
            </w:r>
          </w:p>
        </w:tc>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F-9</w:t>
            </w:r>
          </w:p>
        </w:tc>
      </w:tr>
      <w:tr>
        <w:trPr>
          <w:trHeight w:val="541"/>
        </w:trPr>
        <w:tc>
          <w:tcPr>
            <w:tcW w:w="2720" w:type="dxa"/>
            <w:vAlign w:val="bottom"/>
          </w:tcPr>
          <w:p>
            <w:pPr>
              <w:spacing w:after="0"/>
              <w:rPr>
                <w:sz w:val="24"/>
                <w:szCs w:val="24"/>
                <w:color w:val="auto"/>
              </w:rPr>
            </w:pPr>
          </w:p>
        </w:tc>
        <w:tc>
          <w:tcPr>
            <w:tcW w:w="7500" w:type="dxa"/>
            <w:vAlign w:val="bottom"/>
          </w:tcPr>
          <w:p>
            <w:pPr>
              <w:jc w:val="right"/>
              <w:ind w:right="6302"/>
              <w:spacing w:after="0"/>
              <w:rPr>
                <w:sz w:val="20"/>
                <w:szCs w:val="20"/>
                <w:color w:val="auto"/>
              </w:rPr>
            </w:pPr>
            <w:r>
              <w:rPr>
                <w:rFonts w:ascii="Courier New" w:cs="Courier New" w:eastAsia="Courier New" w:hAnsi="Courier New"/>
                <w:sz w:val="16"/>
                <w:szCs w:val="16"/>
                <w:color w:val="auto"/>
              </w:rPr>
              <w:t>F-1</w:t>
            </w:r>
          </w:p>
        </w:tc>
        <w:tc>
          <w:tcPr>
            <w:tcW w:w="840" w:type="dxa"/>
            <w:vAlign w:val="bottom"/>
          </w:tcPr>
          <w:p>
            <w:pPr>
              <w:spacing w:after="0"/>
              <w:rPr>
                <w:sz w:val="24"/>
                <w:szCs w:val="24"/>
                <w:color w:val="auto"/>
              </w:rPr>
            </w:pPr>
          </w:p>
        </w:tc>
      </w:tr>
    </w:tbl>
    <w:p>
      <w:pPr>
        <w:sectPr>
          <w:pgSz w:w="11900" w:h="16838" w:orient="portrait"/>
          <w:cols w:equalWidth="0" w:num="1">
            <w:col w:w="11060"/>
          </w:cols>
          <w:pgMar w:left="240" w:top="473" w:right="599" w:bottom="1440" w:gutter="0" w:footer="0" w:header="0"/>
        </w:sectPr>
      </w:pPr>
    </w:p>
    <w:bookmarkStart w:id="29" w:name="page30"/>
    <w:bookmarkEnd w:id="29"/>
    <w:p>
      <w:pPr>
        <w:jc w:val="center"/>
        <w:ind w:right="2719"/>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2819"/>
        <w:spacing w:after="0"/>
        <w:rPr>
          <w:sz w:val="20"/>
          <w:szCs w:val="20"/>
          <w:color w:val="auto"/>
        </w:rPr>
      </w:pPr>
      <w:r>
        <w:rPr>
          <w:rFonts w:ascii="Courier New" w:cs="Courier New" w:eastAsia="Courier New" w:hAnsi="Courier New"/>
          <w:sz w:val="16"/>
          <w:szCs w:val="16"/>
          <w:color w:val="auto"/>
        </w:rPr>
        <w:t>COMBINED UNAUDITED PRO FORMA CONDENSED FINANCIAL STATEMENTS</w:t>
      </w:r>
    </w:p>
    <w:p>
      <w:pPr>
        <w:spacing w:after="0" w:line="184"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Prospectus Supplement and the accompanying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9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473" w:right="1440" w:bottom="1440" w:gutter="0" w:footer="0" w:header="0"/>
        </w:sectPr>
      </w:pPr>
    </w:p>
    <w:bookmarkStart w:id="30" w:name="page31"/>
    <w:bookmarkEnd w:id="30"/>
    <w:p>
      <w:pPr>
        <w:jc w:val="center"/>
        <w:ind w:right="394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3940"/>
        <w:spacing w:after="0"/>
        <w:rPr>
          <w:sz w:val="20"/>
          <w:szCs w:val="20"/>
          <w:color w:val="auto"/>
        </w:rPr>
      </w:pPr>
      <w:r>
        <w:rPr>
          <w:rFonts w:ascii="Courier New" w:cs="Courier New" w:eastAsia="Courier New" w:hAnsi="Courier New"/>
          <w:sz w:val="16"/>
          <w:szCs w:val="16"/>
          <w:color w:val="auto"/>
        </w:rPr>
        <w:t>COMBINED UNAUDITED PRO FORMA CONDENSED BALANCE SHEET</w:t>
      </w:r>
    </w:p>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MARCH 31, 1998</w:t>
      </w:r>
    </w:p>
    <w:p>
      <w:pPr>
        <w:spacing w:after="0" w:line="185" w:lineRule="exact"/>
        <w:rPr>
          <w:sz w:val="20"/>
          <w:szCs w:val="20"/>
          <w:color w:val="auto"/>
        </w:rPr>
      </w:pPr>
    </w:p>
    <w:p>
      <w:pPr>
        <w:ind w:right="3940" w:firstLine="375"/>
        <w:spacing w:after="0" w:line="238" w:lineRule="auto"/>
        <w:rPr>
          <w:sz w:val="20"/>
          <w:szCs w:val="20"/>
          <w:color w:val="auto"/>
        </w:rPr>
      </w:pPr>
      <w:r>
        <w:rPr>
          <w:rFonts w:ascii="Courier New" w:cs="Courier New" w:eastAsia="Courier New" w:hAnsi="Courier New"/>
          <w:sz w:val="16"/>
          <w:szCs w:val="16"/>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80" w:type="dxa"/>
            <w:vAlign w:val="bottom"/>
          </w:tcPr>
          <w:p>
            <w:pPr>
              <w:spacing w:after="0"/>
              <w:rPr>
                <w:sz w:val="15"/>
                <w:szCs w:val="15"/>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PRO</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FORMA</w:t>
            </w:r>
          </w:p>
        </w:tc>
        <w:tc>
          <w:tcPr>
            <w:tcW w:w="2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4"/>
              </w:rPr>
              <w:t>USA WASTE</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ADJUSTMENTS</w:t>
            </w:r>
          </w:p>
        </w:tc>
        <w:tc>
          <w:tcPr>
            <w:tcW w:w="2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5"/>
          </w:tcPr>
          <w:p>
            <w:pPr>
              <w:ind w:left="380"/>
              <w:spacing w:after="0"/>
              <w:rPr>
                <w:sz w:val="20"/>
                <w:szCs w:val="20"/>
                <w:color w:val="auto"/>
              </w:rPr>
            </w:pPr>
            <w:r>
              <w:rPr>
                <w:rFonts w:ascii="Courier New" w:cs="Courier New" w:eastAsia="Courier New" w:hAnsi="Courier New"/>
                <w:sz w:val="16"/>
                <w:szCs w:val="16"/>
                <w:color w:val="auto"/>
                <w:w w:val="96"/>
              </w:rPr>
              <w:t>(IN THOUSANDS, EXCEPT SHARE AND</w:t>
            </w:r>
          </w:p>
        </w:tc>
        <w:tc>
          <w:tcPr>
            <w:tcW w:w="22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PAR VALUE AMOUNTS)</w:t>
            </w:r>
          </w:p>
        </w:tc>
      </w:tr>
      <w:tr>
        <w:trPr>
          <w:trHeight w:val="361"/>
        </w:trPr>
        <w:tc>
          <w:tcPr>
            <w:tcW w:w="5720" w:type="dxa"/>
            <w:vAlign w:val="bottom"/>
          </w:tcPr>
          <w:p>
            <w:pPr>
              <w:jc w:val="right"/>
              <w:ind w:right="2542"/>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46,260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311,861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358,121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Short-term investments....................................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3,053</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3,053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Accounts receivable,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468,619</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1,448,797</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1,917,416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and other receivables...............................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56,321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26,577</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82,898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income taxes.....................................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46,196</w:t>
            </w:r>
          </w:p>
        </w:tc>
        <w:tc>
          <w:tcPr>
            <w:tcW w:w="28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46,196</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Costs and estimated earnings in excess of billings 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uncompleted contracts...................................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158,964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158,964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Prepaid expenses and other................................</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58,891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230,374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289,265</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current assets..................................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676,287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2,179,626</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2,855,913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Notes and other receivables.................................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22,951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100,044</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122,995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Property and equipment,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4,601,573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7,126,426</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(10,922)(a)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11,617,441</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(99,636)(b)</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1,905,285</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3,674,333</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(66,464)(a)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5,513,154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intangible assets, net................................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126,526</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11,746</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138,272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assets of continuing businesses held for sale...........</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137,995</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137,995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assets................................................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256,783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633,830</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(28,124)(c)</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862,489</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7,589,405</w:t>
            </w: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$13,864,000</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(205,146)</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$21,248,259</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196,735</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687,419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884,154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185,631</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1,683,398</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1,869,029</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Obligation to former Wheelabrator Technologies Inc.</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shareholders............................................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876,232</w:t>
            </w:r>
          </w:p>
        </w:tc>
        <w:tc>
          <w:tcPr>
            <w:tcW w:w="28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(614,400)(d)</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261,832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Deferred revenues.........................................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69,484</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236,339</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305,823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Current maturities of long-term debt......................</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46,527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1,025,685</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1,072,212</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current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498,377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4,509,073</w:t>
            </w:r>
          </w:p>
        </w:tc>
        <w:tc>
          <w:tcPr>
            <w:tcW w:w="280" w:type="dxa"/>
            <w:vAlign w:val="bottom"/>
          </w:tcPr>
          <w:p>
            <w:pPr>
              <w:spacing w:after="0"/>
              <w:rPr>
                <w:sz w:val="15"/>
                <w:szCs w:val="15"/>
                <w:color w:val="auto"/>
              </w:rPr>
            </w:pP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(614,400)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4,393,050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Long-term debt, less current maturities.....................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3,584,887</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5,398,132</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8,983,019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Deferred income taxes.......................................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323,320</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216,797</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(25,029)(a)</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520,293</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5,205(b)</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Closure, post-closure, and other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407,699</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1,645,663</w:t>
            </w:r>
          </w:p>
        </w:tc>
        <w:tc>
          <w:tcPr>
            <w:tcW w:w="280" w:type="dxa"/>
            <w:vAlign w:val="bottom"/>
          </w:tcPr>
          <w:p>
            <w:pPr>
              <w:spacing w:after="0"/>
              <w:rPr>
                <w:sz w:val="15"/>
                <w:szCs w:val="15"/>
                <w:color w:val="auto"/>
              </w:rPr>
            </w:pP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(85,557)(b)</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1,967,805</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4,814,283</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11,769,665</w:t>
            </w:r>
          </w:p>
        </w:tc>
        <w:tc>
          <w:tcPr>
            <w:tcW w:w="280" w:type="dxa"/>
            <w:vAlign w:val="bottom"/>
          </w:tcPr>
          <w:p>
            <w:pPr>
              <w:spacing w:after="0"/>
              <w:rPr>
                <w:sz w:val="15"/>
                <w:szCs w:val="15"/>
                <w:color w:val="auto"/>
              </w:rPr>
            </w:pPr>
          </w:p>
        </w:tc>
        <w:tc>
          <w:tcPr>
            <w:tcW w:w="15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(719,781)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15,864,167</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Minority interest in subsidiaries...........................</w:t>
            </w:r>
          </w:p>
        </w:tc>
        <w:tc>
          <w:tcPr>
            <w:tcW w:w="18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739,442</w:t>
            </w:r>
          </w:p>
        </w:tc>
        <w:tc>
          <w:tcPr>
            <w:tcW w:w="2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w w:val="83"/>
              </w:rPr>
              <w:t>--</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739,442</w:t>
            </w:r>
          </w:p>
        </w:tc>
      </w:tr>
      <w:tr>
        <w:trPr>
          <w:trHeight w:val="180"/>
        </w:trPr>
        <w:tc>
          <w:tcPr>
            <w:tcW w:w="57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572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F-3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40" w:top="473" w:right="219" w:bottom="1440" w:gutter="0" w:footer="0" w:header="0"/>
        </w:sectPr>
      </w:pPr>
    </w:p>
    <w:bookmarkStart w:id="31" w:name="page32"/>
    <w:bookmarkEnd w:id="31"/>
    <w:p>
      <w:pPr>
        <w:jc w:val="center"/>
        <w:ind w:right="4020"/>
        <w:spacing w:after="0"/>
        <w:rPr>
          <w:sz w:val="20"/>
          <w:szCs w:val="20"/>
          <w:color w:val="auto"/>
        </w:rPr>
      </w:pPr>
      <w:r>
        <w:rPr>
          <w:rFonts w:ascii="Courier New" w:cs="Courier New" w:eastAsia="Courier New" w:hAnsi="Courier New"/>
          <w:sz w:val="16"/>
          <w:szCs w:val="16"/>
          <w:color w:val="auto"/>
        </w:rPr>
        <w:t>USA WASTE AND WASTE MANAGEMENT</w:t>
      </w:r>
    </w:p>
    <w:p>
      <w:pPr>
        <w:jc w:val="center"/>
        <w:ind w:right="4020"/>
        <w:spacing w:after="0"/>
        <w:rPr>
          <w:sz w:val="20"/>
          <w:szCs w:val="20"/>
          <w:color w:val="auto"/>
        </w:rPr>
      </w:pPr>
      <w:r>
        <w:rPr>
          <w:rFonts w:ascii="Courier New" w:cs="Courier New" w:eastAsia="Courier New" w:hAnsi="Courier New"/>
          <w:sz w:val="16"/>
          <w:szCs w:val="16"/>
          <w:color w:val="auto"/>
        </w:rPr>
        <w:t>COMBINED UNAUDITED PRO FORMA CONDENSED BALANCE SHEET (CONTINUED)</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MARCH 31, 1998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17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PRO FORMA</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USA WASTE</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MANAGEMENT</w:t>
            </w:r>
          </w:p>
        </w:tc>
        <w:tc>
          <w:tcPr>
            <w:tcW w:w="1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ADJUSTMENTS</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5800" w:type="dxa"/>
            <w:vAlign w:val="bottom"/>
            <w:gridSpan w:val="4"/>
          </w:tcPr>
          <w:p>
            <w:pPr>
              <w:jc w:val="right"/>
              <w:ind w:right="462"/>
              <w:spacing w:after="0"/>
              <w:rPr>
                <w:sz w:val="20"/>
                <w:szCs w:val="20"/>
                <w:color w:val="auto"/>
              </w:rPr>
            </w:pPr>
            <w:r>
              <w:rPr>
                <w:rFonts w:ascii="Courier New" w:cs="Courier New" w:eastAsia="Courier New" w:hAnsi="Courier New"/>
                <w:sz w:val="16"/>
                <w:szCs w:val="16"/>
                <w:color w:val="auto"/>
              </w:rPr>
              <w:t>(IN THOUSANDS, EXCEPT SHARE AND PAR VALUE AMOUNTS)</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w w:val="98"/>
              </w:rPr>
              <w:t>USA Waste: $.01 par value; 10,000,000 shares authorized;</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none issued...........................................</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Waste Management: $1 par value; 50,000,000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none outstanding..........................</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Common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USA Waste: $.01 par value, 500,000,000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historical 219,834,550 shares (572,269,938</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 shares) issued..............................</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2,198</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3,525(d)</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5,723</w:t>
            </w:r>
          </w:p>
        </w:tc>
      </w:tr>
      <w:tr>
        <w:trPr>
          <w:trHeight w:val="180"/>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Waste Management: $1 par value; 1,500,000,000 shares</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authorized; 507,101,744 shares issued.................</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507,102</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(507,102)(d)</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Additional paid-in capital................................</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2,436,447</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990,270</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(11,250)(c)</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3,267,468</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(147,999)(d)</w:t>
            </w: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Retained earnings.........................................</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374,459</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1,730,516</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(34,888)(a)</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2,033,929</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(19,284)(b)</w:t>
            </w:r>
          </w:p>
        </w:tc>
        <w:tc>
          <w:tcPr>
            <w:tcW w:w="126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(16,874)(c)</w:t>
            </w: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Accumulated other comprehensive income....................</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(37,498)</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(278,800)(e)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(316,298)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Foreign currency translation adjustment...................</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(253,938)</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(17,469)(a)</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271,407(e)</w:t>
            </w:r>
          </w:p>
        </w:tc>
        <w:tc>
          <w:tcPr>
            <w:tcW w:w="12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Treasury stock:</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USA Waste: 23,485 shares, at cost.......................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(484)</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Waste Management: 40,983,967 shares, at cost............</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(1,265,976)</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1,265,976(d)</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Restricted stock unearned compensation....................</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(10,252)</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(10,252)</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Employee stock benefit trust; 10,886,361 WMI shares, at</w:t>
            </w: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market (7,892,612 pro forma shares).....................</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(335,436)</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(335,436)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Minimum pension liability.................................</w:t>
            </w:r>
          </w:p>
        </w:tc>
        <w:tc>
          <w:tcPr>
            <w:tcW w:w="1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(7,393)</w:t>
            </w:r>
          </w:p>
        </w:tc>
        <w:tc>
          <w:tcPr>
            <w:tcW w:w="1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7,393(e)</w:t>
            </w:r>
          </w:p>
        </w:tc>
        <w:tc>
          <w:tcPr>
            <w:tcW w:w="126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stockholders' equity..............................</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2,775,122</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1,354,893</w:t>
            </w:r>
          </w:p>
        </w:tc>
        <w:tc>
          <w:tcPr>
            <w:tcW w:w="1780" w:type="dxa"/>
            <w:vAlign w:val="bottom"/>
          </w:tcPr>
          <w:p>
            <w:pPr>
              <w:ind w:left="620"/>
              <w:spacing w:after="0"/>
              <w:rPr>
                <w:sz w:val="20"/>
                <w:szCs w:val="20"/>
                <w:color w:val="auto"/>
              </w:rPr>
            </w:pPr>
            <w:r>
              <w:rPr>
                <w:rFonts w:ascii="Courier New" w:cs="Courier New" w:eastAsia="Courier New" w:hAnsi="Courier New"/>
                <w:sz w:val="16"/>
                <w:szCs w:val="16"/>
                <w:color w:val="auto"/>
              </w:rPr>
              <w:t>514,635</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4,644,650</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$ 7,589,405</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$13,864,000</w:t>
            </w:r>
          </w:p>
        </w:tc>
        <w:tc>
          <w:tcPr>
            <w:tcW w:w="1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(205,146)</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$21,248,259</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1520"/>
          </w:cols>
          <w:pgMar w:left="240" w:top="473" w:right="139" w:bottom="1440" w:gutter="0" w:footer="0" w:header="0"/>
        </w:sectPr>
      </w:pPr>
    </w:p>
    <w:bookmarkStart w:id="32" w:name="page33"/>
    <w:bookmarkEnd w:id="32"/>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4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THREE MONTHS ENDED MARCH 31, 1998</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80" w:type="dxa"/>
            <w:vAlign w:val="bottom"/>
          </w:tcPr>
          <w:p>
            <w:pPr>
              <w:spacing w:after="0"/>
              <w:rPr>
                <w:sz w:val="15"/>
                <w:szCs w:val="15"/>
                <w:color w:val="auto"/>
              </w:rPr>
            </w:pP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PRO FORMA</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COMBINED</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USA WASTE</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8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ADJUSTMENTS</w:t>
            </w:r>
          </w:p>
        </w:tc>
        <w:tc>
          <w:tcPr>
            <w:tcW w:w="18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 FORMA</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769,440</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$ 2,131,621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2,901,061</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shown below)............................................</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397,492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1,621,985</w:t>
            </w:r>
          </w:p>
        </w:tc>
        <w:tc>
          <w:tcPr>
            <w:tcW w:w="28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3,785(b)</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1,757,707</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(265,555)(f)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General and administrative................................</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81,916</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263,882</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(217)(f)</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345,581</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86,110</w:t>
            </w:r>
          </w:p>
        </w:tc>
        <w:tc>
          <w:tcPr>
            <w:tcW w:w="34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(424)(a)</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351,458</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265,772(f)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net of minority interest................................</w:t>
            </w:r>
          </w:p>
        </w:tc>
        <w:tc>
          <w:tcPr>
            <w:tcW w:w="180" w:type="dxa"/>
            <w:vAlign w:val="bottom"/>
          </w:tcPr>
          <w:p>
            <w:pPr>
              <w:spacing w:after="0"/>
              <w:rPr>
                <w:sz w:val="15"/>
                <w:szCs w:val="15"/>
                <w:color w:val="auto"/>
              </w:rPr>
            </w:pPr>
          </w:p>
        </w:tc>
        <w:tc>
          <w:tcPr>
            <w:tcW w:w="10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2,416</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2,416</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565,518</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1,888,283</w:t>
            </w:r>
          </w:p>
        </w:tc>
        <w:tc>
          <w:tcPr>
            <w:tcW w:w="280" w:type="dxa"/>
            <w:vAlign w:val="bottom"/>
          </w:tcPr>
          <w:p>
            <w:pPr>
              <w:spacing w:after="0"/>
              <w:rPr>
                <w:sz w:val="15"/>
                <w:szCs w:val="15"/>
                <w:color w:val="auto"/>
              </w:rPr>
            </w:pP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3,361</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2,457,162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203,922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243,338</w:t>
            </w:r>
          </w:p>
        </w:tc>
        <w:tc>
          <w:tcPr>
            <w:tcW w:w="280" w:type="dxa"/>
            <w:vAlign w:val="bottom"/>
          </w:tcPr>
          <w:p>
            <w:pPr>
              <w:spacing w:after="0"/>
              <w:rPr>
                <w:sz w:val="15"/>
                <w:szCs w:val="15"/>
                <w:color w:val="auto"/>
              </w:rPr>
            </w:pP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(3,361)</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443,899</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 income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(38,368)</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(115,574)</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(153,942)</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Interest income...........................................</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1,799</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4,310</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6,109</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180" w:type="dxa"/>
            <w:vAlign w:val="bottom"/>
          </w:tcPr>
          <w:p>
            <w:pPr>
              <w:spacing w:after="0"/>
              <w:rPr>
                <w:sz w:val="15"/>
                <w:szCs w:val="15"/>
                <w:color w:val="auto"/>
              </w:rPr>
            </w:pPr>
          </w:p>
        </w:tc>
        <w:tc>
          <w:tcPr>
            <w:tcW w:w="10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(25,302)</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(25,302)</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Other income, net.........................................</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34,251</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64,196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(28,124)(c)</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70,323</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(2,318)</w:t>
            </w:r>
          </w:p>
        </w:tc>
        <w:tc>
          <w:tcPr>
            <w:tcW w:w="34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(72,370)</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(28,124)</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(102,812)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201,604</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170,968</w:t>
            </w:r>
          </w:p>
        </w:tc>
        <w:tc>
          <w:tcPr>
            <w:tcW w:w="28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(31,485)</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341,087</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80,642</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96,551</w:t>
            </w:r>
          </w:p>
        </w:tc>
        <w:tc>
          <w:tcPr>
            <w:tcW w:w="28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170(a)</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161,815</w:t>
            </w: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(4,298)(b)</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(11,250)(c)</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120,962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74,417</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(16,107)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Basic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0.55</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0.16</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Diluted earnings per common share.........................</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0.16</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common shares outstanding......</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219,201</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455,096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(125,151)(g)</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549,146</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40" w:type="dxa"/>
            <w:vAlign w:val="bottom"/>
          </w:tcPr>
          <w:p>
            <w:pPr>
              <w:ind w:left="200"/>
              <w:spacing w:after="0"/>
              <w:rPr>
                <w:sz w:val="20"/>
                <w:szCs w:val="20"/>
                <w:color w:val="auto"/>
              </w:rPr>
            </w:pPr>
            <w:r>
              <w:rPr>
                <w:rFonts w:ascii="Courier New" w:cs="Courier New" w:eastAsia="Courier New" w:hAnsi="Courier New"/>
                <w:sz w:val="16"/>
                <w:szCs w:val="16"/>
                <w:color w:val="auto"/>
                <w:w w:val="98"/>
              </w:rPr>
              <w:t>common shares outstanding...............................</w:t>
            </w:r>
          </w:p>
        </w:tc>
        <w:tc>
          <w:tcPr>
            <w:tcW w:w="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244,250</w:t>
            </w:r>
          </w:p>
        </w:tc>
        <w:tc>
          <w:tcPr>
            <w:tcW w:w="3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455,296</w:t>
            </w:r>
          </w:p>
        </w:tc>
        <w:tc>
          <w:tcPr>
            <w:tcW w:w="280" w:type="dxa"/>
            <w:vAlign w:val="bottom"/>
          </w:tcPr>
          <w:p>
            <w:pPr>
              <w:spacing w:after="0"/>
              <w:rPr>
                <w:sz w:val="15"/>
                <w:szCs w:val="15"/>
                <w:color w:val="auto"/>
              </w:rPr>
            </w:pP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(125,206)(g)</w:t>
            </w:r>
          </w:p>
        </w:tc>
        <w:tc>
          <w:tcPr>
            <w:tcW w:w="1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574,340</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440"/>
          </w:cols>
          <w:pgMar w:left="240" w:top="473" w:right="219" w:bottom="1440" w:gutter="0" w:footer="0" w:header="0"/>
        </w:sectPr>
      </w:pPr>
    </w:p>
    <w:bookmarkStart w:id="33" w:name="page34"/>
    <w:bookmarkEnd w:id="33"/>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1997</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WASTE</w:t>
            </w:r>
          </w:p>
        </w:tc>
        <w:tc>
          <w:tcPr>
            <w:tcW w:w="18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MANAGEMENT</w:t>
            </w:r>
          </w:p>
        </w:tc>
        <w:tc>
          <w:tcPr>
            <w:tcW w:w="18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2,613,768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9,188,582</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$11,802,350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Operating (exclusive of depreciation and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1,345,769</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7,195,376</w:t>
            </w:r>
          </w:p>
        </w:tc>
        <w:tc>
          <w:tcPr>
            <w:tcW w:w="18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17,766(b)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7,479,745</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(1,079,166)(f)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284,946</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1,129,237</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(939)(f)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1,413,244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303,241</w:t>
            </w:r>
          </w:p>
        </w:tc>
        <w:tc>
          <w:tcPr>
            <w:tcW w:w="20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(990)(a)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1,382,356</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1,080,105(f)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109,411</w:t>
            </w:r>
          </w:p>
        </w:tc>
        <w:tc>
          <w:tcPr>
            <w:tcW w:w="20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109,411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24,720</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1,626,252</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1,650,972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 held for sale,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of 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9,930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9,930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2,068,087</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9,960,795</w:t>
            </w:r>
          </w:p>
        </w:tc>
        <w:tc>
          <w:tcPr>
            <w:tcW w:w="18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16,776</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12,045,658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545,681</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(772,213)</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(16,776)</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(104,261)</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(446,888)</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7,634</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37,580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45,214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(45,442)</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14,213</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173,290</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(61,331)(a)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126,172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(82,414)</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(281,460)</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(61,331)</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463,267</w:t>
            </w:r>
          </w:p>
        </w:tc>
        <w:tc>
          <w:tcPr>
            <w:tcW w:w="20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(1,053,673)</w:t>
            </w:r>
          </w:p>
        </w:tc>
        <w:tc>
          <w:tcPr>
            <w:tcW w:w="1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(78,107)</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189,944</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215,667</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(25,199)(a)</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361,464</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(18,948)(b)</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273,323</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(1,269,340)</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(33,960)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$(1,029,977)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 from</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208,246</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466,601</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(128,315)(g)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546,532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233,371</w:t>
            </w:r>
          </w:p>
        </w:tc>
        <w:tc>
          <w:tcPr>
            <w:tcW w:w="20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466,601</w:t>
            </w:r>
          </w:p>
        </w:tc>
        <w:tc>
          <w:tcPr>
            <w:tcW w:w="18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(153,440)(g)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546,532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1440"/>
          </w:cols>
          <w:pgMar w:left="240" w:top="473" w:right="219" w:bottom="1440" w:gutter="0" w:footer="0" w:header="0"/>
        </w:sectPr>
      </w:pPr>
    </w:p>
    <w:bookmarkStart w:id="34" w:name="page35"/>
    <w:bookmarkEnd w:id="34"/>
    <w:p>
      <w:pPr>
        <w:ind w:left="2340"/>
        <w:spacing w:after="0"/>
        <w:rPr>
          <w:sz w:val="20"/>
          <w:szCs w:val="20"/>
          <w:color w:val="auto"/>
        </w:rPr>
      </w:pPr>
      <w:r>
        <w:rPr>
          <w:rFonts w:ascii="Courier New" w:cs="Courier New" w:eastAsia="Courier New" w:hAnsi="Courier New"/>
          <w:sz w:val="16"/>
          <w:szCs w:val="16"/>
          <w:color w:val="auto"/>
        </w:rPr>
        <w:t>USA WASTE AND WASTE MANAGEMENT</w:t>
      </w: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line="237" w:lineRule="auto"/>
        <w:rPr>
          <w:sz w:val="20"/>
          <w:szCs w:val="20"/>
          <w:color w:val="auto"/>
        </w:rPr>
      </w:pPr>
      <w:r>
        <w:rPr>
          <w:rFonts w:ascii="Courier New" w:cs="Courier New" w:eastAsia="Courier New" w:hAnsi="Courier New"/>
          <w:sz w:val="16"/>
          <w:szCs w:val="16"/>
          <w:color w:val="auto"/>
        </w:rPr>
        <w:t>STATEMENT OF OPERATIONS</w:t>
      </w:r>
    </w:p>
    <w:p>
      <w:pPr>
        <w:spacing w:after="0" w:line="185"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1996</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40" w:type="dxa"/>
            <w:vAlign w:val="bottom"/>
          </w:tcPr>
          <w:p>
            <w:pPr>
              <w:spacing w:after="0"/>
              <w:rPr>
                <w:sz w:val="24"/>
                <w:szCs w:val="24"/>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24"/>
                <w:szCs w:val="24"/>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1,649,131</w:t>
            </w: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$ 9,225,636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$10,874,767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881,401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6,660,766</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21,135(b)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6,498,708</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(1,064,594)(f)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200,101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1,095,459</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(1,089)(f)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1,294,471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191,044</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1,065,683(f)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1,256,727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126,626</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126,626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435,464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499,264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held for sale, net of</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1,462,972</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8,191,374</w:t>
            </w:r>
          </w:p>
        </w:tc>
        <w:tc>
          <w:tcPr>
            <w:tcW w:w="24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9,675,481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186,159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1,034,262</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1,199,286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(60,497)</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(462,424)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6,699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27,904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34,603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(41,289)</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6,376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102,014</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108,390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(47,422)</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(373,795)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 before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138,737</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660,467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(21,135)</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778,069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70,398</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436,473</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(20,255)(b)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486,616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68,339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223,994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(880)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291,453</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0.37</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0.54</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173,993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489,171</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(134,522)(g)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528,642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182,680</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490,029</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(134,758)(g)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537,951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1440"/>
          </w:cols>
          <w:pgMar w:left="240" w:top="473" w:right="219" w:bottom="1440" w:gutter="0" w:footer="0" w:header="0"/>
        </w:sectPr>
      </w:pPr>
    </w:p>
    <w:bookmarkStart w:id="35" w:name="page36"/>
    <w:bookmarkEnd w:id="35"/>
    <w:p>
      <w:pPr>
        <w:jc w:val="center"/>
        <w:ind w:right="3940"/>
        <w:spacing w:after="0"/>
        <w:rPr>
          <w:sz w:val="20"/>
          <w:szCs w:val="20"/>
          <w:color w:val="auto"/>
        </w:rPr>
      </w:pPr>
      <w:r>
        <w:rPr>
          <w:rFonts w:ascii="Courier New" w:cs="Courier New" w:eastAsia="Courier New" w:hAnsi="Courier New"/>
          <w:sz w:val="16"/>
          <w:szCs w:val="16"/>
          <w:color w:val="auto"/>
        </w:rPr>
        <w:t>USA WASTE AND WASTE MANAGEMENT</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COMBINED UNAUDITED PRO FORMA CONDENSED</w:t>
      </w:r>
    </w:p>
    <w:p>
      <w:pPr>
        <w:ind w:left="2620"/>
        <w:spacing w:after="0"/>
        <w:rPr>
          <w:sz w:val="20"/>
          <w:szCs w:val="20"/>
          <w:color w:val="auto"/>
        </w:rPr>
      </w:pPr>
      <w:r>
        <w:rPr>
          <w:rFonts w:ascii="Courier New" w:cs="Courier New" w:eastAsia="Courier New" w:hAnsi="Courier New"/>
          <w:sz w:val="16"/>
          <w:szCs w:val="16"/>
          <w:color w:val="auto"/>
        </w:rPr>
        <w:t>STATEMENT OF OPERATIONS</w:t>
      </w:r>
    </w:p>
    <w:p>
      <w:pPr>
        <w:spacing w:after="0" w:line="184" w:lineRule="exact"/>
        <w:rPr>
          <w:sz w:val="20"/>
          <w:szCs w:val="20"/>
          <w:color w:val="auto"/>
        </w:rPr>
      </w:pPr>
    </w:p>
    <w:p>
      <w:pPr>
        <w:ind w:right="3940" w:firstLine="375"/>
        <w:spacing w:after="0" w:line="237" w:lineRule="auto"/>
        <w:rPr>
          <w:sz w:val="20"/>
          <w:szCs w:val="20"/>
          <w:color w:val="auto"/>
        </w:rPr>
      </w:pPr>
      <w:r>
        <w:rPr>
          <w:rFonts w:ascii="Courier New" w:cs="Courier New" w:eastAsia="Courier New" w:hAnsi="Courier New"/>
          <w:sz w:val="16"/>
          <w:szCs w:val="16"/>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YEAR ENDED DECEMBER 31, 1995</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5720" w:type="dxa"/>
            <w:vAlign w:val="bottom"/>
            <w:gridSpan w:val="8"/>
          </w:tcPr>
          <w:p>
            <w:pPr>
              <w:jc w:val="right"/>
              <w:ind w:right="2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WASTE</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9"/>
              </w:rPr>
              <w:t>PRO FORMA</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USA WASTE</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MANAGEMENT</w:t>
            </w:r>
          </w:p>
        </w:tc>
        <w:tc>
          <w:tcPr>
            <w:tcW w:w="2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6"/>
              </w:rPr>
              <w:t>ADJUSTMENTS</w:t>
            </w:r>
          </w:p>
        </w:tc>
        <w:tc>
          <w:tcPr>
            <w:tcW w:w="2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40" w:type="dxa"/>
            <w:vAlign w:val="bottom"/>
          </w:tcPr>
          <w:p>
            <w:pPr>
              <w:spacing w:after="0"/>
              <w:rPr>
                <w:sz w:val="15"/>
                <w:szCs w:val="15"/>
                <w:color w:val="auto"/>
              </w:rPr>
            </w:pPr>
          </w:p>
        </w:tc>
      </w:tr>
      <w:tr>
        <w:trPr>
          <w:trHeight w:val="54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1,216,082</w:t>
            </w: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$ 9,100,225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$10,316,307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Operating (exclusive of depreciation and amortization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shown below)............................................</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672,117</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6,514,932</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22,924(b)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6,176,196</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(1,033,777)(f)</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169,686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1,091,747</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(1,241)(f)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1,260,192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143,878</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1,035,018(f)</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1,178,896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26,539</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26,539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4,733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389,359</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394,092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held for sale, net of</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(25,110)</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1,016,953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7,970,928</w:t>
            </w:r>
          </w:p>
        </w:tc>
        <w:tc>
          <w:tcPr>
            <w:tcW w:w="240" w:type="dxa"/>
            <w:vAlign w:val="bottom"/>
          </w:tcPr>
          <w:p>
            <w:pPr>
              <w:spacing w:after="0"/>
              <w:rPr>
                <w:sz w:val="15"/>
                <w:szCs w:val="15"/>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9,010,805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operations......................................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199,129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1,129,297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1,305,502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Nonrecurring............................................</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(10,994)</w:t>
            </w:r>
          </w:p>
        </w:tc>
        <w:tc>
          <w:tcPr>
            <w:tcW w:w="2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(10,994)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(58,619)</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(463,861)</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(522,480)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6,682</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34,883</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41,565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(81,367)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4,891</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252,695</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257,586</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(58,040)</w:t>
            </w:r>
          </w:p>
        </w:tc>
        <w:tc>
          <w:tcPr>
            <w:tcW w:w="2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(257,650)</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 before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141,089</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871,647</w:t>
            </w:r>
          </w:p>
        </w:tc>
        <w:tc>
          <w:tcPr>
            <w:tcW w:w="24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(22,924)</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989,812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60,313</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451,741</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(19,169)(b)</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492,885</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80,776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419,906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(3,755)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496,927</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 from continuing</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0.86</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0.99</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143,346</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485,346</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(133,470)(g)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495,222</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dilutive potential</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common shares outstanding.................................</w:t>
            </w:r>
          </w:p>
        </w:tc>
        <w:tc>
          <w:tcPr>
            <w:tcW w:w="18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150,575</w:t>
            </w:r>
          </w:p>
        </w:tc>
        <w:tc>
          <w:tcPr>
            <w:tcW w:w="20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500,312</w:t>
            </w:r>
          </w:p>
        </w:tc>
        <w:tc>
          <w:tcPr>
            <w:tcW w:w="240" w:type="dxa"/>
            <w:vAlign w:val="bottom"/>
          </w:tcPr>
          <w:p>
            <w:pPr>
              <w:spacing w:after="0"/>
              <w:rPr>
                <w:sz w:val="15"/>
                <w:szCs w:val="15"/>
                <w:color w:val="auto"/>
              </w:rPr>
            </w:pP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(137,586)(g)</w:t>
            </w:r>
          </w:p>
        </w:tc>
        <w:tc>
          <w:tcPr>
            <w:tcW w:w="2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513,301</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See notes to combined unaudited pro forma condensed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1440"/>
          </w:cols>
          <w:pgMar w:left="240" w:top="473" w:right="219" w:bottom="1440" w:gutter="0" w:footer="0" w:header="0"/>
        </w:sectPr>
      </w:pPr>
    </w:p>
    <w:bookmarkStart w:id="36" w:name="page37"/>
    <w:bookmarkEnd w:id="36"/>
    <w:p>
      <w:pPr>
        <w:ind w:left="2344"/>
        <w:spacing w:after="0"/>
        <w:rPr>
          <w:sz w:val="20"/>
          <w:szCs w:val="20"/>
          <w:color w:val="auto"/>
        </w:rPr>
      </w:pPr>
      <w:r>
        <w:rPr>
          <w:rFonts w:ascii="Courier New" w:cs="Courier New" w:eastAsia="Courier New" w:hAnsi="Courier New"/>
          <w:sz w:val="16"/>
          <w:szCs w:val="16"/>
          <w:color w:val="auto"/>
        </w:rPr>
        <w:t>USA WASTE AND WASTE MANAGEMENT</w:t>
      </w:r>
    </w:p>
    <w:p>
      <w:pPr>
        <w:ind w:left="1504"/>
        <w:spacing w:after="0"/>
        <w:rPr>
          <w:sz w:val="20"/>
          <w:szCs w:val="20"/>
          <w:color w:val="auto"/>
        </w:rPr>
      </w:pPr>
      <w:r>
        <w:rPr>
          <w:rFonts w:ascii="Courier New" w:cs="Courier New" w:eastAsia="Courier New" w:hAnsi="Courier New"/>
          <w:sz w:val="16"/>
          <w:szCs w:val="16"/>
          <w:color w:val="auto"/>
        </w:rPr>
        <w:t>NOTES TO COMBINED UNAUDITED PRO FORMA CONDENSED</w:t>
      </w:r>
    </w:p>
    <w:p>
      <w:pPr>
        <w:ind w:left="2824"/>
        <w:spacing w:after="0" w:line="237" w:lineRule="auto"/>
        <w:rPr>
          <w:sz w:val="20"/>
          <w:szCs w:val="20"/>
          <w:color w:val="auto"/>
        </w:rPr>
      </w:pPr>
      <w:r>
        <w:rPr>
          <w:rFonts w:ascii="Courier New" w:cs="Courier New" w:eastAsia="Courier New" w:hAnsi="Courier New"/>
          <w:sz w:val="16"/>
          <w:szCs w:val="16"/>
          <w:color w:val="auto"/>
        </w:rPr>
        <w:t>FINANCIAL STATEMENTS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 BASIS OF PRESENTATION</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86"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7"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81" w:lineRule="exact"/>
        <w:rPr>
          <w:sz w:val="20"/>
          <w:szCs w:val="20"/>
          <w:color w:val="auto"/>
        </w:rPr>
      </w:pPr>
    </w:p>
    <w:p>
      <w:pPr>
        <w:ind w:left="284" w:hanging="284"/>
        <w:spacing w:after="0"/>
        <w:tabs>
          <w:tab w:leader="none" w:pos="2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ADJUSTMENTS</w:t>
      </w:r>
    </w:p>
    <w:p>
      <w:pPr>
        <w:spacing w:after="0" w:line="184"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9"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84"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1997, USA Waste purchased a 49% limited partner interest in a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23"/>
          </w:cols>
          <w:pgMar w:left="236" w:top="473" w:right="1440" w:bottom="1440" w:gutter="0" w:footer="0" w:header="0"/>
        </w:sectPr>
      </w:pPr>
    </w:p>
    <w:bookmarkStart w:id="37" w:name="page38"/>
    <w:bookmarkEnd w:id="37"/>
    <w:p>
      <w:pPr>
        <w:ind w:left="4"/>
        <w:spacing w:after="0"/>
        <w:rPr>
          <w:sz w:val="20"/>
          <w:szCs w:val="20"/>
          <w:color w:val="auto"/>
        </w:rPr>
      </w:pPr>
      <w:r>
        <w:rPr>
          <w:rFonts w:ascii="Courier New" w:cs="Courier New" w:eastAsia="Courier New" w:hAnsi="Courier New"/>
          <w:sz w:val="16"/>
          <w:szCs w:val="16"/>
          <w:color w:val="auto"/>
        </w:rPr>
        <w:t>2. PRO FORMA ADJUSTMENTS (CONTINUED)</w:t>
      </w:r>
    </w:p>
    <w:p>
      <w:pPr>
        <w:spacing w:after="0" w:line="4"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partnership. An adjustment has been made to reverse USA Waste's equity in the earnings of the limited partnership to account for the transaction as if the companies had been combined since their inception.</w:t>
      </w:r>
    </w:p>
    <w:p>
      <w:pPr>
        <w:spacing w:after="0" w:line="185" w:lineRule="exact"/>
        <w:rPr>
          <w:sz w:val="20"/>
          <w:szCs w:val="20"/>
          <w:color w:val="auto"/>
        </w:rPr>
      </w:pPr>
    </w:p>
    <w:p>
      <w:pPr>
        <w:ind w:left="4" w:right="2719" w:firstLine="371"/>
        <w:spacing w:after="0" w:line="255" w:lineRule="auto"/>
        <w:tabs>
          <w:tab w:leader="none" w:pos="75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that were issued to reverse certain share repurchases effected by Waste Management. The 20 million shares of Waste Management Common Stock were assumed to be issued through a public sale at an offering price of $32 per share and net issuance costs of 4% with net proceeds of $614,400,000 used to reduce the obligation to former WTI stockholders. The actual proceeds from the Waste Management Common Stock offering did not differ materially from the amounts assumed.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77" w:lineRule="exact"/>
        <w:rPr>
          <w:rFonts w:ascii="Courier New" w:cs="Courier New" w:eastAsia="Courier New" w:hAnsi="Courier New"/>
          <w:sz w:val="15"/>
          <w:szCs w:val="15"/>
          <w:color w:val="auto"/>
        </w:rPr>
      </w:pPr>
    </w:p>
    <w:p>
      <w:pPr>
        <w:ind w:left="4" w:right="2719" w:firstLine="371"/>
        <w:spacing w:after="0" w:line="237" w:lineRule="auto"/>
        <w:tabs>
          <w:tab w:leader="none" w:pos="75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85" w:lineRule="exact"/>
        <w:rPr>
          <w:rFonts w:ascii="Courier New" w:cs="Courier New" w:eastAsia="Courier New" w:hAnsi="Courier New"/>
          <w:sz w:val="16"/>
          <w:szCs w:val="16"/>
          <w:color w:val="auto"/>
        </w:rPr>
      </w:pPr>
    </w:p>
    <w:p>
      <w:pPr>
        <w:jc w:val="both"/>
        <w:ind w:left="4" w:right="2719" w:firstLine="371"/>
        <w:spacing w:after="0" w:line="237" w:lineRule="auto"/>
        <w:tabs>
          <w:tab w:leader="none" w:pos="75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85" w:lineRule="exact"/>
        <w:rPr>
          <w:rFonts w:ascii="Courier New" w:cs="Courier New" w:eastAsia="Courier New" w:hAnsi="Courier New"/>
          <w:sz w:val="16"/>
          <w:szCs w:val="16"/>
          <w:color w:val="auto"/>
        </w:rPr>
      </w:pPr>
    </w:p>
    <w:p>
      <w:pPr>
        <w:ind w:left="4" w:right="2719" w:firstLine="371"/>
        <w:spacing w:after="0" w:line="255" w:lineRule="auto"/>
        <w:tabs>
          <w:tab w:leader="none" w:pos="75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357" w:lineRule="exact"/>
        <w:rPr>
          <w:rFonts w:ascii="Courier New" w:cs="Courier New" w:eastAsia="Courier New" w:hAnsi="Courier New"/>
          <w:sz w:val="15"/>
          <w:szCs w:val="15"/>
          <w:color w:val="auto"/>
        </w:rPr>
      </w:pPr>
    </w:p>
    <w:p>
      <w:pPr>
        <w:ind w:left="284" w:hanging="284"/>
        <w:spacing w:after="0"/>
        <w:tabs>
          <w:tab w:leader="none" w:pos="2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91"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As previously discussed, in order for the Merger to qualify as a pooling of</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interests, approximately 20 million shares of Waste Management Common Stock were</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issued to reverse certain share repurchases effected by Waste Management. The 20</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million shares were assumed to be issued at an offering price of $32 per share,</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with net issuance costs of 4% and net proceeds to Waste Management of</w:t>
      </w:r>
    </w:p>
    <w:p>
      <w:pPr>
        <w:ind w:left="4"/>
        <w:spacing w:after="0"/>
        <w:rPr>
          <w:sz w:val="20"/>
          <w:szCs w:val="20"/>
          <w:color w:val="auto"/>
        </w:rPr>
      </w:pPr>
      <w:r>
        <w:rPr>
          <w:rFonts w:ascii="Courier New" w:cs="Courier New" w:eastAsia="Courier New" w:hAnsi="Courier New"/>
          <w:sz w:val="16"/>
          <w:szCs w:val="16"/>
          <w:color w:val="auto"/>
        </w:rPr>
        <w:t>$614,400,000. The actual proceeds from the Waste Management Common Stock</w:t>
      </w:r>
    </w:p>
    <w:p>
      <w:pPr>
        <w:ind w:left="4"/>
        <w:spacing w:after="0" w:line="237" w:lineRule="auto"/>
        <w:rPr>
          <w:sz w:val="20"/>
          <w:szCs w:val="20"/>
          <w:color w:val="auto"/>
        </w:rPr>
      </w:pPr>
      <w:r>
        <w:rPr>
          <w:rFonts w:ascii="Courier New" w:cs="Courier New" w:eastAsia="Courier New" w:hAnsi="Courier New"/>
          <w:sz w:val="16"/>
          <w:szCs w:val="16"/>
          <w:color w:val="auto"/>
        </w:rPr>
        <w:t>offering did not differ materially from the</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23"/>
          </w:cols>
          <w:pgMar w:left="236" w:top="473" w:right="1440" w:bottom="1440" w:gutter="0" w:footer="0" w:header="0"/>
        </w:sectPr>
      </w:pPr>
    </w:p>
    <w:bookmarkStart w:id="38" w:name="page39"/>
    <w:bookmarkEnd w:id="38"/>
    <w:p>
      <w:pPr>
        <w:ind w:left="4" w:right="3100" w:hanging="4"/>
        <w:spacing w:after="0" w:line="236" w:lineRule="auto"/>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EFFECT OF WASTE MANAGEMENT EQUITY OFFERING ON RESULTS OF OPERATIONS (CONTINUED)</w:t>
      </w:r>
    </w:p>
    <w:p>
      <w:pPr>
        <w:spacing w:after="0" w:line="4" w:lineRule="exact"/>
        <w:rPr>
          <w:rFonts w:ascii="Courier New" w:cs="Courier New" w:eastAsia="Courier New" w:hAnsi="Courier New"/>
          <w:sz w:val="16"/>
          <w:szCs w:val="16"/>
          <w:color w:val="auto"/>
        </w:rPr>
      </w:pPr>
    </w:p>
    <w:p>
      <w:pPr>
        <w:ind w:left="4" w:right="3100"/>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assumed. The assumed proceeds from the sale of stock of $614,400,000, after payment of dividends on such stock based on the historical dividend rate, were used to reduce outstanding indebtedness at an average borrowing rate of 6%. The 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6"/>
                <w:szCs w:val="16"/>
                <w:color w:val="auto"/>
              </w:rPr>
              <w:t>YEAR</w:t>
            </w:r>
          </w:p>
        </w:tc>
        <w:tc>
          <w:tcPr>
            <w:tcW w:w="25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ENDED DECEMBER 31,</w:t>
            </w:r>
          </w:p>
        </w:tc>
        <w:tc>
          <w:tcPr>
            <w:tcW w:w="15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ENDED MARCH 31,</w:t>
            </w:r>
          </w:p>
        </w:tc>
      </w:tr>
      <w:tr>
        <w:trPr>
          <w:trHeight w:val="180"/>
        </w:trPr>
        <w:tc>
          <w:tcPr>
            <w:tcW w:w="534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9"/>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1995</w:t>
            </w:r>
          </w:p>
        </w:tc>
        <w:tc>
          <w:tcPr>
            <w:tcW w:w="220" w:type="dxa"/>
            <w:vAlign w:val="bottom"/>
          </w:tcPr>
          <w:p>
            <w:pPr>
              <w:spacing w:after="0"/>
              <w:rPr>
                <w:sz w:val="15"/>
                <w:szCs w:val="15"/>
                <w:color w:val="auto"/>
              </w:rPr>
            </w:pP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spacing w:after="0"/>
              <w:rPr>
                <w:sz w:val="15"/>
                <w:szCs w:val="15"/>
                <w:color w:val="auto"/>
              </w:rPr>
            </w:pPr>
          </w:p>
        </w:tc>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gridSpan w:val="7"/>
          </w:tcPr>
          <w:p>
            <w:pPr>
              <w:ind w:left="38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Pro forma income (loss) from continuing operations......</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496,927</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291,453</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(1,029,977)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179,272</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Decrease in interest expense as a result of equity</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offering, net of tax benefit..........................</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20,964</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20,943</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20,915</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5,316</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 forma income (loss) from continuing operations after</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517,891</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312,396</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(1,009,062)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184,588</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 forma basic earnings per common share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 after 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0.58</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0.33</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 forma diluted earnings per common share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continuing operations after equity offering...........</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0.57</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after equity offering.................................</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509,722</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543,142</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561,032</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563,646</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Weighted average number of common and potential dilutive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 outstanding after equity offering..............</w:t>
            </w:r>
          </w:p>
        </w:tc>
        <w:tc>
          <w:tcPr>
            <w:tcW w:w="3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527,801</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552,451</w:t>
            </w:r>
          </w:p>
        </w:tc>
        <w:tc>
          <w:tcPr>
            <w:tcW w:w="2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561,032</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588,840</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541"/>
        </w:trPr>
        <w:tc>
          <w:tcPr>
            <w:tcW w:w="53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F-11</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604"/>
          </w:cols>
          <w:pgMar w:left="236" w:top="478" w:right="105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USA WASTE SERVICES, INC.</w:t>
      </w:r>
    </w:p>
    <w:p>
      <w:pPr>
        <w:ind w:left="3000"/>
        <w:spacing w:after="0"/>
        <w:rPr>
          <w:sz w:val="20"/>
          <w:szCs w:val="20"/>
          <w:color w:val="auto"/>
        </w:rPr>
      </w:pPr>
      <w:r>
        <w:rPr>
          <w:rFonts w:ascii="Courier New" w:cs="Courier New" w:eastAsia="Courier New" w:hAnsi="Courier New"/>
          <w:sz w:val="16"/>
          <w:szCs w:val="16"/>
          <w:color w:val="auto"/>
        </w:rPr>
        <w:t>DEBT SECURITIES</w:t>
      </w:r>
    </w:p>
    <w:p>
      <w:pPr>
        <w:ind w:left="3180"/>
        <w:spacing w:after="0" w:line="237" w:lineRule="auto"/>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99" w:firstLine="375"/>
        <w:spacing w:after="0" w:line="238" w:lineRule="auto"/>
        <w:rPr>
          <w:sz w:val="20"/>
          <w:szCs w:val="20"/>
          <w:color w:val="auto"/>
        </w:rPr>
      </w:pPr>
      <w:r>
        <w:rPr>
          <w:rFonts w:ascii="Courier New" w:cs="Courier New" w:eastAsia="Courier New" w:hAnsi="Courier New"/>
          <w:sz w:val="16"/>
          <w:szCs w:val="16"/>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$2,000,000,000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91"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5" w:lineRule="exact"/>
        <w:rPr>
          <w:sz w:val="20"/>
          <w:szCs w:val="20"/>
          <w:color w:val="auto"/>
        </w:rPr>
      </w:pPr>
    </w:p>
    <w:p>
      <w:pPr>
        <w:jc w:val="both"/>
        <w:ind w:right="2899" w:firstLine="375"/>
        <w:spacing w:after="0" w:line="237" w:lineRule="auto"/>
        <w:rPr>
          <w:sz w:val="20"/>
          <w:szCs w:val="20"/>
          <w:color w:val="auto"/>
        </w:rPr>
      </w:pPr>
      <w:r>
        <w:rPr>
          <w:rFonts w:ascii="Courier New" w:cs="Courier New" w:eastAsia="Courier New" w:hAnsi="Courier New"/>
          <w:sz w:val="16"/>
          <w:szCs w:val="16"/>
          <w:color w:val="auto"/>
        </w:rPr>
        <w:t>The Common Stock is traded on the New York Stock Exchange under the symbol "UW." Any Common Stock sold pursuant to a Prospectus Supplement will be listed on such exchange, subject to official notice of issuance.</w:t>
      </w:r>
    </w:p>
    <w:p>
      <w:pPr>
        <w:spacing w:after="0" w:line="18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0" w:lineRule="exact"/>
        <w:rPr>
          <w:sz w:val="20"/>
          <w:szCs w:val="20"/>
          <w:color w:val="auto"/>
        </w:rPr>
      </w:pPr>
    </w:p>
    <w:p>
      <w:pPr>
        <w:ind w:left="740" w:right="3559" w:hanging="280"/>
        <w:spacing w:after="0" w:line="254" w:lineRule="auto"/>
        <w:rPr>
          <w:sz w:val="20"/>
          <w:szCs w:val="20"/>
          <w:color w:val="auto"/>
        </w:rPr>
      </w:pPr>
      <w:r>
        <w:rPr>
          <w:rFonts w:ascii="Courier New" w:cs="Courier New" w:eastAsia="Courier New" w:hAnsi="Courier New"/>
          <w:sz w:val="15"/>
          <w:szCs w:val="15"/>
          <w:color w:val="auto"/>
        </w:rPr>
        <w:t>EXCHANGE COMMISSION OR ANY STATE SECURITIES COMMISSION NOR HAS THE SECURITIES AND EXCHANGE COMMISSION OR ANY STATE SECURITIES</w:t>
      </w:r>
    </w:p>
    <w:p>
      <w:pPr>
        <w:ind w:left="1220"/>
        <w:spacing w:after="0" w:line="234" w:lineRule="auto"/>
        <w:rPr>
          <w:sz w:val="20"/>
          <w:szCs w:val="20"/>
          <w:color w:val="auto"/>
        </w:rPr>
      </w:pPr>
      <w:r>
        <w:rPr>
          <w:rFonts w:ascii="Courier New" w:cs="Courier New" w:eastAsia="Courier New" w:hAnsi="Courier New"/>
          <w:sz w:val="16"/>
          <w:szCs w:val="16"/>
          <w:color w:val="auto"/>
        </w:rPr>
        <w:t>COMMISSION PASSED UPON THE ACCURACY OR ADEQUACY OF</w:t>
      </w:r>
    </w:p>
    <w:p>
      <w:pPr>
        <w:ind w:left="1500"/>
        <w:spacing w:after="0"/>
        <w:rPr>
          <w:sz w:val="20"/>
          <w:szCs w:val="20"/>
          <w:color w:val="auto"/>
        </w:rPr>
      </w:pPr>
      <w:r>
        <w:rPr>
          <w:rFonts w:ascii="Courier New" w:cs="Courier New" w:eastAsia="Courier New" w:hAnsi="Courier New"/>
          <w:sz w:val="16"/>
          <w:szCs w:val="16"/>
          <w:color w:val="auto"/>
        </w:rPr>
        <w:t>THIS PROSPECTUS. ANY REPRESENTATION TO THE</w:t>
      </w:r>
    </w:p>
    <w:p>
      <w:pPr>
        <w:ind w:left="2060"/>
        <w:spacing w:after="0" w:line="238" w:lineRule="auto"/>
        <w:rPr>
          <w:sz w:val="20"/>
          <w:szCs w:val="20"/>
          <w:color w:val="auto"/>
        </w:rPr>
      </w:pPr>
      <w:r>
        <w:rPr>
          <w:rFonts w:ascii="Courier New" w:cs="Courier New" w:eastAsia="Courier New" w:hAnsi="Courier New"/>
          <w:sz w:val="16"/>
          <w:szCs w:val="16"/>
          <w:color w:val="auto"/>
        </w:rPr>
        <w:t>CONTRARY IS A CRIMINAL OFFENSE.</w:t>
      </w:r>
    </w:p>
    <w:p>
      <w:pPr>
        <w:spacing w:after="0" w:line="185"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This Prospectus may not be used to consummate sales of the Securities unless accompanied by a Prospectus Supplement.</w:t>
      </w:r>
    </w:p>
    <w:p>
      <w:pPr>
        <w:spacing w:after="0" w:line="18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THE DATE OF THIS PROSPECTUS IS JUNE 17, 1998.</w:t>
      </w:r>
    </w:p>
    <w:p>
      <w:pPr>
        <w:sectPr>
          <w:pgSz w:w="11900" w:h="16838" w:orient="portrait"/>
          <w:cols w:equalWidth="0" w:num="1">
            <w:col w:w="10219"/>
          </w:cols>
          <w:pgMar w:left="240" w:top="473" w:right="1440" w:bottom="1440" w:gutter="0" w:footer="0" w:header="0"/>
        </w:sectPr>
      </w:pPr>
    </w:p>
    <w:bookmarkStart w:id="40" w:name="page41"/>
    <w:bookmarkEnd w:id="40"/>
    <w:p>
      <w:pPr>
        <w:jc w:val="center"/>
        <w:ind w:right="2819"/>
        <w:spacing w:after="0"/>
        <w:rPr>
          <w:sz w:val="20"/>
          <w:szCs w:val="20"/>
          <w:color w:val="auto"/>
        </w:rPr>
      </w:pPr>
      <w:r>
        <w:rPr>
          <w:rFonts w:ascii="Courier New" w:cs="Courier New" w:eastAsia="Courier New" w:hAnsi="Courier New"/>
          <w:sz w:val="16"/>
          <w:szCs w:val="16"/>
          <w:color w:val="auto"/>
        </w:rPr>
        <w:t>AVAILABLE INFORMATION</w:t>
      </w:r>
    </w:p>
    <w:p>
      <w:pPr>
        <w:spacing w:after="0" w:line="185"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35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3" w:right="1440" w:bottom="1440" w:gutter="0" w:footer="0" w:header="0"/>
        </w:sectPr>
      </w:pPr>
    </w:p>
    <w:bookmarkStart w:id="41" w:name="page42"/>
    <w:bookmarkEnd w:id="41"/>
    <w:p>
      <w:pPr>
        <w:ind w:left="150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5"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incorporated by reference in this Prospectus:</w:t>
      </w:r>
    </w:p>
    <w:p>
      <w:pPr>
        <w:spacing w:after="0" w:line="185" w:lineRule="exact"/>
        <w:rPr>
          <w:sz w:val="20"/>
          <w:szCs w:val="20"/>
          <w:color w:val="auto"/>
        </w:rPr>
      </w:pPr>
    </w:p>
    <w:p>
      <w:pPr>
        <w:ind w:left="660" w:right="2719" w:hanging="289"/>
        <w:spacing w:after="0" w:line="236" w:lineRule="auto"/>
        <w:tabs>
          <w:tab w:leader="none" w:pos="75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1997;</w:t>
      </w:r>
    </w:p>
    <w:p>
      <w:pPr>
        <w:spacing w:after="0" w:line="179" w:lineRule="exact"/>
        <w:rPr>
          <w:rFonts w:ascii="Courier New" w:cs="Courier New" w:eastAsia="Courier New" w:hAnsi="Courier New"/>
          <w:sz w:val="16"/>
          <w:szCs w:val="16"/>
          <w:color w:val="auto"/>
        </w:rPr>
      </w:pPr>
    </w:p>
    <w:p>
      <w:pPr>
        <w:ind w:left="740" w:hanging="369"/>
        <w:spacing w:after="0"/>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 on Form 8-K dated March 10, 1998;</w:t>
      </w:r>
    </w:p>
    <w:p>
      <w:pPr>
        <w:spacing w:after="0" w:line="184" w:lineRule="exact"/>
        <w:rPr>
          <w:rFonts w:ascii="Courier New" w:cs="Courier New" w:eastAsia="Courier New" w:hAnsi="Courier New"/>
          <w:sz w:val="16"/>
          <w:szCs w:val="16"/>
          <w:color w:val="auto"/>
        </w:rPr>
      </w:pPr>
    </w:p>
    <w:p>
      <w:pPr>
        <w:ind w:left="660" w:right="2819" w:hanging="289"/>
        <w:spacing w:after="0" w:line="236" w:lineRule="auto"/>
        <w:tabs>
          <w:tab w:leader="none" w:pos="75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1998;</w:t>
      </w:r>
    </w:p>
    <w:p>
      <w:pPr>
        <w:spacing w:after="0" w:line="184" w:lineRule="exact"/>
        <w:rPr>
          <w:rFonts w:ascii="Courier New" w:cs="Courier New" w:eastAsia="Courier New" w:hAnsi="Courier New"/>
          <w:sz w:val="16"/>
          <w:szCs w:val="16"/>
          <w:color w:val="auto"/>
        </w:rPr>
      </w:pPr>
    </w:p>
    <w:p>
      <w:pPr>
        <w:jc w:val="both"/>
        <w:ind w:left="660" w:right="2719" w:hanging="289"/>
        <w:spacing w:after="0" w:line="237" w:lineRule="auto"/>
        <w:tabs>
          <w:tab w:leader="none" w:pos="75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Joint Proxy Statement and Prospectus, which is part of the Company's Registration Statement on Form S-4 (Registration No. 333-56113) filed on June 5, 1998; and</w:t>
      </w:r>
    </w:p>
    <w:p>
      <w:pPr>
        <w:spacing w:after="0" w:line="184" w:lineRule="exact"/>
        <w:rPr>
          <w:rFonts w:ascii="Courier New" w:cs="Courier New" w:eastAsia="Courier New" w:hAnsi="Courier New"/>
          <w:sz w:val="16"/>
          <w:szCs w:val="16"/>
          <w:color w:val="auto"/>
        </w:rPr>
      </w:pPr>
    </w:p>
    <w:p>
      <w:pPr>
        <w:ind w:left="660" w:right="2999" w:hanging="289"/>
        <w:spacing w:after="0" w:line="237" w:lineRule="auto"/>
        <w:tabs>
          <w:tab w:leader="none" w:pos="75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Registration Statement on Form 8-A dated July 1, 1993, as amended by Form 8-B dated July 13, 1995.</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All documents filed by the Company pursuant to Section 13 (a),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8"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238" w:lineRule="auto"/>
        <w:rPr>
          <w:sz w:val="20"/>
          <w:szCs w:val="20"/>
          <w:color w:val="auto"/>
        </w:rPr>
      </w:pPr>
      <w:r>
        <w:rPr>
          <w:rFonts w:ascii="Courier New" w:cs="Courier New" w:eastAsia="Courier New" w:hAnsi="Courier New"/>
          <w:sz w:val="16"/>
          <w:szCs w:val="16"/>
          <w:color w:val="auto"/>
        </w:rPr>
        <w:t>512-6200.</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42" w:name="page43"/>
    <w:bookmarkEnd w:id="42"/>
    <w:p>
      <w:pPr>
        <w:ind w:left="3180"/>
        <w:spacing w:after="0"/>
        <w:rPr>
          <w:sz w:val="20"/>
          <w:szCs w:val="20"/>
          <w:color w:val="auto"/>
        </w:rPr>
      </w:pPr>
      <w:r>
        <w:rPr>
          <w:rFonts w:ascii="Courier New" w:cs="Courier New" w:eastAsia="Courier New" w:hAnsi="Courier New"/>
          <w:sz w:val="16"/>
          <w:szCs w:val="16"/>
          <w:color w:val="auto"/>
        </w:rPr>
        <w:t>THE COMPANY</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8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On March 10, 1998, USA Waste entered into a definitive agreement and plan of merger pursuant to which a subsidiary of USA Waste will be merged with and into Waste Management, Inc. ("Waste Management"), and Waste Management will become a wholly owned subsidiary of USA Waste (the "Merger"). As of the effective time of the Merger, each outstanding share of Waste Management, other than shares held in Waste Management's treasury or owned by Waste Management, USA Waste or any wholly owned subsidiaries of either of them, will be converted into the right to receive 0.725 of a share of USA Waste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up to 380,625,000 shares of its common stock related to this transaction and that the Merger will be accounted for as a pooling of interests.</w:t>
      </w:r>
    </w:p>
    <w:p>
      <w:pPr>
        <w:spacing w:after="0" w:line="17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3" w:right="1440" w:bottom="1440" w:gutter="0" w:footer="0" w:header="0"/>
        </w:sectPr>
      </w:pPr>
    </w:p>
    <w:bookmarkStart w:id="43" w:name="page44"/>
    <w:bookmarkEnd w:id="43"/>
    <w:p>
      <w:pPr>
        <w:ind w:left="206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5" w:lineRule="exact"/>
        <w:rPr>
          <w:sz w:val="20"/>
          <w:szCs w:val="20"/>
          <w:color w:val="auto"/>
        </w:rPr>
      </w:pPr>
    </w:p>
    <w:p>
      <w:pPr>
        <w:ind w:right="3100" w:firstLine="375"/>
        <w:spacing w:after="0" w:line="236"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r>
      <w:tr>
        <w:trPr>
          <w:trHeight w:val="180"/>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8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YEAR ENDED DECEMBER 31,</w:t>
            </w:r>
          </w:p>
        </w:tc>
        <w:tc>
          <w:tcPr>
            <w:tcW w:w="10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318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180" w:type="dxa"/>
            <w:vAlign w:val="bottom"/>
          </w:tcPr>
          <w:p>
            <w:pPr>
              <w:spacing w:after="0"/>
              <w:rPr>
                <w:sz w:val="15"/>
                <w:szCs w:val="15"/>
                <w:color w:val="auto"/>
              </w:rPr>
            </w:pPr>
          </w:p>
        </w:tc>
        <w:tc>
          <w:tcPr>
            <w:tcW w:w="1420" w:type="dxa"/>
            <w:vAlign w:val="bottom"/>
          </w:tcPr>
          <w:p>
            <w:pPr>
              <w:jc w:val="right"/>
              <w:ind w:right="590"/>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3180" w:type="dxa"/>
            <w:vAlign w:val="bottom"/>
          </w:tcPr>
          <w:p>
            <w:pPr>
              <w:spacing w:after="0"/>
              <w:rPr>
                <w:sz w:val="15"/>
                <w:szCs w:val="15"/>
                <w:color w:val="auto"/>
              </w:rPr>
            </w:pPr>
          </w:p>
        </w:tc>
        <w:tc>
          <w:tcPr>
            <w:tcW w:w="1420" w:type="dxa"/>
            <w:vAlign w:val="bottom"/>
          </w:tcPr>
          <w:p>
            <w:pPr>
              <w:jc w:val="right"/>
              <w:ind w:right="59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1"/>
              </w:rPr>
              <w:t>-----</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Actual...........................</w:t>
            </w:r>
          </w:p>
        </w:tc>
        <w:tc>
          <w:tcPr>
            <w:tcW w:w="1420" w:type="dxa"/>
            <w:vAlign w:val="bottom"/>
          </w:tcPr>
          <w:p>
            <w:pPr>
              <w:jc w:val="right"/>
              <w:ind w:right="310"/>
              <w:spacing w:after="0"/>
              <w:rPr>
                <w:sz w:val="20"/>
                <w:szCs w:val="20"/>
                <w:color w:val="auto"/>
              </w:rPr>
            </w:pPr>
            <w:r>
              <w:rPr>
                <w:rFonts w:ascii="Courier New" w:cs="Courier New" w:eastAsia="Courier New" w:hAnsi="Courier New"/>
                <w:sz w:val="16"/>
                <w:szCs w:val="16"/>
                <w:color w:val="auto"/>
              </w:rPr>
              <w:t>1.9x</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1.1x</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2.4x</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2.3x</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4.1x</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The Company's consolidated ratios of earnings to fixed charges were computed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85" w:lineRule="exact"/>
        <w:rPr>
          <w:sz w:val="20"/>
          <w:szCs w:val="20"/>
          <w:color w:val="auto"/>
        </w:rPr>
      </w:pPr>
    </w:p>
    <w:p>
      <w:pPr>
        <w:ind w:right="3100" w:firstLine="375"/>
        <w:spacing w:after="0" w:line="237" w:lineRule="auto"/>
        <w:rPr>
          <w:sz w:val="20"/>
          <w:szCs w:val="20"/>
          <w:color w:val="auto"/>
        </w:rPr>
      </w:pPr>
      <w:r>
        <w:rPr>
          <w:rFonts w:ascii="Courier New" w:cs="Courier New" w:eastAsia="Courier New" w:hAnsi="Courier New"/>
          <w:sz w:val="16"/>
          <w:szCs w:val="16"/>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r>
      <w:tr>
        <w:trPr>
          <w:trHeight w:val="180"/>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8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YEAR ENDED DECEMBER 31,</w:t>
            </w:r>
          </w:p>
        </w:tc>
        <w:tc>
          <w:tcPr>
            <w:tcW w:w="10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318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180" w:type="dxa"/>
            <w:vAlign w:val="bottom"/>
          </w:tcPr>
          <w:p>
            <w:pPr>
              <w:spacing w:after="0"/>
              <w:rPr>
                <w:sz w:val="15"/>
                <w:szCs w:val="15"/>
                <w:color w:val="auto"/>
              </w:rPr>
            </w:pPr>
          </w:p>
        </w:tc>
        <w:tc>
          <w:tcPr>
            <w:tcW w:w="1420" w:type="dxa"/>
            <w:vAlign w:val="bottom"/>
          </w:tcPr>
          <w:p>
            <w:pPr>
              <w:jc w:val="right"/>
              <w:ind w:right="590"/>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3180" w:type="dxa"/>
            <w:vAlign w:val="bottom"/>
          </w:tcPr>
          <w:p>
            <w:pPr>
              <w:spacing w:after="0"/>
              <w:rPr>
                <w:sz w:val="15"/>
                <w:szCs w:val="15"/>
                <w:color w:val="auto"/>
              </w:rPr>
            </w:pPr>
          </w:p>
        </w:tc>
        <w:tc>
          <w:tcPr>
            <w:tcW w:w="1420" w:type="dxa"/>
            <w:vAlign w:val="bottom"/>
          </w:tcPr>
          <w:p>
            <w:pPr>
              <w:jc w:val="right"/>
              <w:ind w:right="59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1"/>
              </w:rPr>
              <w:t>-----</w:t>
            </w: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Supplemental.....................</w:t>
            </w:r>
          </w:p>
        </w:tc>
        <w:tc>
          <w:tcPr>
            <w:tcW w:w="1420" w:type="dxa"/>
            <w:vAlign w:val="bottom"/>
          </w:tcPr>
          <w:p>
            <w:pPr>
              <w:jc w:val="right"/>
              <w:ind w:right="310"/>
              <w:spacing w:after="0"/>
              <w:rPr>
                <w:sz w:val="20"/>
                <w:szCs w:val="20"/>
                <w:color w:val="auto"/>
              </w:rPr>
            </w:pPr>
            <w:r>
              <w:rPr>
                <w:rFonts w:ascii="Courier New" w:cs="Courier New" w:eastAsia="Courier New" w:hAnsi="Courier New"/>
                <w:sz w:val="16"/>
                <w:szCs w:val="16"/>
                <w:color w:val="auto"/>
              </w:rPr>
              <w:t>2.0x</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2.4x</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3.2x</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4.5x</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5.1x</w:t>
            </w:r>
          </w:p>
        </w:tc>
        <w:tc>
          <w:tcPr>
            <w:tcW w:w="1780" w:type="dxa"/>
            <w:vAlign w:val="bottom"/>
          </w:tcPr>
          <w:p>
            <w:pPr>
              <w:ind w:left="1020"/>
              <w:spacing w:after="0"/>
              <w:rPr>
                <w:sz w:val="20"/>
                <w:szCs w:val="20"/>
                <w:color w:val="auto"/>
              </w:rPr>
            </w:pPr>
            <w:r>
              <w:rPr>
                <w:rFonts w:ascii="Courier New" w:cs="Courier New" w:eastAsia="Courier New" w:hAnsi="Courier New"/>
                <w:sz w:val="16"/>
                <w:szCs w:val="16"/>
                <w:color w:val="auto"/>
              </w:rPr>
              <w:t>5.0x</w:t>
            </w:r>
          </w:p>
        </w:tc>
      </w:tr>
    </w:tbl>
    <w:p>
      <w:pPr>
        <w:spacing w:after="0" w:line="365" w:lineRule="exact"/>
        <w:rPr>
          <w:sz w:val="20"/>
          <w:szCs w:val="20"/>
          <w:color w:val="auto"/>
        </w:rPr>
      </w:pPr>
    </w:p>
    <w:p>
      <w:pPr>
        <w:ind w:right="3100" w:firstLine="375"/>
        <w:spacing w:after="0" w:line="255" w:lineRule="auto"/>
        <w:rPr>
          <w:sz w:val="20"/>
          <w:szCs w:val="20"/>
          <w:color w:val="auto"/>
        </w:rPr>
      </w:pPr>
      <w:r>
        <w:rPr>
          <w:rFonts w:ascii="Courier New" w:cs="Courier New" w:eastAsia="Courier New" w:hAnsi="Courier New"/>
          <w:sz w:val="15"/>
          <w:szCs w:val="15"/>
          <w:color w:val="auto"/>
        </w:rPr>
        <w:t>Nonrecurring items in 1997 represent merger costs, primarily related to the Company's merger with United Waste Systems, Inc.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352"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DESCRIPTION OF DEBT SECURITIES</w:t>
      </w:r>
    </w:p>
    <w:p>
      <w:pPr>
        <w:spacing w:after="0" w:line="185" w:lineRule="exact"/>
        <w:rPr>
          <w:sz w:val="20"/>
          <w:szCs w:val="20"/>
          <w:color w:val="auto"/>
        </w:rPr>
      </w:pPr>
    </w:p>
    <w:p>
      <w:pPr>
        <w:ind w:right="3100" w:firstLine="375"/>
        <w:spacing w:after="0" w:line="238" w:lineRule="auto"/>
        <w:rPr>
          <w:sz w:val="20"/>
          <w:szCs w:val="20"/>
          <w:color w:val="auto"/>
        </w:rPr>
      </w:pPr>
      <w:r>
        <w:rPr>
          <w:rFonts w:ascii="Courier New" w:cs="Courier New" w:eastAsia="Courier New" w:hAnsi="Courier New"/>
          <w:sz w:val="16"/>
          <w:szCs w:val="16"/>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now known as Chase Bank of Texas, National Association ("Chase Bank"), and in the form that has been filed as an exhibit to the Registration Statement of which this Prospectus is a part, subject to such amendments or supplements as may be adopted from time to time. The Company has previously entered into a Senior Indenture dated as of September 10, 1997 with Chase Bank in the form filed as an exhibit to the Company's Current Report on Form 8-K (file no. 1-12154) filed with the Commission on September 24, 1997. The Company previously has entered into a Subordinated Indenture dated as of February 1, 1997</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600"/>
          </w:cols>
          <w:pgMar w:left="240" w:top="473" w:right="1059" w:bottom="828" w:gutter="0" w:footer="0" w:header="0"/>
        </w:sectPr>
      </w:pPr>
    </w:p>
    <w:bookmarkStart w:id="44" w:name="page45"/>
    <w:bookmarkEnd w:id="44"/>
    <w:p>
      <w:pPr>
        <w:ind w:left="4" w:right="2719"/>
        <w:spacing w:after="0" w:line="238" w:lineRule="auto"/>
        <w:rPr>
          <w:sz w:val="20"/>
          <w:szCs w:val="20"/>
          <w:color w:val="auto"/>
        </w:rPr>
      </w:pPr>
      <w:r>
        <w:rPr>
          <w:rFonts w:ascii="Courier New" w:cs="Courier New" w:eastAsia="Courier New" w:hAnsi="Courier New"/>
          <w:sz w:val="16"/>
          <w:szCs w:val="16"/>
          <w:color w:val="auto"/>
        </w:rPr>
        <w:t>with Chase Bank in the form filed as an exhibit to the Company's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92"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PROVISIONS APPLICABLE TO BOTH SENIOR AND SUBORDINATED DEBT SECURITIES</w:t>
      </w:r>
    </w:p>
    <w:p>
      <w:pPr>
        <w:spacing w:after="0" w:line="185"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90" w:lineRule="exact"/>
        <w:rPr>
          <w:sz w:val="20"/>
          <w:szCs w:val="20"/>
          <w:color w:val="auto"/>
        </w:rPr>
      </w:pPr>
    </w:p>
    <w:p>
      <w:pPr>
        <w:ind w:left="4" w:right="2719" w:firstLine="375"/>
        <w:spacing w:after="0" w:line="254" w:lineRule="auto"/>
        <w:rPr>
          <w:sz w:val="20"/>
          <w:szCs w:val="20"/>
          <w:color w:val="auto"/>
        </w:rPr>
      </w:pPr>
      <w:r>
        <w:rPr>
          <w:rFonts w:ascii="Courier New" w:cs="Courier New" w:eastAsia="Courier New" w:hAnsi="Courier New"/>
          <w:sz w:val="15"/>
          <w:szCs w:val="15"/>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2" w:lineRule="exact"/>
        <w:rPr>
          <w:sz w:val="20"/>
          <w:szCs w:val="20"/>
          <w:color w:val="auto"/>
        </w:rPr>
      </w:pPr>
    </w:p>
    <w:p>
      <w:pPr>
        <w:ind w:left="4" w:right="2719" w:hanging="4"/>
        <w:spacing w:after="0" w:line="255" w:lineRule="auto"/>
        <w:tabs>
          <w:tab w:leader="none" w:pos="5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w:t>
      </w:r>
    </w:p>
    <w:p>
      <w:pPr>
        <w:spacing w:after="0" w:line="35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478" w:right="1440" w:bottom="1440" w:gutter="0" w:footer="0" w:header="0"/>
        </w:sectPr>
      </w:pPr>
    </w:p>
    <w:bookmarkStart w:id="45" w:name="page46"/>
    <w:bookmarkEnd w:id="45"/>
    <w:p>
      <w:pPr>
        <w:ind w:left="4" w:right="2719"/>
        <w:spacing w:after="0" w:line="254" w:lineRule="auto"/>
        <w:rPr>
          <w:sz w:val="20"/>
          <w:szCs w:val="20"/>
          <w:color w:val="auto"/>
        </w:rPr>
      </w:pPr>
      <w:r>
        <w:rPr>
          <w:rFonts w:ascii="Courier New" w:cs="Courier New" w:eastAsia="Courier New" w:hAnsi="Courier New"/>
          <w:sz w:val="15"/>
          <w:szCs w:val="15"/>
          <w:color w:val="auto"/>
        </w:rPr>
        <w:t>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6" w:lineRule="exact"/>
        <w:rPr>
          <w:sz w:val="20"/>
          <w:szCs w:val="20"/>
          <w:color w:val="auto"/>
        </w:rPr>
      </w:pPr>
    </w:p>
    <w:p>
      <w:pPr>
        <w:ind w:left="4" w:right="2719" w:hanging="4"/>
        <w:spacing w:after="0" w:line="255"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 (xviii) any other terms of the Debt Securities not inconsistent with the provisions of the Indentures. (Section 301) Any such Prospectus Supplement will also describe any special provisions for the payment of additional amounts with respect to the Debt Securities.</w:t>
      </w:r>
    </w:p>
    <w:p>
      <w:pPr>
        <w:spacing w:after="0" w:line="178" w:lineRule="exact"/>
        <w:rPr>
          <w:sz w:val="20"/>
          <w:szCs w:val="20"/>
          <w:color w:val="auto"/>
        </w:rPr>
      </w:pPr>
    </w:p>
    <w:p>
      <w:pPr>
        <w:ind w:left="4" w:right="2819" w:firstLine="375"/>
        <w:spacing w:after="0" w:line="255" w:lineRule="auto"/>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78"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85"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5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478" w:right="1440" w:bottom="1440" w:gutter="0" w:footer="0" w:header="0"/>
        </w:sectPr>
      </w:pPr>
    </w:p>
    <w:bookmarkStart w:id="46" w:name="page47"/>
    <w:bookmarkEnd w:id="46"/>
    <w:p>
      <w:pPr>
        <w:ind w:left="4" w:right="2719" w:firstLine="375"/>
        <w:spacing w:after="0" w:line="254" w:lineRule="auto"/>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6" w:lineRule="exact"/>
        <w:rPr>
          <w:sz w:val="20"/>
          <w:szCs w:val="20"/>
          <w:color w:val="auto"/>
        </w:rPr>
      </w:pPr>
    </w:p>
    <w:p>
      <w:pPr>
        <w:ind w:left="4" w:right="2719" w:hanging="4"/>
        <w:spacing w:after="0" w:line="238" w:lineRule="auto"/>
        <w:tabs>
          <w:tab w:leader="none" w:pos="47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85"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In the event of any redemption in part, the Company shall not be required to</w:t>
      </w:r>
    </w:p>
    <w:p>
      <w:pPr>
        <w:spacing w:after="0" w:line="10" w:lineRule="exact"/>
        <w:rPr>
          <w:sz w:val="20"/>
          <w:szCs w:val="20"/>
          <w:color w:val="auto"/>
        </w:rPr>
      </w:pPr>
    </w:p>
    <w:p>
      <w:pPr>
        <w:ind w:left="4" w:right="2719" w:hanging="4"/>
        <w:spacing w:after="0" w:line="255" w:lineRule="auto"/>
        <w:tabs>
          <w:tab w:leader="none" w:pos="37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78"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78" w:lineRule="exact"/>
        <w:rPr>
          <w:sz w:val="20"/>
          <w:szCs w:val="20"/>
          <w:color w:val="auto"/>
        </w:rPr>
      </w:pPr>
    </w:p>
    <w:p>
      <w:pPr>
        <w:ind w:left="4" w:right="2899" w:firstLine="375"/>
        <w:spacing w:after="0" w:line="237"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3"/>
          </w:cols>
          <w:pgMar w:left="236" w:top="478" w:right="1440" w:bottom="1440" w:gutter="0" w:footer="0" w:header="0"/>
        </w:sectPr>
      </w:pPr>
    </w:p>
    <w:bookmarkStart w:id="47" w:name="page48"/>
    <w:bookmarkEnd w:id="47"/>
    <w:p>
      <w:pPr>
        <w:ind w:right="2819"/>
        <w:spacing w:after="0" w:line="238" w:lineRule="auto"/>
        <w:rPr>
          <w:sz w:val="20"/>
          <w:szCs w:val="20"/>
          <w:color w:val="auto"/>
        </w:rPr>
      </w:pPr>
      <w:r>
        <w:rPr>
          <w:rFonts w:ascii="Courier New" w:cs="Courier New" w:eastAsia="Courier New" w:hAnsi="Courier New"/>
          <w:sz w:val="16"/>
          <w:szCs w:val="16"/>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57"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8" w:right="1440" w:bottom="1440" w:gutter="0" w:footer="0" w:header="0"/>
        </w:sectPr>
      </w:pPr>
    </w:p>
    <w:bookmarkStart w:id="48" w:name="page49"/>
    <w:bookmarkEnd w:id="48"/>
    <w:p>
      <w:pPr>
        <w:ind w:right="2719" w:firstLine="375"/>
        <w:spacing w:after="0" w:line="237" w:lineRule="auto"/>
        <w:rPr>
          <w:sz w:val="20"/>
          <w:szCs w:val="20"/>
          <w:color w:val="auto"/>
        </w:rPr>
      </w:pPr>
      <w:r>
        <w:rPr>
          <w:rFonts w:ascii="Courier New" w:cs="Courier New" w:eastAsia="Courier New" w:hAnsi="Courier New"/>
          <w:sz w:val="16"/>
          <w:szCs w:val="16"/>
          <w:color w:val="auto"/>
        </w:rPr>
        <w:t>The specific terms of the depository arrangement with respect to a series of Debt Securities in the form of one or more global Debt Securities will be described in the Prospectus Supplement relating to such series.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96" w:lineRule="exact"/>
        <w:rPr>
          <w:sz w:val="20"/>
          <w:szCs w:val="20"/>
          <w:color w:val="auto"/>
        </w:rPr>
      </w:pPr>
    </w:p>
    <w:p>
      <w:pPr>
        <w:ind w:left="380"/>
        <w:spacing w:after="0"/>
        <w:tabs>
          <w:tab w:leader="none" w:pos="2420" w:val="left"/>
        </w:tabs>
        <w:rPr>
          <w:sz w:val="20"/>
          <w:szCs w:val="20"/>
          <w:color w:val="auto"/>
        </w:rPr>
      </w:pP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5"/>
          <w:szCs w:val="15"/>
          <w:color w:val="auto"/>
        </w:rPr>
        <w:t>Each Indenture also provides that, if the Company so</w:t>
      </w:r>
    </w:p>
    <w:p>
      <w:pPr>
        <w:spacing w:after="0"/>
        <w:rPr>
          <w:sz w:val="20"/>
          <w:szCs w:val="20"/>
          <w:color w:val="auto"/>
        </w:rPr>
      </w:pPr>
      <w:r>
        <w:rPr>
          <w:rFonts w:ascii="Courier New" w:cs="Courier New" w:eastAsia="Courier New" w:hAnsi="Courier New"/>
          <w:sz w:val="16"/>
          <w:szCs w:val="16"/>
          <w:color w:val="auto"/>
        </w:rPr>
        <w:t>elects by Board Resolution with respect to the Debt Securities of any series</w:t>
      </w:r>
    </w:p>
    <w:p>
      <w:pPr>
        <w:spacing w:after="0" w:line="237" w:lineRule="auto"/>
        <w:rPr>
          <w:sz w:val="20"/>
          <w:szCs w:val="20"/>
          <w:color w:val="auto"/>
        </w:rPr>
      </w:pPr>
      <w:r>
        <w:rPr>
          <w:rFonts w:ascii="Courier New" w:cs="Courier New" w:eastAsia="Courier New" w:hAnsi="Courier New"/>
          <w:sz w:val="16"/>
          <w:szCs w:val="16"/>
          <w:color w:val="auto"/>
        </w:rPr>
        <w:t>issued thereunder, the Company may omit to comply with certain restrictive</w:t>
      </w:r>
    </w:p>
    <w:p>
      <w:pPr>
        <w:spacing w:after="0"/>
        <w:rPr>
          <w:sz w:val="20"/>
          <w:szCs w:val="20"/>
          <w:color w:val="auto"/>
        </w:rPr>
      </w:pPr>
      <w:r>
        <w:rPr>
          <w:rFonts w:ascii="Courier New" w:cs="Courier New" w:eastAsia="Courier New" w:hAnsi="Courier New"/>
          <w:sz w:val="16"/>
          <w:szCs w:val="16"/>
          <w:color w:val="auto"/>
        </w:rPr>
        <w:t>covenants, including (in the case of the Senior Debt Indenture) the covenants</w:t>
      </w:r>
    </w:p>
    <w:p>
      <w:pPr>
        <w:spacing w:after="0" w:line="238" w:lineRule="auto"/>
        <w:rPr>
          <w:sz w:val="20"/>
          <w:szCs w:val="20"/>
          <w:color w:val="auto"/>
        </w:rPr>
      </w:pPr>
      <w:r>
        <w:rPr>
          <w:rFonts w:ascii="Courier New" w:cs="Courier New" w:eastAsia="Courier New" w:hAnsi="Courier New"/>
          <w:sz w:val="16"/>
          <w:szCs w:val="16"/>
          <w:color w:val="auto"/>
        </w:rPr>
        <w:t>described under "--Provisions Applicable Solely to Senior Debt</w:t>
      </w:r>
    </w:p>
    <w:p>
      <w:pPr>
        <w:spacing w:after="0"/>
        <w:rPr>
          <w:sz w:val="20"/>
          <w:szCs w:val="20"/>
          <w:color w:val="auto"/>
        </w:rPr>
      </w:pPr>
      <w:r>
        <w:rPr>
          <w:rFonts w:ascii="Courier New" w:cs="Courier New" w:eastAsia="Courier New" w:hAnsi="Courier New"/>
          <w:sz w:val="16"/>
          <w:szCs w:val="16"/>
          <w:color w:val="auto"/>
        </w:rPr>
        <w:t>Securities--Limitation on Liens" and "--Limitations on Sale and Leaseback</w:t>
      </w:r>
    </w:p>
    <w:p>
      <w:pPr>
        <w:spacing w:after="0" w:line="238" w:lineRule="auto"/>
        <w:rPr>
          <w:sz w:val="20"/>
          <w:szCs w:val="20"/>
          <w:color w:val="auto"/>
        </w:rPr>
      </w:pPr>
      <w:r>
        <w:rPr>
          <w:rFonts w:ascii="Courier New" w:cs="Courier New" w:eastAsia="Courier New" w:hAnsi="Courier New"/>
          <w:sz w:val="16"/>
          <w:szCs w:val="16"/>
          <w:color w:val="auto"/>
        </w:rPr>
        <w:t>Transactions," but excluding (in the case of the Subordinated Debt Indenture)</w:t>
      </w:r>
    </w:p>
    <w:p>
      <w:pPr>
        <w:spacing w:after="0"/>
        <w:rPr>
          <w:sz w:val="20"/>
          <w:szCs w:val="20"/>
          <w:color w:val="auto"/>
        </w:rPr>
      </w:pPr>
      <w:r>
        <w:rPr>
          <w:rFonts w:ascii="Courier New" w:cs="Courier New" w:eastAsia="Courier New" w:hAnsi="Courier New"/>
          <w:sz w:val="16"/>
          <w:szCs w:val="16"/>
          <w:color w:val="auto"/>
        </w:rPr>
        <w:t>any applicable obligation of the Company respecting the conversion of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of such series into Common Stock, and any such omission shall not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Event of Default with respect to the Debt Securities of such series, upon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 with the Trustee, in trust, of money and/ or U.S. Government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through the payment of interest and principal in respect thereof in</w:t>
      </w:r>
    </w:p>
    <w:p>
      <w:pPr>
        <w:spacing w:after="0"/>
        <w:rPr>
          <w:sz w:val="20"/>
          <w:szCs w:val="20"/>
          <w:color w:val="auto"/>
        </w:rPr>
      </w:pPr>
      <w:r>
        <w:rPr>
          <w:rFonts w:ascii="Courier New" w:cs="Courier New" w:eastAsia="Courier New" w:hAnsi="Courier New"/>
          <w:sz w:val="16"/>
          <w:szCs w:val="16"/>
          <w:color w:val="auto"/>
        </w:rPr>
        <w:t>accordance with their terms will provide money in an amount sufficient to pay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principal of (and premium, if any), and each installment of interest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 of such series on the Stated Maturity of such payments in</w:t>
      </w:r>
    </w:p>
    <w:p>
      <w:pPr>
        <w:spacing w:after="0"/>
        <w:rPr>
          <w:sz w:val="20"/>
          <w:szCs w:val="20"/>
          <w:color w:val="auto"/>
        </w:rPr>
      </w:pPr>
      <w:r>
        <w:rPr>
          <w:rFonts w:ascii="Courier New" w:cs="Courier New" w:eastAsia="Courier New" w:hAnsi="Courier New"/>
          <w:sz w:val="16"/>
          <w:szCs w:val="16"/>
          <w:color w:val="auto"/>
        </w:rPr>
        <w:t>accordance with the terms of such Indenture and the Debt Securities of such</w:t>
      </w:r>
    </w:p>
    <w:p>
      <w:pPr>
        <w:spacing w:after="0" w:line="237" w:lineRule="auto"/>
        <w:rPr>
          <w:sz w:val="20"/>
          <w:szCs w:val="20"/>
          <w:color w:val="auto"/>
        </w:rPr>
      </w:pPr>
      <w:r>
        <w:rPr>
          <w:rFonts w:ascii="Courier New" w:cs="Courier New" w:eastAsia="Courier New" w:hAnsi="Courier New"/>
          <w:sz w:val="16"/>
          <w:szCs w:val="16"/>
          <w:color w:val="auto"/>
        </w:rPr>
        <w:t>series. The obligations of the Company under such Indenture and the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of such series other than with respect to such covenants shall remain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full force and effect. (Section 1303) Such a trust may be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8" w:right="1440" w:bottom="1440" w:gutter="0" w:footer="0" w:header="0"/>
        </w:sectPr>
      </w:pPr>
    </w:p>
    <w:bookmarkStart w:id="49" w:name="page50"/>
    <w:bookmarkEnd w:id="49"/>
    <w:p>
      <w:pPr>
        <w:ind w:right="2719"/>
        <w:spacing w:after="0" w:line="238" w:lineRule="auto"/>
        <w:rPr>
          <w:sz w:val="20"/>
          <w:szCs w:val="20"/>
          <w:color w:val="auto"/>
        </w:rPr>
      </w:pPr>
      <w:r>
        <w:rPr>
          <w:rFonts w:ascii="Courier New" w:cs="Courier New" w:eastAsia="Courier New" w:hAnsi="Courier New"/>
          <w:sz w:val="16"/>
          <w:szCs w:val="16"/>
          <w:color w:val="auto"/>
        </w:rPr>
        <w:t>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8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357" w:lineRule="exact"/>
        <w:rPr>
          <w:sz w:val="20"/>
          <w:szCs w:val="20"/>
          <w:color w:val="auto"/>
        </w:rPr>
      </w:pPr>
    </w:p>
    <w:p>
      <w:pPr>
        <w:ind w:right="3379" w:firstLine="375"/>
        <w:spacing w:after="0" w:line="237" w:lineRule="auto"/>
        <w:rPr>
          <w:sz w:val="20"/>
          <w:szCs w:val="20"/>
          <w:color w:val="auto"/>
        </w:rPr>
      </w:pPr>
      <w:r>
        <w:rPr>
          <w:rFonts w:ascii="Courier New" w:cs="Courier New" w:eastAsia="Courier New" w:hAnsi="Courier New"/>
          <w:sz w:val="16"/>
          <w:szCs w:val="16"/>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 of each series may, 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8" w:right="1440" w:bottom="1440" w:gutter="0" w:footer="0" w:header="0"/>
        </w:sectPr>
      </w:pPr>
    </w:p>
    <w:bookmarkStart w:id="50" w:name="page51"/>
    <w:bookmarkEnd w:id="50"/>
    <w:p>
      <w:pPr>
        <w:ind w:right="2819"/>
        <w:spacing w:after="0" w:line="238" w:lineRule="auto"/>
        <w:rPr>
          <w:sz w:val="20"/>
          <w:szCs w:val="20"/>
          <w:color w:val="auto"/>
        </w:rPr>
      </w:pPr>
      <w:r>
        <w:rPr>
          <w:rFonts w:ascii="Courier New" w:cs="Courier New" w:eastAsia="Courier New" w:hAnsi="Courier New"/>
          <w:sz w:val="16"/>
          <w:szCs w:val="16"/>
          <w:color w:val="auto"/>
        </w:rPr>
        <w:t>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78"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 reconvened meeting, will be Persons holding or representing a majority in aggregate principal amount of the Outstanding Securities of a series. (Section 1404).</w:t>
      </w:r>
    </w:p>
    <w:p>
      <w:pPr>
        <w:spacing w:after="0" w:line="35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75" w:lineRule="exact"/>
        <w:rPr>
          <w:sz w:val="20"/>
          <w:szCs w:val="20"/>
          <w:color w:val="auto"/>
        </w:rPr>
      </w:pPr>
    </w:p>
    <w:p>
      <w:pPr>
        <w:jc w:val="both"/>
        <w:ind w:right="3179" w:firstLine="375"/>
        <w:spacing w:after="0" w:line="237" w:lineRule="auto"/>
        <w:rPr>
          <w:sz w:val="20"/>
          <w:szCs w:val="20"/>
          <w:color w:val="auto"/>
        </w:rPr>
      </w:pPr>
      <w:r>
        <w:rPr>
          <w:rFonts w:ascii="Courier New" w:cs="Courier New" w:eastAsia="Courier New" w:hAnsi="Courier New"/>
          <w:sz w:val="16"/>
          <w:szCs w:val="16"/>
          <w:color w:val="auto"/>
        </w:rPr>
        <w:t>GOVERNING LAW. The Indentures, the Debt Securities and coupons will be governed by, and construed in accordance with, the laws of the State of New York. (Section 113)</w:t>
      </w:r>
    </w:p>
    <w:p>
      <w:pPr>
        <w:spacing w:after="0" w:line="185" w:lineRule="exact"/>
        <w:rPr>
          <w:sz w:val="20"/>
          <w:szCs w:val="20"/>
          <w:color w:val="auto"/>
        </w:rPr>
      </w:pPr>
    </w:p>
    <w:p>
      <w:pPr>
        <w:ind w:right="3479" w:firstLine="375"/>
        <w:spacing w:after="0" w:line="237" w:lineRule="auto"/>
        <w:rPr>
          <w:sz w:val="20"/>
          <w:szCs w:val="20"/>
          <w:color w:val="auto"/>
        </w:rPr>
      </w:pPr>
      <w:r>
        <w:rPr>
          <w:rFonts w:ascii="Courier New" w:cs="Courier New" w:eastAsia="Courier New" w:hAnsi="Courier New"/>
          <w:sz w:val="16"/>
          <w:szCs w:val="16"/>
          <w:color w:val="auto"/>
        </w:rPr>
        <w:t>REGARDING THE TRUSTEE. The Trustee appointed and serving as trustee pursuant to each of the Senior Debt Indenture and the Subordinated Debt Indenture is Chase Bank.</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8" w:right="1440" w:bottom="1440" w:gutter="0" w:footer="0" w:header="0"/>
        </w:sectPr>
      </w:pPr>
    </w:p>
    <w:bookmarkStart w:id="51" w:name="page52"/>
    <w:bookmarkEnd w:id="51"/>
    <w:p>
      <w:pPr>
        <w:ind w:left="4" w:right="2719" w:firstLine="375"/>
        <w:spacing w:after="0" w:line="256" w:lineRule="auto"/>
        <w:rPr>
          <w:sz w:val="20"/>
          <w:szCs w:val="20"/>
          <w:color w:val="auto"/>
        </w:rPr>
      </w:pPr>
      <w:r>
        <w:rPr>
          <w:rFonts w:ascii="Courier New" w:cs="Courier New" w:eastAsia="Courier New" w:hAnsi="Courier New"/>
          <w:sz w:val="15"/>
          <w:szCs w:val="15"/>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76"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87" w:lineRule="exact"/>
        <w:rPr>
          <w:sz w:val="20"/>
          <w:szCs w:val="20"/>
          <w:color w:val="auto"/>
        </w:rPr>
      </w:pPr>
    </w:p>
    <w:p>
      <w:pPr>
        <w:ind w:left="4" w:right="2719" w:firstLine="375"/>
        <w:spacing w:after="0" w:line="238" w:lineRule="auto"/>
        <w:rPr>
          <w:sz w:val="20"/>
          <w:szCs w:val="20"/>
          <w:color w:val="auto"/>
        </w:rPr>
      </w:pPr>
      <w:r>
        <w:rPr>
          <w:rFonts w:ascii="Courier New" w:cs="Courier New" w:eastAsia="Courier New" w:hAnsi="Courier New"/>
          <w:sz w:val="16"/>
          <w:szCs w:val="16"/>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90"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Chase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PROVISIONS APPLICABLE SOLELY TO SENIOR DEBT SECURITIES</w:t>
      </w:r>
    </w:p>
    <w:p>
      <w:pPr>
        <w:spacing w:after="0" w:line="185" w:lineRule="exact"/>
        <w:rPr>
          <w:sz w:val="20"/>
          <w:szCs w:val="20"/>
          <w:color w:val="auto"/>
        </w:rPr>
      </w:pPr>
    </w:p>
    <w:p>
      <w:pPr>
        <w:ind w:left="4" w:right="2819" w:firstLine="375"/>
        <w:spacing w:after="0" w:line="237"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87" w:lineRule="exact"/>
        <w:rPr>
          <w:sz w:val="20"/>
          <w:szCs w:val="20"/>
          <w:color w:val="auto"/>
        </w:rPr>
      </w:pPr>
    </w:p>
    <w:p>
      <w:pPr>
        <w:ind w:left="4" w:right="2899" w:firstLine="375"/>
        <w:spacing w:after="0" w:line="237" w:lineRule="auto"/>
        <w:rPr>
          <w:sz w:val="20"/>
          <w:szCs w:val="20"/>
          <w:color w:val="auto"/>
        </w:rPr>
      </w:pPr>
      <w:r>
        <w:rPr>
          <w:rFonts w:ascii="Courier New" w:cs="Courier New" w:eastAsia="Courier New" w:hAnsi="Courier New"/>
          <w:sz w:val="16"/>
          <w:szCs w:val="16"/>
          <w:color w:val="auto"/>
        </w:rPr>
        <w:t>CERTAIN DEFINITIONS. For purposes of the following discussion, the following definitions are applicable (Section 1008 and 1009 of the Senior Debt Indenture).</w:t>
      </w:r>
    </w:p>
    <w:p>
      <w:pPr>
        <w:spacing w:after="0" w:line="185"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left="4" w:right="2719" w:hanging="4"/>
        <w:spacing w:after="0" w:line="238" w:lineRule="auto"/>
        <w:tabs>
          <w:tab w:leader="none" w:pos="47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89" w:lineRule="exact"/>
        <w:rPr>
          <w:sz w:val="20"/>
          <w:szCs w:val="20"/>
          <w:color w:val="auto"/>
        </w:rPr>
      </w:pPr>
    </w:p>
    <w:p>
      <w:pPr>
        <w:ind w:left="4" w:right="3279" w:firstLine="375"/>
        <w:spacing w:after="0" w:line="237" w:lineRule="auto"/>
        <w:rPr>
          <w:sz w:val="20"/>
          <w:szCs w:val="20"/>
          <w:color w:val="auto"/>
        </w:rPr>
      </w:pPr>
      <w:r>
        <w:rPr>
          <w:rFonts w:ascii="Courier New" w:cs="Courier New" w:eastAsia="Courier New" w:hAnsi="Courier New"/>
          <w:sz w:val="16"/>
          <w:szCs w:val="16"/>
          <w:color w:val="auto"/>
        </w:rPr>
        <w:t>The term "Consolidated Net Tangible Assets" shall mean, at any date of determination, the total amount of assets of the Company after deducting therefrom (i) all the current liabilities (excluding (a) any</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478" w:right="1440" w:bottom="1440" w:gutter="0" w:footer="0" w:header="0"/>
        </w:sectPr>
      </w:pPr>
    </w:p>
    <w:bookmarkStart w:id="52" w:name="page53"/>
    <w:bookmarkEnd w:id="52"/>
    <w:p>
      <w:pPr>
        <w:ind w:left="4" w:right="2719"/>
        <w:spacing w:after="0" w:line="255" w:lineRule="auto"/>
        <w:rPr>
          <w:sz w:val="20"/>
          <w:szCs w:val="20"/>
          <w:color w:val="auto"/>
        </w:rPr>
      </w:pPr>
      <w:r>
        <w:rPr>
          <w:rFonts w:ascii="Courier New" w:cs="Courier New" w:eastAsia="Courier New" w:hAnsi="Courier New"/>
          <w:sz w:val="15"/>
          <w:szCs w:val="15"/>
          <w:color w:val="auto"/>
        </w:rPr>
        <w:t>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79" w:lineRule="exact"/>
        <w:rPr>
          <w:sz w:val="20"/>
          <w:szCs w:val="20"/>
          <w:color w:val="auto"/>
        </w:rPr>
      </w:pPr>
    </w:p>
    <w:p>
      <w:pPr>
        <w:jc w:val="both"/>
        <w:ind w:left="4" w:right="2899" w:firstLine="375"/>
        <w:spacing w:after="0" w:line="237" w:lineRule="auto"/>
        <w:rPr>
          <w:sz w:val="20"/>
          <w:szCs w:val="20"/>
          <w:color w:val="auto"/>
        </w:rPr>
      </w:pPr>
      <w:r>
        <w:rPr>
          <w:rFonts w:ascii="Courier New" w:cs="Courier New" w:eastAsia="Courier New" w:hAnsi="Courier New"/>
          <w:sz w:val="16"/>
          <w:szCs w:val="16"/>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86"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74"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"Indebtedness" of any Person shall mean</w:t>
      </w:r>
    </w:p>
    <w:p>
      <w:pPr>
        <w:spacing w:after="0" w:line="185" w:lineRule="exact"/>
        <w:rPr>
          <w:sz w:val="20"/>
          <w:szCs w:val="20"/>
          <w:color w:val="auto"/>
        </w:rPr>
      </w:pPr>
    </w:p>
    <w:p>
      <w:pPr>
        <w:ind w:left="664" w:right="2819" w:hanging="289"/>
        <w:spacing w:after="0" w:line="237" w:lineRule="auto"/>
        <w:tabs>
          <w:tab w:leader="none" w:pos="75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8" w:lineRule="exact"/>
        <w:rPr>
          <w:rFonts w:ascii="Courier New" w:cs="Courier New" w:eastAsia="Courier New" w:hAnsi="Courier New"/>
          <w:sz w:val="16"/>
          <w:szCs w:val="16"/>
          <w:color w:val="auto"/>
        </w:rPr>
      </w:pPr>
    </w:p>
    <w:p>
      <w:pPr>
        <w:ind w:left="664" w:right="2819" w:hanging="289"/>
        <w:spacing w:after="0" w:line="237" w:lineRule="auto"/>
        <w:tabs>
          <w:tab w:leader="none" w:pos="75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5" w:lineRule="exact"/>
        <w:rPr>
          <w:rFonts w:ascii="Courier New" w:cs="Courier New" w:eastAsia="Courier New" w:hAnsi="Courier New"/>
          <w:sz w:val="16"/>
          <w:szCs w:val="16"/>
          <w:color w:val="auto"/>
        </w:rPr>
      </w:pPr>
    </w:p>
    <w:p>
      <w:pPr>
        <w:ind w:left="664" w:right="2899" w:hanging="289"/>
        <w:spacing w:after="0" w:line="236" w:lineRule="auto"/>
        <w:tabs>
          <w:tab w:leader="none" w:pos="75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4" w:lineRule="exact"/>
        <w:rPr>
          <w:rFonts w:ascii="Courier New" w:cs="Courier New" w:eastAsia="Courier New" w:hAnsi="Courier New"/>
          <w:sz w:val="16"/>
          <w:szCs w:val="16"/>
          <w:color w:val="auto"/>
        </w:rPr>
      </w:pPr>
    </w:p>
    <w:p>
      <w:pPr>
        <w:ind w:left="1024" w:right="2819" w:hanging="367"/>
        <w:spacing w:after="0" w:line="256" w:lineRule="auto"/>
        <w:tabs>
          <w:tab w:leader="none" w:pos="10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0" w:lineRule="exact"/>
        <w:rPr>
          <w:rFonts w:ascii="Courier New" w:cs="Courier New" w:eastAsia="Courier New" w:hAnsi="Courier New"/>
          <w:sz w:val="15"/>
          <w:szCs w:val="15"/>
          <w:color w:val="auto"/>
        </w:rPr>
      </w:pPr>
    </w:p>
    <w:p>
      <w:pPr>
        <w:ind w:left="1124" w:hanging="467"/>
        <w:spacing w:after="0"/>
        <w:tabs>
          <w:tab w:leader="none" w:pos="112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185" w:lineRule="exact"/>
        <w:rPr>
          <w:sz w:val="20"/>
          <w:szCs w:val="20"/>
          <w:color w:val="auto"/>
        </w:rPr>
      </w:pPr>
    </w:p>
    <w:p>
      <w:pPr>
        <w:ind w:left="4" w:right="2719" w:firstLine="375"/>
        <w:spacing w:after="0" w:line="254" w:lineRule="auto"/>
        <w:rPr>
          <w:sz w:val="20"/>
          <w:szCs w:val="20"/>
          <w:color w:val="auto"/>
        </w:rPr>
      </w:pPr>
      <w:r>
        <w:rPr>
          <w:rFonts w:ascii="Courier New" w:cs="Courier New" w:eastAsia="Courier New" w:hAnsi="Courier New"/>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4" w:lineRule="exact"/>
        <w:rPr>
          <w:sz w:val="20"/>
          <w:szCs w:val="20"/>
          <w:color w:val="auto"/>
        </w:rPr>
      </w:pPr>
    </w:p>
    <w:p>
      <w:pPr>
        <w:ind w:left="4" w:right="2819" w:hanging="4"/>
        <w:spacing w:after="0" w:line="237" w:lineRule="auto"/>
        <w:tabs>
          <w:tab w:leader="none" w:pos="47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87" w:lineRule="exact"/>
        <w:rPr>
          <w:sz w:val="20"/>
          <w:szCs w:val="20"/>
          <w:color w:val="auto"/>
        </w:rPr>
      </w:pPr>
    </w:p>
    <w:p>
      <w:pPr>
        <w:ind w:left="4" w:right="2719" w:firstLine="375"/>
        <w:spacing w:after="0" w:line="237"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the Company owns directly or indirectly less than all of the outstanding Voting Stock) (a) principally engaged in, or</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478" w:right="1440" w:bottom="1440" w:gutter="0" w:footer="0" w:header="0"/>
        </w:sectPr>
      </w:pPr>
    </w:p>
    <w:bookmarkStart w:id="53" w:name="page54"/>
    <w:bookmarkEnd w:id="53"/>
    <w:p>
      <w:pPr>
        <w:jc w:val="both"/>
        <w:ind w:right="2719"/>
        <w:spacing w:after="0" w:line="237" w:lineRule="auto"/>
        <w:rPr>
          <w:sz w:val="20"/>
          <w:szCs w:val="20"/>
          <w:color w:val="auto"/>
        </w:rPr>
      </w:pPr>
      <w:r>
        <w:rPr>
          <w:rFonts w:ascii="Courier New" w:cs="Courier New" w:eastAsia="Courier New" w:hAnsi="Courier New"/>
          <w:sz w:val="16"/>
          <w:szCs w:val="16"/>
          <w:color w:val="auto"/>
        </w:rPr>
        <w:t>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87" w:lineRule="exact"/>
        <w:rPr>
          <w:sz w:val="20"/>
          <w:szCs w:val="20"/>
          <w:color w:val="auto"/>
        </w:rPr>
      </w:pPr>
    </w:p>
    <w:p>
      <w:pPr>
        <w:ind w:right="2899" w:firstLine="375"/>
        <w:spacing w:after="0" w:line="257"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199"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6" w:lineRule="exact"/>
        <w:rPr>
          <w:sz w:val="20"/>
          <w:szCs w:val="20"/>
          <w:color w:val="auto"/>
        </w:rPr>
      </w:pPr>
    </w:p>
    <w:p>
      <w:pPr>
        <w:ind w:right="2719" w:firstLine="371"/>
        <w:spacing w:after="0" w:line="237" w:lineRule="auto"/>
        <w:tabs>
          <w:tab w:leader="none" w:pos="7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Senior Debt Security of that series when it becomes due and payable, and continuance of such default for a period of 30 days; or</w:t>
      </w:r>
    </w:p>
    <w:p>
      <w:pPr>
        <w:spacing w:after="0" w:line="184" w:lineRule="exact"/>
        <w:rPr>
          <w:rFonts w:ascii="Courier New" w:cs="Courier New" w:eastAsia="Courier New" w:hAnsi="Courier New"/>
          <w:sz w:val="16"/>
          <w:szCs w:val="16"/>
          <w:color w:val="auto"/>
        </w:rPr>
      </w:pPr>
    </w:p>
    <w:p>
      <w:pPr>
        <w:ind w:right="2719" w:firstLine="371"/>
        <w:spacing w:after="0" w:line="237" w:lineRule="auto"/>
        <w:tabs>
          <w:tab w:leader="none" w:pos="7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85" w:lineRule="exact"/>
        <w:rPr>
          <w:rFonts w:ascii="Courier New" w:cs="Courier New" w:eastAsia="Courier New" w:hAnsi="Courier New"/>
          <w:sz w:val="16"/>
          <w:szCs w:val="16"/>
          <w:color w:val="auto"/>
        </w:rPr>
      </w:pPr>
    </w:p>
    <w:p>
      <w:pPr>
        <w:ind w:right="2899" w:firstLine="371"/>
        <w:spacing w:after="0" w:line="236" w:lineRule="auto"/>
        <w:tabs>
          <w:tab w:leader="none" w:pos="7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Senior Debt Security of that series; or</w:t>
      </w:r>
    </w:p>
    <w:p>
      <w:pPr>
        <w:spacing w:after="0" w:line="184" w:lineRule="exact"/>
        <w:rPr>
          <w:rFonts w:ascii="Courier New" w:cs="Courier New" w:eastAsia="Courier New" w:hAnsi="Courier New"/>
          <w:sz w:val="16"/>
          <w:szCs w:val="16"/>
          <w:color w:val="auto"/>
        </w:rPr>
      </w:pPr>
    </w:p>
    <w:p>
      <w:pPr>
        <w:ind w:right="2719" w:firstLine="371"/>
        <w:spacing w:after="0" w:line="237" w:lineRule="auto"/>
        <w:tabs>
          <w:tab w:leader="none" w:pos="7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8" w:right="1440" w:bottom="1440" w:gutter="0" w:footer="0" w:header="0"/>
        </w:sectPr>
      </w:pPr>
    </w:p>
    <w:bookmarkStart w:id="54" w:name="page55"/>
    <w:bookmarkEnd w:id="54"/>
    <w:p>
      <w:pPr>
        <w:ind w:left="4" w:right="2719"/>
        <w:spacing w:after="0" w:line="238" w:lineRule="auto"/>
        <w:rPr>
          <w:sz w:val="20"/>
          <w:szCs w:val="20"/>
          <w:color w:val="auto"/>
        </w:rPr>
      </w:pPr>
      <w:r>
        <w:rPr>
          <w:rFonts w:ascii="Courier New" w:cs="Courier New" w:eastAsia="Courier New" w:hAnsi="Courier New"/>
          <w:sz w:val="16"/>
          <w:szCs w:val="16"/>
          <w:color w:val="auto"/>
        </w:rPr>
        <w:t>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85" w:lineRule="exact"/>
        <w:rPr>
          <w:sz w:val="20"/>
          <w:szCs w:val="20"/>
          <w:color w:val="auto"/>
        </w:rPr>
      </w:pPr>
    </w:p>
    <w:p>
      <w:pPr>
        <w:ind w:left="4" w:right="2719" w:firstLine="371"/>
        <w:spacing w:after="0" w:line="238" w:lineRule="auto"/>
        <w:tabs>
          <w:tab w:leader="none" w:pos="75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7" w:lineRule="exact"/>
        <w:rPr>
          <w:rFonts w:ascii="Courier New" w:cs="Courier New" w:eastAsia="Courier New" w:hAnsi="Courier New"/>
          <w:sz w:val="16"/>
          <w:szCs w:val="16"/>
          <w:color w:val="auto"/>
        </w:rPr>
      </w:pPr>
    </w:p>
    <w:p>
      <w:pPr>
        <w:ind w:left="4" w:right="2719" w:firstLine="371"/>
        <w:spacing w:after="0" w:line="238" w:lineRule="auto"/>
        <w:tabs>
          <w:tab w:leader="none" w:pos="75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0" w:lineRule="exact"/>
        <w:rPr>
          <w:rFonts w:ascii="Courier New" w:cs="Courier New" w:eastAsia="Courier New" w:hAnsi="Courier New"/>
          <w:sz w:val="16"/>
          <w:szCs w:val="16"/>
          <w:color w:val="auto"/>
        </w:rPr>
      </w:pPr>
    </w:p>
    <w:p>
      <w:pPr>
        <w:ind w:left="4" w:right="3559" w:firstLine="371"/>
        <w:spacing w:after="0" w:line="263" w:lineRule="auto"/>
        <w:tabs>
          <w:tab w:leader="none" w:pos="75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Senior Debt Securities of that series. (Section 501 of the Senior Debt Indenture)</w:t>
      </w:r>
    </w:p>
    <w:p>
      <w:pPr>
        <w:spacing w:after="0" w:line="169"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76" w:lineRule="exact"/>
        <w:rPr>
          <w:sz w:val="20"/>
          <w:szCs w:val="20"/>
          <w:color w:val="auto"/>
        </w:rPr>
      </w:pPr>
    </w:p>
    <w:p>
      <w:pPr>
        <w:ind w:left="4" w:right="2719" w:hanging="4"/>
        <w:spacing w:after="0" w:line="237" w:lineRule="auto"/>
        <w:tabs>
          <w:tab w:leader="none" w:pos="37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Senior Debt Securities of that series, other than the non-payment of the principal of Senior Debt Securities of that series which has become due solely by such</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478" w:right="1440" w:bottom="1440" w:gutter="0" w:footer="0" w:header="0"/>
        </w:sectPr>
      </w:pPr>
    </w:p>
    <w:bookmarkStart w:id="55" w:name="page56"/>
    <w:bookmarkEnd w:id="55"/>
    <w:p>
      <w:pPr>
        <w:ind w:right="2719"/>
        <w:spacing w:after="0" w:line="255" w:lineRule="auto"/>
        <w:rPr>
          <w:sz w:val="20"/>
          <w:szCs w:val="20"/>
          <w:color w:val="auto"/>
        </w:rPr>
      </w:pPr>
      <w:r>
        <w:rPr>
          <w:rFonts w:ascii="Courier New" w:cs="Courier New" w:eastAsia="Courier New" w:hAnsi="Courier New"/>
          <w:sz w:val="15"/>
          <w:szCs w:val="15"/>
          <w:color w:val="auto"/>
        </w:rPr>
        <w:t>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7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19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1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8" w:right="1440" w:bottom="1440" w:gutter="0" w:footer="0" w:header="0"/>
        </w:sectPr>
      </w:pPr>
    </w:p>
    <w:bookmarkStart w:id="56" w:name="page57"/>
    <w:bookmarkEnd w:id="56"/>
    <w:p>
      <w:pPr>
        <w:ind w:left="4" w:right="2719" w:firstLine="375"/>
        <w:spacing w:after="0" w:line="255" w:lineRule="auto"/>
        <w:rPr>
          <w:sz w:val="20"/>
          <w:szCs w:val="20"/>
          <w:color w:val="auto"/>
        </w:rPr>
      </w:pPr>
      <w:r>
        <w:rPr>
          <w:rFonts w:ascii="Courier New" w:cs="Courier New" w:eastAsia="Courier New" w:hAnsi="Courier New"/>
          <w:sz w:val="15"/>
          <w:szCs w:val="15"/>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79"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left="4" w:right="2719" w:hanging="4"/>
        <w:spacing w:after="0" w:line="255" w:lineRule="auto"/>
        <w:tabs>
          <w:tab w:leader="none" w:pos="37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58" w:lineRule="exact"/>
        <w:rPr>
          <w:sz w:val="20"/>
          <w:szCs w:val="20"/>
          <w:color w:val="auto"/>
        </w:rPr>
      </w:pPr>
    </w:p>
    <w:p>
      <w:pPr>
        <w:ind w:left="4" w:right="2719" w:firstLine="375"/>
        <w:spacing w:after="0" w:line="255"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77" w:lineRule="exact"/>
        <w:rPr>
          <w:sz w:val="20"/>
          <w:szCs w:val="20"/>
          <w:color w:val="auto"/>
        </w:rPr>
      </w:pPr>
    </w:p>
    <w:p>
      <w:pPr>
        <w:jc w:val="both"/>
        <w:ind w:left="4" w:right="2719" w:firstLine="375"/>
        <w:spacing w:after="0" w:line="237" w:lineRule="auto"/>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Senior Debt Indenture. (Section 1006)</w:t>
      </w:r>
    </w:p>
    <w:p>
      <w:pPr>
        <w:spacing w:after="0" w:line="185" w:lineRule="exact"/>
        <w:rPr>
          <w:sz w:val="20"/>
          <w:szCs w:val="20"/>
          <w:color w:val="auto"/>
        </w:rPr>
      </w:pPr>
    </w:p>
    <w:p>
      <w:pPr>
        <w:jc w:val="both"/>
        <w:ind w:left="4" w:right="2719" w:firstLine="375"/>
        <w:spacing w:after="0" w:line="237" w:lineRule="auto"/>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85" w:lineRule="exact"/>
        <w:rPr>
          <w:sz w:val="20"/>
          <w:szCs w:val="20"/>
          <w:color w:val="auto"/>
        </w:rPr>
      </w:pPr>
    </w:p>
    <w:p>
      <w:pPr>
        <w:ind w:left="4" w:right="3559" w:firstLine="371"/>
        <w:spacing w:after="0" w:line="259" w:lineRule="auto"/>
        <w:tabs>
          <w:tab w:leader="none" w:pos="75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Restricted Subsidiaries to, create, incur, assume or suffer to exist, directly or indirectly, any Indebtedness secured by a Security Interest upon any</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478" w:right="1440" w:bottom="1440" w:gutter="0" w:footer="0" w:header="0"/>
        </w:sectPr>
      </w:pPr>
    </w:p>
    <w:bookmarkStart w:id="57" w:name="page58"/>
    <w:bookmarkEnd w:id="57"/>
    <w:p>
      <w:pPr>
        <w:ind w:right="2719"/>
        <w:spacing w:after="0" w:line="255" w:lineRule="auto"/>
        <w:rPr>
          <w:sz w:val="20"/>
          <w:szCs w:val="20"/>
          <w:color w:val="auto"/>
        </w:rPr>
      </w:pPr>
      <w:r>
        <w:rPr>
          <w:rFonts w:ascii="Courier New" w:cs="Courier New" w:eastAsia="Courier New" w:hAnsi="Courier New"/>
          <w:sz w:val="15"/>
          <w:szCs w:val="15"/>
          <w:color w:val="auto"/>
        </w:rPr>
        <w:t>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78" w:lineRule="exact"/>
        <w:rPr>
          <w:sz w:val="20"/>
          <w:szCs w:val="20"/>
          <w:color w:val="auto"/>
        </w:rPr>
      </w:pPr>
    </w:p>
    <w:p>
      <w:pPr>
        <w:ind w:right="2719" w:firstLine="371"/>
        <w:spacing w:after="0" w:line="238" w:lineRule="auto"/>
        <w:tabs>
          <w:tab w:leader="none" w:pos="75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w:t>
      </w:r>
    </w:p>
    <w:p>
      <w:pPr>
        <w:spacing w:after="0" w:line="15" w:lineRule="exact"/>
        <w:rPr>
          <w:rFonts w:ascii="Courier New" w:cs="Courier New" w:eastAsia="Courier New" w:hAnsi="Courier New"/>
          <w:sz w:val="16"/>
          <w:szCs w:val="16"/>
          <w:color w:val="auto"/>
        </w:rPr>
      </w:pPr>
    </w:p>
    <w:p>
      <w:pPr>
        <w:ind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Applicable Solely to Senior Debt Securities--Consolidation,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87" w:lineRule="exact"/>
        <w:rPr>
          <w:rFonts w:ascii="Courier New" w:cs="Courier New" w:eastAsia="Courier New" w:hAnsi="Courier New"/>
          <w:sz w:val="16"/>
          <w:szCs w:val="16"/>
          <w:color w:val="auto"/>
        </w:rPr>
      </w:pPr>
    </w:p>
    <w:p>
      <w:pPr>
        <w:ind w:right="2719" w:firstLine="371"/>
        <w:spacing w:after="0" w:line="259" w:lineRule="auto"/>
        <w:tabs>
          <w:tab w:leader="none" w:pos="7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1" w:lineRule="exact"/>
        <w:rPr>
          <w:rFonts w:ascii="Courier New" w:cs="Courier New" w:eastAsia="Courier New" w:hAnsi="Courier New"/>
          <w:sz w:val="15"/>
          <w:szCs w:val="15"/>
          <w:color w:val="auto"/>
        </w:rPr>
      </w:pPr>
    </w:p>
    <w:p>
      <w:pPr>
        <w:ind w:right="2719" w:firstLine="371"/>
        <w:spacing w:after="0" w:line="256" w:lineRule="auto"/>
        <w:tabs>
          <w:tab w:leader="none" w:pos="7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73" w:lineRule="exact"/>
        <w:rPr>
          <w:rFonts w:ascii="Courier New" w:cs="Courier New" w:eastAsia="Courier New" w:hAnsi="Courier New"/>
          <w:sz w:val="15"/>
          <w:szCs w:val="15"/>
          <w:color w:val="auto"/>
        </w:rPr>
      </w:pPr>
    </w:p>
    <w:p>
      <w:pPr>
        <w:ind w:right="2899" w:firstLine="371"/>
        <w:spacing w:after="0" w:line="237" w:lineRule="auto"/>
        <w:tabs>
          <w:tab w:leader="none" w:pos="75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5" w:lineRule="exact"/>
        <w:rPr>
          <w:rFonts w:ascii="Courier New" w:cs="Courier New" w:eastAsia="Courier New" w:hAnsi="Courier New"/>
          <w:sz w:val="16"/>
          <w:szCs w:val="16"/>
          <w:color w:val="auto"/>
        </w:rPr>
      </w:pPr>
    </w:p>
    <w:p>
      <w:pPr>
        <w:ind w:right="2719" w:firstLine="371"/>
        <w:spacing w:after="0" w:line="237" w:lineRule="auto"/>
        <w:tabs>
          <w:tab w:leader="none" w:pos="75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84" w:lineRule="exact"/>
        <w:rPr>
          <w:rFonts w:ascii="Courier New" w:cs="Courier New" w:eastAsia="Courier New" w:hAnsi="Courier New"/>
          <w:sz w:val="16"/>
          <w:szCs w:val="16"/>
          <w:color w:val="auto"/>
        </w:rPr>
      </w:pPr>
    </w:p>
    <w:p>
      <w:pPr>
        <w:ind w:right="2899" w:firstLine="371"/>
        <w:spacing w:after="0" w:line="236" w:lineRule="auto"/>
        <w:tabs>
          <w:tab w:leader="none" w:pos="75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the Company or any Restricted Subsidiary in the ordinary course of business; 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8" w:right="1440" w:bottom="1440" w:gutter="0" w:footer="0" w:header="0"/>
        </w:sectPr>
      </w:pPr>
    </w:p>
    <w:bookmarkStart w:id="58" w:name="page59"/>
    <w:bookmarkEnd w:id="58"/>
    <w:p>
      <w:pPr>
        <w:ind w:right="3179" w:firstLine="371"/>
        <w:spacing w:after="0" w:line="237" w:lineRule="auto"/>
        <w:tabs>
          <w:tab w:leader="none" w:pos="75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4" w:lineRule="exact"/>
        <w:rPr>
          <w:rFonts w:ascii="Courier New" w:cs="Courier New" w:eastAsia="Courier New" w:hAnsi="Courier New"/>
          <w:sz w:val="16"/>
          <w:szCs w:val="16"/>
          <w:color w:val="auto"/>
        </w:rPr>
      </w:pPr>
    </w:p>
    <w:p>
      <w:pPr>
        <w:ind w:right="3279" w:firstLine="371"/>
        <w:spacing w:after="0" w:line="259" w:lineRule="auto"/>
        <w:tabs>
          <w:tab w:leader="none" w:pos="7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the Company or any Restricted Subsidiary to conduct business, to maintain self-insurance, or to obtain the benefit of, or comply with, laws; or</w:t>
      </w:r>
    </w:p>
    <w:p>
      <w:pPr>
        <w:spacing w:after="0" w:line="171" w:lineRule="exact"/>
        <w:rPr>
          <w:rFonts w:ascii="Courier New" w:cs="Courier New" w:eastAsia="Courier New" w:hAnsi="Courier New"/>
          <w:sz w:val="15"/>
          <w:szCs w:val="15"/>
          <w:color w:val="auto"/>
        </w:rPr>
      </w:pPr>
    </w:p>
    <w:p>
      <w:pPr>
        <w:ind w:right="3179" w:firstLine="371"/>
        <w:spacing w:after="0" w:line="237" w:lineRule="auto"/>
        <w:tabs>
          <w:tab w:leader="none" w:pos="75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the Company or another Restricted Subsidiary or by the Company to a Restricted Subsidiary, or</w:t>
      </w:r>
    </w:p>
    <w:p>
      <w:pPr>
        <w:spacing w:after="0" w:line="184" w:lineRule="exact"/>
        <w:rPr>
          <w:rFonts w:ascii="Courier New" w:cs="Courier New" w:eastAsia="Courier New" w:hAnsi="Courier New"/>
          <w:sz w:val="16"/>
          <w:szCs w:val="16"/>
          <w:color w:val="auto"/>
        </w:rPr>
      </w:pPr>
    </w:p>
    <w:p>
      <w:pPr>
        <w:ind w:right="3099" w:firstLine="278"/>
        <w:spacing w:after="0" w:line="263" w:lineRule="auto"/>
        <w:tabs>
          <w:tab w:leader="none" w:pos="7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68" w:lineRule="exact"/>
        <w:rPr>
          <w:rFonts w:ascii="Courier New" w:cs="Courier New" w:eastAsia="Courier New" w:hAnsi="Courier New"/>
          <w:sz w:val="15"/>
          <w:szCs w:val="15"/>
          <w:color w:val="auto"/>
        </w:rPr>
      </w:pPr>
    </w:p>
    <w:p>
      <w:pPr>
        <w:ind w:right="2719" w:firstLine="278"/>
        <w:spacing w:after="0" w:line="238" w:lineRule="auto"/>
        <w:tabs>
          <w:tab w:leader="none" w:pos="75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86" w:lineRule="exact"/>
        <w:rPr>
          <w:rFonts w:ascii="Courier New" w:cs="Courier New" w:eastAsia="Courier New" w:hAnsi="Courier New"/>
          <w:sz w:val="16"/>
          <w:szCs w:val="16"/>
          <w:color w:val="auto"/>
        </w:rPr>
      </w:pPr>
    </w:p>
    <w:p>
      <w:pPr>
        <w:ind w:right="2719" w:firstLine="278"/>
        <w:spacing w:after="0" w:line="256" w:lineRule="auto"/>
        <w:tabs>
          <w:tab w:leader="none" w:pos="7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7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"--Provisions Applicable Solely to Senior Debt Securities--Limitations on Sale and Leaseback Transactions" and other than Sale and Leaseback Transactions between the Company and any Restricted Subsidiary) does not exceed 15% of Consolidated Net Tangible Assets. (Section 1008 of the Senior Debt Indenture)</w:t>
      </w:r>
    </w:p>
    <w:p>
      <w:pPr>
        <w:spacing w:after="0" w:line="358" w:lineRule="exact"/>
        <w:rPr>
          <w:sz w:val="20"/>
          <w:szCs w:val="20"/>
          <w:color w:val="auto"/>
        </w:rPr>
      </w:pPr>
    </w:p>
    <w:p>
      <w:pPr>
        <w:ind w:right="2719" w:firstLine="371"/>
        <w:spacing w:after="0" w:line="255" w:lineRule="auto"/>
        <w:tabs>
          <w:tab w:leader="none" w:pos="7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8" w:right="1440" w:bottom="1440" w:gutter="0" w:footer="0" w:header="0"/>
        </w:sectPr>
      </w:pPr>
    </w:p>
    <w:bookmarkStart w:id="59" w:name="page60"/>
    <w:bookmarkEnd w:id="59"/>
    <w:p>
      <w:pPr>
        <w:ind w:left="4" w:right="2719"/>
        <w:spacing w:after="0" w:line="263" w:lineRule="auto"/>
        <w:rPr>
          <w:sz w:val="20"/>
          <w:szCs w:val="20"/>
          <w:color w:val="auto"/>
        </w:rPr>
      </w:pPr>
      <w:r>
        <w:rPr>
          <w:rFonts w:ascii="Courier New" w:cs="Courier New" w:eastAsia="Courier New" w:hAnsi="Courier New"/>
          <w:sz w:val="15"/>
          <w:szCs w:val="15"/>
          <w:color w:val="auto"/>
        </w:rPr>
        <w:t>prior to all liens other than any liens theretofore existing thereon by a supplemental indenture or otherwise. (Section 1008 of the Senior Debt Indenture)</w:t>
      </w:r>
    </w:p>
    <w:p>
      <w:pPr>
        <w:spacing w:after="0" w:line="169" w:lineRule="exact"/>
        <w:rPr>
          <w:sz w:val="20"/>
          <w:szCs w:val="20"/>
          <w:color w:val="auto"/>
        </w:rPr>
      </w:pPr>
    </w:p>
    <w:p>
      <w:pPr>
        <w:ind w:left="4" w:right="2899" w:firstLine="375"/>
        <w:spacing w:after="0" w:line="237" w:lineRule="auto"/>
        <w:rPr>
          <w:sz w:val="20"/>
          <w:szCs w:val="20"/>
          <w:color w:val="auto"/>
        </w:rPr>
      </w:pPr>
      <w:r>
        <w:rPr>
          <w:rFonts w:ascii="Courier New" w:cs="Courier New" w:eastAsia="Courier New" w:hAnsi="Courier New"/>
          <w:sz w:val="16"/>
          <w:szCs w:val="16"/>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86" w:lineRule="exact"/>
        <w:rPr>
          <w:sz w:val="20"/>
          <w:szCs w:val="20"/>
          <w:color w:val="auto"/>
        </w:rPr>
      </w:pPr>
    </w:p>
    <w:p>
      <w:pPr>
        <w:ind w:left="4" w:right="2719" w:firstLine="375"/>
        <w:spacing w:after="0" w:line="254" w:lineRule="auto"/>
        <w:rPr>
          <w:sz w:val="20"/>
          <w:szCs w:val="20"/>
          <w:color w:val="auto"/>
        </w:rPr>
      </w:pPr>
      <w:r>
        <w:rPr>
          <w:rFonts w:ascii="Courier New" w:cs="Courier New" w:eastAsia="Courier New" w:hAnsi="Courier New"/>
          <w:sz w:val="15"/>
          <w:szCs w:val="15"/>
          <w:color w:val="auto"/>
        </w:rPr>
        <w:t>The Company will not, and will not permit a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w:t>
      </w:r>
    </w:p>
    <w:p>
      <w:pPr>
        <w:spacing w:after="0" w:line="5" w:lineRule="exact"/>
        <w:rPr>
          <w:sz w:val="20"/>
          <w:szCs w:val="20"/>
          <w:color w:val="auto"/>
        </w:rPr>
      </w:pPr>
    </w:p>
    <w:p>
      <w:pPr>
        <w:ind w:left="4" w:right="2719" w:hanging="4"/>
        <w:spacing w:after="0" w:line="238" w:lineRule="auto"/>
        <w:tabs>
          <w:tab w:leader="none" w:pos="37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88"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Notwithstanding the foregoing, the Company may, and may permit any</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Restricted Subsidiary to, effect any Sale and Leaseback Transaction that is not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acceptable pursuant to clauses (a) through (c), inclusive, of the foregoing</w:t>
      </w:r>
    </w:p>
    <w:p>
      <w:pPr>
        <w:ind w:left="4"/>
        <w:spacing w:after="0"/>
        <w:rPr>
          <w:sz w:val="20"/>
          <w:szCs w:val="20"/>
          <w:color w:val="auto"/>
        </w:rPr>
      </w:pPr>
      <w:r>
        <w:rPr>
          <w:rFonts w:ascii="Courier New" w:cs="Courier New" w:eastAsia="Courier New" w:hAnsi="Courier New"/>
          <w:sz w:val="16"/>
          <w:szCs w:val="16"/>
          <w:color w:val="auto"/>
        </w:rPr>
        <w:t>covenant, provided that the Attributable Debt associated with such Sale and</w:t>
      </w:r>
    </w:p>
    <w:p>
      <w:pPr>
        <w:ind w:left="4"/>
        <w:spacing w:after="0" w:line="237" w:lineRule="auto"/>
        <w:rPr>
          <w:sz w:val="20"/>
          <w:szCs w:val="20"/>
          <w:color w:val="auto"/>
        </w:rPr>
      </w:pPr>
      <w:r>
        <w:rPr>
          <w:rFonts w:ascii="Courier New" w:cs="Courier New" w:eastAsia="Courier New" w:hAnsi="Courier New"/>
          <w:sz w:val="16"/>
          <w:szCs w:val="16"/>
          <w:color w:val="auto"/>
        </w:rPr>
        <w:t>Leaseback Transaction, together with the aggregate principal amount of</w:t>
      </w:r>
    </w:p>
    <w:p>
      <w:pPr>
        <w:ind w:left="4"/>
        <w:spacing w:after="0"/>
        <w:rPr>
          <w:sz w:val="20"/>
          <w:szCs w:val="20"/>
          <w:color w:val="auto"/>
        </w:rPr>
      </w:pPr>
      <w:r>
        <w:rPr>
          <w:rFonts w:ascii="Courier New" w:cs="Courier New" w:eastAsia="Courier New" w:hAnsi="Courier New"/>
          <w:sz w:val="16"/>
          <w:szCs w:val="16"/>
          <w:color w:val="auto"/>
        </w:rPr>
        <w:t>outstanding debt secured by Security Interests upon Principal Property not</w:t>
      </w:r>
    </w:p>
    <w:p>
      <w:pPr>
        <w:ind w:left="4"/>
        <w:spacing w:after="0" w:line="238" w:lineRule="auto"/>
        <w:rPr>
          <w:sz w:val="20"/>
          <w:szCs w:val="20"/>
          <w:color w:val="auto"/>
        </w:rPr>
      </w:pPr>
      <w:r>
        <w:rPr>
          <w:rFonts w:ascii="Courier New" w:cs="Courier New" w:eastAsia="Courier New" w:hAnsi="Courier New"/>
          <w:sz w:val="16"/>
          <w:szCs w:val="16"/>
          <w:color w:val="auto"/>
        </w:rPr>
        <w:t>acceptable pursuant to clauses (1) through (12) of the covenant described in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"--Provisions Applicable Solely to Senior Debt Securities--Limitation on Liens,"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inclusive, do not exceed 15% of Consolidated Net Tangible Assets. (Section 1009</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of the Senior Debt Indenture)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PROVISIONS APPLICABLE SOLELY TO SUBORDINATED DEBT SECURITIES</w:t>
      </w:r>
    </w:p>
    <w:p>
      <w:pPr>
        <w:spacing w:after="0" w:line="185" w:lineRule="exact"/>
        <w:rPr>
          <w:sz w:val="20"/>
          <w:szCs w:val="20"/>
          <w:color w:val="auto"/>
        </w:rPr>
      </w:pPr>
    </w:p>
    <w:p>
      <w:pPr>
        <w:ind w:left="4" w:right="2819" w:firstLine="375"/>
        <w:spacing w:after="0" w:line="238" w:lineRule="auto"/>
        <w:rPr>
          <w:sz w:val="20"/>
          <w:szCs w:val="20"/>
          <w:color w:val="auto"/>
        </w:rPr>
      </w:pPr>
      <w:r>
        <w:rPr>
          <w:rFonts w:ascii="Courier New" w:cs="Courier New" w:eastAsia="Courier New" w:hAnsi="Courier New"/>
          <w:sz w:val="16"/>
          <w:szCs w:val="16"/>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w:t>
      </w:r>
    </w:p>
    <w:p>
      <w:pPr>
        <w:spacing w:after="0" w:line="187"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478" w:right="1440" w:bottom="1440" w:gutter="0" w:footer="0" w:header="0"/>
        </w:sectPr>
      </w:pPr>
    </w:p>
    <w:bookmarkStart w:id="60" w:name="page61"/>
    <w:bookmarkEnd w:id="60"/>
    <w:p>
      <w:pPr>
        <w:ind w:right="2719"/>
        <w:spacing w:after="0" w:line="255" w:lineRule="auto"/>
        <w:rPr>
          <w:sz w:val="20"/>
          <w:szCs w:val="20"/>
          <w:color w:val="auto"/>
        </w:rPr>
      </w:pPr>
      <w:r>
        <w:rPr>
          <w:rFonts w:ascii="Courier New" w:cs="Courier New" w:eastAsia="Courier New" w:hAnsi="Courier New"/>
          <w:sz w:val="15"/>
          <w:szCs w:val="15"/>
          <w:color w:val="auto"/>
        </w:rPr>
        <w:t>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178" w:lineRule="exact"/>
        <w:rPr>
          <w:sz w:val="20"/>
          <w:szCs w:val="20"/>
          <w:color w:val="auto"/>
        </w:rPr>
      </w:pPr>
    </w:p>
    <w:p>
      <w:pPr>
        <w:ind w:right="2719" w:firstLine="375"/>
        <w:spacing w:after="0" w:line="257" w:lineRule="auto"/>
        <w:rPr>
          <w:sz w:val="20"/>
          <w:szCs w:val="20"/>
          <w:color w:val="auto"/>
        </w:rPr>
      </w:pPr>
      <w:r>
        <w:rPr>
          <w:rFonts w:ascii="Courier New" w:cs="Courier New" w:eastAsia="Courier New" w:hAnsi="Courier New"/>
          <w:sz w:val="15"/>
          <w:szCs w:val="15"/>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74" w:lineRule="exact"/>
        <w:rPr>
          <w:sz w:val="20"/>
          <w:szCs w:val="20"/>
          <w:color w:val="auto"/>
        </w:rPr>
      </w:pPr>
    </w:p>
    <w:p>
      <w:pPr>
        <w:ind w:right="2719" w:firstLine="371"/>
        <w:spacing w:after="0" w:line="237" w:lineRule="auto"/>
        <w:tabs>
          <w:tab w:leader="none" w:pos="7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pacing w:after="0" w:line="184" w:lineRule="exact"/>
        <w:rPr>
          <w:rFonts w:ascii="Courier New" w:cs="Courier New" w:eastAsia="Courier New" w:hAnsi="Courier New"/>
          <w:sz w:val="16"/>
          <w:szCs w:val="16"/>
          <w:color w:val="auto"/>
        </w:rPr>
      </w:pPr>
    </w:p>
    <w:p>
      <w:pPr>
        <w:ind w:right="2819" w:firstLine="371"/>
        <w:spacing w:after="0" w:line="237" w:lineRule="auto"/>
        <w:tabs>
          <w:tab w:leader="none" w:pos="7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85" w:lineRule="exact"/>
        <w:rPr>
          <w:rFonts w:ascii="Courier New" w:cs="Courier New" w:eastAsia="Courier New" w:hAnsi="Courier New"/>
          <w:sz w:val="16"/>
          <w:szCs w:val="16"/>
          <w:color w:val="auto"/>
        </w:rPr>
      </w:pPr>
    </w:p>
    <w:p>
      <w:pPr>
        <w:ind w:right="2899" w:firstLine="371"/>
        <w:spacing w:after="0" w:line="236" w:lineRule="auto"/>
        <w:tabs>
          <w:tab w:leader="none" w:pos="7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Subordinated Debt Security of that series; or</w:t>
      </w:r>
    </w:p>
    <w:p>
      <w:pPr>
        <w:spacing w:after="0" w:line="184" w:lineRule="exact"/>
        <w:rPr>
          <w:rFonts w:ascii="Courier New" w:cs="Courier New" w:eastAsia="Courier New" w:hAnsi="Courier New"/>
          <w:sz w:val="16"/>
          <w:szCs w:val="16"/>
          <w:color w:val="auto"/>
        </w:rPr>
      </w:pPr>
    </w:p>
    <w:p>
      <w:pPr>
        <w:ind w:right="2719" w:firstLine="371"/>
        <w:spacing w:after="0" w:line="238" w:lineRule="auto"/>
        <w:tabs>
          <w:tab w:leader="none" w:pos="7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88" w:lineRule="exact"/>
        <w:rPr>
          <w:rFonts w:ascii="Courier New" w:cs="Courier New" w:eastAsia="Courier New" w:hAnsi="Courier New"/>
          <w:sz w:val="16"/>
          <w:szCs w:val="16"/>
          <w:color w:val="auto"/>
        </w:rPr>
      </w:pPr>
    </w:p>
    <w:p>
      <w:pPr>
        <w:ind w:right="2719" w:firstLine="371"/>
        <w:spacing w:after="0" w:line="238" w:lineRule="auto"/>
        <w:tabs>
          <w:tab w:leader="none" w:pos="7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8" w:right="1440" w:bottom="1440" w:gutter="0" w:footer="0" w:header="0"/>
        </w:sectPr>
      </w:pPr>
    </w:p>
    <w:bookmarkStart w:id="61" w:name="page62"/>
    <w:bookmarkEnd w:id="61"/>
    <w:p>
      <w:pPr>
        <w:ind w:right="2719" w:firstLine="371"/>
        <w:spacing w:after="0" w:line="238" w:lineRule="auto"/>
        <w:tabs>
          <w:tab w:leader="none" w:pos="75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0" w:lineRule="exact"/>
        <w:rPr>
          <w:rFonts w:ascii="Courier New" w:cs="Courier New" w:eastAsia="Courier New" w:hAnsi="Courier New"/>
          <w:sz w:val="16"/>
          <w:szCs w:val="16"/>
          <w:color w:val="auto"/>
        </w:rPr>
      </w:pPr>
    </w:p>
    <w:p>
      <w:pPr>
        <w:ind w:right="2999" w:firstLine="371"/>
        <w:spacing w:after="0" w:line="263" w:lineRule="auto"/>
        <w:tabs>
          <w:tab w:leader="none" w:pos="7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Subordinated Debt Securities of that series. (Section 501 of the Subordinated Debt Indenture)</w:t>
      </w:r>
    </w:p>
    <w:p>
      <w:pPr>
        <w:spacing w:after="0" w:line="169"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 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0" w:lineRule="exact"/>
        <w:rPr>
          <w:sz w:val="20"/>
          <w:szCs w:val="20"/>
          <w:color w:val="auto"/>
        </w:rPr>
      </w:pPr>
    </w:p>
    <w:p>
      <w:pPr>
        <w:spacing w:after="0" w:line="363" w:lineRule="exact"/>
        <w:rPr>
          <w:sz w:val="20"/>
          <w:szCs w:val="20"/>
          <w:color w:val="auto"/>
        </w:rPr>
      </w:pPr>
    </w:p>
    <w:p>
      <w:pPr>
        <w:ind w:right="2719" w:firstLine="375"/>
        <w:spacing w:after="0" w:line="257" w:lineRule="auto"/>
        <w:rPr>
          <w:sz w:val="20"/>
          <w:szCs w:val="20"/>
          <w:color w:val="auto"/>
        </w:rPr>
      </w:pPr>
      <w:r>
        <w:rPr>
          <w:rFonts w:ascii="Courier New" w:cs="Courier New" w:eastAsia="Courier New" w:hAnsi="Courier New"/>
          <w:sz w:val="15"/>
          <w:szCs w:val="15"/>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78" w:right="1440" w:bottom="1440" w:gutter="0" w:footer="0" w:header="0"/>
        </w:sectPr>
      </w:pPr>
    </w:p>
    <w:bookmarkStart w:id="62" w:name="page63"/>
    <w:bookmarkEnd w:id="62"/>
    <w:p>
      <w:pPr>
        <w:ind w:right="2719"/>
        <w:spacing w:after="0" w:line="255" w:lineRule="auto"/>
        <w:rPr>
          <w:sz w:val="20"/>
          <w:szCs w:val="20"/>
          <w:color w:val="auto"/>
        </w:rPr>
      </w:pPr>
      <w:r>
        <w:rPr>
          <w:rFonts w:ascii="Courier New" w:cs="Courier New" w:eastAsia="Courier New" w:hAnsi="Courier New"/>
          <w:sz w:val="15"/>
          <w:szCs w:val="15"/>
          <w:color w:val="auto"/>
        </w:rPr>
        <w:t>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35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35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78" w:right="1440" w:bottom="1440" w:gutter="0" w:footer="0" w:header="0"/>
        </w:sectPr>
      </w:pPr>
    </w:p>
    <w:bookmarkStart w:id="63" w:name="page64"/>
    <w:bookmarkEnd w:id="63"/>
    <w:p>
      <w:pPr>
        <w:ind w:right="2719" w:firstLine="375"/>
        <w:spacing w:after="0" w:line="255" w:lineRule="auto"/>
        <w:rPr>
          <w:sz w:val="20"/>
          <w:szCs w:val="20"/>
          <w:color w:val="auto"/>
        </w:rPr>
      </w:pPr>
      <w:r>
        <w:rPr>
          <w:rFonts w:ascii="Courier New" w:cs="Courier New" w:eastAsia="Courier New" w:hAnsi="Courier New"/>
          <w:sz w:val="15"/>
          <w:szCs w:val="15"/>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57"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pacing w:after="0" w:line="17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78"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Subordinated Debt Securities or otherwise made in capital stock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1601, 1604 and 1605 of the Subordinated Debt Indenture)</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0" w:lineRule="exact"/>
        <w:rPr>
          <w:sz w:val="20"/>
          <w:szCs w:val="20"/>
          <w:color w:val="auto"/>
        </w:rPr>
      </w:pPr>
    </w:p>
    <w:p>
      <w:pPr>
        <w:spacing w:after="0" w:line="33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78" w:right="1440" w:bottom="1440" w:gutter="0" w:footer="0" w:header="0"/>
        </w:sectPr>
      </w:pPr>
    </w:p>
    <w:bookmarkStart w:id="65" w:name="page66"/>
    <w:bookmarkEnd w:id="65"/>
    <w:p>
      <w:pPr>
        <w:ind w:right="2719"/>
        <w:spacing w:after="0" w:line="238" w:lineRule="auto"/>
        <w:rPr>
          <w:sz w:val="20"/>
          <w:szCs w:val="20"/>
          <w:color w:val="auto"/>
        </w:rPr>
      </w:pPr>
      <w:r>
        <w:rPr>
          <w:rFonts w:ascii="Courier New" w:cs="Courier New" w:eastAsia="Courier New" w:hAnsi="Courier New"/>
          <w:sz w:val="16"/>
          <w:szCs w:val="16"/>
          <w:color w:val="auto"/>
        </w:rPr>
        <w:t>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00"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358" w:lineRule="exact"/>
        <w:rPr>
          <w:sz w:val="20"/>
          <w:szCs w:val="20"/>
          <w:color w:val="auto"/>
        </w:rPr>
      </w:pPr>
    </w:p>
    <w:p>
      <w:pPr>
        <w:ind w:right="3179" w:firstLine="375"/>
        <w:spacing w:after="0" w:line="237" w:lineRule="auto"/>
        <w:rPr>
          <w:sz w:val="20"/>
          <w:szCs w:val="20"/>
          <w:color w:val="auto"/>
        </w:rPr>
      </w:pPr>
      <w:r>
        <w:rPr>
          <w:rFonts w:ascii="Courier New" w:cs="Courier New" w:eastAsia="Courier New" w:hAnsi="Courier New"/>
          <w:sz w:val="16"/>
          <w:szCs w:val="16"/>
          <w:color w:val="auto"/>
        </w:rPr>
        <w:t>The Prospectus Supplement respecting any series of Subordinated Debt Securities's will set forth any subordination provisions applicable to such series in addition to or different from those described above.</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7"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78" w:right="1440" w:bottom="1440" w:gutter="0" w:footer="0" w:header="0"/>
        </w:sectPr>
      </w:pPr>
    </w:p>
    <w:bookmarkStart w:id="66" w:name="page67"/>
    <w:bookmarkEnd w:id="66"/>
    <w:p>
      <w:pPr>
        <w:ind w:right="3479"/>
        <w:spacing w:after="0" w:line="236" w:lineRule="auto"/>
        <w:rPr>
          <w:sz w:val="20"/>
          <w:szCs w:val="20"/>
          <w:color w:val="auto"/>
        </w:rPr>
      </w:pPr>
      <w:r>
        <w:rPr>
          <w:rFonts w:ascii="Courier New" w:cs="Courier New" w:eastAsia="Courier New" w:hAnsi="Courier New"/>
          <w:sz w:val="16"/>
          <w:szCs w:val="16"/>
          <w:color w:val="auto"/>
        </w:rPr>
        <w:t>Subordinated Debt Securities unless otherwise provided in the applicable Prospectus Supplement for such Debt Securities.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86"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357" w:lineRule="exact"/>
        <w:rPr>
          <w:sz w:val="20"/>
          <w:szCs w:val="20"/>
          <w:color w:val="auto"/>
        </w:rPr>
      </w:pPr>
    </w:p>
    <w:p>
      <w:pPr>
        <w:ind w:right="2819" w:firstLine="375"/>
        <w:spacing w:after="0" w:line="255" w:lineRule="auto"/>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78"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78" w:right="1440" w:bottom="1440" w:gutter="0" w:footer="0" w:header="0"/>
        </w:sectPr>
      </w:pPr>
    </w:p>
    <w:bookmarkStart w:id="67" w:name="page68"/>
    <w:bookmarkEnd w:id="67"/>
    <w:p>
      <w:pPr>
        <w:ind w:right="2719"/>
        <w:spacing w:after="0" w:line="236" w:lineRule="auto"/>
        <w:rPr>
          <w:sz w:val="20"/>
          <w:szCs w:val="20"/>
          <w:color w:val="auto"/>
        </w:rPr>
      </w:pPr>
      <w:r>
        <w:rPr>
          <w:rFonts w:ascii="Courier New" w:cs="Courier New" w:eastAsia="Courier New" w:hAnsi="Courier New"/>
          <w:sz w:val="16"/>
          <w:szCs w:val="16"/>
          <w:color w:val="auto"/>
        </w:rPr>
        <w:t>Securities immediately prior to such consolidation, merger, conveyance, transfer or lease. (Section 1505 of the Subordinated Debt Indenture)</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DESCRIPTION OF CAPITAL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Company is currently authorized to issue 500,000,000 shares of its Common Stock, par value $.01 per share, of which 219,811,065 shares were outstanding on March 31, 1998 and 10,000,000 shares of Preferred Stock, par value $.01 per share (the "Preferred Stock"), none of which were outstanding on such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719" w:firstLine="375"/>
        <w:spacing w:after="0" w:line="257"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Holders of Common Stock have no conversion, redemption or preemptive rights. All outstanding shares of Common Stock are, and the Common Stock to be issued hereunder will be, validly issued, fully paid and nonassessable.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5"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5"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The transfer agent and registrar for the Common Stock is Boston EquiServe, Boston, Massachusetts.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w:t>
      </w:r>
    </w:p>
    <w:p>
      <w:pPr>
        <w:spacing w:after="0" w:line="185" w:lineRule="exact"/>
        <w:rPr>
          <w:sz w:val="20"/>
          <w:szCs w:val="20"/>
          <w:color w:val="auto"/>
        </w:rPr>
      </w:pPr>
    </w:p>
    <w:p>
      <w:pPr>
        <w:jc w:val="both"/>
        <w:ind w:right="3099" w:firstLine="375"/>
        <w:spacing w:after="0" w:line="237" w:lineRule="auto"/>
        <w:rPr>
          <w:sz w:val="20"/>
          <w:szCs w:val="20"/>
          <w:color w:val="auto"/>
        </w:rPr>
      </w:pPr>
      <w:r>
        <w:rPr>
          <w:rFonts w:ascii="Courier New" w:cs="Courier New" w:eastAsia="Courier New" w:hAnsi="Courier New"/>
          <w:sz w:val="16"/>
          <w:szCs w:val="16"/>
          <w:color w:val="auto"/>
        </w:rPr>
        <w:t>Section 203 of the DGCL ("Section 203") generally provides that a person who, together with affiliates and associates owns, or within three years did own, at least 15% but less than 85% of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78" w:right="1440" w:bottom="1440" w:gutter="0" w:footer="0" w:header="0"/>
        </w:sectPr>
      </w:pPr>
    </w:p>
    <w:bookmarkStart w:id="68" w:name="page69"/>
    <w:bookmarkEnd w:id="68"/>
    <w:p>
      <w:pPr>
        <w:ind w:right="2719"/>
        <w:spacing w:after="0" w:line="238" w:lineRule="auto"/>
        <w:rPr>
          <w:sz w:val="20"/>
          <w:szCs w:val="20"/>
          <w:color w:val="auto"/>
        </w:rPr>
      </w:pPr>
      <w:r>
        <w:rPr>
          <w:rFonts w:ascii="Courier New" w:cs="Courier New" w:eastAsia="Courier New" w:hAnsi="Courier New"/>
          <w:sz w:val="16"/>
          <w:szCs w:val="16"/>
          <w:color w:val="auto"/>
        </w:rPr>
        <w:t>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89"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PLAN OF DISTRIBUTION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The Company may sell Securities to or through underwriters or dealers, and also may sell Securities directly to other purchasers or through agents.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6"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87"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89" w:lineRule="exact"/>
        <w:rPr>
          <w:sz w:val="20"/>
          <w:szCs w:val="20"/>
          <w:color w:val="auto"/>
        </w:rPr>
      </w:pPr>
    </w:p>
    <w:p>
      <w:pPr>
        <w:ind w:right="3099" w:firstLine="375"/>
        <w:spacing w:after="0" w:line="257" w:lineRule="auto"/>
        <w:rPr>
          <w:sz w:val="20"/>
          <w:szCs w:val="20"/>
          <w:color w:val="auto"/>
        </w:rPr>
      </w:pPr>
      <w:r>
        <w:rPr>
          <w:rFonts w:ascii="Courier New" w:cs="Courier New" w:eastAsia="Courier New" w:hAnsi="Courier New"/>
          <w:sz w:val="15"/>
          <w:szCs w:val="15"/>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DELAYED DELIVERY ARRANGEMENT</w:t>
      </w:r>
    </w:p>
    <w:p>
      <w:pPr>
        <w:spacing w:after="0" w:line="185"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If so indicated in the applicable Prospectus Supplement, the Company will authorize underwriters or other persons acting as the Company's agents to solicit offers by certain institutions to purchase Debt Securities from the Company pursuant to contracts providing for payment and delivery on a future date.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78" w:right="1440" w:bottom="1440" w:gutter="0" w:footer="0" w:header="0"/>
        </w:sectPr>
      </w:pPr>
    </w:p>
    <w:bookmarkStart w:id="69" w:name="page70"/>
    <w:bookmarkEnd w:id="69"/>
    <w:p>
      <w:pPr>
        <w:ind w:right="2719"/>
        <w:spacing w:after="0" w:line="238" w:lineRule="auto"/>
        <w:rPr>
          <w:sz w:val="20"/>
          <w:szCs w:val="20"/>
          <w:color w:val="auto"/>
        </w:rPr>
      </w:pPr>
      <w:r>
        <w:rPr>
          <w:rFonts w:ascii="Courier New" w:cs="Courier New" w:eastAsia="Courier New" w:hAnsi="Courier New"/>
          <w:sz w:val="16"/>
          <w:szCs w:val="16"/>
          <w:color w:val="auto"/>
        </w:rPr>
        <w:t>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VALIDITY OF SECURITIES</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right="2899" w:firstLine="375"/>
        <w:spacing w:after="0" w:line="256" w:lineRule="auto"/>
        <w:rPr>
          <w:sz w:val="20"/>
          <w:szCs w:val="20"/>
          <w:color w:val="auto"/>
        </w:rPr>
      </w:pPr>
      <w:r>
        <w:rPr>
          <w:rFonts w:ascii="Courier New" w:cs="Courier New" w:eastAsia="Courier New" w:hAnsi="Courier New"/>
          <w:sz w:val="15"/>
          <w:szCs w:val="15"/>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Prospectus, have been incorporated herein in reliance on the report of Coopers &amp; Lybrand L.L.P., independent accountants, given on the authority of that firm as experts in accounting and auditing.</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78" w:right="1440" w:bottom="1440" w:gutter="0" w:footer="0" w:header="0"/>
        </w:sectPr>
      </w:pPr>
    </w:p>
    <w:bookmarkStart w:id="70" w:name="page71"/>
    <w:bookmarkEnd w:id="70"/>
    <w:p>
      <w:pPr>
        <w:ind w:left="184" w:hanging="184"/>
        <w:spacing w:after="0"/>
        <w:tabs>
          <w:tab w:leader="none" w:pos="18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TO ANY REPRESENTATIONS OTHER THAN THOSE CONTAINED OR INCORPORATED BY REFERENCE IN THIS PROSPECTUS SUPPLEMENT AND THE PROSPECTUS AND,</w:t>
      </w:r>
    </w:p>
    <w:tbl>
      <w:tblPr>
        <w:tblLayout w:type="fixed"/>
        <w:tblInd w:w="4" w:type="dxa"/>
        <w:tblCellMar>
          <w:top w:w="0" w:type="dxa"/>
          <w:left w:w="0" w:type="dxa"/>
          <w:bottom w:w="0" w:type="dxa"/>
          <w:right w:w="0" w:type="dxa"/>
        </w:tblCellMar>
      </w:tblPr>
      <w:tr>
        <w:trPr>
          <w:trHeight w:val="178"/>
        </w:trPr>
        <w:tc>
          <w:tcPr>
            <w:tcW w:w="5480" w:type="dxa"/>
            <w:vAlign w:val="bottom"/>
            <w:gridSpan w:val="2"/>
          </w:tcPr>
          <w:p>
            <w:pPr>
              <w:spacing w:after="0" w:line="178" w:lineRule="exact"/>
              <w:rPr>
                <w:sz w:val="20"/>
                <w:szCs w:val="20"/>
                <w:color w:val="auto"/>
              </w:rPr>
            </w:pPr>
            <w:r>
              <w:rPr>
                <w:rFonts w:ascii="Courier New" w:cs="Courier New" w:eastAsia="Courier New" w:hAnsi="Courier New"/>
                <w:sz w:val="16"/>
                <w:szCs w:val="16"/>
                <w:color w:val="auto"/>
                <w:w w:val="98"/>
              </w:rPr>
              <w:t>IF GIVEN OR MADE, SUCH INFORMATION OR REPRESENTATIONS MUST</w:t>
            </w:r>
          </w:p>
        </w:tc>
        <w:tc>
          <w:tcPr>
            <w:tcW w:w="2020" w:type="dxa"/>
            <w:vAlign w:val="bottom"/>
          </w:tcPr>
          <w:p>
            <w:pPr>
              <w:ind w:left="60"/>
              <w:spacing w:after="0" w:line="178" w:lineRule="exact"/>
              <w:rPr>
                <w:sz w:val="20"/>
                <w:szCs w:val="20"/>
                <w:color w:val="auto"/>
              </w:rPr>
            </w:pPr>
            <w:r>
              <w:rPr>
                <w:rFonts w:ascii="Courier New" w:cs="Courier New" w:eastAsia="Courier New" w:hAnsi="Courier New"/>
                <w:sz w:val="16"/>
                <w:szCs w:val="16"/>
                <w:color w:val="auto"/>
                <w:w w:val="96"/>
              </w:rPr>
              <w:t>NOT BE RELIED UPON AS</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HAVING BEEN AUTHORIZED BY THE COMPANY OR ANY OF THE UNDERWRITERS. THIS</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PROSPECTUS SUPPLEMENT AND THE PROSPECTUS DO NOT CONSTITUTE</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w w:val="96"/>
              </w:rPr>
              <w:t>AN OFFER TO SELL OR A</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9"/>
              </w:rPr>
              <w:t>SOLICITATION OF AN OFFER TO BUY THE SECURITIES OFFERED HEREBY BY ANYONE IN ANY</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8"/>
              </w:rPr>
              <w:t>JURISDICTION IN WHICH SUCH OFFER OR SOLICITATION IS NOT AUTHORIZED, OR IN WHICH</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w w:val="97"/>
              </w:rPr>
              <w:t>THE PERSON MAKING SUCH OFFER OR SOLICITATION IS NOT QUALIFIED TO DO SO OR TO ANY</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PERSON TO WHOM IT IS UNLAWFUL TO MAKE SUCH OFFER OR SOLICITATION. NEITHER THE</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DELIVERY OF THIS PROSPECTUS SUPPLEMENT AND THE PROSPECTUS NOR ANY SALE MADE</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8"/>
              </w:rPr>
              <w:t>HEREUNDER AND THEREUNDER SHALL CREATE ANY IMPLICATION THAT</w:t>
            </w:r>
          </w:p>
        </w:tc>
        <w:tc>
          <w:tcPr>
            <w:tcW w:w="2020" w:type="dxa"/>
            <w:vAlign w:val="bottom"/>
          </w:tcPr>
          <w:p>
            <w:pPr>
              <w:ind w:left="60"/>
              <w:spacing w:after="0"/>
              <w:rPr>
                <w:sz w:val="20"/>
                <w:szCs w:val="20"/>
                <w:color w:val="auto"/>
              </w:rPr>
            </w:pPr>
            <w:r>
              <w:rPr>
                <w:rFonts w:ascii="Courier New" w:cs="Courier New" w:eastAsia="Courier New" w:hAnsi="Courier New"/>
                <w:sz w:val="16"/>
                <w:szCs w:val="16"/>
                <w:color w:val="auto"/>
              </w:rPr>
              <w:t>THE INFORMATION</w:t>
            </w:r>
          </w:p>
        </w:tc>
      </w:tr>
      <w:tr>
        <w:trPr>
          <w:trHeight w:val="180"/>
        </w:trPr>
        <w:tc>
          <w:tcPr>
            <w:tcW w:w="7500" w:type="dxa"/>
            <w:vAlign w:val="bottom"/>
            <w:gridSpan w:val="3"/>
          </w:tcPr>
          <w:p>
            <w:pPr>
              <w:spacing w:after="0"/>
              <w:rPr>
                <w:sz w:val="20"/>
                <w:szCs w:val="20"/>
                <w:color w:val="auto"/>
              </w:rPr>
            </w:pPr>
            <w:r>
              <w:rPr>
                <w:rFonts w:ascii="Courier New" w:cs="Courier New" w:eastAsia="Courier New" w:hAnsi="Courier New"/>
                <w:sz w:val="16"/>
                <w:szCs w:val="16"/>
                <w:color w:val="auto"/>
              </w:rPr>
              <w:t>CONTAINED HEREIN IS CORRECT AS OF ANY TIME SUBSEQUENT TO ITS DATE.</w:t>
            </w:r>
          </w:p>
        </w:tc>
      </w:tr>
      <w:tr>
        <w:trPr>
          <w:trHeight w:val="361"/>
        </w:trPr>
        <w:tc>
          <w:tcPr>
            <w:tcW w:w="548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24"/>
                <w:szCs w:val="24"/>
                <w:color w:val="auto"/>
              </w:rPr>
            </w:pPr>
          </w:p>
        </w:tc>
      </w:tr>
      <w:tr>
        <w:trPr>
          <w:trHeight w:val="361"/>
        </w:trPr>
        <w:tc>
          <w:tcPr>
            <w:tcW w:w="548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2020" w:type="dxa"/>
            <w:vAlign w:val="bottom"/>
          </w:tcPr>
          <w:p>
            <w:pPr>
              <w:spacing w:after="0"/>
              <w:rPr>
                <w:sz w:val="24"/>
                <w:szCs w:val="24"/>
                <w:color w:val="auto"/>
              </w:rPr>
            </w:pPr>
          </w:p>
        </w:tc>
      </w:tr>
      <w:tr>
        <w:trPr>
          <w:trHeight w:val="541"/>
        </w:trPr>
        <w:tc>
          <w:tcPr>
            <w:tcW w:w="3940" w:type="dxa"/>
            <w:vAlign w:val="bottom"/>
          </w:tcPr>
          <w:p>
            <w:pPr>
              <w:ind w:left="740"/>
              <w:spacing w:after="0"/>
              <w:rPr>
                <w:sz w:val="20"/>
                <w:szCs w:val="20"/>
                <w:color w:val="auto"/>
              </w:rPr>
            </w:pPr>
            <w:r>
              <w:rPr>
                <w:rFonts w:ascii="Courier New" w:cs="Courier New" w:eastAsia="Courier New" w:hAnsi="Courier New"/>
                <w:sz w:val="16"/>
                <w:szCs w:val="16"/>
                <w:color w:val="auto"/>
              </w:rPr>
              <w:t>PROSPECTUS SUPPLEMENT</w:t>
            </w:r>
          </w:p>
        </w:tc>
        <w:tc>
          <w:tcPr>
            <w:tcW w:w="1540" w:type="dxa"/>
            <w:vAlign w:val="bottom"/>
          </w:tcPr>
          <w:p>
            <w:pPr>
              <w:jc w:val="right"/>
              <w:ind w:right="1082"/>
              <w:spacing w:after="0"/>
              <w:rPr>
                <w:sz w:val="20"/>
                <w:szCs w:val="20"/>
                <w:color w:val="auto"/>
              </w:rPr>
            </w:pPr>
            <w:r>
              <w:rPr>
                <w:rFonts w:ascii="Courier New" w:cs="Courier New" w:eastAsia="Courier New" w:hAnsi="Courier New"/>
                <w:sz w:val="16"/>
                <w:szCs w:val="16"/>
                <w:color w:val="auto"/>
                <w:w w:val="93"/>
              </w:rPr>
              <w:t>PAGE</w:t>
            </w:r>
          </w:p>
        </w:tc>
        <w:tc>
          <w:tcPr>
            <w:tcW w:w="202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Prospectus Supplement Summary..................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Use of Proceeds................................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Ratios of Earnings to Fixed Charges............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Capitalization.................................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S-7</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Selected Historical and Summary Combined</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97"/>
              </w:rPr>
              <w:t>Unauditied Pro Forma Condensed Financial</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Information..................................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the Notes.......................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S-12</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Certain United States Federal Income Tax</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Considerations...............................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S-21</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Underwriting...................................</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Legal Matters..................................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S-26</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Index to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F-1</w:t>
            </w:r>
          </w:p>
        </w:tc>
        <w:tc>
          <w:tcPr>
            <w:tcW w:w="2020" w:type="dxa"/>
            <w:vAlign w:val="bottom"/>
          </w:tcPr>
          <w:p>
            <w:pPr>
              <w:spacing w:after="0"/>
              <w:rPr>
                <w:sz w:val="15"/>
                <w:szCs w:val="15"/>
                <w:color w:val="auto"/>
              </w:rPr>
            </w:pPr>
          </w:p>
        </w:tc>
      </w:tr>
      <w:tr>
        <w:trPr>
          <w:trHeight w:val="721"/>
        </w:trPr>
        <w:tc>
          <w:tcPr>
            <w:tcW w:w="3940" w:type="dxa"/>
            <w:vAlign w:val="bottom"/>
          </w:tcPr>
          <w:p>
            <w:pPr>
              <w:ind w:left="1680"/>
              <w:spacing w:after="0"/>
              <w:rPr>
                <w:sz w:val="20"/>
                <w:szCs w:val="20"/>
                <w:color w:val="auto"/>
              </w:rPr>
            </w:pPr>
            <w:r>
              <w:rPr>
                <w:rFonts w:ascii="Courier New" w:cs="Courier New" w:eastAsia="Courier New" w:hAnsi="Courier New"/>
                <w:sz w:val="16"/>
                <w:szCs w:val="16"/>
                <w:color w:val="auto"/>
              </w:rPr>
              <w:t>PROSPECTUS</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Available Information..........................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2020" w:type="dxa"/>
            <w:vAlign w:val="bottom"/>
          </w:tcPr>
          <w:p>
            <w:pPr>
              <w:spacing w:after="0"/>
              <w:rPr>
                <w:sz w:val="24"/>
                <w:szCs w:val="24"/>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w:t>
            </w:r>
          </w:p>
        </w:tc>
        <w:tc>
          <w:tcPr>
            <w:tcW w:w="15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w w:val="86"/>
              </w:rPr>
              <w:t>Reference....................................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The Company....................................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Recent Developments............................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Use of Proceeds................................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Ratios of Earnings to Fixed Charges............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Debt Securities.................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Description of Capital Stock...................</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Plan of Distribution...........................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Validity of Securities.........................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202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w w:val="86"/>
              </w:rPr>
              <w:t>Experts........................................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2020" w:type="dxa"/>
            <w:vAlign w:val="bottom"/>
          </w:tcPr>
          <w:p>
            <w:pPr>
              <w:spacing w:after="0"/>
              <w:rPr>
                <w:sz w:val="15"/>
                <w:szCs w:val="15"/>
                <w:color w:val="auto"/>
              </w:rPr>
            </w:pPr>
          </w:p>
        </w:tc>
      </w:tr>
      <w:tr>
        <w:trPr>
          <w:trHeight w:val="541"/>
        </w:trPr>
        <w:tc>
          <w:tcPr>
            <w:tcW w:w="5480" w:type="dxa"/>
            <w:vAlign w:val="bottom"/>
            <w:gridSpan w:val="2"/>
          </w:tcPr>
          <w:p>
            <w:pPr>
              <w:jc w:val="right"/>
              <w:ind w:right="1082"/>
              <w:spacing w:after="0"/>
              <w:rPr>
                <w:sz w:val="20"/>
                <w:szCs w:val="20"/>
                <w:color w:val="auto"/>
              </w:rPr>
            </w:pPr>
            <w:r>
              <w:rPr>
                <w:rFonts w:ascii="Courier New" w:cs="Courier New" w:eastAsia="Courier New" w:hAnsi="Courier New"/>
                <w:sz w:val="16"/>
                <w:szCs w:val="16"/>
                <w:color w:val="auto"/>
              </w:rPr>
              <w:t>$400,000,000</w:t>
            </w:r>
          </w:p>
        </w:tc>
        <w:tc>
          <w:tcPr>
            <w:tcW w:w="2020" w:type="dxa"/>
            <w:vAlign w:val="bottom"/>
          </w:tcPr>
          <w:p>
            <w:pPr>
              <w:spacing w:after="0"/>
              <w:rPr>
                <w:sz w:val="24"/>
                <w:szCs w:val="24"/>
                <w:color w:val="auto"/>
              </w:rPr>
            </w:pPr>
          </w:p>
        </w:tc>
      </w:tr>
    </w:tbl>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USA WASTE</w:t>
      </w:r>
    </w:p>
    <w:p>
      <w:pPr>
        <w:ind w:left="3104"/>
        <w:spacing w:after="0"/>
        <w:rPr>
          <w:sz w:val="20"/>
          <w:szCs w:val="20"/>
          <w:color w:val="auto"/>
        </w:rPr>
      </w:pPr>
      <w:r>
        <w:rPr>
          <w:rFonts w:ascii="Courier New" w:cs="Courier New" w:eastAsia="Courier New" w:hAnsi="Courier New"/>
          <w:sz w:val="16"/>
          <w:szCs w:val="16"/>
          <w:color w:val="auto"/>
        </w:rPr>
        <w:t>SERVICES, INC.</w:t>
      </w:r>
    </w:p>
    <w:p>
      <w:pPr>
        <w:spacing w:after="0" w:line="179" w:lineRule="exact"/>
        <w:rPr>
          <w:sz w:val="20"/>
          <w:szCs w:val="20"/>
          <w:color w:val="auto"/>
        </w:rPr>
      </w:pPr>
    </w:p>
    <w:p>
      <w:pPr>
        <w:ind w:left="2824"/>
        <w:spacing w:after="0"/>
        <w:rPr>
          <w:sz w:val="20"/>
          <w:szCs w:val="20"/>
          <w:color w:val="auto"/>
        </w:rPr>
      </w:pPr>
      <w:r>
        <w:rPr>
          <w:rFonts w:ascii="Courier New" w:cs="Courier New" w:eastAsia="Courier New" w:hAnsi="Courier New"/>
          <w:sz w:val="16"/>
          <w:szCs w:val="16"/>
          <w:color w:val="auto"/>
        </w:rPr>
        <w:t>% MANDATORILY TENDERED</w:t>
      </w:r>
    </w:p>
    <w:p>
      <w:pPr>
        <w:ind w:left="2724"/>
        <w:spacing w:after="0"/>
        <w:rPr>
          <w:sz w:val="20"/>
          <w:szCs w:val="20"/>
          <w:color w:val="auto"/>
        </w:rPr>
      </w:pPr>
      <w:r>
        <w:rPr>
          <w:rFonts w:ascii="Courier New" w:cs="Courier New" w:eastAsia="Courier New" w:hAnsi="Courier New"/>
          <w:sz w:val="16"/>
          <w:szCs w:val="16"/>
          <w:color w:val="auto"/>
        </w:rPr>
        <w:t>SENIOR NOTES DUE 2011</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PROSPECTUS SUPPLEMENT</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DONALDSON, LUFKIN &amp; JENRETTE</w:t>
      </w:r>
    </w:p>
    <w:p>
      <w:pPr>
        <w:jc w:val="center"/>
        <w:ind w:right="2715"/>
        <w:spacing w:after="0"/>
        <w:rPr>
          <w:sz w:val="20"/>
          <w:szCs w:val="20"/>
          <w:color w:val="auto"/>
        </w:rPr>
      </w:pPr>
      <w:r>
        <w:rPr>
          <w:rFonts w:ascii="Courier New" w:cs="Courier New" w:eastAsia="Courier New" w:hAnsi="Courier New"/>
          <w:sz w:val="16"/>
          <w:szCs w:val="16"/>
          <w:color w:val="auto"/>
        </w:rPr>
        <w:t>SECURITIES CORPORATION</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J.P. MORGAN &amp; CO.</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BANCAMERICA ROBERTSON STEPHENS</w:t>
      </w:r>
    </w:p>
    <w:p>
      <w:pPr>
        <w:jc w:val="center"/>
        <w:ind w:right="2715"/>
        <w:spacing w:after="0"/>
        <w:rPr>
          <w:sz w:val="20"/>
          <w:szCs w:val="20"/>
          <w:color w:val="auto"/>
        </w:rPr>
      </w:pPr>
      <w:r>
        <w:rPr>
          <w:rFonts w:ascii="Courier New" w:cs="Courier New" w:eastAsia="Courier New" w:hAnsi="Courier New"/>
          <w:sz w:val="16"/>
          <w:szCs w:val="16"/>
          <w:color w:val="auto"/>
        </w:rPr>
        <w:t>CHASE SECURITIES, INC.</w:t>
      </w:r>
    </w:p>
    <w:p>
      <w:pPr>
        <w:ind w:left="2624"/>
        <w:spacing w:after="0" w:line="237" w:lineRule="auto"/>
        <w:rPr>
          <w:sz w:val="20"/>
          <w:szCs w:val="20"/>
          <w:color w:val="auto"/>
        </w:rPr>
      </w:pPr>
      <w:r>
        <w:rPr>
          <w:rFonts w:ascii="Courier New" w:cs="Courier New" w:eastAsia="Courier New" w:hAnsi="Courier New"/>
          <w:sz w:val="16"/>
          <w:szCs w:val="16"/>
          <w:color w:val="auto"/>
        </w:rPr>
        <w:t>DEUTSCHE BANK SECURITIES</w:t>
      </w:r>
    </w:p>
    <w:p>
      <w:pPr>
        <w:spacing w:after="0" w:line="180" w:lineRule="exact"/>
        <w:rPr>
          <w:sz w:val="20"/>
          <w:szCs w:val="20"/>
          <w:color w:val="auto"/>
        </w:rPr>
      </w:pPr>
    </w:p>
    <w:p>
      <w:pPr>
        <w:ind w:left="4024"/>
        <w:spacing w:after="0"/>
        <w:rPr>
          <w:sz w:val="20"/>
          <w:szCs w:val="20"/>
          <w:color w:val="auto"/>
        </w:rPr>
      </w:pPr>
      <w:r>
        <w:rPr>
          <w:rFonts w:ascii="Courier New" w:cs="Courier New" w:eastAsia="Courier New" w:hAnsi="Courier New"/>
          <w:sz w:val="16"/>
          <w:szCs w:val="16"/>
          <w:color w:val="auto"/>
        </w:rPr>
        <w:t>, 1998</w:t>
      </w:r>
    </w:p>
    <w:p>
      <w:pPr>
        <w:spacing w:after="0" w:line="185" w:lineRule="exact"/>
        <w:rPr>
          <w:sz w:val="20"/>
          <w:szCs w:val="20"/>
          <w:color w:val="auto"/>
        </w:rPr>
      </w:pPr>
    </w:p>
    <w:p>
      <w:pPr>
        <w:ind w:left="184" w:hanging="184"/>
        <w:spacing w:after="0"/>
        <w:tabs>
          <w:tab w:leader="none" w:pos="18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3"/>
      </w:cols>
      <w:pgMar w:left="236" w:top="478" w:right="1440" w:bottom="101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Roman"/>
      <w:start w:val="2"/>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lvl w:ilvl="1">
      <w:lvlJc w:val="left"/>
      <w:lvlText w:val="(%2)"/>
      <w:numFmt w:val="lowerRoman"/>
      <w:start w:val="1"/>
    </w:lvl>
  </w:abstractNum>
  <w:abstractNum w:abstractNumId="8">
    <w:nsid w:val="2443A858"/>
    <w:multiLevelType w:val="hybridMultilevel"/>
    <w:lvl w:ilvl="0">
      <w:lvlJc w:val="left"/>
      <w:lvlText w:val="(%1)"/>
      <w:numFmt w:val="lowerRoman"/>
      <w:start w:val="3"/>
    </w:lvl>
  </w:abstractNum>
  <w:abstractNum w:abstractNumId="9">
    <w:nsid w:val="2D1D5AE9"/>
    <w:multiLevelType w:val="hybridMultilevel"/>
    <w:lvl w:ilvl="0">
      <w:lvlJc w:val="left"/>
      <w:lvlText w:val="(%1)"/>
      <w:numFmt w:val="lowerLetter"/>
      <w:start w:val="24"/>
    </w:lvl>
  </w:abstractNum>
  <w:abstractNum w:abstractNumId="10">
    <w:nsid w:val="6763845E"/>
    <w:multiLevelType w:val="hybridMultilevel"/>
    <w:lvl w:ilvl="0">
      <w:lvlJc w:val="left"/>
      <w:lvlText w:val="(%1)"/>
      <w:numFmt w:val="lowerRoman"/>
      <w:start w:val="1"/>
    </w:lvl>
  </w:abstractNum>
  <w:abstractNum w:abstractNumId="11">
    <w:nsid w:val="75A2A8D4"/>
    <w:multiLevelType w:val="hybridMultilevel"/>
    <w:lvl w:ilvl="0">
      <w:lvlJc w:val="left"/>
      <w:lvlText w:val="%1."/>
      <w:numFmt w:val="decimal"/>
      <w:start w:val="2"/>
    </w:lvl>
    <w:lvl w:ilvl="1">
      <w:lvlJc w:val="left"/>
      <w:lvlText w:val="(%2)"/>
      <w:numFmt w:val="lowerLetter"/>
      <w:start w:val="1"/>
    </w:lvl>
  </w:abstractNum>
  <w:abstractNum w:abstractNumId="12">
    <w:nsid w:val="8EDBDAB"/>
    <w:multiLevelType w:val="hybridMultilevel"/>
    <w:lvl w:ilvl="0">
      <w:lvlJc w:val="left"/>
      <w:lvlText w:val="%1"/>
      <w:numFmt w:val="decimal"/>
      <w:start w:val="1"/>
    </w:lvl>
    <w:lvl w:ilvl="1">
      <w:lvlJc w:val="left"/>
      <w:lvlText w:val="(%2)"/>
      <w:numFmt w:val="lowerLetter"/>
      <w:start w:val="4"/>
    </w:lvl>
  </w:abstractNum>
  <w:abstractNum w:abstractNumId="13">
    <w:nsid w:val="79838CB2"/>
    <w:multiLevelType w:val="hybridMultilevel"/>
    <w:lvl w:ilvl="0">
      <w:lvlJc w:val="left"/>
      <w:lvlText w:val="%1."/>
      <w:numFmt w:val="decimal"/>
      <w:start w:val="3"/>
    </w:lvl>
    <w:lvl w:ilvl="1">
      <w:lvlJc w:val="left"/>
      <w:lvlText w:val="%2"/>
      <w:numFmt w:val="lowerLetter"/>
      <w:start w:val="1"/>
    </w:lvl>
  </w:abstractNum>
  <w:abstractNum w:abstractNumId="14">
    <w:nsid w:val="4353D0CD"/>
    <w:multiLevelType w:val="hybridMultilevel"/>
    <w:lvl w:ilvl="0">
      <w:lvlJc w:val="left"/>
      <w:lvlText w:val="%1."/>
      <w:numFmt w:val="decimal"/>
      <w:start w:val="3"/>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Roman"/>
      <w:start w:val="3"/>
    </w:lvl>
  </w:abstractNum>
  <w:abstractNum w:abstractNumId="17">
    <w:nsid w:val="54E49EB4"/>
    <w:multiLevelType w:val="hybridMultilevel"/>
    <w:lvl w:ilvl="0">
      <w:lvlJc w:val="left"/>
      <w:lvlText w:val="(%1)"/>
      <w:numFmt w:val="lowerRoman"/>
      <w:start w:val="13"/>
    </w:lvl>
  </w:abstractNum>
  <w:abstractNum w:abstractNumId="18">
    <w:nsid w:val="71F32454"/>
    <w:multiLevelType w:val="hybridMultilevel"/>
    <w:lvl w:ilvl="0">
      <w:lvlJc w:val="left"/>
      <w:lvlText w:val="%1)"/>
      <w:numFmt w:val="decimal"/>
      <w:start w:val="305"/>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lowerLetter"/>
      <w:start w:val="1"/>
    </w:lvl>
    <w:lvl w:ilvl="1">
      <w:lvlJc w:val="left"/>
      <w:lvlText w:val="(%2)"/>
      <w:numFmt w:val="lowerRoman"/>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5"/>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7"/>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6"/>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2019-12-20T13:11:17Z</dcterms:created>
  <dcterms:modified xsi:type="dcterms:W3CDTF">2019-12-20T13:11:17Z</dcterms:modified>
</cp:coreProperties>
</file>