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660" w:type="dxa"/>
            <w:vAlign w:val="bottom"/>
          </w:tcPr>
          <w:p>
            <w:pPr>
              <w:spacing w:after="0"/>
              <w:rPr>
                <w:sz w:val="18"/>
                <w:szCs w:val="18"/>
                <w:color w:val="auto"/>
              </w:rPr>
            </w:pPr>
          </w:p>
        </w:tc>
        <w:tc>
          <w:tcPr>
            <w:tcW w:w="7760" w:type="dxa"/>
            <w:vAlign w:val="bottom"/>
          </w:tcPr>
          <w:p>
            <w:pPr>
              <w:jc w:val="right"/>
              <w:spacing w:after="0"/>
              <w:rPr>
                <w:sz w:val="20"/>
                <w:szCs w:val="20"/>
                <w:color w:val="auto"/>
              </w:rPr>
            </w:pPr>
            <w:r>
              <w:rPr>
                <w:rFonts w:ascii="Arial" w:cs="Arial" w:eastAsia="Arial" w:hAnsi="Arial"/>
                <w:sz w:val="18"/>
                <w:szCs w:val="18"/>
                <w:color w:val="auto"/>
              </w:rPr>
              <w:t>Issuer Free Writing Prospectus dated June 3, 2010 relating to the</w:t>
            </w:r>
          </w:p>
        </w:tc>
      </w:tr>
      <w:tr>
        <w:trPr>
          <w:trHeight w:val="216"/>
        </w:trPr>
        <w:tc>
          <w:tcPr>
            <w:tcW w:w="3660" w:type="dxa"/>
            <w:vAlign w:val="bottom"/>
          </w:tcPr>
          <w:p>
            <w:pPr>
              <w:spacing w:after="0"/>
              <w:rPr>
                <w:sz w:val="18"/>
                <w:szCs w:val="18"/>
                <w:color w:val="auto"/>
              </w:rPr>
            </w:pPr>
          </w:p>
        </w:tc>
        <w:tc>
          <w:tcPr>
            <w:tcW w:w="776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June 3, 2010</w:t>
            </w:r>
          </w:p>
        </w:tc>
      </w:tr>
      <w:tr>
        <w:trPr>
          <w:trHeight w:val="216"/>
        </w:trPr>
        <w:tc>
          <w:tcPr>
            <w:tcW w:w="3660" w:type="dxa"/>
            <w:vAlign w:val="bottom"/>
          </w:tcPr>
          <w:p>
            <w:pPr>
              <w:spacing w:after="0"/>
              <w:rPr>
                <w:sz w:val="18"/>
                <w:szCs w:val="18"/>
                <w:color w:val="auto"/>
              </w:rPr>
            </w:pPr>
          </w:p>
        </w:tc>
        <w:tc>
          <w:tcPr>
            <w:tcW w:w="7760" w:type="dxa"/>
            <w:vAlign w:val="bottom"/>
          </w:tcPr>
          <w:p>
            <w:pPr>
              <w:jc w:val="right"/>
              <w:spacing w:after="0"/>
              <w:rPr>
                <w:sz w:val="20"/>
                <w:szCs w:val="20"/>
                <w:color w:val="auto"/>
              </w:rPr>
            </w:pPr>
            <w:r>
              <w:rPr>
                <w:rFonts w:ascii="Arial" w:cs="Arial" w:eastAsia="Arial" w:hAnsi="Arial"/>
                <w:sz w:val="18"/>
                <w:szCs w:val="18"/>
                <w:color w:val="auto"/>
              </w:rPr>
              <w:t>to Prospectus dated September 22, 2009</w:t>
            </w:r>
          </w:p>
        </w:tc>
      </w:tr>
      <w:tr>
        <w:trPr>
          <w:trHeight w:val="230"/>
        </w:trPr>
        <w:tc>
          <w:tcPr>
            <w:tcW w:w="3660" w:type="dxa"/>
            <w:vAlign w:val="bottom"/>
          </w:tcPr>
          <w:p>
            <w:pPr>
              <w:spacing w:after="0"/>
              <w:rPr>
                <w:sz w:val="20"/>
                <w:szCs w:val="20"/>
                <w:color w:val="auto"/>
              </w:rPr>
            </w:pPr>
          </w:p>
        </w:tc>
        <w:tc>
          <w:tcPr>
            <w:tcW w:w="7760" w:type="dxa"/>
            <w:vAlign w:val="bottom"/>
          </w:tcPr>
          <w:p>
            <w:pPr>
              <w:jc w:val="right"/>
              <w:spacing w:after="0"/>
              <w:rPr>
                <w:sz w:val="20"/>
                <w:szCs w:val="20"/>
                <w:color w:val="auto"/>
              </w:rPr>
            </w:pPr>
            <w:r>
              <w:rPr>
                <w:rFonts w:ascii="Arial" w:cs="Arial" w:eastAsia="Arial" w:hAnsi="Arial"/>
                <w:sz w:val="18"/>
                <w:szCs w:val="18"/>
                <w:color w:val="auto"/>
              </w:rPr>
              <w:t>Registration Statement No. 333-162059</w:t>
            </w:r>
          </w:p>
        </w:tc>
      </w:tr>
      <w:tr>
        <w:trPr>
          <w:trHeight w:val="522"/>
        </w:trPr>
        <w:tc>
          <w:tcPr>
            <w:tcW w:w="3660" w:type="dxa"/>
            <w:vAlign w:val="bottom"/>
          </w:tcPr>
          <w:p>
            <w:pPr>
              <w:spacing w:after="0"/>
              <w:rPr>
                <w:sz w:val="24"/>
                <w:szCs w:val="24"/>
                <w:color w:val="auto"/>
              </w:rPr>
            </w:pPr>
          </w:p>
        </w:tc>
        <w:tc>
          <w:tcPr>
            <w:tcW w:w="7760" w:type="dxa"/>
            <w:vAlign w:val="bottom"/>
          </w:tcPr>
          <w:p>
            <w:pPr>
              <w:ind w:left="108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66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b w:val="1"/>
                <w:bCs w:val="1"/>
                <w:color w:val="auto"/>
              </w:rPr>
              <w:t>4.75% Senior Notes due 2020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Issuer:</w:t>
            </w:r>
          </w:p>
        </w:tc>
        <w:tc>
          <w:tcPr>
            <w:tcW w:w="7760" w:type="dxa"/>
            <w:vAlign w:val="bottom"/>
          </w:tcPr>
          <w:p>
            <w:pPr>
              <w:ind w:left="1140"/>
              <w:spacing w:after="0"/>
              <w:rPr>
                <w:sz w:val="20"/>
                <w:szCs w:val="20"/>
                <w:color w:val="auto"/>
              </w:rPr>
            </w:pPr>
            <w:r>
              <w:rPr>
                <w:rFonts w:ascii="Arial" w:cs="Arial" w:eastAsia="Arial" w:hAnsi="Arial"/>
                <w:sz w:val="18"/>
                <w:szCs w:val="18"/>
                <w:color w:val="auto"/>
              </w:rPr>
              <w:t>Waste Management, Inc.</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Guarantor:</w:t>
            </w:r>
          </w:p>
        </w:tc>
        <w:tc>
          <w:tcPr>
            <w:tcW w:w="7760" w:type="dxa"/>
            <w:vAlign w:val="bottom"/>
          </w:tcPr>
          <w:p>
            <w:pPr>
              <w:ind w:left="1140"/>
              <w:spacing w:after="0"/>
              <w:rPr>
                <w:sz w:val="20"/>
                <w:szCs w:val="20"/>
                <w:color w:val="auto"/>
              </w:rPr>
            </w:pPr>
            <w:r>
              <w:rPr>
                <w:rFonts w:ascii="Arial" w:cs="Arial" w:eastAsia="Arial" w:hAnsi="Arial"/>
                <w:sz w:val="18"/>
                <w:szCs w:val="18"/>
                <w:color w:val="auto"/>
              </w:rPr>
              <w:t>Waste Management Holdings, Inc.</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Principal Amount:</w:t>
            </w:r>
          </w:p>
        </w:tc>
        <w:tc>
          <w:tcPr>
            <w:tcW w:w="7760" w:type="dxa"/>
            <w:vAlign w:val="bottom"/>
          </w:tcPr>
          <w:p>
            <w:pPr>
              <w:ind w:left="1140"/>
              <w:spacing w:after="0"/>
              <w:rPr>
                <w:sz w:val="20"/>
                <w:szCs w:val="20"/>
                <w:color w:val="auto"/>
              </w:rPr>
            </w:pPr>
            <w:r>
              <w:rPr>
                <w:rFonts w:ascii="Arial" w:cs="Arial" w:eastAsia="Arial" w:hAnsi="Arial"/>
                <w:sz w:val="18"/>
                <w:szCs w:val="18"/>
                <w:color w:val="auto"/>
              </w:rPr>
              <w:t>$600,000,000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Maturity Date:</w:t>
            </w:r>
          </w:p>
        </w:tc>
        <w:tc>
          <w:tcPr>
            <w:tcW w:w="7760" w:type="dxa"/>
            <w:vAlign w:val="bottom"/>
          </w:tcPr>
          <w:p>
            <w:pPr>
              <w:ind w:left="1140"/>
              <w:spacing w:after="0"/>
              <w:rPr>
                <w:sz w:val="20"/>
                <w:szCs w:val="20"/>
                <w:color w:val="auto"/>
              </w:rPr>
            </w:pPr>
            <w:r>
              <w:rPr>
                <w:rFonts w:ascii="Arial" w:cs="Arial" w:eastAsia="Arial" w:hAnsi="Arial"/>
                <w:sz w:val="18"/>
                <w:szCs w:val="18"/>
                <w:color w:val="auto"/>
              </w:rPr>
              <w:t>June 30, 2020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Coupon:</w:t>
            </w:r>
          </w:p>
        </w:tc>
        <w:tc>
          <w:tcPr>
            <w:tcW w:w="7760" w:type="dxa"/>
            <w:vAlign w:val="bottom"/>
          </w:tcPr>
          <w:p>
            <w:pPr>
              <w:ind w:left="1140"/>
              <w:spacing w:after="0"/>
              <w:rPr>
                <w:sz w:val="20"/>
                <w:szCs w:val="20"/>
                <w:color w:val="auto"/>
              </w:rPr>
            </w:pPr>
            <w:r>
              <w:rPr>
                <w:rFonts w:ascii="Arial" w:cs="Arial" w:eastAsia="Arial" w:hAnsi="Arial"/>
                <w:sz w:val="18"/>
                <w:szCs w:val="18"/>
                <w:color w:val="auto"/>
              </w:rPr>
              <w:t>4.75%</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Price to Public:</w:t>
            </w:r>
          </w:p>
        </w:tc>
        <w:tc>
          <w:tcPr>
            <w:tcW w:w="7760" w:type="dxa"/>
            <w:vAlign w:val="bottom"/>
          </w:tcPr>
          <w:p>
            <w:pPr>
              <w:ind w:left="1140"/>
              <w:spacing w:after="0"/>
              <w:rPr>
                <w:sz w:val="20"/>
                <w:szCs w:val="20"/>
                <w:color w:val="auto"/>
              </w:rPr>
            </w:pPr>
            <w:r>
              <w:rPr>
                <w:rFonts w:ascii="Arial" w:cs="Arial" w:eastAsia="Arial" w:hAnsi="Arial"/>
                <w:sz w:val="18"/>
                <w:szCs w:val="18"/>
                <w:color w:val="auto"/>
              </w:rPr>
              <w:t>99.388% of principal amount</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Underwriting Discount:</w:t>
            </w:r>
          </w:p>
        </w:tc>
        <w:tc>
          <w:tcPr>
            <w:tcW w:w="7760" w:type="dxa"/>
            <w:vAlign w:val="bottom"/>
          </w:tcPr>
          <w:p>
            <w:pPr>
              <w:ind w:left="1140"/>
              <w:spacing w:after="0"/>
              <w:rPr>
                <w:sz w:val="20"/>
                <w:szCs w:val="20"/>
                <w:color w:val="auto"/>
              </w:rPr>
            </w:pPr>
            <w:r>
              <w:rPr>
                <w:rFonts w:ascii="Arial" w:cs="Arial" w:eastAsia="Arial" w:hAnsi="Arial"/>
                <w:sz w:val="18"/>
                <w:szCs w:val="18"/>
                <w:color w:val="auto"/>
              </w:rPr>
              <w:t>0.650%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Benchmark Treasury:</w:t>
            </w:r>
          </w:p>
        </w:tc>
        <w:tc>
          <w:tcPr>
            <w:tcW w:w="7760" w:type="dxa"/>
            <w:vAlign w:val="bottom"/>
          </w:tcPr>
          <w:p>
            <w:pPr>
              <w:ind w:left="1140"/>
              <w:spacing w:after="0"/>
              <w:rPr>
                <w:sz w:val="20"/>
                <w:szCs w:val="20"/>
                <w:color w:val="auto"/>
              </w:rPr>
            </w:pPr>
            <w:r>
              <w:rPr>
                <w:rFonts w:ascii="Arial" w:cs="Arial" w:eastAsia="Arial" w:hAnsi="Arial"/>
                <w:sz w:val="18"/>
                <w:szCs w:val="18"/>
                <w:color w:val="auto"/>
              </w:rPr>
              <w:t>3.500% due 5/15/2020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60" w:type="dxa"/>
            <w:vAlign w:val="bottom"/>
          </w:tcPr>
          <w:p>
            <w:pPr>
              <w:ind w:left="1140"/>
              <w:spacing w:after="0"/>
              <w:rPr>
                <w:sz w:val="20"/>
                <w:szCs w:val="20"/>
                <w:color w:val="auto"/>
              </w:rPr>
            </w:pPr>
            <w:r>
              <w:rPr>
                <w:rFonts w:ascii="Arial" w:cs="Arial" w:eastAsia="Arial" w:hAnsi="Arial"/>
                <w:sz w:val="18"/>
                <w:szCs w:val="18"/>
                <w:color w:val="auto"/>
              </w:rPr>
              <w:t>1.470%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60" w:type="dxa"/>
            <w:vAlign w:val="bottom"/>
          </w:tcPr>
          <w:p>
            <w:pPr>
              <w:ind w:left="1140"/>
              <w:spacing w:after="0"/>
              <w:rPr>
                <w:sz w:val="20"/>
                <w:szCs w:val="20"/>
                <w:color w:val="auto"/>
              </w:rPr>
            </w:pPr>
            <w:r>
              <w:rPr>
                <w:rFonts w:ascii="Arial" w:cs="Arial" w:eastAsia="Arial" w:hAnsi="Arial"/>
                <w:sz w:val="18"/>
                <w:szCs w:val="18"/>
                <w:color w:val="auto"/>
              </w:rPr>
              <w:t>101-06+/3.357%</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Yield to maturity:</w:t>
            </w:r>
          </w:p>
        </w:tc>
        <w:tc>
          <w:tcPr>
            <w:tcW w:w="7760" w:type="dxa"/>
            <w:vAlign w:val="bottom"/>
          </w:tcPr>
          <w:p>
            <w:pPr>
              <w:ind w:left="1140"/>
              <w:spacing w:after="0"/>
              <w:rPr>
                <w:sz w:val="20"/>
                <w:szCs w:val="20"/>
                <w:color w:val="auto"/>
              </w:rPr>
            </w:pPr>
            <w:r>
              <w:rPr>
                <w:rFonts w:ascii="Arial" w:cs="Arial" w:eastAsia="Arial" w:hAnsi="Arial"/>
                <w:sz w:val="18"/>
                <w:szCs w:val="18"/>
                <w:color w:val="auto"/>
              </w:rPr>
              <w:t>4.827%</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60" w:type="dxa"/>
            <w:vAlign w:val="bottom"/>
          </w:tcPr>
          <w:p>
            <w:pPr>
              <w:ind w:left="1140"/>
              <w:spacing w:after="0"/>
              <w:rPr>
                <w:sz w:val="20"/>
                <w:szCs w:val="20"/>
                <w:color w:val="auto"/>
              </w:rPr>
            </w:pPr>
            <w:r>
              <w:rPr>
                <w:rFonts w:ascii="Arial" w:cs="Arial" w:eastAsia="Arial" w:hAnsi="Arial"/>
                <w:sz w:val="18"/>
                <w:szCs w:val="18"/>
                <w:color w:val="auto"/>
              </w:rPr>
              <w:t>Semi-annually on June 30 and December 30, commencing December 30, 2010.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Optional Redemption:</w:t>
            </w:r>
          </w:p>
        </w:tc>
        <w:tc>
          <w:tcPr>
            <w:tcW w:w="7760" w:type="dxa"/>
            <w:vAlign w:val="bottom"/>
          </w:tcPr>
          <w:p>
            <w:pPr>
              <w:ind w:left="1140"/>
              <w:spacing w:after="0"/>
              <w:rPr>
                <w:sz w:val="20"/>
                <w:szCs w:val="20"/>
                <w:color w:val="auto"/>
              </w:rPr>
            </w:pPr>
            <w:r>
              <w:rPr>
                <w:rFonts w:ascii="Arial" w:cs="Arial" w:eastAsia="Arial" w:hAnsi="Arial"/>
                <w:sz w:val="18"/>
                <w:szCs w:val="18"/>
                <w:color w:val="auto"/>
              </w:rPr>
              <w:t>At a discount rate of Treasury plus 25 basis points.</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Settlement:</w:t>
            </w:r>
          </w:p>
        </w:tc>
        <w:tc>
          <w:tcPr>
            <w:tcW w:w="7760" w:type="dxa"/>
            <w:vAlign w:val="bottom"/>
          </w:tcPr>
          <w:p>
            <w:pPr>
              <w:ind w:left="1140"/>
              <w:spacing w:after="0"/>
              <w:rPr>
                <w:sz w:val="20"/>
                <w:szCs w:val="20"/>
                <w:color w:val="auto"/>
              </w:rPr>
            </w:pPr>
            <w:r>
              <w:rPr>
                <w:rFonts w:ascii="Arial" w:cs="Arial" w:eastAsia="Arial" w:hAnsi="Arial"/>
                <w:sz w:val="18"/>
                <w:szCs w:val="18"/>
                <w:color w:val="auto"/>
              </w:rPr>
              <w:t>T+3; June 8, 2010</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rPr>
              <w:t>CUSIP:</w:t>
            </w:r>
          </w:p>
        </w:tc>
        <w:tc>
          <w:tcPr>
            <w:tcW w:w="7760" w:type="dxa"/>
            <w:vAlign w:val="bottom"/>
          </w:tcPr>
          <w:p>
            <w:pPr>
              <w:ind w:left="1140"/>
              <w:spacing w:after="0"/>
              <w:rPr>
                <w:sz w:val="20"/>
                <w:szCs w:val="20"/>
                <w:color w:val="auto"/>
              </w:rPr>
            </w:pPr>
            <w:r>
              <w:rPr>
                <w:rFonts w:ascii="Arial" w:cs="Arial" w:eastAsia="Arial" w:hAnsi="Arial"/>
                <w:sz w:val="18"/>
                <w:szCs w:val="18"/>
                <w:color w:val="auto"/>
              </w:rPr>
              <w:t>94106LAW9</w:t>
            </w:r>
          </w:p>
        </w:tc>
      </w:tr>
      <w:tr>
        <w:trPr>
          <w:trHeight w:val="323"/>
        </w:trPr>
        <w:tc>
          <w:tcPr>
            <w:tcW w:w="36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760" w:type="dxa"/>
            <w:vAlign w:val="bottom"/>
          </w:tcPr>
          <w:p>
            <w:pPr>
              <w:ind w:left="1140"/>
              <w:spacing w:after="0"/>
              <w:rPr>
                <w:sz w:val="20"/>
                <w:szCs w:val="20"/>
                <w:color w:val="auto"/>
              </w:rPr>
            </w:pPr>
            <w:r>
              <w:rPr>
                <w:rFonts w:ascii="Arial" w:cs="Arial" w:eastAsia="Arial" w:hAnsi="Arial"/>
                <w:sz w:val="18"/>
                <w:szCs w:val="18"/>
                <w:color w:val="auto"/>
              </w:rPr>
              <w:t>Banc of America Securities LLC</w:t>
            </w:r>
          </w:p>
        </w:tc>
      </w:tr>
      <w:tr>
        <w:trPr>
          <w:trHeight w:val="216"/>
        </w:trPr>
        <w:tc>
          <w:tcPr>
            <w:tcW w:w="36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Barclays Capital Inc.</w:t>
            </w:r>
          </w:p>
        </w:tc>
      </w:tr>
      <w:tr>
        <w:trPr>
          <w:trHeight w:val="216"/>
        </w:trPr>
        <w:tc>
          <w:tcPr>
            <w:tcW w:w="36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Citigroup Global Markets Inc.</w:t>
            </w:r>
          </w:p>
        </w:tc>
      </w:tr>
      <w:tr>
        <w:trPr>
          <w:trHeight w:val="230"/>
        </w:trPr>
        <w:tc>
          <w:tcPr>
            <w:tcW w:w="3660" w:type="dxa"/>
            <w:vAlign w:val="bottom"/>
          </w:tcPr>
          <w:p>
            <w:pPr>
              <w:spacing w:after="0"/>
              <w:rPr>
                <w:sz w:val="20"/>
                <w:szCs w:val="20"/>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Goldman, Sachs &amp; Co.</w:t>
            </w:r>
          </w:p>
        </w:tc>
      </w:tr>
      <w:tr>
        <w:trPr>
          <w:trHeight w:val="323"/>
        </w:trPr>
        <w:tc>
          <w:tcPr>
            <w:tcW w:w="3660" w:type="dxa"/>
            <w:vAlign w:val="bottom"/>
          </w:tcPr>
          <w:p>
            <w:pPr>
              <w:spacing w:after="0"/>
              <w:rPr>
                <w:sz w:val="20"/>
                <w:szCs w:val="20"/>
                <w:color w:val="auto"/>
              </w:rPr>
            </w:pPr>
            <w:r>
              <w:rPr>
                <w:rFonts w:ascii="Arial" w:cs="Arial" w:eastAsia="Arial" w:hAnsi="Arial"/>
                <w:sz w:val="18"/>
                <w:szCs w:val="18"/>
                <w:color w:val="auto"/>
              </w:rPr>
              <w:t>Co-Managers</w:t>
            </w:r>
          </w:p>
        </w:tc>
        <w:tc>
          <w:tcPr>
            <w:tcW w:w="7760" w:type="dxa"/>
            <w:vAlign w:val="bottom"/>
          </w:tcPr>
          <w:p>
            <w:pPr>
              <w:ind w:left="114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6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36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J.P. Morgan Securities Inc.</w:t>
            </w:r>
          </w:p>
        </w:tc>
      </w:tr>
      <w:tr>
        <w:trPr>
          <w:trHeight w:val="216"/>
        </w:trPr>
        <w:tc>
          <w:tcPr>
            <w:tcW w:w="36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Morgan Stanley &amp; Co. Incorporated</w:t>
            </w:r>
          </w:p>
        </w:tc>
      </w:tr>
      <w:tr>
        <w:trPr>
          <w:trHeight w:val="230"/>
        </w:trPr>
        <w:tc>
          <w:tcPr>
            <w:tcW w:w="3660" w:type="dxa"/>
            <w:vAlign w:val="bottom"/>
          </w:tcPr>
          <w:p>
            <w:pPr>
              <w:spacing w:after="0"/>
              <w:rPr>
                <w:sz w:val="20"/>
                <w:szCs w:val="20"/>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RBS Securities Inc.</w:t>
            </w:r>
          </w:p>
        </w:tc>
      </w:tr>
      <w:tr>
        <w:trPr>
          <w:trHeight w:val="323"/>
        </w:trPr>
        <w:tc>
          <w:tcPr>
            <w:tcW w:w="3660" w:type="dxa"/>
            <w:vAlign w:val="bottom"/>
          </w:tcPr>
          <w:p>
            <w:pPr>
              <w:spacing w:after="0"/>
              <w:rPr>
                <w:sz w:val="20"/>
                <w:szCs w:val="20"/>
                <w:color w:val="auto"/>
              </w:rPr>
            </w:pPr>
            <w:r>
              <w:rPr>
                <w:rFonts w:ascii="Arial" w:cs="Arial" w:eastAsia="Arial" w:hAnsi="Arial"/>
                <w:sz w:val="18"/>
                <w:szCs w:val="18"/>
                <w:color w:val="auto"/>
              </w:rPr>
              <w:t>Ratings:</w:t>
            </w:r>
          </w:p>
        </w:tc>
        <w:tc>
          <w:tcPr>
            <w:tcW w:w="7760" w:type="dxa"/>
            <w:vAlign w:val="bottom"/>
          </w:tcPr>
          <w:p>
            <w:pPr>
              <w:ind w:left="1140"/>
              <w:spacing w:after="0"/>
              <w:rPr>
                <w:sz w:val="20"/>
                <w:szCs w:val="20"/>
                <w:color w:val="auto"/>
              </w:rPr>
            </w:pPr>
            <w:r>
              <w:rPr>
                <w:rFonts w:ascii="Arial" w:cs="Arial" w:eastAsia="Arial" w:hAnsi="Arial"/>
                <w:sz w:val="18"/>
                <w:szCs w:val="18"/>
                <w:color w:val="auto"/>
              </w:rPr>
              <w:t>Moody’s: Baa3 (Stable)</w:t>
            </w:r>
          </w:p>
        </w:tc>
      </w:tr>
      <w:tr>
        <w:trPr>
          <w:trHeight w:val="216"/>
        </w:trPr>
        <w:tc>
          <w:tcPr>
            <w:tcW w:w="36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S&amp;P: BBB (Stable)</w:t>
            </w:r>
          </w:p>
        </w:tc>
      </w:tr>
      <w:tr>
        <w:trPr>
          <w:trHeight w:val="230"/>
        </w:trPr>
        <w:tc>
          <w:tcPr>
            <w:tcW w:w="3660" w:type="dxa"/>
            <w:vAlign w:val="bottom"/>
          </w:tcPr>
          <w:p>
            <w:pPr>
              <w:spacing w:after="0"/>
              <w:rPr>
                <w:sz w:val="20"/>
                <w:szCs w:val="20"/>
                <w:color w:val="auto"/>
              </w:rPr>
            </w:pPr>
          </w:p>
        </w:tc>
        <w:tc>
          <w:tcPr>
            <w:tcW w:w="7760" w:type="dxa"/>
            <w:vAlign w:val="bottom"/>
          </w:tcPr>
          <w:p>
            <w:pPr>
              <w:ind w:left="1140"/>
              <w:spacing w:after="0"/>
              <w:rPr>
                <w:sz w:val="20"/>
                <w:szCs w:val="20"/>
                <w:color w:val="auto"/>
              </w:rPr>
            </w:pPr>
            <w:r>
              <w:rPr>
                <w:rFonts w:ascii="Arial" w:cs="Arial" w:eastAsia="Arial" w:hAnsi="Arial"/>
                <w:sz w:val="18"/>
                <w:szCs w:val="18"/>
                <w:color w:val="auto"/>
              </w:rPr>
              <w:t>Fitch: BBB (Stable)</w:t>
            </w:r>
          </w:p>
        </w:tc>
      </w:tr>
      <w:tr>
        <w:trPr>
          <w:trHeight w:val="618"/>
        </w:trPr>
        <w:tc>
          <w:tcPr>
            <w:tcW w:w="3660" w:type="dxa"/>
            <w:vAlign w:val="bottom"/>
            <w:tcBorders>
              <w:bottom w:val="single" w:sz="8" w:color="808080"/>
            </w:tcBorders>
          </w:tcPr>
          <w:p>
            <w:pPr>
              <w:spacing w:after="0"/>
              <w:rPr>
                <w:sz w:val="24"/>
                <w:szCs w:val="24"/>
                <w:color w:val="auto"/>
              </w:rPr>
            </w:pPr>
          </w:p>
        </w:tc>
        <w:tc>
          <w:tcPr>
            <w:tcW w:w="7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Alternatively, the issuer, any underwriter or any dealer participating in the offering will arrange to send you the prospectus if you request it by contacting: (1) Banc of America Securities LLC by calling toll-free at (800) 294-1322 or by emailing </w:t>
      </w:r>
      <w:r>
        <w:rPr>
          <w:rFonts w:ascii="Arial" w:cs="Arial" w:eastAsia="Arial" w:hAnsi="Arial"/>
          <w:sz w:val="18"/>
          <w:szCs w:val="18"/>
          <w:u w:val="single" w:color="auto"/>
          <w:color w:val="auto"/>
        </w:rPr>
        <w:t>dg.prospectus_distribution@bofasecurities.com</w:t>
      </w:r>
      <w:r>
        <w:rPr>
          <w:rFonts w:ascii="Arial" w:cs="Arial" w:eastAsia="Arial" w:hAnsi="Arial"/>
          <w:sz w:val="18"/>
          <w:szCs w:val="18"/>
          <w:color w:val="auto"/>
        </w:rPr>
        <w:t xml:space="preserve"> or (2) Barclays Capital Inc. by calling toll-free at (888) 603-5847 or by emailing </w:t>
      </w:r>
      <w:r>
        <w:rPr>
          <w:rFonts w:ascii="Arial" w:cs="Arial" w:eastAsia="Arial" w:hAnsi="Arial"/>
          <w:sz w:val="18"/>
          <w:szCs w:val="18"/>
          <w:u w:val="single" w:color="auto"/>
          <w:color w:val="auto"/>
        </w:rPr>
        <w:t>barclaysprospectus@broadridge.com</w:t>
      </w:r>
      <w:r>
        <w:rPr>
          <w:rFonts w:ascii="Arial" w:cs="Arial" w:eastAsia="Arial" w:hAnsi="Arial"/>
          <w:sz w:val="18"/>
          <w:szCs w:val="18"/>
          <w:color w:val="auto"/>
        </w:rPr>
        <w:t>.</w:t>
      </w:r>
    </w:p>
    <w:sectPr>
      <w:pgSz w:w="11900" w:h="16838" w:orient="portrait"/>
      <w:cols w:equalWidth="0" w:num="1">
        <w:col w:w="11200"/>
      </w:cols>
      <w:pgMar w:left="240" w:top="93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2019-12-10T08:20:09Z</dcterms:created>
  <dcterms:modified xsi:type="dcterms:W3CDTF">2019-12-10T08:20:09Z</dcterms:modified>
</cp:coreProperties>
</file>