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420"/>
          </w:cols>
          <w:pgMar w:left="240" w:top="538" w:right="23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020" w:space="720"/>
            <w:col w:w="2900" w:space="720"/>
            <w:col w:w="3060"/>
          </w:cols>
          <w:pgMar w:left="240" w:top="538" w:right="23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420"/>
          </w:cols>
          <w:pgMar w:left="240" w:top="538" w:right="239" w:bottom="0" w:gutter="0" w:footer="0" w:header="0"/>
          <w:type w:val="continuous"/>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70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4"/>
          <w:szCs w:val="24"/>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At the Annual Meeting of the Company held on May 12, 2017, a total of 391,906,226 shares of the Company’s common stock, out of a total of 441,798,677 shares of common stock outstanding and entitled to vote, were present in person or represented by proxies. The proposals set forth below were voted on by the Company’s stockholders at the Annual Meeting. Each of the director nominees listed under proposal 1 were elected, and the Company’s stockholders approved each of proposals 2 and 3. With respect to proposal 4, the stockholders recommended that future non-binding advisory votes on executive compensation be conducted annually. The Company’s stockholders did not approve stockholder proposal 5.</w:t>
      </w:r>
    </w:p>
    <w:p>
      <w:pPr>
        <w:spacing w:after="0" w:line="184"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the Company’s Board of Directors of the following nine director nominees:</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4860" w:type="dxa"/>
            <w:vAlign w:val="bottom"/>
            <w:gridSpan w:val="2"/>
            <w:vMerge w:val="continue"/>
          </w:tcPr>
          <w:p>
            <w:pPr>
              <w:spacing w:after="0"/>
              <w:rPr>
                <w:sz w:val="15"/>
                <w:szCs w:val="15"/>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Affirmative Votes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Negative Votes</w:t>
            </w:r>
          </w:p>
        </w:tc>
        <w:tc>
          <w:tcPr>
            <w:tcW w:w="1640" w:type="dxa"/>
            <w:vAlign w:val="bottom"/>
            <w:gridSpan w:val="2"/>
            <w:vMerge w:val="continue"/>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Bradbury H. Anderson</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327,739,246</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2,359,155</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368,136</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319,325,544</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10,771,884</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369,109</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Fish, Jr.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326,313,391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2,680,188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1,472,958</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Andrés R. Gluski</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317,749,572</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12,327,958</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389,007</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321,790,427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8,297,051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379,059</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326,906,647</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3,194,017</w:t>
            </w: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365,873</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Mazzarella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327,101,905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3,012,773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351,859</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61,439,689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8"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John C. Pope</w:t>
            </w:r>
          </w:p>
        </w:tc>
        <w:tc>
          <w:tcPr>
            <w:tcW w:w="3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322,526,756</w:t>
            </w: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7,571,656</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368,125</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61,439,689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3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325,684,580</w:t>
            </w:r>
          </w:p>
        </w:tc>
        <w:tc>
          <w:tcPr>
            <w:tcW w:w="1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4,420,964</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360,993</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61,439,689</w:t>
            </w: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3900" w:type="dxa"/>
            <w:vAlign w:val="bottom"/>
            <w:tcBorders>
              <w:top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8"/>
                <w:szCs w:val="18"/>
                <w:color w:val="auto"/>
              </w:rPr>
              <w:t>387,843,312</w:t>
            </w:r>
          </w:p>
        </w:tc>
        <w:tc>
          <w:tcPr>
            <w:tcW w:w="3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rPr>
              <w:t>3,557,303</w:t>
            </w:r>
          </w:p>
        </w:tc>
        <w:tc>
          <w:tcPr>
            <w:tcW w:w="2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505,611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non-binding vote, of the Company’s executive compensation as described in the Company’s 2017 proxy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0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317,758,923</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11,608,885</w:t>
            </w:r>
          </w:p>
        </w:tc>
        <w:tc>
          <w:tcPr>
            <w:tcW w:w="1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1,098,729</w:t>
            </w: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61,439,689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by non-binding vote, of the frequency of future executive compensation votes: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3 Years</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24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297,165,314</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1,244,658</w:t>
            </w:r>
          </w:p>
        </w:tc>
        <w:tc>
          <w:tcPr>
            <w:tcW w:w="1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31,409,507</w:t>
            </w: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647,058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In light of these results, the Company will follow the Board of Directors’ recommendation to hold the non-binding advisory vote on executive compensation annually until the next stockholder vote on the frequency of such vote.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regarding a policy on accelerated vesting of equity awards in the event of a change in control.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0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40" w:type="dxa"/>
            <w:vAlign w:val="bottom"/>
          </w:tcPr>
          <w:p>
            <w:pPr>
              <w:spacing w:after="0"/>
              <w:rPr>
                <w:sz w:val="15"/>
                <w:szCs w:val="15"/>
                <w:color w:val="auto"/>
              </w:rPr>
            </w:pPr>
          </w:p>
        </w:tc>
      </w:tr>
      <w:tr>
        <w:trPr>
          <w:trHeight w:val="210"/>
        </w:trPr>
        <w:tc>
          <w:tcPr>
            <w:tcW w:w="224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113,938,914</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214,807,096</w:t>
            </w:r>
          </w:p>
        </w:tc>
        <w:tc>
          <w:tcPr>
            <w:tcW w:w="1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1,720,527</w:t>
            </w: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61,439,689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jc w:val="right"/>
              <w:ind w:right="2456"/>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WASTE MANAGEMENT,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2017</w:t>
            </w:r>
          </w:p>
        </w:tc>
        <w:tc>
          <w:tcPr>
            <w:tcW w:w="78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c>
          <w:tcPr>
            <w:tcW w:w="4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c>
          <w:tcPr>
            <w:tcW w:w="4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&amp; Chief Compliance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2019-12-05T15:30:56Z</dcterms:created>
  <dcterms:modified xsi:type="dcterms:W3CDTF">2019-12-05T15:30:56Z</dcterms:modified>
</cp:coreProperties>
</file>