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203"/>
        </w:trPr>
        <w:tc>
          <w:tcPr>
            <w:tcW w:w="20" w:type="dxa"/>
            <w:vAlign w:val="bottom"/>
          </w:tcPr>
          <w:p>
            <w:pPr>
              <w:spacing w:after="0"/>
              <w:rPr>
                <w:sz w:val="17"/>
                <w:szCs w:val="17"/>
                <w:color w:val="auto"/>
              </w:rPr>
            </w:pPr>
          </w:p>
        </w:tc>
        <w:tc>
          <w:tcPr>
            <w:tcW w:w="3680" w:type="dxa"/>
            <w:vAlign w:val="bottom"/>
            <w:gridSpan w:val="3"/>
          </w:tcPr>
          <w:p>
            <w:pPr>
              <w:jc w:val="center"/>
              <w:ind w:left="1356"/>
              <w:spacing w:after="0" w:line="202"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1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Suite 3000</w:t>
            </w:r>
          </w:p>
        </w:tc>
        <w:tc>
          <w:tcPr>
            <w:tcW w:w="3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1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7320" w:space="720"/>
            <w:col w:w="2180"/>
          </w:cols>
          <w:pgMar w:left="840" w:top="900" w:right="8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as of April 24, 2023 was 406,816,705 (excluding treasury shares of 223,465,756).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443230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66040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$26 and $26, respectively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2,418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2,461</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$5 and $7, respectively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96"/>
        </w:trPr>
        <w:tc>
          <w:tcPr>
            <w:tcW w:w="670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3,551</w:t>
            </w:r>
          </w:p>
        </w:tc>
        <w:tc>
          <w:tcPr>
            <w:tcW w:w="0" w:type="dxa"/>
            <w:vAlign w:val="bottom"/>
          </w:tcPr>
          <w:p>
            <w:pPr>
              <w:spacing w:after="0"/>
              <w:rPr>
                <w:sz w:val="1"/>
                <w:szCs w:val="1"/>
                <w:color w:val="auto"/>
              </w:rPr>
            </w:pPr>
          </w:p>
        </w:tc>
      </w:tr>
      <w:tr>
        <w:trPr>
          <w:trHeight w:val="185"/>
        </w:trPr>
        <w:tc>
          <w:tcPr>
            <w:tcW w:w="67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1"/>
              </w:rPr>
              <w:t>Property and equipment, net of accumulated depreciation and depletion of $22,027 and $21,627,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9,344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9,323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Restricted funds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31,290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20"/>
              <w:spacing w:after="0"/>
              <w:rPr>
                <w:sz w:val="20"/>
                <w:szCs w:val="20"/>
                <w:color w:val="auto"/>
              </w:rPr>
            </w:pPr>
            <w:r>
              <w:rPr>
                <w:rFonts w:ascii="Arial" w:cs="Arial" w:eastAsia="Arial" w:hAnsi="Arial"/>
                <w:sz w:val="17"/>
                <w:szCs w:val="17"/>
                <w:b w:val="1"/>
                <w:bCs w:val="1"/>
                <w:color w:val="auto"/>
              </w:rPr>
              <w:t>LIABILITIES AND EQUITY</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1,510</w:t>
            </w:r>
          </w:p>
        </w:tc>
        <w:tc>
          <w:tcPr>
            <w:tcW w:w="4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1,766</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196"/>
        </w:trPr>
        <w:tc>
          <w:tcPr>
            <w:tcW w:w="670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1,784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w:t>
            </w: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24,482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24,503</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Waste Management, Inc. stockholders’ equity: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rPr>
              <w:t>Common stock, $0.01 par value; 1,500,000,000 shares authorized; 630,282,461 shares issued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5,314</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13,167</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Arial" w:cs="Arial" w:eastAsia="Arial" w:hAnsi="Arial"/>
                <w:sz w:val="17"/>
                <w:szCs w:val="17"/>
                <w:color w:val="auto"/>
              </w:rPr>
              <w:t>Accumulated other comprehensive (loss) income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Treasury stock at cost 223,491,127 and 222,396,166 shares, respectively</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(11,569)</w:t>
            </w:r>
          </w:p>
        </w:tc>
        <w:tc>
          <w:tcPr>
            <w:tcW w:w="0" w:type="dxa"/>
            <w:vAlign w:val="bottom"/>
          </w:tcPr>
          <w:p>
            <w:pPr>
              <w:spacing w:after="0"/>
              <w:rPr>
                <w:sz w:val="1"/>
                <w:szCs w:val="1"/>
                <w:color w:val="auto"/>
              </w:rPr>
            </w:pPr>
          </w:p>
        </w:tc>
      </w:tr>
      <w:tr>
        <w:trPr>
          <w:trHeight w:val="196"/>
        </w:trPr>
        <w:tc>
          <w:tcPr>
            <w:tcW w:w="6700" w:type="dxa"/>
            <w:vAlign w:val="bottom"/>
          </w:tcPr>
          <w:p>
            <w:pPr>
              <w:ind w:left="220"/>
              <w:spacing w:after="0"/>
              <w:rPr>
                <w:sz w:val="20"/>
                <w:szCs w:val="20"/>
                <w:color w:val="auto"/>
              </w:rPr>
            </w:pPr>
            <w:r>
              <w:rPr>
                <w:rFonts w:ascii="Arial" w:cs="Arial" w:eastAsia="Arial" w:hAnsi="Arial"/>
                <w:sz w:val="17"/>
                <w:szCs w:val="17"/>
                <w:color w:val="auto"/>
              </w:rPr>
              <w:t>Total Waste Management, Inc. stockholders’ equity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6,794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6,849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equity</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6,864</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31,290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9"/>
          </w:tcPr>
          <w:p>
            <w:pPr>
              <w:jc w:val="right"/>
              <w:ind w:right="1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center"/>
              <w:ind w:right="93"/>
              <w:spacing w:after="0" w:line="142" w:lineRule="exact"/>
              <w:rPr>
                <w:sz w:val="20"/>
                <w:szCs w:val="20"/>
                <w:color w:val="auto"/>
              </w:rPr>
            </w:pPr>
            <w:r>
              <w:rPr>
                <w:rFonts w:ascii="Arial" w:cs="Arial" w:eastAsia="Arial" w:hAnsi="Arial"/>
                <w:sz w:val="14"/>
                <w:szCs w:val="14"/>
                <w:b w:val="1"/>
                <w:bCs w:val="1"/>
                <w:color w:val="auto"/>
                <w:w w:val="89"/>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4,661</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Costs and expenses: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2,903</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476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depletion and amortization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Restructuring</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loss from divestitures, asset impairments and unusual items, net</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4,067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3,893</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825</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Equity in net losses of unconsolidated entities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Net income (loss) attributable to noncontrolling interests</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7"/>
        </w:trPr>
        <w:tc>
          <w:tcPr>
            <w:tcW w:w="6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20" w:type="dxa"/>
            <w:vAlign w:val="bottom"/>
            <w:gridSpan w:val="7"/>
          </w:tcPr>
          <w:p>
            <w:pPr>
              <w:jc w:val="center"/>
              <w:ind w:left="7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tcPr>
          <w:p>
            <w:pPr>
              <w:jc w:val="center"/>
              <w:ind w:left="2530"/>
              <w:spacing w:after="0"/>
              <w:rPr>
                <w:sz w:val="20"/>
                <w:szCs w:val="20"/>
                <w:color w:val="auto"/>
              </w:rPr>
            </w:pPr>
            <w:r>
              <w:rPr>
                <w:rFonts w:ascii="Arial" w:cs="Arial" w:eastAsia="Arial" w:hAnsi="Arial"/>
                <w:sz w:val="18"/>
                <w:szCs w:val="18"/>
                <w:b w:val="1"/>
                <w:bCs w:val="1"/>
                <w:color w:val="auto"/>
                <w:w w:val="95"/>
              </w:rPr>
              <w:t>(In Millions)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jc w:val="center"/>
              <w:ind w:left="25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7"/>
          </w:tcPr>
          <w:p>
            <w:pPr>
              <w:jc w:val="right"/>
              <w:ind w:right="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 instruments, net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8"/>
                <w:szCs w:val="18"/>
                <w:color w:val="auto"/>
              </w:rPr>
              <w:t>Available-for-sale securities, net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Post-retirement benefit obligations, net</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532</w:t>
            </w:r>
          </w:p>
        </w:tc>
        <w:tc>
          <w:tcPr>
            <w:tcW w:w="4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w w:val="95"/>
              </w:rPr>
              <w:t>Adjustments to reconcile consolidated net income to net cash provided by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Depreciation, depletion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income tax expense (benefit)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Interest accretion on landfill and environmental remediation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Provision for bad debts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Equity-based compensation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gain on disposal of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(Gain) loss from divestitures, asset impairments and other,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Equity in net losses of unconsolidated entities, net of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Receivables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revenues and other liabilities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Acquisitions of businesses, net of cash acquired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New borrowings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Debt repayments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Common stock repurchase program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Exercise of common stock options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net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60" w:type="dxa"/>
            <w:vAlign w:val="bottom"/>
          </w:tcPr>
          <w:p>
            <w:pPr>
              <w:spacing w:after="0" w:line="165" w:lineRule="exact"/>
              <w:rPr>
                <w:sz w:val="20"/>
                <w:szCs w:val="20"/>
                <w:color w:val="auto"/>
              </w:rPr>
            </w:pPr>
            <w:r>
              <w:rPr>
                <w:rFonts w:ascii="Arial" w:cs="Arial" w:eastAsia="Arial" w:hAnsi="Arial"/>
                <w:sz w:val="17"/>
                <w:szCs w:val="17"/>
                <w:color w:val="auto"/>
              </w:rPr>
              <w:t>Effect of exchange rate changes on cash, cash equivalents and restricted cash and cash</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equivalents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(Decrease) increase in cash, cash equivalents and restricted cash and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w w:val="90"/>
              </w:rPr>
              <w:t>Reconciliation of cash, cash equivalents and restricted cash and cash equivalents at end of period: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257</w:t>
            </w:r>
          </w:p>
        </w:tc>
        <w:tc>
          <w:tcPr>
            <w:tcW w:w="4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cash equivalents included in other current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cash and cash equivalents included in restricted funds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5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2"/>
          </w:tcPr>
          <w:p>
            <w:pPr>
              <w:ind w:left="260"/>
              <w:spacing w:after="0"/>
              <w:rPr>
                <w:sz w:val="20"/>
                <w:szCs w:val="20"/>
                <w:color w:val="auto"/>
              </w:rPr>
            </w:pPr>
            <w:r>
              <w:rPr>
                <w:rFonts w:ascii="Arial" w:cs="Arial" w:eastAsia="Arial" w:hAnsi="Arial"/>
                <w:sz w:val="13"/>
                <w:szCs w:val="13"/>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Paid-In</w:t>
            </w: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Comprehensive</w:t>
            </w:r>
          </w:p>
        </w:tc>
        <w:tc>
          <w:tcPr>
            <w:tcW w:w="1380" w:type="dxa"/>
            <w:vAlign w:val="bottom"/>
            <w:gridSpan w:val="5"/>
          </w:tcPr>
          <w:p>
            <w:pPr>
              <w:ind w:left="220"/>
              <w:spacing w:after="0"/>
              <w:rPr>
                <w:sz w:val="20"/>
                <w:szCs w:val="20"/>
                <w:color w:val="auto"/>
              </w:rPr>
            </w:pPr>
            <w:r>
              <w:rPr>
                <w:rFonts w:ascii="Arial" w:cs="Arial" w:eastAsia="Arial" w:hAnsi="Arial"/>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Noncontrolling</w:t>
            </w:r>
          </w:p>
        </w:tc>
      </w:tr>
      <w:tr>
        <w:trPr>
          <w:trHeight w:val="142"/>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6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6"/>
              </w:rPr>
              <w:t>Capital</w:t>
            </w:r>
          </w:p>
        </w:tc>
        <w:tc>
          <w:tcPr>
            <w:tcW w:w="62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2"/>
              </w:rPr>
              <w:t>(Loss) Income</w:t>
            </w:r>
          </w:p>
        </w:tc>
        <w:tc>
          <w:tcPr>
            <w:tcW w:w="6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9"/>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w w:val="99"/>
              </w:rPr>
              <w:t>Interests</w:t>
            </w:r>
          </w:p>
        </w:tc>
      </w:tr>
      <w:tr>
        <w:trPr>
          <w:trHeight w:val="128"/>
        </w:trPr>
        <w:tc>
          <w:tcPr>
            <w:tcW w:w="2540" w:type="dxa"/>
            <w:vAlign w:val="bottom"/>
            <w:tcBorders>
              <w:top w:val="single" w:sz="8" w:color="CCEEFF"/>
              <w:left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42"/>
        </w:trPr>
        <w:tc>
          <w:tcPr>
            <w:tcW w:w="25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December 31, 2022</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4"/>
              </w:rPr>
              <w:t>$ 6,864</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5,314</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1"/>
              </w:rPr>
              <w:t>$ 13,167</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(69)</w:t>
            </w: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(222,396)</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9"/>
              </w:rPr>
              <w:t>(11,569)</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15</w:t>
            </w:r>
          </w:p>
        </w:tc>
      </w:tr>
      <w:tr>
        <w:trPr>
          <w:trHeight w:val="149"/>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4"/>
              </w:rPr>
              <w:t>Other comprehensive income (loss), net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20"/>
              <w:spacing w:after="0"/>
              <w:rPr>
                <w:sz w:val="20"/>
                <w:szCs w:val="20"/>
                <w:color w:val="auto"/>
              </w:rPr>
            </w:pPr>
            <w:r>
              <w:rPr>
                <w:rFonts w:ascii="Arial" w:cs="Arial" w:eastAsia="Arial" w:hAnsi="Arial"/>
                <w:sz w:val="14"/>
                <w:szCs w:val="14"/>
                <w:color w:val="auto"/>
              </w:rPr>
              <w:t>tax</w:t>
            </w: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$0.70 per</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5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7"/>
              </w:rPr>
              <w:t>Equity-based compensation transactions,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20"/>
              <w:spacing w:after="0"/>
              <w:rPr>
                <w:sz w:val="20"/>
                <w:szCs w:val="20"/>
                <w:color w:val="auto"/>
              </w:rPr>
            </w:pPr>
            <w:r>
              <w:rPr>
                <w:rFonts w:ascii="Arial" w:cs="Arial" w:eastAsia="Arial" w:hAnsi="Arial"/>
                <w:sz w:val="14"/>
                <w:szCs w:val="14"/>
                <w:color w:val="auto"/>
              </w:rPr>
              <w:t>net</w:t>
            </w: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(353)</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54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2023</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$ 6,808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5,244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$ 13,414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(223,491)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(11,813)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r>
      <w:tr>
        <w:trPr>
          <w:trHeight w:val="20"/>
        </w:trPr>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54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2022</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42"/>
        </w:trPr>
        <w:tc>
          <w:tcPr>
            <w:tcW w:w="25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December 31, 2021</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4"/>
              </w:rPr>
              <w:t>$ 7,126</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5,169</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1"/>
              </w:rPr>
              <w:t>$ 12,004</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(214,159)</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9"/>
              </w:rPr>
              <w:t>(10,072)</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4"/>
              </w:rPr>
              <w:t>Other comprehensive income (loss), net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20"/>
              <w:spacing w:after="0"/>
              <w:rPr>
                <w:sz w:val="20"/>
                <w:szCs w:val="20"/>
                <w:color w:val="auto"/>
              </w:rPr>
            </w:pPr>
            <w:r>
              <w:rPr>
                <w:rFonts w:ascii="Arial" w:cs="Arial" w:eastAsia="Arial" w:hAnsi="Arial"/>
                <w:sz w:val="14"/>
                <w:szCs w:val="14"/>
                <w:color w:val="auto"/>
              </w:rPr>
              <w:t>tax</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$0.65 per</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5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7"/>
              </w:rPr>
              <w:t>Equity-based compensation transactions,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540" w:type="dxa"/>
            <w:vAlign w:val="bottom"/>
            <w:gridSpan w:val="2"/>
          </w:tcPr>
          <w:p>
            <w:pPr>
              <w:ind w:left="120"/>
              <w:spacing w:after="0"/>
              <w:rPr>
                <w:sz w:val="20"/>
                <w:szCs w:val="20"/>
                <w:color w:val="auto"/>
              </w:rPr>
            </w:pPr>
            <w:r>
              <w:rPr>
                <w:rFonts w:ascii="Arial" w:cs="Arial" w:eastAsia="Arial" w:hAnsi="Arial"/>
                <w:sz w:val="14"/>
                <w:szCs w:val="14"/>
                <w:color w:val="auto"/>
              </w:rPr>
              <w:t>net</w:t>
            </w:r>
          </w:p>
        </w:tc>
        <w:tc>
          <w:tcPr>
            <w:tcW w:w="500" w:type="dxa"/>
            <w:vAlign w:val="bottom"/>
          </w:tcPr>
          <w:p>
            <w:pPr>
              <w:jc w:val="right"/>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862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2"/>
        </w:trPr>
        <w:tc>
          <w:tcPr>
            <w:tcW w:w="254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2022</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$ 7,146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$ 12,247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(215,102)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(10,302)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12.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w:t>
      </w:r>
    </w:p>
    <w:p>
      <w:pPr>
        <w:spacing w:after="0" w:line="17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 We also provide additional services that are not managed through our Solid Waste business, which are presented in this report as “Other.” Additional information related to our segments is included in Note 7.</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Condensed Consolidated Financial Statements as of March 31, 2023 and for the three months ended March 31, 2023 and 2022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2022.</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both March 31, 2023 and December 31, 2022, we had $192 million of deferred contract costs, of which $139 million and $137 million, respectively, were related to deferred sales incentives.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March 31, 2023</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16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Remediation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2023 are reflected in the table below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Revisions in estimates and interest rate assumptions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12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The following table summarizes the major components of debt at principal amounts as of each balance sheet date (in millions) and provides the maturities and interest rate ranges of each major category as of March 31, 2023:</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r>
      <w:tr>
        <w:trPr>
          <w:trHeight w:val="182"/>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Commercial paper program (weighted average interest rate of 5.2% as of March 31, 2023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4.9% as of December 31, 2022)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3"/>
              </w:rPr>
              <w:t>Senior notes, maturing through 2050, interest rates ranging from 0.75% to 7.75% (weighted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w w:val="95"/>
              </w:rPr>
              <w:t>average interest rate of 3.4% as of March 31, 2023 and 3.2% as of December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8,626</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Term Loan maturing May 2024, (interest rate of 5.6% as of March 31, 2023 and 5.1% as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31, 2022)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Tax-exempt bonds, maturing through 2048, fixed and variable interest rates ranging from</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0.4% to 4.4% (weighted average interest rate of 2.8% as of March 31, 2023 and 2.7% as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31, 2022)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0"/>
              </w:rPr>
              <w:t>Financing leases and other, maturing through 2071 (weighted average interest rate of 4.7% 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of March 31, 2023 and December 31, 2022) (a)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14,984</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09"/>
        </w:trPr>
        <w:tc>
          <w:tcPr>
            <w:tcW w:w="6840" w:type="dxa"/>
            <w:vAlign w:val="bottom"/>
            <w:gridSpan w:val="3"/>
          </w:tcPr>
          <w:p>
            <w:pPr>
              <w:ind w:left="2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2023, we had approximately $2.3 billion of debt maturing within the next 12 months, including</w:t>
      </w:r>
    </w:p>
    <w:p>
      <w:pPr>
        <w:spacing w:after="0" w:line="35" w:lineRule="exact"/>
        <w:rPr>
          <w:sz w:val="20"/>
          <w:szCs w:val="20"/>
          <w:color w:val="auto"/>
        </w:rPr>
      </w:pPr>
    </w:p>
    <w:p>
      <w:pPr>
        <w:ind w:left="300" w:hanging="250"/>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$861 million of short-term borrowings under our commercial paper program (net of related discount on issuance);</w:t>
      </w:r>
    </w:p>
    <w:p>
      <w:pPr>
        <w:spacing w:after="0" w:line="20" w:lineRule="exact"/>
        <w:rPr>
          <w:rFonts w:ascii="Arial" w:cs="Arial" w:eastAsia="Arial" w:hAnsi="Arial"/>
          <w:sz w:val="17"/>
          <w:szCs w:val="17"/>
          <w:color w:val="auto"/>
        </w:rPr>
      </w:pPr>
    </w:p>
    <w:p>
      <w:pPr>
        <w:jc w:val="both"/>
        <w:ind w:left="60" w:right="59" w:hanging="10"/>
        <w:spacing w:after="0" w:line="288" w:lineRule="auto"/>
        <w:tabs>
          <w:tab w:leader="none" w:pos="333" w:val="left"/>
        </w:tabs>
        <w:numPr>
          <w:ilvl w:val="0"/>
          <w:numId w:val="6"/>
        </w:numPr>
        <w:rPr>
          <w:rFonts w:ascii="Arial" w:cs="Arial" w:eastAsia="Arial" w:hAnsi="Arial"/>
          <w:sz w:val="16"/>
          <w:szCs w:val="16"/>
          <w:color w:val="auto"/>
        </w:rPr>
      </w:pPr>
      <w:r>
        <w:rPr>
          <w:rFonts w:ascii="Arial" w:cs="Arial" w:eastAsia="Arial" w:hAnsi="Arial"/>
          <w:sz w:val="16"/>
          <w:szCs w:val="16"/>
          <w:color w:val="auto"/>
        </w:rPr>
        <w:t>$725 million of tax-exempt bonds with term interest rate periods that expire within the next 12 months, which is prior to their scheduled maturities; (iii) $500 million of 2.4% senior notes that mature in May 2023 and (iv) $186 million of other debt with scheduled maturities within the next 12 months, including $65 million of tax-exempt bonds. As of March 31, 2023, we have classified $1.9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$336 million of debt maturing in the next 12 months is classified as current obligations.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Commercial Paper Program and Term Loan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$3.5 Billion Revolving Credit Facility — </w:t>
      </w:r>
      <w:r>
        <w:rPr>
          <w:rFonts w:ascii="Arial" w:cs="Arial" w:eastAsia="Arial" w:hAnsi="Arial"/>
          <w:sz w:val="16"/>
          <w:szCs w:val="16"/>
          <w:color w:val="auto"/>
        </w:rPr>
        <w:t>Our $3.5 billion revolving credit facility, maturing May 2027, provides us</w:t>
      </w:r>
      <w:r>
        <w:rPr>
          <w:rFonts w:ascii="Arial" w:cs="Arial" w:eastAsia="Arial" w:hAnsi="Arial"/>
          <w:sz w:val="16"/>
          <w:szCs w:val="16"/>
          <w:i w:val="1"/>
          <w:iCs w:val="1"/>
          <w:color w:val="auto"/>
        </w:rPr>
        <w:t xml:space="preserve"> </w:t>
      </w:r>
      <w:r>
        <w:rPr>
          <w:rFonts w:ascii="Arial" w:cs="Arial" w:eastAsia="Arial" w:hAnsi="Arial"/>
          <w:sz w:val="16"/>
          <w:szCs w:val="16"/>
          <w:color w:val="auto"/>
        </w:rPr>
        <w:t>with credit capacity to be used for cash borrowings, to support letters of credit and to support our commercial paper program. The interest rates we pay on outstanding U.S. or Canadian loans are based on the Secured Overnight Financing Rate (“SOFR”) administered by the Federal Reserve Bank of New York or the Canadian Dollar Offered Rate (“CDOR”), respectively, plus a spread depending on WMI’s senior public debt rating assigned by Moody’s Investors Service, Inc. and Standard and Poor’s Global Ratings. As of March 31, 2023, we had no outstanding borrowings under this facility. We had $165 million of letters of credit issued and $861 million of outstanding borrowings (net of related discount on issuance) under our commercial paper program, both supported by the facility, leaving unused and available credit capacity 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$2.5 billion as of March 31, 2023. WM Holdings, a wholly-owned subsidiary of WMI, guarantees all of the obligations under the $3.5 billion revolving credit facility.</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March 31, 2023, we had $861 million of outstanding borrowings (net of related discount on issuance) under our commercial paper program.</w:t>
      </w:r>
    </w:p>
    <w:p>
      <w:pPr>
        <w:spacing w:after="0" w:line="15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$1.0 Billion, Two-Year, Term Credit Agreement </w:t>
      </w:r>
      <w:r>
        <w:rPr>
          <w:rFonts w:ascii="Arial" w:cs="Arial" w:eastAsia="Arial" w:hAnsi="Arial"/>
          <w:sz w:val="16"/>
          <w:szCs w:val="16"/>
          <w:color w:val="auto"/>
        </w:rPr>
        <w:t>— In May 2022, we entered into a $1.0 billion, two-year, U.S. term</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(“Term Loan”) maturing May 2024 to be used for general corporate purposes. The interest rate we pay on our outstanding balance is generally based on SOFR, plus a spread depending on WMI’s senior public debt rating assigned by Moody’s Investors Service, Inc. and Standard and Poor’s Global Ratings. As of March 31, 2023, we had $1.0 billion of outstanding borrowings under our Term Loan. WM Holdings also guarantees all of the obligations under the Term Loan.</w:t>
      </w:r>
    </w:p>
    <w:p>
      <w:pPr>
        <w:spacing w:after="0" w:line="16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March 31, 2023, we had utilized $796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maturing through December 2026.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Commercial Paper Program — </w:t>
      </w:r>
      <w:r>
        <w:rPr>
          <w:rFonts w:ascii="Arial" w:cs="Arial" w:eastAsia="Arial" w:hAnsi="Arial"/>
          <w:sz w:val="17"/>
          <w:szCs w:val="17"/>
          <w:color w:val="auto"/>
        </w:rPr>
        <w:t>During the three months ended March 31, 2023, we made cash repayments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$6.5 billion, which were partially offset by $5.6 billion of cash borrowings (net of related discount on issuance).</w:t>
      </w:r>
    </w:p>
    <w:p>
      <w:pPr>
        <w:spacing w:after="0" w:line="14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February 2023, WMI issued $750 million and $500 million of 4.625% senior notes due</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2030 and February 2033, respectively, the net proceeds of which were $1.24 billion. We used the net proceeds to repay $867 million of outstanding borrowings under our commercial paper program and utilized the remaining $373 million, combined with our net cash provided by operating activities of $1.04 billion, for general corporate purposes including for example, payment of dividends, common stock repurchases and investments in the business through capital expenditures and acquisitions.</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increase in our financing leases and other debt obligations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2023 is due to an increase of $33 million primarily related to non-cash financing leases, partially offset by $28 million of cash repayments of debt at maturity.</w:t>
      </w:r>
    </w:p>
    <w:p>
      <w:pPr>
        <w:spacing w:after="0" w:line="180"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effective income tax rate was 23.6% and 23.5% for the three months ended March 31, 2023 and 2022, respectively. We evaluate our effective income tax rate at each interim period and adjust it as facts and circumstances warrant.</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months ended March 31, 2023, and 2022, we recognized a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our income tax expense of $7 million and $10 million, respectively, for excess tax benefits related to the vesting or exercise of equity-based compensation awards.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Adjustments to Accruals and Related Deferred Taxes — </w:t>
      </w:r>
      <w:r>
        <w:rPr>
          <w:rFonts w:ascii="Arial" w:cs="Arial" w:eastAsia="Arial" w:hAnsi="Arial"/>
          <w:sz w:val="16"/>
          <w:szCs w:val="16"/>
          <w:color w:val="auto"/>
        </w:rPr>
        <w:t>There were no adjustments to accruals and related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taxes during the three months ended March 31, 2023. During the three months ended March 31, 2022, we recognized an increase in our income tax expense of $3 million for adjustments to accruals and related deferred taxes.</w:t>
      </w:r>
    </w:p>
    <w:p>
      <w:pPr>
        <w:spacing w:after="0" w:line="14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Investments Qualifying for Federal Tax Credits </w:t>
      </w:r>
      <w:r>
        <w:rPr>
          <w:rFonts w:ascii="Arial" w:cs="Arial" w:eastAsia="Arial" w:hAnsi="Arial"/>
          <w:sz w:val="16"/>
          <w:szCs w:val="16"/>
          <w:color w:val="auto"/>
        </w:rPr>
        <w:t>— We have significant financial interests in entities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low-income housing properties. We support the operations of these entities in exchange for a pro-rata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share of the tax credits they generate. The low-income housing investments qualify for federal tax credits that we expect to realize through 2033 under Section 42 or Section 45D of the Internal Revenue Code.</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months ended March 31, 2023 and 2022, we recognized $13 million and $14 million of net losses, respectively, and a reduction in our income tax expense of $22 million and $23 million, respectively, primarily due to federal tax credits realized from these investments as well as the tax benefits from the pre-tax losses realized. In addition, during the three months ended March 31, 2023 and 2022, we recognized interest expense of $4 million and $3 million, respectively, associated with our investments in low-income housing properties. See Note 12 for additional information related to these unconsolidated variable interest entities.</w:t>
      </w:r>
    </w:p>
    <w:p>
      <w:pPr>
        <w:spacing w:after="0" w:line="161"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Basic and diluted earnings per share for the three months ended March 31 were computed using the following common share data (shares in millions):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6"/>
              </w:rPr>
              <w:t>Dilutive effect of equity-based compensation awards and other contingently issuable shares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2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Refer to the Condensed Consolidated Statements of Operations for net income attributable to Waste Management, Inc.</w:t>
      </w:r>
    </w:p>
    <w:p>
      <w:pPr>
        <w:spacing w:after="0" w:line="271"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Insurance — </w:t>
      </w:r>
      <w:r>
        <w:rPr>
          <w:rFonts w:ascii="Arial" w:cs="Arial" w:eastAsia="Arial" w:hAnsi="Arial"/>
          <w:sz w:val="16"/>
          <w:szCs w:val="16"/>
          <w:color w:val="auto"/>
        </w:rPr>
        <w:t>We carry insurance coverage for protection of our assets and operations from certain risks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 incident deductible under the related insurance policy and 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amounts that exceed our insured limits. Our exposure could increase if our insurers are unable to meet their commitments on a timely basis.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WMI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March 31, 2023,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17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$130 million higher than the $200 million recorded in the Condensed Consolidated Balance Sheet as of March 31, 2023.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March 31, 2023,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 share of the EPA’s proposed remedy and related costs, although allocation of responsibility among the PRPs for the 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we recorded an additional liability of $17 million as of March 31, 2022 for MIMC’s estimated potential share of such costs. As of March 31, 2023 and December 31, 2022, the recorded liability for MIMC’s estimated potential share of the EPA’s proposed remedy was $69 million and $68 million, respectively. MIMC’s ultimate liability could be materially different from current estimates and MIMC will continue to engage the EPA regarding its proposed remedy.</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9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We are subject to various proceedings, lawsuits, disputes and claims arising in the ordinary course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Tax Matters — </w:t>
      </w:r>
      <w:r>
        <w:rPr>
          <w:rFonts w:ascii="Arial" w:cs="Arial" w:eastAsia="Arial" w:hAnsi="Arial"/>
          <w:sz w:val="17"/>
          <w:szCs w:val="17"/>
          <w:color w:val="auto"/>
        </w:rPr>
        <w:t>We participate in the IRS’s Compliance Assurance Process, which means we work with the IRS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March 31, 2023 and December 31, 2022, the IRS deposit, net of reserve for uncertain tax positions, is classified as a component of other long-term assets in the Company’s Condensed Consolidated Balance Sheets.</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addition, we are in the examination phase of IRS audits for the 2022 and 2023 tax years and expect the audits to be completed within the next 24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72"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w:t>
      </w:r>
    </w:p>
    <w:p>
      <w:pPr>
        <w:spacing w:after="0" w:line="17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months ended March 31 is shown in the following table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Income</w:t>
            </w:r>
          </w:p>
        </w:tc>
      </w:tr>
      <w:tr>
        <w:trPr>
          <w:trHeight w:val="149"/>
        </w:trPr>
        <w:tc>
          <w:tcPr>
            <w:tcW w:w="22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2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Revenues(d)</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Operations</w:t>
            </w:r>
          </w:p>
        </w:tc>
      </w:tr>
      <w:tr>
        <w:trPr>
          <w:trHeight w:val="209"/>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3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Solid Waste: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East Tier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5540" w:type="dxa"/>
            <w:vAlign w:val="bottom"/>
            <w:gridSpan w:val="2"/>
          </w:tcPr>
          <w:p>
            <w:pPr>
              <w:ind w:left="120"/>
              <w:spacing w:after="0"/>
              <w:rPr>
                <w:sz w:val="20"/>
                <w:szCs w:val="20"/>
                <w:color w:val="auto"/>
              </w:rPr>
            </w:pPr>
            <w:r>
              <w:rPr>
                <w:rFonts w:ascii="Arial" w:cs="Arial" w:eastAsia="Arial" w:hAnsi="Arial"/>
                <w:sz w:val="18"/>
                <w:szCs w:val="18"/>
                <w:color w:val="auto"/>
              </w:rPr>
              <w:t>West Tier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09"/>
        </w:trPr>
        <w:tc>
          <w:tcPr>
            <w:tcW w:w="55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Solid Waste (a)</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Other (b)</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Corporate and Other (c)</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09"/>
        </w:trPr>
        <w:tc>
          <w:tcPr>
            <w:tcW w:w="55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0"/>
        </w:trPr>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Solid Waste: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East Tier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5540" w:type="dxa"/>
            <w:vAlign w:val="bottom"/>
            <w:gridSpan w:val="2"/>
          </w:tcPr>
          <w:p>
            <w:pPr>
              <w:ind w:left="120"/>
              <w:spacing w:after="0"/>
              <w:rPr>
                <w:sz w:val="20"/>
                <w:szCs w:val="20"/>
                <w:color w:val="auto"/>
              </w:rPr>
            </w:pPr>
            <w:r>
              <w:rPr>
                <w:rFonts w:ascii="Arial" w:cs="Arial" w:eastAsia="Arial" w:hAnsi="Arial"/>
                <w:sz w:val="18"/>
                <w:szCs w:val="18"/>
                <w:color w:val="auto"/>
              </w:rPr>
              <w:t>West Tier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09"/>
        </w:trPr>
        <w:tc>
          <w:tcPr>
            <w:tcW w:w="55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Solid Waste (a)</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Other (b)</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1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Corporate and Other (c)</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10"/>
        </w:trPr>
        <w:tc>
          <w:tcPr>
            <w:tcW w:w="55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0"/>
        </w:trPr>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8" w:lineRule="exact"/>
        <w:rPr>
          <w:rFonts w:ascii="Arial" w:cs="Arial" w:eastAsia="Arial" w:hAnsi="Arial"/>
          <w:sz w:val="18"/>
          <w:szCs w:val="18"/>
          <w:color w:val="auto"/>
        </w:rPr>
      </w:pPr>
    </w:p>
    <w:p>
      <w:pPr>
        <w:jc w:val="both"/>
        <w:ind w:left="380" w:right="59"/>
        <w:spacing w:after="0" w:line="293" w:lineRule="auto"/>
        <w:rPr>
          <w:rFonts w:ascii="Arial" w:cs="Arial" w:eastAsia="Arial" w:hAnsi="Arial"/>
          <w:sz w:val="18"/>
          <w:szCs w:val="18"/>
          <w:color w:val="auto"/>
        </w:rPr>
      </w:pPr>
      <w:r>
        <w:rPr>
          <w:rFonts w:ascii="Arial" w:cs="Arial" w:eastAsia="Arial" w:hAnsi="Arial"/>
          <w:sz w:val="16"/>
          <w:szCs w:val="16"/>
          <w:color w:val="auto"/>
        </w:rPr>
        <w:t>Income from operations in our Solid Waste business increased primarily due to (i) revenue growth in our collection and disposal business driven by both yield and volume and (ii) fuel tax credits recognized in the current year which were nominal in the prior year period as the majority of our fuel tax credits were not recognized until August 2022 due to the timing of the Inflationary Reduction Act of 2022. These increases were partially offset by (i) inflationary cost pressures; (ii) labor cost increases from frontline employee wage adjustments and annual merit increases and (iii) reduced profitability in our recycling business from the decline in recycling commodity prices and lower volumes.</w:t>
      </w:r>
    </w:p>
    <w:p>
      <w:pPr>
        <w:spacing w:after="0" w:line="56" w:lineRule="exact"/>
        <w:rPr>
          <w:rFonts w:ascii="Arial" w:cs="Arial" w:eastAsia="Arial" w:hAnsi="Arial"/>
          <w:sz w:val="18"/>
          <w:szCs w:val="18"/>
          <w:color w:val="auto"/>
        </w:rPr>
      </w:pPr>
    </w:p>
    <w:p>
      <w:pPr>
        <w:jc w:val="both"/>
        <w:ind w:left="380" w:right="79" w:hanging="330"/>
        <w:spacing w:after="0" w:line="293"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includes (i) elements of our Strategic Business Solutions (“WMSBS”) business that are not included in the operations of our reportable segments; (ii) elements of our sustainability business that includes landfill gas-to-energy operations managed by our WM Renewable Energy business, our Sustainability and Environmental Solutions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56" w:lineRule="exact"/>
        <w:rPr>
          <w:rFonts w:ascii="Arial" w:cs="Arial" w:eastAsia="Arial" w:hAnsi="Arial"/>
          <w:sz w:val="16"/>
          <w:szCs w:val="16"/>
          <w:color w:val="auto"/>
        </w:rPr>
      </w:pPr>
    </w:p>
    <w:p>
      <w:pPr>
        <w:jc w:val="both"/>
        <w:ind w:left="380" w:right="59"/>
        <w:spacing w:after="0" w:line="263" w:lineRule="auto"/>
        <w:rPr>
          <w:rFonts w:ascii="Arial" w:cs="Arial" w:eastAsia="Arial" w:hAnsi="Arial"/>
          <w:sz w:val="16"/>
          <w:szCs w:val="16"/>
          <w:color w:val="auto"/>
        </w:rPr>
      </w:pPr>
      <w:r>
        <w:rPr>
          <w:rFonts w:ascii="Arial" w:cs="Arial" w:eastAsia="Arial" w:hAnsi="Arial"/>
          <w:sz w:val="18"/>
          <w:szCs w:val="18"/>
          <w:color w:val="auto"/>
        </w:rPr>
        <w:t>The decrease in income from operations was due to (i) reduced profitability in our WM Renewable Energy business due to lower market values for renewable fuel standard credits and lower energy prices and (ii) the decline in recycling brokerage commodity prices affecting profitability in our recycling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79" w:hanging="330"/>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9" w:lineRule="exact"/>
        <w:rPr>
          <w:rFonts w:ascii="Arial" w:cs="Arial" w:eastAsia="Arial" w:hAnsi="Arial"/>
          <w:sz w:val="18"/>
          <w:szCs w:val="18"/>
          <w:color w:val="auto"/>
        </w:rPr>
      </w:pPr>
    </w:p>
    <w:p>
      <w:pPr>
        <w:jc w:val="both"/>
        <w:ind w:left="380" w:right="59"/>
        <w:spacing w:after="0" w:line="279" w:lineRule="auto"/>
        <w:rPr>
          <w:rFonts w:ascii="Arial" w:cs="Arial" w:eastAsia="Arial" w:hAnsi="Arial"/>
          <w:sz w:val="18"/>
          <w:szCs w:val="18"/>
          <w:color w:val="auto"/>
        </w:rPr>
      </w:pPr>
      <w:r>
        <w:rPr>
          <w:rFonts w:ascii="Arial" w:cs="Arial" w:eastAsia="Arial" w:hAnsi="Arial"/>
          <w:sz w:val="17"/>
          <w:szCs w:val="17"/>
          <w:color w:val="auto"/>
        </w:rPr>
        <w:t>The increase in income from operations was primarily driven by (i) lower annual incentive compensation and (ii) a charge during the first quarter of 2022 to adjust an indirect wholly-owned subsidiary’s estimated potential share of the liability for a proposed environmental remediation plan at a closed site. These were partially offset by an increase in health and welfare costs driven by higher inflation and utilization of employee medical benefits.</w:t>
      </w:r>
    </w:p>
    <w:p>
      <w:pPr>
        <w:spacing w:after="0" w:line="63"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6"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three months ended March 31 are as follows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r>
      <w:tr>
        <w:trPr>
          <w:trHeight w:val="21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10"/>
        </w:trPr>
        <w:tc>
          <w:tcPr>
            <w:tcW w:w="7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1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(1,142)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210"/>
        </w:trPr>
        <w:tc>
          <w:tcPr>
            <w:tcW w:w="7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0"/>
        </w:trPr>
        <w:tc>
          <w:tcPr>
            <w:tcW w:w="2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certain services within our sustainability business including our landfill gas to energy operations managed by our WM Renewable Energy business and (iii) certain other expanded service offerings and solutions and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Service or operational disruptions caused by severe storms, extended periods of inclement weather or climate events can significantly affect the operating results of the geographic areas affected. Extreme weather events may also lead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supply chain disruption and delayed project development, or disruption of our customers’ businesses, reducing the amount of waste generated by their operations.</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(Gain) Loss from Divestitures, Asset Impairments and Unusual Items,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(Gain) loss from divestitures, asset impairments and unusual items, net for the first quarter of 2023 were nominal. During the first quarter of 2022, we recognized a $17 million charge pertaining to reserves for loss contingencies in our Corporate and Other segment to adjust an indirect wholly-owned subsidiary’s estimated potential share of the liability for a proposed environmental remediation plan at a closed site, as discussed in Note 6.</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(loss) income, net of tax, which is included as a component of Waste Management, Inc. stockholders’ equity, are as follows (in millions, with amounts in parentheses representing decreases to accumulated other comprehensive income):</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Post-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2"/>
                <w:szCs w:val="12"/>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4840" w:type="dxa"/>
            <w:vAlign w:val="bottom"/>
          </w:tcPr>
          <w:p>
            <w:pPr>
              <w:ind w:left="1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of tax expense (benefit) of $2, $1, $0 and $0, respectively</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(income) loss, net of tax (expense) benefit of $0, $0, $0 and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 respectively</w:t>
            </w: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Common Stock Repurchase Program</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February 2023, we entered into an accelerated share repurchase (“ASR”) agreement to repurchase $350 million of our common stock. At the beginning of the repurchase period, we delivered $350 million cash and received 1.9 million shares based on a stock price of $150.34, exclusive of the 1% excise tax discussed below. The final number of shares to be repurchased and the final average price per share under the ASR agreement, exclusive of the 1% excise tax, will depend on the volume-weighted average price of our stock, less a discount, during the term of the agreement. Purchases under the ASR agreement are expected to be completed in April 2023.</w:t>
      </w:r>
    </w:p>
    <w:p>
      <w:pPr>
        <w:spacing w:after="0" w:line="17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Inflation Reduction Act of 2022, which was enacted into law on August 16, 2022, imposed a nondeductible 1% excise tax on the net value of certain stock repurchases made after December 31, 2022. During the three months ended March 31, 2023, we reflected the applicable excise tax in treasury stock as part of the cost basis of the stock repurchased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recorded a corresponding liability for the excise taxes payable in accrued liabilities in our Condensed Consolidated Balance Sheet.</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of March 31, 2023, the Company has authorization for $1.15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Quoted prices in active markets (Level 1):</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Cash equivalents and money market funds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200" w:type="dxa"/>
            <w:vAlign w:val="bottom"/>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Equity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Significant other observable inputs (Level 2):</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Available-for-sale securities (a)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Significant unobservable inputs (Level 3):</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Redeemable preferred stock (b)</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2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Total Assets</w:t>
            </w:r>
          </w:p>
        </w:tc>
        <w:tc>
          <w:tcPr>
            <w:tcW w:w="1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80"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available-for-sale securities primarily relate to debt securities with maturities over the next ten years.</w:t>
      </w:r>
    </w:p>
    <w:p>
      <w:pPr>
        <w:spacing w:after="0" w:line="117" w:lineRule="exact"/>
        <w:rPr>
          <w:rFonts w:ascii="Arial" w:cs="Arial" w:eastAsia="Arial" w:hAnsi="Arial"/>
          <w:sz w:val="18"/>
          <w:szCs w:val="18"/>
          <w:color w:val="auto"/>
        </w:rPr>
      </w:pPr>
    </w:p>
    <w:p>
      <w:pPr>
        <w:jc w:val="both"/>
        <w:ind w:left="380" w:right="79" w:hanging="330"/>
        <w:spacing w:after="0" w:line="275"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investment, which is classified as an available-for-sale debt security,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As of March 31, 2023 and December 31, 2022, the carrying value of our debt was $15.4 billion and $15.0 billion. The estimated fair value of our debt was approximately $14.4 billion and $13.8 billion as of March 31, 2023 and December 31, 2022, respectively. The increase in the fair value of debt is primarily due to net borrowings of $337 million in 2023 and, to a lesser extent, changes in the current market rates of our senior notes.</w:t>
      </w:r>
    </w:p>
    <w:p>
      <w:pPr>
        <w:spacing w:after="0" w:line="17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2023 and December 31, 2022. These amounts have not been revalued since those dates, and current estimates of fair value could differ significantly from the amounts presented.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Variable Interest Entities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$309 million and $321 million as of March 31, 2023 and December 31, 2022, respectively. The debt balance related to our investments in low-income housing properties was $278 million and $295 million as of March 31, 2023 and December 31, 2022, respectively. Additional information related to these investments is discussed in Note 4.</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$95 million and $93 million as of March 31, 2023 and December 31, 2022, respectively.</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$118 million and $113 million as of March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2022.</w:t>
      </w:r>
    </w:p>
    <w:p>
      <w:pPr>
        <w:spacing w:after="0" w:line="187"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environmental, social and governance (“ESG”) performance and disclosure;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future resurgence of pandemic conditions and restrictions; macroeconomic conditions, geopolitical conflict and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and other risks discussed in our filings with the SEC, including Part I, Item 1A of our Annual Report on Form 10-K for the year ended December 31, 2022 as updated by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Quarterly Report on Form 10-Q for the quarterly period ended March 31, 2023.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 Additionally, we are a leading recycler in the U.S. and Canada, handling materials that include paper, cardboard, glass, plastic and metal. Our “Solid Waste” business is operated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 w:name="page22"/>
    <w:bookmarkEnd w:id="21"/>
    <w:p>
      <w:pPr>
        <w:jc w:val="both"/>
        <w:ind w:left="60" w:right="59"/>
        <w:spacing w:after="0" w:line="277" w:lineRule="auto"/>
        <w:rPr>
          <w:sz w:val="20"/>
          <w:szCs w:val="20"/>
          <w:color w:val="auto"/>
        </w:rPr>
      </w:pPr>
      <w:r>
        <w:rPr>
          <w:rFonts w:ascii="Arial" w:cs="Arial" w:eastAsia="Arial" w:hAnsi="Arial"/>
          <w:sz w:val="18"/>
          <w:szCs w:val="18"/>
          <w:color w:val="auto"/>
        </w:rPr>
        <w:t>and managed locally by our subsidiaries that focus on distinct geographic areas and provide collection, transfer, disposal, and recycling and resource recovery services.</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businesses, while increasing automation and reducing labor dependency. We are also evaluating and pursuing emerging diversion technologies that may generate additional value.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published our 2022 Sustainability Report providing details on our ESG performance and outlining new 2030 ESG goals.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2" w:name="page23"/>
    <w:bookmarkEnd w:id="22"/>
    <w:p>
      <w:pPr>
        <w:jc w:val="both"/>
        <w:ind w:left="60" w:right="59"/>
        <w:spacing w:after="0" w:line="259" w:lineRule="auto"/>
        <w:rPr>
          <w:sz w:val="20"/>
          <w:szCs w:val="20"/>
          <w:color w:val="auto"/>
        </w:rPr>
      </w:pPr>
      <w:r>
        <w:rPr>
          <w:rFonts w:ascii="Arial" w:cs="Arial" w:eastAsia="Arial" w:hAnsi="Arial"/>
          <w:sz w:val="18"/>
          <w:szCs w:val="18"/>
          <w:color w:val="auto"/>
        </w:rPr>
        <w:t>The Sustainability Report conveys the strong linkage between the Company’s ESG goals and our growth strategy, inclusive of the planned expansion of the Company’s recycling and WM Renewable Energy businesses. The information in this report can be found at https://sustainability.wm.com but it does not constitute a part of, and is not incorporated by reference into, this Quarterly Report on Form 10-Q.</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8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Enhancements made through these initiatives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Our next and ongoing phase is to prioritize reduced labor dependency on certain high-turnover jobs, particularly in customer experience, recycling and residential collection, while further elevating our customer self-service through digitalization and implementing technologies to enhance the safety, reliability and efficiency of our collection operations. Additionally, in 2022, we implemented a new general ledger accounting system, complementary finance enterprise resource planning system and a human capital management system, which will drive operational and service excellence by empowering our people through a modern, simplified and connected employee experience.</w:t>
      </w:r>
    </w:p>
    <w:p>
      <w:pPr>
        <w:spacing w:after="0" w:line="18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Macroeconomic pressures, including inflation and rising interest rates, and market disruption, resulting in labor, supply chain and transportation constraints, are continuing. Significant global supply chain disruption and the heightened pace of inflation have reduced availability and increased costs for the goods and services we purchase, with a particular impact on our repair and maintenance costs, as well as subcontractor costs. Supply chain constraints have also caused delayed delivery of fleet, steel containers and other purchases. Aspects of our business rely on third-party transportation providers, and such services have become more limited and expensive.</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With the significant decline in commodity prices that started in the second half of 2022 and have continued into 2023, we are currently experiencing margin pressures from our commodity-driven businesses, specifically within our recycling and WM Renewable Energy businesses. While there may be short-term fluctuations in our commodity-driven businesses as prices change, we continue to focus on adjusting our business models to protect against the down-side risk by spreading the inherent risk of changes in commodity prices across the vertically integrated value chain. The extent and duration of the impact of labor, supply chain, transportation and commodity 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future resurgence of pandemic conditions and restrictions; geopolitical conflicts and responses and supply and demand for commodities. As we experience inflationary cost pressures, we focus on our pricing efforts, as well as operating efficiencies and cost controls to maintain our earnings and cash flow and facilitate growth. With these macroeconomic pressures, we remain committed to putting our people first to ensure that they are well positioned to execute our daily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3" w:name="page24"/>
    <w:bookmarkEnd w:id="23"/>
    <w:p>
      <w:pPr>
        <w:jc w:val="both"/>
        <w:ind w:left="60" w:right="59"/>
        <w:spacing w:after="0" w:line="263" w:lineRule="auto"/>
        <w:rPr>
          <w:sz w:val="20"/>
          <w:szCs w:val="20"/>
          <w:color w:val="auto"/>
        </w:rPr>
      </w:pPr>
      <w:r>
        <w:rPr>
          <w:rFonts w:ascii="Arial" w:cs="Arial" w:eastAsia="Arial" w:hAnsi="Arial"/>
          <w:sz w:val="18"/>
          <w:szCs w:val="18"/>
          <w:color w:val="auto"/>
        </w:rPr>
        <w:t>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During the first quarter of 2023, we continued to focus on our priorities to advance our strategy—enhancing employee engagement, improving our operations through the use of technology and automation, and investing in growth through our recycling and WM Renewable Energy businesses. This strategic focus, combined with strong operational execution resulted in increased revenue, income from operations and income from operations margin. We were able to achieve these results despite high inflationary cost pressures. We remain diligent in offering a competitively profitable service that meets the needs of our customers, and we are focused on driving operating efficiencies and reducing discretionary spend. We continue to invest in our people through market wage adjustments, investments in our digital platform and training for our team members. We also continue to make investments in automation and optimization to enhance our operational efficiency and improve labor productivity for all lines of business. During the first quarter of 2023, we allocated $660 million of available cash to capital expenditures and $639 million to our shareholders through dividends and common stock repurchases.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first quarter include:</w:t>
      </w:r>
    </w:p>
    <w:p>
      <w:pPr>
        <w:spacing w:after="0" w:line="117" w:lineRule="exact"/>
        <w:rPr>
          <w:sz w:val="20"/>
          <w:szCs w:val="20"/>
          <w:color w:val="auto"/>
        </w:rPr>
      </w:pPr>
    </w:p>
    <w:p>
      <w:pPr>
        <w:jc w:val="both"/>
        <w:ind w:left="720" w:right="79" w:hanging="319"/>
        <w:spacing w:after="0" w:line="291"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Revenues of $4,892 million, compared with $4,661 million in the prior year period, an increase of $231 million, or 5.0%. The increase is primarily attributable to (i) higher yield in our collection and disposal business;</w:t>
      </w:r>
    </w:p>
    <w:p>
      <w:pPr>
        <w:jc w:val="both"/>
        <w:ind w:left="720" w:right="79" w:firstLine="5"/>
        <w:spacing w:after="0" w:line="255" w:lineRule="auto"/>
        <w:tabs>
          <w:tab w:leader="none" w:pos="10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volume growth; (iii) increases from our fuel surcharge program and (iv) acquisitions, net of divestitures. These increases were partially offset by commodity price declines in our recycling and WM Renewable Energy businesses;</w:t>
      </w:r>
    </w:p>
    <w:p>
      <w:pPr>
        <w:spacing w:after="0" w:line="81"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expenses of $3,086 million, or 63.1% of revenues, compared with $2,903 million, or 62.3% of revenues, in the prior year period. The $183 million increase is primarily attributable to (i) inflationary cost pressures, particularly for maintenance and repairs and subcontractor costs and (ii) labor cost pressure from frontline employee market wage adjustments and annual merit increases. These increases were offset, in part, by commodity-driven business impacts from lower recycling rebates reflected in costs of goods sold;</w:t>
      </w:r>
    </w:p>
    <w:p>
      <w:pPr>
        <w:spacing w:after="0" w:line="68" w:lineRule="exact"/>
        <w:rPr>
          <w:rFonts w:ascii="Arial" w:cs="Arial" w:eastAsia="Arial" w:hAnsi="Arial"/>
          <w:sz w:val="17"/>
          <w:szCs w:val="17"/>
          <w:color w:val="auto"/>
        </w:rPr>
      </w:pPr>
    </w:p>
    <w:p>
      <w:pPr>
        <w:jc w:val="both"/>
        <w:ind w:left="720" w:right="79" w:hanging="319"/>
        <w:spacing w:after="0" w:line="25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expenses were $476 million, or 9.7% of revenues, compared with $491 million, or 10.5% of revenues, in the prior year period. The $15 million decrease is primarily attributable to reduced professional fees in connection with investments in our digital platform, as certain strategic digital projects have now been implemented. This decrease was offset, in part, by an increase in labor-related costs due to annual merit increases for our employees;</w:t>
      </w:r>
    </w:p>
    <w:p>
      <w:pPr>
        <w:spacing w:after="0" w:line="79"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from operations was $825 million, or 16.9% of revenues, compared with $768 million, or 16.5% of revenues, in the prior year period. The improved earnings in the current quarter are driven by deliberate steps to grow revenue and to reduce selling, general and administrative expense, which offset increases in operating expenses and depreciation, depletion and amortization expenses;</w:t>
      </w:r>
    </w:p>
    <w:p>
      <w:pPr>
        <w:spacing w:after="0" w:line="78"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income attributable to Waste Management, Inc. was $533 million, or $1.30 per diluted share, compared with $513 million, or $1.23 per diluted share, in the prior year period. The increase in income from operations discussed above, was partially offset by increases in interest expense and income tax expense;</w:t>
      </w:r>
    </w:p>
    <w:p>
      <w:pPr>
        <w:spacing w:after="0" w:line="57" w:lineRule="exact"/>
        <w:rPr>
          <w:rFonts w:ascii="Arial" w:cs="Arial" w:eastAsia="Arial" w:hAnsi="Arial"/>
          <w:sz w:val="17"/>
          <w:szCs w:val="17"/>
          <w:color w:val="auto"/>
        </w:rPr>
      </w:pPr>
    </w:p>
    <w:p>
      <w:pPr>
        <w:jc w:val="both"/>
        <w:ind w:left="720" w:right="79" w:hanging="319"/>
        <w:spacing w:after="0" w:line="25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cash provided by operating activities was $1,044 million compared with $1,258 million in the prior year period, with the decrease driven by (i) unfavorable changes in working capital, net of effects of acquisitions and divestitures; (ii) higher incentive compensation payments and (iii) higher interest payments. This decrease was partially offset by (i) increased earnings attributable to our collection and disposal business and (ii) lower income taxes in the current period due to timing of payments; and</w:t>
      </w:r>
    </w:p>
    <w:p>
      <w:pPr>
        <w:spacing w:after="0" w:line="79" w:lineRule="exact"/>
        <w:rPr>
          <w:rFonts w:ascii="Arial" w:cs="Arial" w:eastAsia="Arial" w:hAnsi="Arial"/>
          <w:sz w:val="18"/>
          <w:szCs w:val="18"/>
          <w:color w:val="auto"/>
        </w:rPr>
      </w:pPr>
    </w:p>
    <w:p>
      <w:pPr>
        <w:jc w:val="both"/>
        <w:ind w:left="720" w:right="79" w:hanging="319"/>
        <w:spacing w:after="0" w:line="311"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Free cash flow was $395 million compared with $845 million in the prior year period. The decrease in free cash flow is primarily attributable to (i) an increase in capital spending, primarily driven by our intentional investment in sustainability growth projects as well as timing differences in our fixed asset purchases to support our ongoing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4" w:name="page25"/>
    <w:bookmarkEnd w:id="24"/>
    <w:p>
      <w:pPr>
        <w:jc w:val="both"/>
        <w:ind w:left="720" w:right="79"/>
        <w:spacing w:after="0" w:line="259" w:lineRule="auto"/>
        <w:rPr>
          <w:sz w:val="20"/>
          <w:szCs w:val="20"/>
          <w:color w:val="auto"/>
        </w:rPr>
      </w:pPr>
      <w:r>
        <w:rPr>
          <w:rFonts w:ascii="Arial" w:cs="Arial" w:eastAsia="Arial" w:hAnsi="Arial"/>
          <w:sz w:val="18"/>
          <w:szCs w:val="18"/>
          <w:color w:val="auto"/>
        </w:rPr>
        <w:t xml:space="preserve">operations and (ii) a decrease in net cash provided by operating activities as discussed above. Free cash 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Solid Waste operating revenues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Strategic Business Solutions (“WMSBS”) and Sustainability and Environmental Solutions (“SES”) businesses, which include landfill gas-to-energy services, environmental solutions services and recycling brokerage services. We also offer certain other expanded service offerings and solutions. The mix of operating revenues from our major lines of business for the three months ended March 31 are as follows (in millions):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Industrial</w:t>
            </w: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4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collection</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certain services within our sustainability business including our landfill gas-to-energy operations managed by our WM Renewable Energy business and (iii) certain other expanded service offerings and solutions and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5" w:name="page26"/>
    <w:bookmarkEnd w:id="25"/>
    <w:p>
      <w:pPr>
        <w:ind w:left="60" w:right="5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gridSpan w:val="9"/>
          </w:tcPr>
          <w:p>
            <w:pPr>
              <w:jc w:val="center"/>
              <w:ind w:right="630"/>
              <w:spacing w:after="0"/>
              <w:rPr>
                <w:sz w:val="20"/>
                <w:szCs w:val="20"/>
                <w:color w:val="auto"/>
              </w:rPr>
            </w:pPr>
            <w:r>
              <w:rPr>
                <w:rFonts w:ascii="Arial" w:cs="Arial" w:eastAsia="Arial" w:hAnsi="Arial"/>
                <w:sz w:val="14"/>
                <w:szCs w:val="14"/>
                <w:b w:val="1"/>
                <w:bCs w:val="1"/>
                <w:color w:val="auto"/>
                <w:w w:val="93"/>
              </w:rPr>
              <w:t>Period-to-Period Change for the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left="26"/>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center"/>
              <w:ind w:left="46"/>
              <w:spacing w:after="0"/>
              <w:rPr>
                <w:sz w:val="20"/>
                <w:szCs w:val="20"/>
                <w:color w:val="auto"/>
              </w:rPr>
            </w:pPr>
            <w:r>
              <w:rPr>
                <w:rFonts w:ascii="Arial" w:cs="Arial" w:eastAsia="Arial" w:hAnsi="Arial"/>
                <w:sz w:val="14"/>
                <w:szCs w:val="14"/>
                <w:b w:val="1"/>
                <w:bCs w:val="1"/>
                <w:color w:val="auto"/>
                <w:w w:val="93"/>
              </w:rPr>
              <w:t>March 31, 2023 vs. 2022</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130"/>
              <w:spacing w:after="0" w:line="119" w:lineRule="exact"/>
              <w:rPr>
                <w:sz w:val="20"/>
                <w:szCs w:val="20"/>
                <w:color w:val="auto"/>
              </w:rPr>
            </w:pPr>
            <w:r>
              <w:rPr>
                <w:rFonts w:ascii="Arial" w:cs="Arial" w:eastAsia="Arial" w:hAnsi="Arial"/>
                <w:sz w:val="13"/>
                <w:szCs w:val="13"/>
                <w:b w:val="1"/>
                <w:bCs w:val="1"/>
                <w:color w:val="auto"/>
              </w:rPr>
              <w:t>As a % of</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Related</w:t>
            </w:r>
          </w:p>
        </w:tc>
        <w:tc>
          <w:tcPr>
            <w:tcW w:w="8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8"/>
              </w:rPr>
              <w:t>Business(a)</w:t>
            </w: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Recycling and WM Renewable Energy (c)(d)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 (d)</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Total average yield (e)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Volume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Internal revenue growth</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Divestitures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in both our recycling and WM Renewable Energy businesses, as well as changes in fees in our recycling business.</w:t>
      </w:r>
    </w:p>
    <w:p>
      <w:pPr>
        <w:spacing w:after="0" w:line="62" w:lineRule="exact"/>
        <w:rPr>
          <w:rFonts w:ascii="Arial" w:cs="Arial" w:eastAsia="Arial" w:hAnsi="Arial"/>
          <w:sz w:val="18"/>
          <w:szCs w:val="18"/>
          <w:color w:val="auto"/>
        </w:rPr>
      </w:pPr>
    </w:p>
    <w:p>
      <w:pPr>
        <w:jc w:val="both"/>
        <w:ind w:left="380" w:right="79" w:hanging="330"/>
        <w:spacing w:after="0" w:line="286"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Beginning in 2023, Recycling and WM Renewable Energy includes changes in our revenue attributable to our WM Renewable Energy business. Previously these changes in revenue were included in fuel surcharges and mandated fees. We have revised our prior year results to conform with the current year presentation.</w:t>
      </w:r>
    </w:p>
    <w:p>
      <w:pPr>
        <w:spacing w:after="0" w:line="57" w:lineRule="exact"/>
        <w:rPr>
          <w:rFonts w:ascii="Arial" w:cs="Arial" w:eastAsia="Arial" w:hAnsi="Arial"/>
          <w:sz w:val="17"/>
          <w:szCs w:val="17"/>
          <w:color w:val="auto"/>
        </w:rPr>
      </w:pPr>
    </w:p>
    <w:p>
      <w:pPr>
        <w:ind w:left="380" w:right="179" w:hanging="330"/>
        <w:spacing w:after="0" w:line="50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The following provides further details about our period-to-period change in revenues: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6" w:name="page27"/>
    <w:bookmarkEnd w:id="26"/>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Period-to-Period Change for the</w:t>
            </w:r>
          </w:p>
        </w:tc>
        <w:tc>
          <w:tcPr>
            <w:tcW w:w="180" w:type="dxa"/>
            <w:vAlign w:val="bottom"/>
          </w:tcPr>
          <w:p>
            <w:pPr>
              <w:spacing w:after="0"/>
              <w:rPr>
                <w:sz w:val="14"/>
                <w:szCs w:val="14"/>
                <w:color w:val="auto"/>
              </w:rPr>
            </w:pPr>
          </w:p>
        </w:tc>
      </w:tr>
      <w:tr>
        <w:trPr>
          <w:trHeight w:val="148"/>
        </w:trPr>
        <w:tc>
          <w:tcPr>
            <w:tcW w:w="6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3"/>
          </w:tcPr>
          <w:p>
            <w:pPr>
              <w:jc w:val="center"/>
              <w:ind w:right="65"/>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2"/>
                <w:szCs w:val="12"/>
                <w:color w:val="auto"/>
              </w:rPr>
            </w:pPr>
          </w:p>
        </w:tc>
      </w:tr>
      <w:tr>
        <w:trPr>
          <w:trHeight w:val="171"/>
        </w:trPr>
        <w:tc>
          <w:tcPr>
            <w:tcW w:w="6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right="65"/>
              <w:spacing w:after="0"/>
              <w:rPr>
                <w:sz w:val="20"/>
                <w:szCs w:val="20"/>
                <w:color w:val="auto"/>
              </w:rPr>
            </w:pPr>
            <w:r>
              <w:rPr>
                <w:rFonts w:ascii="Arial" w:cs="Arial" w:eastAsia="Arial" w:hAnsi="Arial"/>
                <w:sz w:val="14"/>
                <w:szCs w:val="14"/>
                <w:b w:val="1"/>
                <w:bCs w:val="1"/>
                <w:color w:val="auto"/>
                <w:w w:val="92"/>
              </w:rPr>
              <w:t>March 31, 2023 vs. 2022</w:t>
            </w:r>
          </w:p>
        </w:tc>
        <w:tc>
          <w:tcPr>
            <w:tcW w:w="180" w:type="dxa"/>
            <w:vAlign w:val="bottom"/>
          </w:tcPr>
          <w:p>
            <w:pPr>
              <w:spacing w:after="0"/>
              <w:rPr>
                <w:sz w:val="14"/>
                <w:szCs w:val="14"/>
                <w:color w:val="auto"/>
              </w:rPr>
            </w:pPr>
          </w:p>
        </w:tc>
      </w:tr>
      <w:tr>
        <w:trPr>
          <w:trHeight w:val="119"/>
        </w:trPr>
        <w:tc>
          <w:tcPr>
            <w:tcW w:w="6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r>
      <w:tr>
        <w:trPr>
          <w:trHeight w:val="162"/>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Related</w:t>
            </w:r>
          </w:p>
        </w:tc>
        <w:tc>
          <w:tcPr>
            <w:tcW w:w="180" w:type="dxa"/>
            <w:vAlign w:val="bottom"/>
          </w:tcPr>
          <w:p>
            <w:pPr>
              <w:spacing w:after="0"/>
              <w:rPr>
                <w:sz w:val="14"/>
                <w:szCs w:val="14"/>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Borders>
              <w:bottom w:val="single" w:sz="8" w:color="CCEEFF"/>
            </w:tcBorders>
          </w:tcPr>
          <w:p>
            <w:pPr>
              <w:spacing w:after="0"/>
              <w:rPr>
                <w:sz w:val="14"/>
                <w:szCs w:val="14"/>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r>
      <w:tr>
        <w:trPr>
          <w:trHeight w:val="210"/>
        </w:trPr>
        <w:tc>
          <w:tcPr>
            <w:tcW w:w="6560" w:type="dxa"/>
            <w:vAlign w:val="bottom"/>
          </w:tcPr>
          <w:p>
            <w:pPr>
              <w:ind w:left="120"/>
              <w:spacing w:after="0"/>
              <w:rPr>
                <w:sz w:val="20"/>
                <w:szCs w:val="20"/>
                <w:color w:val="auto"/>
              </w:rPr>
            </w:pPr>
            <w:r>
              <w:rPr>
                <w:rFonts w:ascii="Arial" w:cs="Arial" w:eastAsia="Arial" w:hAnsi="Arial"/>
                <w:sz w:val="18"/>
                <w:szCs w:val="18"/>
                <w:color w:val="auto"/>
              </w:rPr>
              <w:t>Total collection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tcPr>
          <w:p>
            <w:pPr>
              <w:spacing w:after="0"/>
              <w:rPr>
                <w:sz w:val="18"/>
                <w:szCs w:val="18"/>
                <w:color w:val="auto"/>
              </w:rPr>
            </w:pPr>
          </w:p>
        </w:tc>
      </w:tr>
      <w:tr>
        <w:trPr>
          <w:trHeight w:val="209"/>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overall pricing efforts are focused on recovering the cost to service our customers that we experience in our business by increasing our average unit rate. We experienced strong average yield growth in our collection line of business of 7.2% for the first quarter of 2023. We are driving improved profitability in our residential line of business to better align the price charged for services we provide to our customers with the costs to provide the services, resulting in increased average yield of 5.6% for the first quarter of 2023. We are also continuing to see growth in our disposal business with our municipal solid waste business experiencing average yield of 5.4% for the first quarter of 2023.</w:t>
      </w:r>
    </w:p>
    <w:p>
      <w:pPr>
        <w:spacing w:after="0" w:line="17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Recycling and WM Renewable Energy </w:t>
      </w:r>
      <w:r>
        <w:rPr>
          <w:rFonts w:ascii="Arial" w:cs="Arial" w:eastAsia="Arial" w:hAnsi="Arial"/>
          <w:sz w:val="17"/>
          <w:szCs w:val="17"/>
          <w:color w:val="auto"/>
        </w:rPr>
        <w:t>— The downturn in the market prices for recycling commodities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half of 2022 continued into the first quarter of 2023. Decreases in the market prices for recycling commodities resulted in a revenue decline of $122 million for the first quarter of 2023, as compared with the prior year period. During the first quarter of 2023, average market prices for single-stream recycled commodities were about 60% lower compared to the prior year period, resulting from the slowdown in the global economy which reduced retail demand and the corresponding need for cardboard packaging to ship retail goods. Additionally, revenue declined $19 million in our WM Renewable Energy business, as compared to the prior year period, primarily driven by decreases in the value of renewable fuel standard credits and lower energy prices.</w:t>
      </w:r>
    </w:p>
    <w:p>
      <w:pPr>
        <w:spacing w:after="0" w:line="17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fees, which include our fuel surcharge program and other mandated</w:t>
      </w:r>
      <w:r>
        <w:rPr>
          <w:rFonts w:ascii="Arial" w:cs="Arial" w:eastAsia="Arial" w:hAnsi="Arial"/>
          <w:sz w:val="16"/>
          <w:szCs w:val="16"/>
          <w:i w:val="1"/>
          <w:iCs w:val="1"/>
          <w:color w:val="auto"/>
        </w:rPr>
        <w:t xml:space="preserve"> </w:t>
      </w:r>
      <w:r>
        <w:rPr>
          <w:rFonts w:ascii="Arial" w:cs="Arial" w:eastAsia="Arial" w:hAnsi="Arial"/>
          <w:sz w:val="16"/>
          <w:szCs w:val="16"/>
          <w:color w:val="auto"/>
        </w:rPr>
        <w:t>fees, increased $44 million for the first quarter of 2023, as compared with the prior year period. Fuel surcharge revenues are based on and fluctuate in response to changes in the national average prices for diesel fuel, and also vary with changes in our volume-based revenue activity. The mandated fees are primarily related to fees and taxes assessed by various state, county and municipal government agencies at our landfills and transfer stations. These amounts have not significantly impacted the change in revenue for the first quarter of 2023, as compared with the prior year period.</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revenues from volume (excluding volumes from acquisitions and divestitures) increased $55 million, or 1.2%, for the first quarter of 2023, as compared with the prior year period. Our collection and disposal business volumes grew 1.1% in the first quarter of 2023, as compared with the prior year period, driven by an increase in disposal volumes which was partially offset by a modest decrease in collection volumes.</w:t>
      </w:r>
    </w:p>
    <w:p>
      <w:pPr>
        <w:spacing w:after="0" w:line="18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Volume growth during the first quarter of 2023 was primarily driven by volumes at our landfills as our construction and demolition landfill volumes were favorably impacted by the continued clean-up efforts in our East Tier from Hurricane Ian which occurred in late 2022. Special waste volumes at our landfills continue to be strong primarily due to higher contributions from event-driven projects. In addition, our WMSBS business volumes grew as a result of our continued focus on a differentiated service model for national accounts customers. However, these increases have been partially offset by our intentional efforts to reduce unprofitable residential collection volumes.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Subcontractor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Fuel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tcPr>
          <w:p>
            <w:pPr>
              <w:spacing w:after="0"/>
              <w:rPr>
                <w:sz w:val="18"/>
                <w:szCs w:val="18"/>
                <w:color w:val="auto"/>
              </w:rPr>
            </w:pPr>
          </w:p>
        </w:tc>
      </w:tr>
      <w:tr>
        <w:trPr>
          <w:trHeight w:val="425"/>
        </w:trPr>
        <w:tc>
          <w:tcPr>
            <w:tcW w:w="43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3,086</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63.1 %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2,903</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62.3 %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operating expenses for the first quarter of 2023 increased, as compared with the first quarter of 2022, primarily due to (i) inflationary cost pressures, particularly for maintenance and repairs and subcontractor costs and (ii) labor cost pressure from frontline employee market wage adjustments as well as merit increases. These increases were offset, in part, by commodity-driven business impacts from lower recycling rebates reflected in costs of goods sold. We also continue to focus on operating efficiency and efforts to control costs.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comparison of operating expenses for the reported periods include: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largely driven by (i) proactive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wage adjustments to hire and retain talent; (ii) merit increases; (iii) increased headcount attributable primarily to acquisitions and (iv) increases in health and welfare costs attributable to our intentional investment in delivering a leading benefits program for our employees and increases in medical care activity.</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increase in transfer and disposal costs was primarily due to inflationary cost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which includes increased disposal fees at third-party sites and higher rates from our third-party haulers offset, in part, by decreases in residential and commercial collection volumes.</w:t>
      </w:r>
    </w:p>
    <w:p>
      <w:pPr>
        <w:spacing w:after="0" w:line="184"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largely driven by (i) inflationary cost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for parts, supplies and third-party services; (ii) additional fleet maintenance driven by delayed deliveries of new trucks due to supply chain constraints and (iii) labor cost increases for our technicians, including additional headcount, market wage adjustments, merit increases and higher overtime.</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Subcontractor Costs — </w:t>
      </w:r>
      <w:r>
        <w:rPr>
          <w:rFonts w:ascii="Arial" w:cs="Arial" w:eastAsia="Arial" w:hAnsi="Arial"/>
          <w:sz w:val="16"/>
          <w:szCs w:val="16"/>
          <w:color w:val="auto"/>
        </w:rPr>
        <w:t>The increase in subcontractor costs was primarily due to (i) inflationary cost increases,</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labor and fuel costs from third-party haulers and (ii) an increase in volumes in our WMSBS business and SES offerings, which rely more extensively on subcontracted hauling and services than our collection and disposal business.</w:t>
      </w:r>
    </w:p>
    <w:p>
      <w:pPr>
        <w:spacing w:after="0" w:line="1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decrease in cost of goods sold was primarily driven by an approximately 60%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commodity prices compared to the prior year period.</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slight increase in fuel costs was primarily due to an increase of approximately 3% in market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diesel fuel offset, in part, by lower diesel consumption as we expand our compressed natural gas fleet and federal natural gas fuel tax credits. The federal natural gas fuel tax credits were not retroactively extended until the third quarter of 2022 and thus no benefit was recognized during the first quarter of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8" w:name="page29"/>
    <w:bookmarkEnd w:id="28"/>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Disposal and Franchise Fees and Taxes </w:t>
      </w:r>
      <w:r>
        <w:rPr>
          <w:rFonts w:ascii="Arial" w:cs="Arial" w:eastAsia="Arial" w:hAnsi="Arial"/>
          <w:sz w:val="18"/>
          <w:szCs w:val="18"/>
          <w:color w:val="auto"/>
        </w:rPr>
        <w:t>— The increase in disposal and franchise fees and taxes was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higher franchise fees, due to an increase in landfill volumes, paid to certain municipalities where we operate and overall rate increases in our fees and taxes paid on our disposal volumes.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increase in landfill operating costs was primarily due to higher costs across our</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landfills for leachate collection and treatment, site maintenance and landfill accretion. Additionally, there was a change in the measurement of our environmental remediation obligations and recovery assets during the first quarter of 2022. Our measurement of these balances includes application of a risk-free discount rate, which is based on the rate for U.S. Treasury bonds. In the first quarter of 2022, there was an increase in the discount rate, which resulted in a reduction in the net liability balance and a credit to expense.</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Risk management costs decreased during the first quarter of 2023 primarily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costs during the first quarter of 2022 driven by unfavorable cost development on a limited population of severe cases.</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Other operating cost increases were primarily due to (i) inflationary cost pressures; (ii) higher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rental costs attributable, in part, to supply chain constraints slowing normal course fleet and equipment orders; (iii) an increase in business travel and (iv) higher utility costs at our facilities. These increases were offset, in part, by a favorable litigation settlement and net gains on sales of certain assets in the current quarter.</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$ 312</w:t>
            </w: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$ 305</w:t>
            </w: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Professional fees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r>
      <w:tr>
        <w:trPr>
          <w:trHeight w:val="209"/>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Selling, general and administrative expenses have decreased primarily due to reduced professional fees in connection with investments in our digital platform, as certain strategic digital projects have now been implemented. Partially offsetting these reductions are increased labor costs primarily due to merit increases and increased payroll taxes and benefits expense. The decrease in our costs, along with the increase in revenue resulted in a significant reduction in our selling, general and administrative expenses as a percentage of revenues when compared with the prior year period.</w:t>
      </w:r>
    </w:p>
    <w:p>
      <w:pPr>
        <w:spacing w:after="0" w:line="16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for the reported periods include:</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Labor and Related Benefits — </w:t>
      </w:r>
      <w:r>
        <w:rPr>
          <w:rFonts w:ascii="Arial" w:cs="Arial" w:eastAsia="Arial" w:hAnsi="Arial"/>
          <w:sz w:val="18"/>
          <w:szCs w:val="18"/>
          <w:color w:val="auto"/>
        </w:rPr>
        <w:t>The increase in labor and related benefits costs was primarily related to (i) annual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for our employees and (ii) market adjustments for deferred compensation plans related to investment performance. These increases were partially offset by lower contract labor expenses.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decrease in professional fees was primarily attributable to reduced expenses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our digital platform, as certain strategic projects have now been implemented.</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decrease in other expenses was primarily related to lower telecommunications costs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spend.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ind w:left="180"/>
        <w:spacing w:after="0"/>
        <w:rPr>
          <w:sz w:val="20"/>
          <w:szCs w:val="20"/>
          <w:color w:val="auto"/>
        </w:rPr>
      </w:pPr>
      <w:r>
        <w:rPr>
          <w:rFonts w:ascii="Arial" w:cs="Arial" w:eastAsia="Arial" w:hAnsi="Arial"/>
          <w:sz w:val="18"/>
          <w:szCs w:val="18"/>
          <w:b w:val="1"/>
          <w:bCs w:val="1"/>
          <w:i w:val="1"/>
          <w:iCs w:val="1"/>
          <w:color w:val="auto"/>
        </w:rPr>
        <w:t>Depreciation, Depletion and Amortization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depletion and amortization expenses for the three months ended March 31 (in millions of dollars and as a percentage of revenues):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Depletion of landfill airspace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482</w:t>
            </w: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increase in depreciation of tangible property and equipment during the first quarter of 2023, as compared with the first quarter of 2022, was primarily driven by additional depreciation due to investments in capital assets, such as strategic investments in our digital platform and containers and trucks to service our customers. The increase in depletion of landfill airspace during the first quarter of 2023, as compared with the first quarter of 2022, was primarily driven by the reopening of a previously closed landfill in our East Tier. The increase in amortization of intangible assets during the first quarter of 2023, as compared to the first quarter of 2022, was primarily driven by amortization of acquired intangible assets.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(Gain) loss from divestitures, asset impairments and unusual items, net for the first quarter of 2023 were nominal. During the first quarter of 2022, we recognized a $17 million charge pertaining to reserves for loss contingencies in our Corporate and Other segment to adjust an indirect wholly-owned subsidiary’s estimated potential share of the liability for a proposed environmental remediation plan at a closed site, as discussed in Note 6 to the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income from operations for our reportable segments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3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East Tier</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3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Solid Waste</w:t>
            </w: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and Other (b)</w:t>
            </w:r>
          </w:p>
        </w:tc>
        <w:tc>
          <w:tcPr>
            <w:tcW w:w="3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Percentage of revenues</w:t>
            </w: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gridSpan w:val="2"/>
            <w:vMerge w:val="continue"/>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117" w:lineRule="exact"/>
        <w:rPr>
          <w:sz w:val="20"/>
          <w:szCs w:val="20"/>
          <w:color w:val="auto"/>
        </w:rPr>
      </w:pPr>
    </w:p>
    <w:p>
      <w:pPr>
        <w:jc w:val="both"/>
        <w:ind w:left="380" w:right="79" w:hanging="330"/>
        <w:spacing w:after="0" w:line="255"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includes (i) elements of our WMSBS business that are not included in the operations of our reportable segments; (ii) elements of our sustainability business that includes landfill gas-to-energy operations managed by our WM Renewable Energy business, our SES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84" w:lineRule="exact"/>
        <w:rPr>
          <w:rFonts w:ascii="Arial" w:cs="Arial" w:eastAsia="Arial" w:hAnsi="Arial"/>
          <w:sz w:val="18"/>
          <w:szCs w:val="18"/>
          <w:color w:val="auto"/>
        </w:rPr>
      </w:pPr>
    </w:p>
    <w:p>
      <w:pPr>
        <w:ind w:left="380" w:right="79" w:hanging="330"/>
        <w:spacing w:after="0" w:line="34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“Corporate and Other” operating results reflect certain costs incurred for various support services that are not allocated to our reportable segments. These support services include, among other things, treasury, legal, digital, tax, insurance,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0" w:name="page31"/>
    <w:bookmarkEnd w:id="30"/>
    <w:p>
      <w:pPr>
        <w:jc w:val="both"/>
        <w:ind w:left="380" w:right="79"/>
        <w:spacing w:after="0" w:line="263" w:lineRule="auto"/>
        <w:rPr>
          <w:sz w:val="20"/>
          <w:szCs w:val="20"/>
          <w:color w:val="auto"/>
        </w:rPr>
      </w:pPr>
      <w:r>
        <w:rPr>
          <w:rFonts w:ascii="Arial" w:cs="Arial" w:eastAsia="Arial" w:hAnsi="Arial"/>
          <w:sz w:val="18"/>
          <w:szCs w:val="18"/>
          <w:color w:val="auto"/>
        </w:rPr>
        <w:t>centralized service center processes, other administrative functions and the maintenance of our closed landfills. Income from operations for “Corporate and Other” also includes costs associated with our long-term incentive program.</w:t>
      </w:r>
    </w:p>
    <w:p>
      <w:pPr>
        <w:spacing w:after="0" w:line="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significant items affecting income from operations for our segments during the first quarter of 2023, as compared with the prior year period, are summarized below:</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Income from operations in our Solid Waste business increased primarily due to (i) revenue growth in</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and disposal business driven by both yield and volume and (ii) fuel tax credits recognized in the current year which were nominal in the prior year period as the majority of our fuel tax credits were not recognized until August 2022 due to the timing of the Inflationary Reduction Act of 2022. These increases were partially offset by (i) inflationary cost pressures; (ii) labor cost increases from frontline employee wage adjustments and annual merit increases and (iii) reduced profitability in our recycling business from the decline in recycling commodity prices and lower volumes.</w:t>
      </w:r>
    </w:p>
    <w:p>
      <w:pPr>
        <w:spacing w:after="0" w:line="16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decrease in income from operations was due to (i) reduced profitability in our WM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due to lower market values for renewable fuel standard credits and lower energy prices and (ii) the decline in recycling brokerage commodity prices affecting profitability in our recycling business.</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The increase in income from operations was primarily driven by (i) lower annual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(ii) a charge during the first quarter of 2022 to adjust an indirect wholly-owned subsidiary’s estimated potential share of the liability for a proposed environmental remediation plan at a closed site. These were partially offset by an increase in health and welfare costs driven by higher inflation and utilization of employee medical benefits.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259"/>
        <w:spacing w:after="0" w:line="262" w:lineRule="auto"/>
        <w:rPr>
          <w:sz w:val="20"/>
          <w:szCs w:val="20"/>
          <w:color w:val="auto"/>
        </w:rPr>
      </w:pPr>
      <w:r>
        <w:rPr>
          <w:rFonts w:ascii="Arial" w:cs="Arial" w:eastAsia="Arial" w:hAnsi="Arial"/>
          <w:sz w:val="17"/>
          <w:szCs w:val="17"/>
          <w:color w:val="auto"/>
        </w:rPr>
        <w:t>Our interest expense, net was $120 million and $85 million during the three months ended March 31, 2023 and 2022, respectively. The increase is primarily related to (i) borrowings in May 2022 under our $1.0 billion two-year, U.S. term credit agreement (“Term Loan”); (ii) increases in interest rates on our floating-rate debt, including commercial paper and variable-rate tax-exempt bonds and (iii) the issuance of $1.25 billion of senior notes in February 2023.</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recognized equity in net losses of unconsolidated entities of $11 million and $15 million during the three months ended March 31, 2023 and 2022,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further in Note 4 to the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income tax expense and effective income tax rates were $164 million, or 23.6%, and $157 million, or 23.5%, for the three months ended March 31, 2023 and 2022, respectively. See Note 4 to the Condensed Consolidated Financial Statements for more information related to income taxes.</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Tax Legislation </w:t>
      </w:r>
      <w:r>
        <w:rPr>
          <w:rFonts w:ascii="Arial" w:cs="Arial" w:eastAsia="Arial" w:hAnsi="Arial"/>
          <w:sz w:val="18"/>
          <w:szCs w:val="18"/>
          <w:color w:val="auto"/>
        </w:rPr>
        <w:t>— The Inflation Reduction Act of 2022 (“IRA”) was signed into law by President Biden on</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16, 2022, and contains a number of tax-related provisions. The provisions of the IRA related to alternative fuel tax credits secure approximately $55 million of annual pre-tax benefit (to be recorded as a reduction in our operating expense) from tax credits through 2024, which is in line with the benefit we have realized from our alternative fuel tax credits. The IRA contains a number of additional provisions related to tax incentives for investments in renewable energy production, carbon capture, and other climate actions, as well as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With respect to only the investment tax credit aspect of the IRA, we expect the cumulative benefit to be between $250 million and $350 million, a large portion of which is anticipated to be realized in 2024, 2025 and 2026. Additionally,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jc w:val="both"/>
        <w:ind w:left="60" w:right="59"/>
        <w:spacing w:after="0" w:line="255" w:lineRule="auto"/>
        <w:rPr>
          <w:sz w:val="20"/>
          <w:szCs w:val="20"/>
          <w:color w:val="auto"/>
        </w:rPr>
      </w:pPr>
      <w:r>
        <w:rPr>
          <w:rFonts w:ascii="Arial" w:cs="Arial" w:eastAsia="Arial" w:hAnsi="Arial"/>
          <w:sz w:val="18"/>
          <w:szCs w:val="18"/>
          <w:color w:val="auto"/>
        </w:rPr>
        <w:t>the production tax credit incentives for investments in renewable energy and the carbon capture provisions of the IRA will likely result in incremental benefit, although at this time the amount of those benefits have not been quantified. Additionally, we will incur an excise tax of 1% for common stock repurchases, which will be reflected in the cost of purchasing the underlying shares as a component of treasury stock in our Condensed Consolidated Balance Sheet. See Note 10 to the Condensed Consolidated Financial Statements for additional information. The current expectation is the minimum corporate tax will not have an impact on the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despite disruption and challenges that may be presented by recent instability of financial institutions and uncertainty regarding the U.S. government’s decisions about its debt ceiling, the ultimate impacts of which cannot be predicted at this time. We also have the additional ability to manage liquidity during periods of significant financial market disruption through temporary modification of our capital expenditure and share repurchase plans.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Funds and Debt Obligations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summary of our cash and cash equivalents, restricted funds and debt balances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funds:</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Insurance reserves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restricted funds (a)</w:t>
            </w: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Current portion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March 31, 2023 and December 31, 2022, $84 million and $83 million, respectively, of these account balances were included in other current assets in our Condensed Consolidated Balance Sheets.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2023, we had approximately $2.3 billion of debt maturing within the next 12 months, including</w:t>
      </w:r>
    </w:p>
    <w:p>
      <w:pPr>
        <w:spacing w:after="0" w:line="35" w:lineRule="exact"/>
        <w:rPr>
          <w:sz w:val="20"/>
          <w:szCs w:val="20"/>
          <w:color w:val="auto"/>
        </w:rPr>
      </w:pPr>
    </w:p>
    <w:p>
      <w:pPr>
        <w:ind w:left="300" w:hanging="250"/>
        <w:spacing w:after="0"/>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$861 million of short-term borrowings under our commercial paper program (net of related discount on issuance);</w:t>
      </w:r>
    </w:p>
    <w:p>
      <w:pPr>
        <w:spacing w:after="0" w:line="20" w:lineRule="exact"/>
        <w:rPr>
          <w:rFonts w:ascii="Arial" w:cs="Arial" w:eastAsia="Arial" w:hAnsi="Arial"/>
          <w:sz w:val="17"/>
          <w:szCs w:val="17"/>
          <w:color w:val="auto"/>
        </w:rPr>
      </w:pPr>
    </w:p>
    <w:p>
      <w:pPr>
        <w:jc w:val="both"/>
        <w:ind w:left="60" w:right="59" w:hanging="10"/>
        <w:spacing w:after="0" w:line="269" w:lineRule="auto"/>
        <w:tabs>
          <w:tab w:leader="none" w:pos="333" w:val="left"/>
        </w:tabs>
        <w:numPr>
          <w:ilvl w:val="0"/>
          <w:numId w:val="20"/>
        </w:numPr>
        <w:rPr>
          <w:rFonts w:ascii="Arial" w:cs="Arial" w:eastAsia="Arial" w:hAnsi="Arial"/>
          <w:sz w:val="17"/>
          <w:szCs w:val="17"/>
          <w:color w:val="auto"/>
        </w:rPr>
      </w:pPr>
      <w:r>
        <w:rPr>
          <w:rFonts w:ascii="Arial" w:cs="Arial" w:eastAsia="Arial" w:hAnsi="Arial"/>
          <w:sz w:val="17"/>
          <w:szCs w:val="17"/>
          <w:color w:val="auto"/>
        </w:rPr>
        <w:t>$725 million of tax-exempt bonds with term interest rate periods that expire within the next 12 months, which is prior to their scheduled maturities; (iii) $500 million of 2.4% senior notes that mature in May 2023 and (iv) $186 million of other debt with scheduled maturities within the next 12 months, including $65 million of tax exempt bonds. As of March 31, 2023, we have classified $1.9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$336 million of debt maturing in the next 12 months is classified as current obligations.</w:t>
      </w:r>
    </w:p>
    <w:p>
      <w:pPr>
        <w:spacing w:after="0" w:line="180"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In February 2023, WMI issued $750 million and $500 million of 4.625% senior notes due February 2030 and February 2033, respectively, the net proceeds of which were $1.24 billion. We used the net proceeds to repay a portion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jc w:val="both"/>
        <w:ind w:left="60" w:right="59"/>
        <w:spacing w:after="0" w:line="277" w:lineRule="auto"/>
        <w:rPr>
          <w:sz w:val="20"/>
          <w:szCs w:val="20"/>
          <w:color w:val="auto"/>
        </w:rPr>
      </w:pPr>
      <w:r>
        <w:rPr>
          <w:rFonts w:ascii="Arial" w:cs="Arial" w:eastAsia="Arial" w:hAnsi="Arial"/>
          <w:sz w:val="18"/>
          <w:szCs w:val="18"/>
          <w:color w:val="auto"/>
        </w:rPr>
        <w:t xml:space="preserve">outstanding borrowings under our commercial paper program and for general corporate purposes, as further discussed in </w:t>
      </w:r>
      <w:r>
        <w:rPr>
          <w:rFonts w:ascii="Arial" w:cs="Arial" w:eastAsia="Arial" w:hAnsi="Arial"/>
          <w:sz w:val="18"/>
          <w:szCs w:val="18"/>
          <w:i w:val="1"/>
          <w:iCs w:val="1"/>
          <w:color w:val="auto"/>
        </w:rPr>
        <w:t xml:space="preserve">Summary of Cash Flow Activity </w:t>
      </w:r>
      <w:r>
        <w:rPr>
          <w:rFonts w:ascii="Arial" w:cs="Arial" w:eastAsia="Arial" w:hAnsi="Arial"/>
          <w:sz w:val="18"/>
          <w:szCs w:val="18"/>
          <w:color w:val="auto"/>
        </w:rPr>
        <w:t>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200" w:lineRule="exact"/>
        <w:rPr>
          <w:sz w:val="20"/>
          <w:szCs w:val="20"/>
          <w:color w:val="auto"/>
        </w:rPr>
      </w:pPr>
    </w:p>
    <w:p>
      <w:pPr>
        <w:ind w:left="6660"/>
        <w:spacing w:after="0"/>
        <w:tabs>
          <w:tab w:leader="none" w:pos="7760" w:val="left"/>
        </w:tabs>
        <w:rPr>
          <w:sz w:val="20"/>
          <w:szCs w:val="20"/>
          <w:color w:val="auto"/>
        </w:rPr>
      </w:pPr>
      <w:r>
        <w:rPr>
          <w:rFonts w:ascii="Arial" w:cs="Arial" w:eastAsia="Arial" w:hAnsi="Arial"/>
          <w:sz w:val="14"/>
          <w:szCs w:val="14"/>
          <w:b w:val="1"/>
          <w:bCs w:val="1"/>
          <w:color w:val="auto"/>
        </w:rPr>
        <w:t>March 31, 2023</w:t>
      </w:r>
      <w:r>
        <w:rPr>
          <w:sz w:val="20"/>
          <w:szCs w:val="20"/>
          <w:color w:val="auto"/>
        </w:rPr>
        <w:tab/>
      </w:r>
      <w:r>
        <w:rPr>
          <w:rFonts w:ascii="Arial" w:cs="Arial" w:eastAsia="Arial" w:hAnsi="Arial"/>
          <w:sz w:val="12"/>
          <w:szCs w:val="12"/>
          <w:b w:val="1"/>
          <w:bCs w:val="1"/>
          <w:color w:val="auto"/>
        </w:rPr>
        <w:t>December 31, 2022</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19,939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19,740</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r>
      <w:tr>
        <w:trPr>
          <w:trHeight w:val="355"/>
        </w:trPr>
        <w:tc>
          <w:tcPr>
            <w:tcW w:w="6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66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March 31, 2023</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97"/>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Our operating cash flows decreased by $214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2023, as compared with the prior year period, driven by (i) unfavorable changes in working capital, net of effects of acquisitions and divestitures; (ii) higher incentive compensation payments and (iii) higher interest payments. This decrease was partially offset by (i) increased earnings attributable to our collection and disposal business and (ii) lower income taxes in the current period due to timing of payments.</w:t>
      </w:r>
    </w:p>
    <w:p>
      <w:pPr>
        <w:spacing w:after="0" w:line="8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2023 and 2022 are summarized below:</w:t>
      </w:r>
    </w:p>
    <w:p>
      <w:pPr>
        <w:spacing w:after="0" w:line="170" w:lineRule="exact"/>
        <w:rPr>
          <w:sz w:val="20"/>
          <w:szCs w:val="20"/>
          <w:color w:val="auto"/>
        </w:rPr>
      </w:pPr>
    </w:p>
    <w:p>
      <w:pPr>
        <w:jc w:val="both"/>
        <w:ind w:left="720" w:right="79" w:hanging="319"/>
        <w:spacing w:after="0" w:line="25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$660 million and $418 million for capital expenditures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2023 and 2022, respectively. The increase in capital spending is primarily driven by our intentional investment in sustainability growth capital spending on recycling and renewable energy projects, as well as timing differences in our fixed asset purchases to support ongoing operations. The Company continues to maintain a disciplined focus on capital management to prioritize investments for expansion, the replacement of aging assets and assets that support our strategy of differentiation and continuous improvement through efficiency and innovation.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jc w:val="both"/>
        <w:ind w:left="720" w:right="79" w:hanging="319"/>
        <w:spacing w:after="0" w:line="25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Other, Net — </w:t>
      </w:r>
      <w:r>
        <w:rPr>
          <w:rFonts w:ascii="Arial" w:cs="Arial" w:eastAsia="Arial" w:hAnsi="Arial"/>
          <w:sz w:val="18"/>
          <w:szCs w:val="18"/>
          <w:color w:val="auto"/>
        </w:rPr>
        <w:t>The year-over-year changes in other investing activities were primarily driven by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associated with a wholly-owned insurance captive. During the three months ended March 31, 2023 and 2022, we used $85 million and $97 million, respectively, of cash from restricted cash and cash equivalents to invest in available-for-sale securities. Additionally, we used $28 million in 2022 to make an initial cash payment associated with a low-income housing investment.</w:t>
      </w:r>
    </w:p>
    <w:p>
      <w:pPr>
        <w:spacing w:after="0" w:line="188"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three months ended March 31, 2023 and 2022 are summarized below:</w:t>
      </w:r>
    </w:p>
    <w:p>
      <w:pPr>
        <w:spacing w:after="0" w:line="62" w:lineRule="exact"/>
        <w:rPr>
          <w:sz w:val="20"/>
          <w:szCs w:val="20"/>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and Repayments — </w:t>
      </w:r>
      <w:r>
        <w:rPr>
          <w:rFonts w:ascii="Arial" w:cs="Arial" w:eastAsia="Arial" w:hAnsi="Arial"/>
          <w:sz w:val="18"/>
          <w:szCs w:val="18"/>
          <w:color w:val="auto"/>
        </w:rPr>
        <w:t>The following summarizes our cash borrowings and repayments of debt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(in millions):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2022</w:t>
            </w:r>
          </w:p>
        </w:tc>
      </w:tr>
      <w:tr>
        <w:trPr>
          <w:trHeight w:val="209"/>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ind w:left="10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5,643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16"/>
        </w:trPr>
        <w:tc>
          <w:tcPr>
            <w:tcW w:w="5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notes (a)</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2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r>
      <w:tr>
        <w:trPr>
          <w:trHeight w:val="209"/>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ind w:left="10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(6,520)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(2,452)</w:t>
            </w:r>
          </w:p>
        </w:tc>
      </w:tr>
      <w:tr>
        <w:trPr>
          <w:trHeight w:val="216"/>
        </w:trPr>
        <w:tc>
          <w:tcPr>
            <w:tcW w:w="5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debt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2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(6,548)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(2,471)</w:t>
            </w:r>
          </w:p>
        </w:tc>
      </w:tr>
      <w:tr>
        <w:trPr>
          <w:trHeight w:val="209"/>
        </w:trPr>
        <w:tc>
          <w:tcPr>
            <w:tcW w:w="5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Net cash borrowings (repayments)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jc w:val="both"/>
        <w:ind w:left="1020" w:right="79" w:hanging="322"/>
        <w:spacing w:after="0" w:line="25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used the net proceeds of our senior notes issued in February 2023 of $1.24 billion to repay $867 million of outstanding borrowings under our commercial paper program and utilized the remaining $373 million, combined with our net cash provided by operating activities of $1.04 billion, for general corporate purposes including for example, payment of dividends, common stock repurchases and investments in the business through capital expenditures and acquisitions.</w:t>
      </w:r>
    </w:p>
    <w:p>
      <w:pPr>
        <w:spacing w:after="0" w:line="8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25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During the three months ended March 31, 2023 and 2022, we used</w:t>
      </w:r>
      <w:r>
        <w:rPr>
          <w:rFonts w:ascii="Arial" w:cs="Arial" w:eastAsia="Arial" w:hAnsi="Arial"/>
          <w:sz w:val="18"/>
          <w:szCs w:val="18"/>
          <w:i w:val="1"/>
          <w:iCs w:val="1"/>
          <w:color w:val="auto"/>
        </w:rPr>
        <w:t xml:space="preserve"> </w:t>
      </w:r>
      <w:r>
        <w:rPr>
          <w:rFonts w:ascii="Arial" w:cs="Arial" w:eastAsia="Arial" w:hAnsi="Arial"/>
          <w:sz w:val="18"/>
          <w:szCs w:val="18"/>
          <w:color w:val="auto"/>
        </w:rPr>
        <w:t>$350 million and $250 million, respectively, to repurchase shares of our common stock under accelerated share repurchase agreements. See Note 10 to the Condensed Consolidated Financial Statements for additional information.</w:t>
      </w:r>
    </w:p>
    <w:p>
      <w:pPr>
        <w:spacing w:after="0" w:line="7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For the periods presented, all dividends have been declared by our Board of Directors. We</w:t>
      </w:r>
      <w:r>
        <w:rPr>
          <w:rFonts w:ascii="Arial" w:cs="Arial" w:eastAsia="Arial" w:hAnsi="Arial"/>
          <w:sz w:val="18"/>
          <w:szCs w:val="18"/>
          <w:i w:val="1"/>
          <w:iCs w:val="1"/>
          <w:color w:val="auto"/>
        </w:rPr>
        <w:t xml:space="preserve"> </w:t>
      </w:r>
      <w:r>
        <w:rPr>
          <w:rFonts w:ascii="Arial" w:cs="Arial" w:eastAsia="Arial" w:hAnsi="Arial"/>
          <w:sz w:val="18"/>
          <w:szCs w:val="18"/>
          <w:color w:val="auto"/>
        </w:rPr>
        <w:t>paid cash dividends of $289 million and $275 million during the three months ended March 31, 2023 and 2022, respectively. The increase in dividend payments is primarily due to our quarterly per share dividend increasing from $0.65 in 2022 to $0.70 in 2023.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jc w:val="both"/>
        <w:ind w:left="60" w:right="79" w:firstLine="324"/>
        <w:spacing w:after="0" w:line="263" w:lineRule="auto"/>
        <w:rPr>
          <w:sz w:val="20"/>
          <w:szCs w:val="20"/>
          <w:color w:val="auto"/>
        </w:rPr>
      </w:pPr>
      <w:r>
        <w:rPr>
          <w:rFonts w:ascii="Arial" w:cs="Arial" w:eastAsia="Arial" w:hAnsi="Arial"/>
          <w:sz w:val="18"/>
          <w:szCs w:val="18"/>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Capital expenditures to support the business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Capital expenditures - sustainability growth investments (a)</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Proceeds from divestitures of businesses and other assets, net of cash divested</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6240" w:type="dxa"/>
            <w:vAlign w:val="bottom"/>
            <w:gridSpan w:val="2"/>
          </w:tcPr>
          <w:p>
            <w:pPr>
              <w:ind w:left="220"/>
              <w:spacing w:after="0"/>
              <w:rPr>
                <w:sz w:val="20"/>
                <w:szCs w:val="20"/>
                <w:color w:val="auto"/>
              </w:rPr>
            </w:pPr>
            <w:r>
              <w:rPr>
                <w:rFonts w:ascii="Arial" w:cs="Arial" w:eastAsia="Arial" w:hAnsi="Arial"/>
                <w:sz w:val="18"/>
                <w:szCs w:val="18"/>
                <w:color w:val="auto"/>
              </w:rPr>
              <w:t>Free cash flow</w:t>
            </w:r>
          </w:p>
        </w:tc>
        <w:tc>
          <w:tcPr>
            <w:tcW w:w="6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2022. Actual results could differ materially from the estimates and assumptions that we use in the preparation of our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Macroeconomic pressures, including inflation and rising interest rates and market disruption resulting in labor, supply chain and transportation constraints, are continuing. Significant global supply chain disruption and the heightened pace of inflation have reduced availability and increased costs for the goods and services we purchase, particularly for repair and maintenance and subcontractor costs. Supply chain constraints have also caused delayed delivery of fleet, steel containers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5" w:name="page36"/>
    <w:bookmarkEnd w:id="35"/>
    <w:p>
      <w:pPr>
        <w:jc w:val="both"/>
        <w:ind w:left="60" w:right="59"/>
        <w:spacing w:after="0" w:line="293" w:lineRule="auto"/>
        <w:rPr>
          <w:sz w:val="20"/>
          <w:szCs w:val="20"/>
          <w:color w:val="auto"/>
        </w:rPr>
      </w:pPr>
      <w:r>
        <w:rPr>
          <w:rFonts w:ascii="Arial" w:cs="Arial" w:eastAsia="Arial" w:hAnsi="Arial"/>
          <w:sz w:val="16"/>
          <w:szCs w:val="16"/>
          <w:color w:val="auto"/>
        </w:rPr>
        <w:t>and other purchases. Aspects of our business rely on third-party transportation providers, and such services have become more limited and expensive. We continue to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60"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Except for the general financial institution instability that has been publicly reported during the first quarter of 2023, described further below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information about market risks as of March 31, 2023 does not materially differ from that discussed under Item 7A in our Annual Report on Form 10-K for the year ended December 31, 2022.</w:t>
      </w:r>
    </w:p>
    <w:p>
      <w:pPr>
        <w:spacing w:after="0" w:line="18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2023 (the end of the period covered by this Quarterly Report on Form 10-Q) at a reasonable assurance level.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2023. We determined that there were no changes in our internal control over financial reporting during the quarter ended March 31, 2023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r>
        <w:rPr>
          <w:rFonts w:ascii="Arial" w:cs="Arial" w:eastAsia="Arial" w:hAnsi="Arial"/>
          <w:sz w:val="18"/>
          <w:szCs w:val="18"/>
          <w:i w:val="1"/>
          <w:iCs w:val="1"/>
          <w:color w:val="auto"/>
        </w:rPr>
        <w:t>.</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Part I, Item 1A of our Annual Report on Form 10-K for the year ended December 31, 2022.</w:t>
      </w:r>
    </w:p>
    <w:p>
      <w:pPr>
        <w:spacing w:after="0" w:line="170" w:lineRule="exact"/>
        <w:rPr>
          <w:sz w:val="20"/>
          <w:szCs w:val="20"/>
          <w:color w:val="auto"/>
        </w:rPr>
      </w:pPr>
    </w:p>
    <w:p>
      <w:pPr>
        <w:jc w:val="both"/>
        <w:ind w:left="220" w:right="59"/>
        <w:spacing w:after="0" w:line="263" w:lineRule="auto"/>
        <w:rPr>
          <w:sz w:val="20"/>
          <w:szCs w:val="20"/>
          <w:color w:val="auto"/>
        </w:rPr>
      </w:pPr>
      <w:r>
        <w:rPr>
          <w:rFonts w:ascii="Arial" w:cs="Arial" w:eastAsia="Arial" w:hAnsi="Arial"/>
          <w:sz w:val="18"/>
          <w:szCs w:val="18"/>
          <w:b w:val="1"/>
          <w:bCs w:val="1"/>
          <w:i w:val="1"/>
          <w:iCs w:val="1"/>
          <w:color w:val="auto"/>
        </w:rPr>
        <w:t>The instability of certain financial institutions may have adverse impacts on certain of our vendors and customers and/or on our ability to access our cash deposits and make borrowings, which could negatively impact our financial condition, results of operations and cash flows.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2023, there have been public reports of instability at certain financial institutions. Although we do not hold material deposits or investments at these financial institutions, and despite the steps taken to date by U.S. and foreign agencies and institutions to protect depositors, the follow-on effects of the events surrounding recent bank failures and pressure on other financial institutions are unknown, could include failures of other financial institutions to which we face direct or indirect exposure, and may lead to disruptions to the cash flows, operations and financial condition of our vendors, customers, and/or us. Additionally, tight credit conditions could generally result in economic slowdown and reduced demand for environmental services.</w:t>
      </w:r>
    </w:p>
    <w:p>
      <w:pPr>
        <w:spacing w:after="0" w:line="19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Additionally, Credit Suisse AG New York Branch (“Credit Suisse”) is a lender under our $3.5 billion revolving credit facility, having made a commitment to fund approximately 5.14% of borrowings under the facility. It was recently announced that fellow Swiss bank UBS Group AG plans to acquire Credit Suisse. We do not anticipate any material disruption to our ability to access funds under our $3.5 billion revolving credit facility or otherwise finance our business and operations. However, if multiple lenders under our $3.5 billion revolving credit facility were to fail or be unable to fund borrowings, it could have a material adverse effect on our financial condition, results of operations and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following table summarizes common stock repurchases made during the first quarter of 2023 (shares in millions):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gridSpan w:val="2"/>
          </w:tcPr>
          <w:p>
            <w:pPr>
              <w:jc w:val="center"/>
              <w:ind w:left="59"/>
              <w:spacing w:after="0" w:line="149" w:lineRule="exact"/>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280" w:type="dxa"/>
            <w:vAlign w:val="bottom"/>
          </w:tcPr>
          <w:p>
            <w:pPr>
              <w:spacing w:after="0"/>
              <w:rPr>
                <w:sz w:val="16"/>
                <w:szCs w:val="16"/>
                <w:color w:val="auto"/>
              </w:rPr>
            </w:pPr>
          </w:p>
        </w:tc>
        <w:tc>
          <w:tcPr>
            <w:tcW w:w="2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282"/>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24"/>
                <w:szCs w:val="2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 1 — 31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9"/>
              </w:rPr>
              <w:t>1.50 billion</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February 1 — 28 (a)</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150.34</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1.15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5"/>
              </w:rPr>
              <w:t>1.15 billion (b)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150.34</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93"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February 2023, we entered into an accelerated share repurchase (“ASR”) agreement to repurchase $350 million of our common stock. At the beginning of the repurchase period, we delivered $350 million cash and received 1.9 million shares based on a stock price of $150.34, exclusive of the 1% excise tax discussed below. The final number of shares to be repurchased and the final average price per share under the ASR agreement, exclusive of the 1% excise tax, will depend on the volume-weighted average price of our stock, less a discount, during the term of the agreement. Purchases under the ASR agreement are expected to be completed in April 2023.</w:t>
      </w:r>
    </w:p>
    <w:p>
      <w:pPr>
        <w:spacing w:after="0" w:line="56" w:lineRule="exact"/>
        <w:rPr>
          <w:rFonts w:ascii="Arial" w:cs="Arial" w:eastAsia="Arial" w:hAnsi="Arial"/>
          <w:sz w:val="16"/>
          <w:szCs w:val="16"/>
          <w:color w:val="auto"/>
        </w:rPr>
      </w:pPr>
    </w:p>
    <w:p>
      <w:pPr>
        <w:jc w:val="both"/>
        <w:ind w:left="380" w:right="59"/>
        <w:spacing w:after="0" w:line="257" w:lineRule="auto"/>
        <w:rPr>
          <w:rFonts w:ascii="Arial" w:cs="Arial" w:eastAsia="Arial" w:hAnsi="Arial"/>
          <w:sz w:val="16"/>
          <w:szCs w:val="16"/>
          <w:color w:val="auto"/>
        </w:rPr>
      </w:pPr>
      <w:r>
        <w:rPr>
          <w:rFonts w:ascii="Arial" w:cs="Arial" w:eastAsia="Arial" w:hAnsi="Arial"/>
          <w:sz w:val="18"/>
          <w:szCs w:val="18"/>
          <w:color w:val="auto"/>
        </w:rPr>
        <w:t>The Inflation Reduction Act of 2022, which was enacted into law on August 16, 2022, imposed a nondeductible 1% excise tax on the net value of certain stock repurchases made after December 31, 2022. During the three months ended March 31, 2023, we reflected the applicable excise tax in treasury stock as part of the cost basis of the stock repurchased and recorded a corresponding liability for the excise taxes payable in accrued liabilities in our Condensed Consolidated Balance Sheet.</w:t>
      </w:r>
    </w:p>
    <w:p>
      <w:pPr>
        <w:spacing w:after="0" w:line="79" w:lineRule="exact"/>
        <w:rPr>
          <w:rFonts w:ascii="Arial" w:cs="Arial" w:eastAsia="Arial" w:hAnsi="Arial"/>
          <w:sz w:val="16"/>
          <w:szCs w:val="16"/>
          <w:color w:val="auto"/>
        </w:rPr>
      </w:pPr>
    </w:p>
    <w:p>
      <w:pPr>
        <w:jc w:val="both"/>
        <w:ind w:left="380" w:right="79" w:hanging="330"/>
        <w:spacing w:after="0" w:line="342"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of March 31, 2023, the Company has authorization for $1.15 billion of future share repurchases. Any future share repurchases pursuant to this authorization of our Board of Directors will be made at the discretion of management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7" w:name="page38"/>
    <w:bookmarkEnd w:id="37"/>
    <w:p>
      <w:pPr>
        <w:ind w:left="380" w:right="79"/>
        <w:spacing w:after="0" w:line="342" w:lineRule="auto"/>
        <w:rPr>
          <w:sz w:val="20"/>
          <w:szCs w:val="20"/>
          <w:color w:val="auto"/>
        </w:rPr>
      </w:pPr>
      <w:r>
        <w:rPr>
          <w:rFonts w:ascii="Arial" w:cs="Arial" w:eastAsia="Arial" w:hAnsi="Arial"/>
          <w:sz w:val="16"/>
          <w:szCs w:val="16"/>
          <w:color w:val="auto"/>
        </w:rPr>
        <w:t>will depend on factors similar to those considered by the Board of Directors in making dividend declarations, including our net earnings, financial condition and cash required for future business plans, growth and acquisitions.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6"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9525</wp:posOffset>
            </wp:positionV>
            <wp:extent cx="4920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77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Officers’ Certificate delivered pursuant to Section 301 of the Indenture dated September 10, 1997</w:t>
            </w:r>
          </w:p>
        </w:tc>
      </w:tr>
      <w:tr>
        <w:trPr>
          <w:trHeight w:val="196"/>
        </w:trPr>
        <w:tc>
          <w:tcPr>
            <w:tcW w:w="1140" w:type="dxa"/>
            <w:vAlign w:val="bottom"/>
          </w:tcPr>
          <w:p>
            <w:pPr>
              <w:spacing w:after="0"/>
              <w:rPr>
                <w:sz w:val="17"/>
                <w:szCs w:val="17"/>
                <w:color w:val="auto"/>
              </w:rPr>
            </w:pPr>
          </w:p>
        </w:tc>
        <w:tc>
          <w:tcPr>
            <w:tcW w:w="7760" w:type="dxa"/>
            <w:vAlign w:val="bottom"/>
            <w:gridSpan w:val="12"/>
          </w:tcPr>
          <w:p>
            <w:pPr>
              <w:spacing w:after="0" w:line="196" w:lineRule="exact"/>
              <w:rPr>
                <w:sz w:val="20"/>
                <w:szCs w:val="20"/>
                <w:color w:val="auto"/>
              </w:rPr>
            </w:pPr>
            <w:r>
              <w:rPr>
                <w:rFonts w:ascii="Arial" w:cs="Arial" w:eastAsia="Arial" w:hAnsi="Arial"/>
                <w:sz w:val="18"/>
                <w:szCs w:val="18"/>
                <w:color w:val="0000EE"/>
              </w:rPr>
              <w:t>establishing the terms and form of the 4.625% Senior Notes due 2030.</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77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Officers’ Certificate delivered pursuant to Section 301 of the Indenture dated September 10, 1997</w:t>
            </w:r>
          </w:p>
        </w:tc>
      </w:tr>
      <w:tr>
        <w:trPr>
          <w:trHeight w:val="196"/>
        </w:trPr>
        <w:tc>
          <w:tcPr>
            <w:tcW w:w="1140" w:type="dxa"/>
            <w:vAlign w:val="bottom"/>
          </w:tcPr>
          <w:p>
            <w:pPr>
              <w:spacing w:after="0"/>
              <w:rPr>
                <w:sz w:val="17"/>
                <w:szCs w:val="17"/>
                <w:color w:val="auto"/>
              </w:rPr>
            </w:pPr>
          </w:p>
        </w:tc>
        <w:tc>
          <w:tcPr>
            <w:tcW w:w="7760" w:type="dxa"/>
            <w:vAlign w:val="bottom"/>
            <w:gridSpan w:val="12"/>
          </w:tcPr>
          <w:p>
            <w:pPr>
              <w:spacing w:after="0" w:line="196" w:lineRule="exact"/>
              <w:rPr>
                <w:sz w:val="20"/>
                <w:szCs w:val="20"/>
                <w:color w:val="auto"/>
              </w:rPr>
            </w:pPr>
            <w:r>
              <w:rPr>
                <w:rFonts w:ascii="Arial" w:cs="Arial" w:eastAsia="Arial" w:hAnsi="Arial"/>
                <w:sz w:val="18"/>
                <w:szCs w:val="18"/>
                <w:color w:val="0000EE"/>
              </w:rPr>
              <w:t>establishing the terms and form of the 4.625% Senior Notes due 2033.</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77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4"/>
              </w:rPr>
              <w:t>Guarantee Agreement by WM Holdings in favor of The Bank of New York Mellon Trust Company, N.A.,</w:t>
            </w:r>
          </w:p>
        </w:tc>
      </w:tr>
      <w:tr>
        <w:trPr>
          <w:trHeight w:val="196"/>
        </w:trPr>
        <w:tc>
          <w:tcPr>
            <w:tcW w:w="1140" w:type="dxa"/>
            <w:vAlign w:val="bottom"/>
          </w:tcPr>
          <w:p>
            <w:pPr>
              <w:spacing w:after="0"/>
              <w:rPr>
                <w:sz w:val="17"/>
                <w:szCs w:val="17"/>
                <w:color w:val="auto"/>
              </w:rPr>
            </w:pPr>
          </w:p>
        </w:tc>
        <w:tc>
          <w:tcPr>
            <w:tcW w:w="46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as Trustee for the holders of the 4.625% Senior Notes due 2030.</w:t>
            </w:r>
          </w:p>
        </w:tc>
        <w:tc>
          <w:tcPr>
            <w:tcW w:w="3120" w:type="dxa"/>
            <w:vAlign w:val="bottom"/>
            <w:gridSpan w:val="6"/>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77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4"/>
              </w:rPr>
              <w:t>Guarantee Agreement by WM Holdings in favor of The Bank of New York Mellon Trust Company, N.A.,</w:t>
            </w:r>
          </w:p>
        </w:tc>
      </w:tr>
      <w:tr>
        <w:trPr>
          <w:trHeight w:val="196"/>
        </w:trPr>
        <w:tc>
          <w:tcPr>
            <w:tcW w:w="1140" w:type="dxa"/>
            <w:vAlign w:val="bottom"/>
          </w:tcPr>
          <w:p>
            <w:pPr>
              <w:spacing w:after="0"/>
              <w:rPr>
                <w:sz w:val="17"/>
                <w:szCs w:val="17"/>
                <w:color w:val="auto"/>
              </w:rPr>
            </w:pPr>
          </w:p>
        </w:tc>
        <w:tc>
          <w:tcPr>
            <w:tcW w:w="46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as Trustee for the holders of the 4.625% Senior Notes due 2033.</w:t>
            </w:r>
          </w:p>
        </w:tc>
        <w:tc>
          <w:tcPr>
            <w:tcW w:w="3140" w:type="dxa"/>
            <w:vAlign w:val="bottom"/>
            <w:gridSpan w:val="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7760" w:type="dxa"/>
            <w:vAlign w:val="bottom"/>
            <w:tcBorders>
              <w:bottom w:val="single" w:sz="8" w:color="0000EE"/>
            </w:tcBorders>
            <w:gridSpan w:val="12"/>
          </w:tcPr>
          <w:p>
            <w:pPr>
              <w:spacing w:after="0"/>
              <w:rPr>
                <w:rFonts w:ascii="Arial" w:cs="Arial" w:eastAsia="Arial" w:hAnsi="Arial"/>
                <w:sz w:val="18"/>
                <w:szCs w:val="18"/>
                <w:color w:val="0000EE"/>
                <w:w w:val="99"/>
              </w:rPr>
            </w:pPr>
            <w:hyperlink r:id="rId51">
              <w:r>
                <w:rPr>
                  <w:rFonts w:ascii="Arial" w:cs="Arial" w:eastAsia="Arial" w:hAnsi="Arial"/>
                  <w:sz w:val="18"/>
                  <w:szCs w:val="18"/>
                  <w:color w:val="0000EE"/>
                  <w:w w:val="99"/>
                </w:rPr>
                <w:t>Form of 2023 Long Term Incentive Compensation Award Agreement for Senior Leadership Team</w:t>
              </w:r>
            </w:hyperlink>
          </w:p>
        </w:tc>
      </w:tr>
      <w:tr>
        <w:trPr>
          <w:trHeight w:val="196"/>
        </w:trPr>
        <w:tc>
          <w:tcPr>
            <w:tcW w:w="1140" w:type="dxa"/>
            <w:vAlign w:val="bottom"/>
          </w:tcPr>
          <w:p>
            <w:pPr>
              <w:spacing w:after="0"/>
              <w:rPr>
                <w:sz w:val="17"/>
                <w:szCs w:val="17"/>
                <w:color w:val="auto"/>
              </w:rPr>
            </w:pPr>
          </w:p>
        </w:tc>
        <w:tc>
          <w:tcPr>
            <w:tcW w:w="56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[Incorporated by reference to Exhibit 10.1 to Form 8-K filed March 10, 2023].</w:t>
              </w:r>
            </w:hyperlink>
          </w:p>
        </w:tc>
        <w:tc>
          <w:tcPr>
            <w:tcW w:w="2100" w:type="dxa"/>
            <w:vAlign w:val="bottom"/>
            <w:gridSpan w:val="3"/>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22.1*</w:t>
            </w:r>
          </w:p>
        </w:tc>
        <w:tc>
          <w:tcPr>
            <w:tcW w:w="7760" w:type="dxa"/>
            <w:vAlign w:val="bottom"/>
            <w:gridSpan w:val="12"/>
          </w:tcPr>
          <w:p>
            <w:pPr>
              <w:spacing w:after="0"/>
              <w:rPr>
                <w:sz w:val="20"/>
                <w:szCs w:val="20"/>
                <w:color w:val="auto"/>
              </w:rPr>
            </w:pPr>
            <w:r>
              <w:rPr>
                <w:rFonts w:ascii="Arial" w:cs="Arial" w:eastAsia="Arial" w:hAnsi="Arial"/>
                <w:sz w:val="18"/>
                <w:szCs w:val="18"/>
                <w:color w:val="0000EE"/>
              </w:rPr>
              <w:t>Guarantor Subsidiary.</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7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Certification Pursuant to Rules 13a-14(a) and 15d-14(a) under the Securities Exchange Act of 1934 of</w:t>
            </w:r>
          </w:p>
        </w:tc>
      </w:tr>
      <w:tr>
        <w:trPr>
          <w:trHeight w:val="196"/>
        </w:trPr>
        <w:tc>
          <w:tcPr>
            <w:tcW w:w="1140" w:type="dxa"/>
            <w:vAlign w:val="bottom"/>
          </w:tcPr>
          <w:p>
            <w:pPr>
              <w:spacing w:after="0"/>
              <w:rPr>
                <w:sz w:val="17"/>
                <w:szCs w:val="17"/>
                <w:color w:val="auto"/>
              </w:rPr>
            </w:pPr>
          </w:p>
        </w:tc>
        <w:tc>
          <w:tcPr>
            <w:tcW w:w="41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James C. Fish, Jr., President and Chief Executive Officer.</w:t>
            </w:r>
          </w:p>
        </w:tc>
        <w:tc>
          <w:tcPr>
            <w:tcW w:w="3620" w:type="dxa"/>
            <w:vAlign w:val="bottom"/>
            <w:gridSpan w:val="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Certification Pursuant to Rules 13a-14(a) and 15d-14(a) under the Securities Exchange Act of 1934 of</w:t>
            </w:r>
          </w:p>
        </w:tc>
      </w:tr>
      <w:tr>
        <w:trPr>
          <w:trHeight w:val="196"/>
        </w:trPr>
        <w:tc>
          <w:tcPr>
            <w:tcW w:w="1140" w:type="dxa"/>
            <w:vAlign w:val="bottom"/>
          </w:tcPr>
          <w:p>
            <w:pPr>
              <w:spacing w:after="0"/>
              <w:rPr>
                <w:sz w:val="17"/>
                <w:szCs w:val="17"/>
                <w:color w:val="auto"/>
              </w:rPr>
            </w:pPr>
          </w:p>
        </w:tc>
        <w:tc>
          <w:tcPr>
            <w:tcW w:w="7760" w:type="dxa"/>
            <w:vAlign w:val="bottom"/>
            <w:gridSpan w:val="12"/>
          </w:tcPr>
          <w:p>
            <w:pPr>
              <w:spacing w:after="0" w:line="196" w:lineRule="exact"/>
              <w:rPr>
                <w:sz w:val="20"/>
                <w:szCs w:val="20"/>
                <w:color w:val="auto"/>
              </w:rPr>
            </w:pPr>
            <w:r>
              <w:rPr>
                <w:rFonts w:ascii="Arial" w:cs="Arial" w:eastAsia="Arial" w:hAnsi="Arial"/>
                <w:sz w:val="18"/>
                <w:szCs w:val="18"/>
                <w:color w:val="0000EE"/>
              </w:rPr>
              <w:t>Devina A. Rankin, Executive Vice President and Chief Financial Officer.</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40" w:type="dxa"/>
            <w:vAlign w:val="bottom"/>
            <w:gridSpan w:val="5"/>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4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Certification Pursuant to 18 U.S.C. §1350 of James C. Fish, Jr., President and Chief Executive Officer.</w:t>
            </w:r>
          </w:p>
        </w:tc>
        <w:tc>
          <w:tcPr>
            <w:tcW w:w="360" w:type="dxa"/>
            <w:vAlign w:val="bottom"/>
            <w:gridSpan w:val="2"/>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Certification Pursuant to 18 U.S.C. §1350 of Devina A. Rankin, Executive Vice President and Chief</w:t>
            </w: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760" w:type="dxa"/>
            <w:vAlign w:val="bottom"/>
            <w:gridSpan w:val="12"/>
          </w:tcPr>
          <w:p>
            <w:pPr>
              <w:spacing w:after="0" w:line="196" w:lineRule="exact"/>
              <w:rPr>
                <w:sz w:val="20"/>
                <w:szCs w:val="20"/>
                <w:color w:val="auto"/>
              </w:rPr>
            </w:pPr>
            <w:r>
              <w:rPr>
                <w:rFonts w:ascii="Arial" w:cs="Arial" w:eastAsia="Arial" w:hAnsi="Arial"/>
                <w:sz w:val="18"/>
                <w:szCs w:val="18"/>
                <w:color w:val="0000EE"/>
              </w:rPr>
              <w:t>Financial Officer.</w:t>
            </w: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95*</w:t>
            </w:r>
          </w:p>
        </w:tc>
        <w:tc>
          <w:tcPr>
            <w:tcW w:w="18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Mine Safety Disclosures.</w:t>
            </w:r>
          </w:p>
        </w:tc>
        <w:tc>
          <w:tcPr>
            <w:tcW w:w="5940" w:type="dxa"/>
            <w:vAlign w:val="bottom"/>
            <w:gridSpan w:val="9"/>
          </w:tcPr>
          <w:p>
            <w:pPr>
              <w:spacing w:after="0"/>
              <w:rPr>
                <w:sz w:val="24"/>
                <w:szCs w:val="24"/>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776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1" w:lineRule="exact"/>
        <w:rPr>
          <w:sz w:val="20"/>
          <w:szCs w:val="20"/>
          <w:color w:val="auto"/>
        </w:rPr>
      </w:pPr>
    </w:p>
    <w:p>
      <w:pPr>
        <w:ind w:left="280" w:hanging="230"/>
        <w:spacing w:after="0"/>
        <w:tabs>
          <w:tab w:leader="none" w:pos="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Filed herewith.</w:t>
      </w:r>
    </w:p>
    <w:p>
      <w:pPr>
        <w:ind w:left="60"/>
        <w:spacing w:after="0"/>
        <w:rPr>
          <w:sz w:val="20"/>
          <w:szCs w:val="20"/>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JOHN CARROLL</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John Carroll</w:t>
            </w:r>
          </w:p>
        </w:tc>
      </w:tr>
    </w:tbl>
    <w:p>
      <w:pPr>
        <w:jc w:val="center"/>
        <w:ind w:left="4840"/>
        <w:spacing w:after="0"/>
        <w:rPr>
          <w:sz w:val="20"/>
          <w:szCs w:val="20"/>
          <w:color w:val="auto"/>
        </w:rPr>
      </w:pPr>
      <w:r>
        <w:rPr>
          <w:rFonts w:ascii="Arial" w:cs="Arial" w:eastAsia="Arial" w:hAnsi="Arial"/>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0" w:name="page41"/>
    <w:bookmarkEnd w:id="40"/>
    <w:p>
      <w:pPr>
        <w:jc w:val="right"/>
        <w:ind w:right="219"/>
        <w:spacing w:after="0"/>
        <w:rPr>
          <w:sz w:val="20"/>
          <w:szCs w:val="20"/>
          <w:color w:val="auto"/>
        </w:rPr>
      </w:pPr>
      <w:r>
        <w:rPr>
          <w:rFonts w:ascii="Arial" w:cs="Arial" w:eastAsia="Arial" w:hAnsi="Arial"/>
          <w:sz w:val="22"/>
          <w:szCs w:val="22"/>
          <w:b w:val="1"/>
          <w:bCs w:val="1"/>
          <w:color w:val="auto"/>
        </w:rPr>
        <w:t>Exhibit 4.1</w:t>
      </w:r>
    </w:p>
    <w:p>
      <w:pPr>
        <w:spacing w:after="0" w:line="396" w:lineRule="exact"/>
        <w:rPr>
          <w:sz w:val="20"/>
          <w:szCs w:val="20"/>
          <w:color w:val="auto"/>
        </w:rPr>
      </w:pPr>
    </w:p>
    <w:p>
      <w:pPr>
        <w:jc w:val="center"/>
        <w:ind w:left="200" w:right="219"/>
        <w:spacing w:after="0" w:line="243" w:lineRule="auto"/>
        <w:rPr>
          <w:sz w:val="20"/>
          <w:szCs w:val="20"/>
          <w:color w:val="auto"/>
        </w:rPr>
      </w:pPr>
      <w:r>
        <w:rPr>
          <w:rFonts w:ascii="Arial" w:cs="Arial" w:eastAsia="Arial" w:hAnsi="Arial"/>
          <w:sz w:val="22"/>
          <w:szCs w:val="22"/>
          <w:b w:val="1"/>
          <w:bCs w:val="1"/>
          <w:color w:val="auto"/>
        </w:rPr>
        <w:t>WASTE MANAGEMENT, INC. Officers’ Certificate Delivered Pursuant to Section 301 of the Indenture dated as of September 10, 1997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February 15, 2023</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undersigned, the Vice President and Treasurer, and the Vice President and</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Corporate Secretary of Waste Management, Inc. (the “Company”), hereby certify that:</w:t>
      </w:r>
    </w:p>
    <w:p>
      <w:pPr>
        <w:spacing w:after="0" w:line="188" w:lineRule="exact"/>
        <w:rPr>
          <w:sz w:val="20"/>
          <w:szCs w:val="20"/>
          <w:color w:val="auto"/>
        </w:rPr>
      </w:pPr>
    </w:p>
    <w:p>
      <w:pPr>
        <w:jc w:val="both"/>
        <w:ind w:left="200" w:right="219" w:firstLine="1305"/>
        <w:spacing w:after="0" w:line="277" w:lineRule="auto"/>
        <w:tabs>
          <w:tab w:leader="none" w:pos="2144"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February 15, 2023 (the “Order”) for the authentication and delivery by the Trustee of $750,000,000 aggregate principal amount of 4.625% Senior Notes due 2030 (the “Notes”).</w:t>
      </w:r>
    </w:p>
    <w:p>
      <w:pPr>
        <w:spacing w:after="0" w:line="151" w:lineRule="exact"/>
        <w:rPr>
          <w:rFonts w:ascii="Arial" w:cs="Arial" w:eastAsia="Arial" w:hAnsi="Arial"/>
          <w:sz w:val="19"/>
          <w:szCs w:val="19"/>
          <w:color w:val="auto"/>
        </w:rPr>
      </w:pPr>
    </w:p>
    <w:p>
      <w:pPr>
        <w:ind w:left="200" w:right="219" w:firstLine="1305"/>
        <w:spacing w:after="0" w:line="250"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undersigned have read Sections 102, 103, 301 and 303 of the Indenture and the definitions in the Indenture relating thereto.</w:t>
      </w:r>
    </w:p>
    <w:p>
      <w:pPr>
        <w:spacing w:after="0" w:line="174" w:lineRule="exact"/>
        <w:rPr>
          <w:rFonts w:ascii="Arial" w:cs="Arial" w:eastAsia="Arial" w:hAnsi="Arial"/>
          <w:sz w:val="22"/>
          <w:szCs w:val="22"/>
          <w:color w:val="auto"/>
        </w:rPr>
      </w:pPr>
    </w:p>
    <w:p>
      <w:pPr>
        <w:jc w:val="both"/>
        <w:ind w:left="200" w:right="239" w:firstLine="1305"/>
        <w:spacing w:after="0" w:line="238"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4" w:lineRule="exact"/>
        <w:rPr>
          <w:rFonts w:ascii="Arial" w:cs="Arial" w:eastAsia="Arial" w:hAnsi="Arial"/>
          <w:sz w:val="22"/>
          <w:szCs w:val="22"/>
          <w:color w:val="auto"/>
        </w:rPr>
      </w:pPr>
    </w:p>
    <w:p>
      <w:pPr>
        <w:ind w:left="200" w:right="239" w:firstLine="1305"/>
        <w:spacing w:after="0" w:line="250"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undersigned have examined the Order, and they have read the covenants, conditions and provisions of the Indenture relating thereto.</w:t>
      </w:r>
    </w:p>
    <w:p>
      <w:pPr>
        <w:spacing w:after="0" w:line="17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The terms of the Notes (including the Form of Note) as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932815</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ind w:left="200" w:right="439" w:firstLine="1296"/>
        <w:spacing w:after="0" w:line="251" w:lineRule="auto"/>
        <w:rPr>
          <w:sz w:val="20"/>
          <w:szCs w:val="20"/>
          <w:color w:val="auto"/>
        </w:rPr>
      </w:pPr>
      <w:r>
        <w:rPr>
          <w:rFonts w:ascii="Arial" w:cs="Arial" w:eastAsia="Arial" w:hAnsi="Arial"/>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David L. Reed</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Treasurer</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Courtney A. Tippy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Corporate Secretary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2"/>
          <w:szCs w:val="22"/>
          <w:b w:val="1"/>
          <w:bCs w:val="1"/>
          <w:i w:val="1"/>
          <w:iCs w:val="1"/>
          <w:color w:val="auto"/>
        </w:rPr>
        <w:t>Annex 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of the Notes</w:t>
      </w:r>
    </w:p>
    <w:p>
      <w:pPr>
        <w:spacing w:after="0" w:line="215"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Pursuant to authority granted by the Board of Directors of the Company on March 1, 2022 and the Sole Director of Waste Management Holdings, Inc. on February 1,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57" w:lineRule="exact"/>
        <w:rPr>
          <w:sz w:val="20"/>
          <w:szCs w:val="20"/>
          <w:color w:val="auto"/>
        </w:rPr>
      </w:pPr>
    </w:p>
    <w:p>
      <w:pPr>
        <w:ind w:left="860" w:hanging="651"/>
        <w:spacing w:after="0"/>
        <w:tabs>
          <w:tab w:leader="none" w:pos="8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title of the series of Securities shall be “4.625% Senior Notes due 2030” (the “Notes”).</w:t>
      </w:r>
    </w:p>
    <w:p>
      <w:pPr>
        <w:spacing w:after="0" w:line="240" w:lineRule="exact"/>
        <w:rPr>
          <w:rFonts w:ascii="Arial" w:cs="Arial" w:eastAsia="Arial" w:hAnsi="Arial"/>
          <w:sz w:val="19"/>
          <w:szCs w:val="19"/>
          <w:color w:val="auto"/>
        </w:rPr>
      </w:pPr>
    </w:p>
    <w:p>
      <w:pPr>
        <w:ind w:left="860" w:hanging="651"/>
        <w:spacing w:after="0"/>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Notes shall be general unsecured, senior obligations of the Company.</w:t>
      </w:r>
    </w:p>
    <w:p>
      <w:pPr>
        <w:spacing w:after="0" w:line="206" w:lineRule="exact"/>
        <w:rPr>
          <w:rFonts w:ascii="Arial" w:cs="Arial" w:eastAsia="Arial" w:hAnsi="Arial"/>
          <w:sz w:val="22"/>
          <w:szCs w:val="22"/>
          <w:color w:val="auto"/>
        </w:rPr>
      </w:pPr>
    </w:p>
    <w:p>
      <w:pPr>
        <w:jc w:val="both"/>
        <w:ind w:left="860" w:right="219" w:hanging="651"/>
        <w:spacing w:after="0" w:line="246" w:lineRule="auto"/>
        <w:tabs>
          <w:tab w:leader="none" w:pos="8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4" w:lineRule="exact"/>
        <w:rPr>
          <w:rFonts w:ascii="Arial" w:cs="Arial" w:eastAsia="Arial" w:hAnsi="Arial"/>
          <w:sz w:val="21"/>
          <w:szCs w:val="21"/>
          <w:color w:val="auto"/>
        </w:rPr>
      </w:pPr>
    </w:p>
    <w:p>
      <w:pPr>
        <w:ind w:left="860" w:hanging="651"/>
        <w:spacing w:after="0"/>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principal amount of each Note shall be payable on February 15, 2030.</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Each Note shall bear interest from February 15, 2023 at the fixed rate of 4.625% per annum; the Interest Payment Dates on which such interest shall be payable shall be February 15 and August 15 of each year, commencing August 15, 2023,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51" w:lineRule="exact"/>
        <w:rPr>
          <w:rFonts w:ascii="Arial" w:cs="Arial" w:eastAsia="Arial" w:hAnsi="Arial"/>
          <w:sz w:val="19"/>
          <w:szCs w:val="19"/>
          <w:color w:val="auto"/>
        </w:rPr>
      </w:pPr>
    </w:p>
    <w:p>
      <w:pPr>
        <w:jc w:val="both"/>
        <w:ind w:left="860" w:right="219" w:hanging="651"/>
        <w:spacing w:after="0" w:line="287" w:lineRule="auto"/>
        <w:tabs>
          <w:tab w:leader="none" w:pos="8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42" w:lineRule="exact"/>
        <w:rPr>
          <w:rFonts w:ascii="Arial" w:cs="Arial" w:eastAsia="Arial" w:hAnsi="Arial"/>
          <w:sz w:val="19"/>
          <w:szCs w:val="19"/>
          <w:color w:val="auto"/>
        </w:rPr>
      </w:pPr>
    </w:p>
    <w:p>
      <w:pPr>
        <w:jc w:val="both"/>
        <w:ind w:left="860" w:right="219" w:hanging="651"/>
        <w:spacing w:after="0" w:line="235" w:lineRule="auto"/>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7" w:lineRule="exact"/>
        <w:rPr>
          <w:rFonts w:ascii="Arial" w:cs="Arial" w:eastAsia="Arial" w:hAnsi="Arial"/>
          <w:sz w:val="22"/>
          <w:szCs w:val="22"/>
          <w:color w:val="auto"/>
        </w:rPr>
      </w:pPr>
    </w:p>
    <w:p>
      <w:pPr>
        <w:jc w:val="both"/>
        <w:ind w:left="860" w:right="239" w:hanging="651"/>
        <w:spacing w:after="0"/>
        <w:tabs>
          <w:tab w:leader="none" w:pos="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Payments of principal of, premium, if any, and interest due on the Notes representing Book-Entry Notes on any Interest Payment Date or at maturity will be made available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jc w:val="both"/>
        <w:ind w:left="860" w:right="219"/>
        <w:spacing w:after="0" w:line="287" w:lineRule="auto"/>
        <w:rPr>
          <w:sz w:val="20"/>
          <w:szCs w:val="20"/>
          <w:color w:val="auto"/>
        </w:rPr>
      </w:pPr>
      <w:r>
        <w:rPr>
          <w:rFonts w:ascii="Arial" w:cs="Arial" w:eastAsia="Arial" w:hAnsi="Arial"/>
          <w:sz w:val="19"/>
          <w:szCs w:val="19"/>
          <w:color w:val="auto"/>
        </w:rPr>
        <w:t>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43" w:lineRule="exact"/>
        <w:rPr>
          <w:sz w:val="20"/>
          <w:szCs w:val="20"/>
          <w:color w:val="auto"/>
        </w:rPr>
      </w:pPr>
    </w:p>
    <w:p>
      <w:pPr>
        <w:jc w:val="both"/>
        <w:ind w:left="860" w:right="239" w:hanging="651"/>
        <w:spacing w:after="0" w:line="297" w:lineRule="auto"/>
        <w:tabs>
          <w:tab w:leader="none" w:pos="8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3" w:lineRule="exact"/>
        <w:rPr>
          <w:rFonts w:ascii="Arial" w:cs="Arial" w:eastAsia="Arial" w:hAnsi="Arial"/>
          <w:sz w:val="19"/>
          <w:szCs w:val="19"/>
          <w:color w:val="auto"/>
        </w:rPr>
      </w:pPr>
    </w:p>
    <w:p>
      <w:pPr>
        <w:jc w:val="both"/>
        <w:ind w:left="1500" w:right="219" w:firstLine="5"/>
        <w:spacing w:after="0" w:line="282" w:lineRule="auto"/>
        <w:tabs>
          <w:tab w:leader="none" w:pos="1857" w:val="left"/>
        </w:tabs>
        <w:numPr>
          <w:ilvl w:val="1"/>
          <w:numId w:val="31"/>
        </w:numPr>
        <w:rPr>
          <w:rFonts w:ascii="Arial" w:cs="Arial" w:eastAsia="Arial" w:hAnsi="Arial"/>
          <w:sz w:val="19"/>
          <w:szCs w:val="19"/>
          <w:color w:val="auto"/>
        </w:rPr>
      </w:pPr>
      <w:r>
        <w:rPr>
          <w:rFonts w:ascii="Arial" w:cs="Arial" w:eastAsia="Arial" w:hAnsi="Arial"/>
          <w:sz w:val="19"/>
          <w:szCs w:val="19"/>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47" w:lineRule="exact"/>
        <w:rPr>
          <w:rFonts w:ascii="Arial" w:cs="Arial" w:eastAsia="Arial" w:hAnsi="Arial"/>
          <w:sz w:val="19"/>
          <w:szCs w:val="19"/>
          <w:color w:val="auto"/>
        </w:rPr>
      </w:pPr>
    </w:p>
    <w:p>
      <w:pPr>
        <w:ind w:left="1820" w:hanging="315"/>
        <w:spacing w:after="0"/>
        <w:tabs>
          <w:tab w:leader="none" w:pos="18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6" w:lineRule="exact"/>
        <w:rPr>
          <w:sz w:val="20"/>
          <w:szCs w:val="20"/>
          <w:color w:val="auto"/>
        </w:rPr>
      </w:pPr>
    </w:p>
    <w:p>
      <w:pPr>
        <w:jc w:val="both"/>
        <w:ind w:left="860" w:right="219"/>
        <w:spacing w:after="0" w:line="238" w:lineRule="auto"/>
        <w:rPr>
          <w:sz w:val="20"/>
          <w:szCs w:val="20"/>
          <w:color w:val="auto"/>
        </w:rPr>
      </w:pPr>
      <w:r>
        <w:rPr>
          <w:rFonts w:ascii="Arial" w:cs="Arial" w:eastAsia="Arial" w:hAnsi="Arial"/>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“Par Call Date” means December 15, 2029.</w:t>
      </w:r>
    </w:p>
    <w:p>
      <w:pPr>
        <w:spacing w:after="0" w:line="206" w:lineRule="exact"/>
        <w:rPr>
          <w:sz w:val="20"/>
          <w:szCs w:val="20"/>
          <w:color w:val="auto"/>
        </w:rPr>
      </w:pPr>
    </w:p>
    <w:p>
      <w:pPr>
        <w:jc w:val="both"/>
        <w:ind w:left="860" w:right="239" w:hanging="651"/>
        <w:spacing w:after="0"/>
        <w:tabs>
          <w:tab w:leader="none" w:pos="8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shall have no obligation to redeem, purchase or repay the Notes pursuant to any mandatory redemption, sinking fund or analogous provisions or at the option of a Holder thereof.</w:t>
      </w:r>
    </w:p>
    <w:p>
      <w:pPr>
        <w:spacing w:after="0" w:line="186" w:lineRule="exact"/>
        <w:rPr>
          <w:rFonts w:ascii="Arial" w:cs="Arial" w:eastAsia="Arial" w:hAnsi="Arial"/>
          <w:sz w:val="22"/>
          <w:szCs w:val="22"/>
          <w:color w:val="auto"/>
        </w:rPr>
      </w:pPr>
    </w:p>
    <w:p>
      <w:pPr>
        <w:ind w:left="860" w:right="239" w:hanging="651"/>
        <w:spacing w:after="0" w:line="328" w:lineRule="auto"/>
        <w:tabs>
          <w:tab w:leader="none" w:pos="8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Notes will be subject to defeasance and discharge as contemplated by Section 1302 of the Indenture and to covenant defeasance under Section 1303 of the Indenture.</w:t>
      </w:r>
    </w:p>
    <w:p>
      <w:pPr>
        <w:spacing w:after="0" w:line="104" w:lineRule="exact"/>
        <w:rPr>
          <w:rFonts w:ascii="Arial" w:cs="Arial" w:eastAsia="Arial" w:hAnsi="Arial"/>
          <w:sz w:val="19"/>
          <w:szCs w:val="19"/>
          <w:color w:val="auto"/>
        </w:rPr>
      </w:pPr>
    </w:p>
    <w:p>
      <w:pPr>
        <w:ind w:left="860" w:right="219" w:hanging="651"/>
        <w:spacing w:after="0" w:line="250" w:lineRule="auto"/>
        <w:tabs>
          <w:tab w:leader="none" w:pos="8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Notes shall be entitled to the benefit of the covenants contained in Sections 1008 and 1009 of the Indenture.</w:t>
      </w:r>
    </w:p>
    <w:p>
      <w:pPr>
        <w:spacing w:after="0" w:line="174" w:lineRule="exact"/>
        <w:rPr>
          <w:rFonts w:ascii="Arial" w:cs="Arial" w:eastAsia="Arial" w:hAnsi="Arial"/>
          <w:sz w:val="22"/>
          <w:szCs w:val="22"/>
          <w:color w:val="auto"/>
        </w:rPr>
      </w:pPr>
    </w:p>
    <w:p>
      <w:pPr>
        <w:ind w:left="860" w:right="239" w:hanging="651"/>
        <w:spacing w:after="0" w:line="250" w:lineRule="auto"/>
        <w:tabs>
          <w:tab w:leader="none" w:pos="8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Bank of New York Mellon Trust Company, N.A. shall serve initially as Security Registrar for the Notes.</w:t>
      </w:r>
    </w:p>
    <w:p>
      <w:pPr>
        <w:spacing w:after="0" w:line="174" w:lineRule="exact"/>
        <w:rPr>
          <w:rFonts w:ascii="Arial" w:cs="Arial" w:eastAsia="Arial" w:hAnsi="Arial"/>
          <w:sz w:val="22"/>
          <w:szCs w:val="22"/>
          <w:color w:val="auto"/>
        </w:rPr>
      </w:pPr>
    </w:p>
    <w:p>
      <w:pPr>
        <w:ind w:left="860" w:hanging="651"/>
        <w:spacing w:after="0"/>
        <w:tabs>
          <w:tab w:leader="none" w:pos="8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Notes shall be substantially in the form of Exhibit A hereto.</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Notes will be fully and unconditionally guaranteed on a senior basis by the Company’s wholly owned subsidiary, Waste Management Holdings, Inc., pursuant to the terms and conditions of a Guarantee Agreement dated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547370</wp:posOffset>
            </wp:positionV>
            <wp:extent cx="545211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4" w:name="page45"/>
    <w:bookmarkEnd w:id="44"/>
    <w:p>
      <w:pPr>
        <w:jc w:val="both"/>
        <w:ind w:left="860" w:right="219" w:hanging="651"/>
        <w:spacing w:after="0" w:line="258" w:lineRule="auto"/>
        <w:tabs>
          <w:tab w:leader="none" w:pos="8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1431290</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color w:val="auto"/>
        </w:rPr>
        <w:t>BOOK-ENTRY SECURITY</w:t>
      </w:r>
    </w:p>
    <w:p>
      <w:pPr>
        <w:spacing w:after="0" w:line="207"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1"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5820" w:type="dxa"/>
            <w:vAlign w:val="bottom"/>
          </w:tcPr>
          <w:p>
            <w:pPr>
              <w:spacing w:after="0"/>
              <w:rPr>
                <w:sz w:val="20"/>
                <w:szCs w:val="20"/>
                <w:color w:val="auto"/>
              </w:rPr>
            </w:pPr>
            <w:r>
              <w:rPr>
                <w:rFonts w:ascii="Arial" w:cs="Arial" w:eastAsia="Arial" w:hAnsi="Arial"/>
                <w:sz w:val="22"/>
                <w:szCs w:val="22"/>
                <w:color w:val="auto"/>
              </w:rPr>
              <w:t>RGN</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Principal Amount</w:t>
            </w:r>
          </w:p>
        </w:tc>
        <w:tc>
          <w:tcPr>
            <w:tcW w:w="0" w:type="dxa"/>
            <w:vAlign w:val="bottom"/>
          </w:tcPr>
          <w:p>
            <w:pPr>
              <w:spacing w:after="0"/>
              <w:rPr>
                <w:sz w:val="1"/>
                <w:szCs w:val="1"/>
                <w:color w:val="auto"/>
              </w:rPr>
            </w:pPr>
          </w:p>
        </w:tc>
      </w:tr>
      <w:tr>
        <w:trPr>
          <w:trHeight w:val="428"/>
        </w:trPr>
        <w:tc>
          <w:tcPr>
            <w:tcW w:w="5820" w:type="dxa"/>
            <w:vAlign w:val="bottom"/>
          </w:tcPr>
          <w:p>
            <w:pPr>
              <w:spacing w:after="0"/>
              <w:rPr>
                <w:sz w:val="24"/>
                <w:szCs w:val="24"/>
                <w:color w:val="auto"/>
              </w:rPr>
            </w:pPr>
          </w:p>
        </w:tc>
        <w:tc>
          <w:tcPr>
            <w:tcW w:w="1960" w:type="dxa"/>
            <w:vAlign w:val="bottom"/>
          </w:tcPr>
          <w:p>
            <w:pPr>
              <w:ind w:left="900"/>
              <w:spacing w:after="0"/>
              <w:rPr>
                <w:sz w:val="20"/>
                <w:szCs w:val="20"/>
                <w:color w:val="auto"/>
              </w:rPr>
            </w:pPr>
            <w:r>
              <w:rPr>
                <w:rFonts w:ascii="Arial" w:cs="Arial" w:eastAsia="Arial" w:hAnsi="Arial"/>
                <w:sz w:val="22"/>
                <w:szCs w:val="22"/>
                <w:color w:val="auto"/>
              </w:rPr>
              <w:t>U.S. $</w:t>
            </w:r>
          </w:p>
        </w:tc>
        <w:tc>
          <w:tcPr>
            <w:tcW w:w="6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which may be decreased</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by the Schedule of</w:t>
            </w:r>
          </w:p>
        </w:tc>
        <w:tc>
          <w:tcPr>
            <w:tcW w:w="0" w:type="dxa"/>
            <w:vAlign w:val="bottom"/>
          </w:tcPr>
          <w:p>
            <w:pPr>
              <w:spacing w:after="0"/>
              <w:rPr>
                <w:sz w:val="1"/>
                <w:szCs w:val="1"/>
                <w:color w:val="auto"/>
              </w:rPr>
            </w:pPr>
          </w:p>
        </w:tc>
      </w:tr>
      <w:tr>
        <w:trPr>
          <w:trHeight w:val="243"/>
        </w:trPr>
        <w:tc>
          <w:tcPr>
            <w:tcW w:w="5820" w:type="dxa"/>
            <w:vAlign w:val="bottom"/>
            <w:vMerge w:val="restart"/>
          </w:tcPr>
          <w:p>
            <w:pPr>
              <w:ind w:left="2540"/>
              <w:spacing w:after="0"/>
              <w:rPr>
                <w:sz w:val="20"/>
                <w:szCs w:val="20"/>
                <w:color w:val="auto"/>
              </w:rPr>
            </w:pPr>
            <w:r>
              <w:rPr>
                <w:rFonts w:ascii="Arial" w:cs="Arial" w:eastAsia="Arial" w:hAnsi="Arial"/>
                <w:sz w:val="22"/>
                <w:szCs w:val="22"/>
                <w:color w:val="auto"/>
              </w:rPr>
              <w:t>WASTE MANAGEMENT, INC.</w:t>
            </w: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Exchanges of Definitive</w:t>
            </w:r>
          </w:p>
        </w:tc>
        <w:tc>
          <w:tcPr>
            <w:tcW w:w="0" w:type="dxa"/>
            <w:vAlign w:val="bottom"/>
          </w:tcPr>
          <w:p>
            <w:pPr>
              <w:spacing w:after="0"/>
              <w:rPr>
                <w:sz w:val="1"/>
                <w:szCs w:val="1"/>
                <w:color w:val="auto"/>
              </w:rPr>
            </w:pPr>
          </w:p>
        </w:tc>
      </w:tr>
      <w:tr>
        <w:trPr>
          <w:trHeight w:val="274"/>
        </w:trPr>
        <w:tc>
          <w:tcPr>
            <w:tcW w:w="5820" w:type="dxa"/>
            <w:vAlign w:val="bottom"/>
            <w:vMerge w:val="continue"/>
          </w:tcPr>
          <w:p>
            <w:pPr>
              <w:spacing w:after="0"/>
              <w:rPr>
                <w:sz w:val="23"/>
                <w:szCs w:val="23"/>
                <w:color w:val="auto"/>
              </w:rPr>
            </w:pP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Security attached hereto</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4.625% SENIOR NOTES DUE 2030</w:t>
      </w:r>
    </w:p>
    <w:p>
      <w:pPr>
        <w:spacing w:after="0" w:line="206" w:lineRule="exact"/>
        <w:rPr>
          <w:sz w:val="20"/>
          <w:szCs w:val="20"/>
          <w:color w:val="auto"/>
        </w:rPr>
      </w:pPr>
    </w:p>
    <w:p>
      <w:pPr>
        <w:ind w:left="6920"/>
        <w:spacing w:after="0"/>
        <w:rPr>
          <w:sz w:val="20"/>
          <w:szCs w:val="20"/>
          <w:color w:val="auto"/>
        </w:rPr>
      </w:pPr>
      <w:r>
        <w:rPr>
          <w:rFonts w:ascii="Arial" w:cs="Arial" w:eastAsia="Arial" w:hAnsi="Arial"/>
          <w:sz w:val="21"/>
          <w:szCs w:val="21"/>
          <w:color w:val="auto"/>
        </w:rPr>
        <w:t>CUSIP 94106L BT5</w:t>
      </w:r>
    </w:p>
    <w:p>
      <w:pPr>
        <w:spacing w:after="0" w:line="218"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1"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principal sum of Million ($ ) U.S. dollars, or such lesser principal sum as is shown on the attached Schedule of Exchanges of Definitive Security, on February 15, 2030 in such coin or currency of the United States of America as at the time of payment shall be legal tender for the payment of public and private debts, and to pay interest at an annual rate of 4.625% payable on February 15 and August 15 of each year, to the person in whose name this Security is registered at the close of business on the record date for such interest, which shall be the preceding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471170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jc w:val="both"/>
        <w:ind w:left="200" w:right="219"/>
        <w:spacing w:after="0" w:line="274" w:lineRule="auto"/>
        <w:rPr>
          <w:sz w:val="20"/>
          <w:szCs w:val="20"/>
          <w:color w:val="auto"/>
        </w:rPr>
      </w:pPr>
      <w:r>
        <w:rPr>
          <w:rFonts w:ascii="Arial" w:cs="Arial" w:eastAsia="Arial" w:hAnsi="Arial"/>
          <w:sz w:val="21"/>
          <w:szCs w:val="21"/>
          <w:color w:val="auto"/>
        </w:rPr>
        <w:t>1 or August 1, respectively, payable commencing August 15, 2023, with interest accruing from February 15, 2023, or the most recent date to which interest has been paid.</w:t>
      </w:r>
    </w:p>
    <w:p>
      <w:pPr>
        <w:spacing w:after="0" w:line="151"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86"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6"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9"/>
          <w:szCs w:val="19"/>
          <w:color w:val="auto"/>
        </w:rPr>
        <w:t>This Security is issued in respect of a series of Securities of an initial aggregate of U.S. $750,000,000 in principal amount designated as the 4.625% Senior Notes due 2030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58"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5"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ind w:left="200" w:right="239" w:firstLine="667"/>
        <w:spacing w:after="0" w:line="329" w:lineRule="auto"/>
        <w:rPr>
          <w:sz w:val="20"/>
          <w:szCs w:val="20"/>
          <w:color w:val="auto"/>
        </w:rPr>
      </w:pPr>
      <w:r>
        <w:rPr>
          <w:rFonts w:ascii="Arial" w:cs="Arial" w:eastAsia="Arial" w:hAnsi="Arial"/>
          <w:sz w:val="19"/>
          <w:szCs w:val="19"/>
          <w:color w:val="auto"/>
        </w:rPr>
        <w:t>This Security shall not be valid or become obligatory for any purpose until the Certificate of Authentication hereon shall have been manually signed by the Trustee under the Indenture.</w:t>
      </w:r>
    </w:p>
    <w:p>
      <w:pPr>
        <w:spacing w:after="0" w:line="104"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IN WITNESS WHEREOF, the Company has caused this instrument to be duly executed under its corporate seal.</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color w:val="auto"/>
              </w:rPr>
              <w:t>Dated:</w:t>
            </w: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WASTE MANAGEMENT, INC.,</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 Delaware corporation</w:t>
            </w:r>
          </w:p>
        </w:tc>
      </w:tr>
      <w:tr>
        <w:trPr>
          <w:trHeight w:val="435"/>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David L. Reed</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2380"/>
              <w:spacing w:after="0"/>
              <w:rPr>
                <w:sz w:val="20"/>
                <w:szCs w:val="20"/>
                <w:color w:val="auto"/>
              </w:rPr>
            </w:pPr>
            <w:r>
              <w:rPr>
                <w:rFonts w:ascii="Arial" w:cs="Arial" w:eastAsia="Arial" w:hAnsi="Arial"/>
                <w:sz w:val="22"/>
                <w:szCs w:val="22"/>
                <w:color w:val="auto"/>
              </w:rPr>
              <w:t>Vice President and Treasurer</w:t>
            </w:r>
          </w:p>
        </w:tc>
      </w:tr>
      <w:tr>
        <w:trPr>
          <w:trHeight w:val="72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Attest:</w:t>
            </w:r>
          </w:p>
        </w:tc>
      </w:tr>
      <w:tr>
        <w:trPr>
          <w:trHeight w:val="435"/>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Arial" w:cs="Arial" w:eastAsia="Arial" w:hAnsi="Arial"/>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Courtney A. Tippy</w:t>
            </w:r>
          </w:p>
        </w:tc>
      </w:tr>
      <w:tr>
        <w:trPr>
          <w:trHeight w:val="274"/>
        </w:trPr>
        <w:tc>
          <w:tcPr>
            <w:tcW w:w="2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420" w:type="dxa"/>
            <w:vAlign w:val="bottom"/>
            <w:gridSpan w:val="4"/>
          </w:tcPr>
          <w:p>
            <w:pPr>
              <w:spacing w:after="0"/>
              <w:rPr>
                <w:sz w:val="20"/>
                <w:szCs w:val="20"/>
                <w:color w:val="auto"/>
              </w:rPr>
            </w:pPr>
            <w:r>
              <w:rPr>
                <w:rFonts w:ascii="Arial" w:cs="Arial" w:eastAsia="Arial" w:hAnsi="Arial"/>
                <w:sz w:val="22"/>
                <w:szCs w:val="22"/>
                <w:color w:val="auto"/>
                <w:w w:val="87"/>
              </w:rPr>
              <w:t>Vice President and Corporate Secretary</w:t>
            </w:r>
          </w:p>
        </w:tc>
      </w:tr>
    </w:tbl>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CERTIFICATE OF 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20" w:type="dxa"/>
            <w:vAlign w:val="bottom"/>
          </w:tcPr>
          <w:p>
            <w:pPr>
              <w:ind w:left="80"/>
              <w:spacing w:after="0"/>
              <w:rPr>
                <w:sz w:val="20"/>
                <w:szCs w:val="20"/>
                <w:color w:val="auto"/>
              </w:rPr>
            </w:pPr>
            <w:r>
              <w:rPr>
                <w:rFonts w:ascii="Arial" w:cs="Arial" w:eastAsia="Arial" w:hAnsi="Arial"/>
                <w:sz w:val="22"/>
                <w:szCs w:val="22"/>
                <w:color w:val="auto"/>
              </w:rPr>
              <w:t>Date of Authentication:</w:t>
            </w: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w w:val="93"/>
              </w:rPr>
              <w:t>The Bank of New York Mellon Trust Company,</w:t>
            </w:r>
          </w:p>
        </w:tc>
      </w:tr>
      <w:tr>
        <w:trPr>
          <w:trHeight w:val="274"/>
        </w:trPr>
        <w:tc>
          <w:tcPr>
            <w:tcW w:w="3220" w:type="dxa"/>
            <w:vAlign w:val="bottom"/>
          </w:tcPr>
          <w:p>
            <w:pPr>
              <w:spacing w:after="0"/>
              <w:rPr>
                <w:sz w:val="23"/>
                <w:szCs w:val="23"/>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N.A., as Trustee</w:t>
            </w:r>
          </w:p>
        </w:tc>
      </w:tr>
      <w:tr>
        <w:trPr>
          <w:trHeight w:val="435"/>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By: ​</w:t>
            </w:r>
          </w:p>
        </w:tc>
      </w:tr>
      <w:tr>
        <w:trPr>
          <w:trHeight w:val="274"/>
        </w:trPr>
        <w:tc>
          <w:tcPr>
            <w:tcW w:w="3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52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Authorized Officer</w:t>
            </w:r>
          </w:p>
        </w:tc>
        <w:tc>
          <w:tcPr>
            <w:tcW w:w="320" w:type="dxa"/>
            <w:vAlign w:val="bottom"/>
          </w:tcPr>
          <w:p>
            <w:pPr>
              <w:spacing w:after="0"/>
              <w:rPr>
                <w:sz w:val="23"/>
                <w:szCs w:val="23"/>
                <w:color w:val="auto"/>
              </w:rPr>
            </w:pPr>
          </w:p>
        </w:tc>
      </w:tr>
      <w:tr>
        <w:trPr>
          <w:trHeight w:val="1495"/>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color w:val="auto"/>
        </w:rPr>
        <w:t>REVERSE OF BOOK-ENTRY SECURITY</w:t>
      </w:r>
    </w:p>
    <w:p>
      <w:pPr>
        <w:spacing w:after="0" w:line="23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4.625% SENIOR NOTES DUE 2030</w:t>
      </w:r>
    </w:p>
    <w:p>
      <w:pPr>
        <w:spacing w:after="0" w:line="233"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4.625% Senior Notes due 2030 of the Company, in initial aggregate principal amount of $750,000,000 (the “Securities”).</w:t>
      </w:r>
    </w:p>
    <w:p>
      <w:pPr>
        <w:spacing w:after="0" w:line="188" w:lineRule="exact"/>
        <w:rPr>
          <w:sz w:val="20"/>
          <w:szCs w:val="20"/>
          <w:color w:val="auto"/>
        </w:rPr>
      </w:pPr>
    </w:p>
    <w:p>
      <w:pPr>
        <w:ind w:left="1500" w:hanging="643"/>
        <w:spacing w:after="0"/>
        <w:tabs>
          <w:tab w:leader="none" w:pos="1500"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Interest.</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Company promises to pay interest on the principal amount of this Security at the rate of 4.625% per annum.</w:t>
      </w:r>
    </w:p>
    <w:p>
      <w:pPr>
        <w:spacing w:after="0" w:line="175"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The Company will pay interest semi-annually on February 15 and August 15 of each year (each an “Interest Payment Date”), commencing August 15, 2023. Interest on the Securities will accrue from the most recent date to which interest has been paid or, if no interest has been paid on the Securities, from February 15,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4.625% per annum, in each case to the extent lawful.</w:t>
      </w:r>
    </w:p>
    <w:p>
      <w:pPr>
        <w:spacing w:after="0" w:line="193" w:lineRule="exact"/>
        <w:rPr>
          <w:sz w:val="20"/>
          <w:szCs w:val="20"/>
          <w:color w:val="auto"/>
        </w:rPr>
      </w:pPr>
    </w:p>
    <w:p>
      <w:pPr>
        <w:ind w:left="1500" w:hanging="643"/>
        <w:spacing w:after="0"/>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Method of Payment.</w:t>
      </w:r>
    </w:p>
    <w:p>
      <w:pPr>
        <w:spacing w:after="0" w:line="206" w:lineRule="exact"/>
        <w:rPr>
          <w:sz w:val="20"/>
          <w:szCs w:val="20"/>
          <w:color w:val="auto"/>
        </w:rPr>
      </w:pPr>
    </w:p>
    <w:p>
      <w:pPr>
        <w:jc w:val="both"/>
        <w:ind w:left="200" w:right="219" w:firstLine="667"/>
        <w:spacing w:after="0" w:line="272" w:lineRule="auto"/>
        <w:rPr>
          <w:sz w:val="20"/>
          <w:szCs w:val="20"/>
          <w:color w:val="auto"/>
        </w:rPr>
      </w:pPr>
      <w:r>
        <w:rPr>
          <w:rFonts w:ascii="Arial" w:cs="Arial" w:eastAsia="Arial" w:hAnsi="Arial"/>
          <w:sz w:val="19"/>
          <w:szCs w:val="19"/>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0" w:name="page51"/>
    <w:bookmarkEnd w:id="50"/>
    <w:p>
      <w:pPr>
        <w:jc w:val="both"/>
        <w:ind w:left="200" w:right="219"/>
        <w:spacing w:after="0" w:line="247" w:lineRule="auto"/>
        <w:rPr>
          <w:sz w:val="20"/>
          <w:szCs w:val="20"/>
          <w:color w:val="auto"/>
        </w:rPr>
      </w:pPr>
      <w:r>
        <w:rPr>
          <w:rFonts w:ascii="Arial" w:cs="Arial" w:eastAsia="Arial" w:hAnsi="Arial"/>
          <w:sz w:val="21"/>
          <w:szCs w:val="21"/>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8" w:lineRule="exact"/>
        <w:rPr>
          <w:sz w:val="20"/>
          <w:szCs w:val="20"/>
          <w:color w:val="auto"/>
        </w:rPr>
      </w:pPr>
    </w:p>
    <w:p>
      <w:pPr>
        <w:ind w:left="1500" w:hanging="643"/>
        <w:spacing w:after="0"/>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p>
    <w:p>
      <w:pPr>
        <w:spacing w:after="0" w:line="206"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43" w:lineRule="exact"/>
        <w:rPr>
          <w:sz w:val="20"/>
          <w:szCs w:val="20"/>
          <w:color w:val="auto"/>
        </w:rPr>
      </w:pPr>
    </w:p>
    <w:p>
      <w:pPr>
        <w:ind w:left="1500" w:hanging="643"/>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Indenture.</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This Security is one of a duly authorized issue of Debt Securities of the Company issued and to be issued in one or more series under the Indenture.</w:t>
      </w:r>
    </w:p>
    <w:p>
      <w:pPr>
        <w:spacing w:after="0" w:line="175"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February 1,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55" w:lineRule="exact"/>
        <w:rPr>
          <w:sz w:val="20"/>
          <w:szCs w:val="20"/>
          <w:color w:val="auto"/>
        </w:rPr>
      </w:pPr>
    </w:p>
    <w:p>
      <w:pPr>
        <w:ind w:left="1500" w:hanging="643"/>
        <w:spacing w:after="0"/>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Redemption.</w:t>
      </w:r>
    </w:p>
    <w:p>
      <w:pPr>
        <w:spacing w:after="0" w:line="206"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69" w:lineRule="exact"/>
        <w:rPr>
          <w:sz w:val="20"/>
          <w:szCs w:val="20"/>
          <w:color w:val="auto"/>
        </w:rPr>
      </w:pPr>
    </w:p>
    <w:p>
      <w:pPr>
        <w:jc w:val="both"/>
        <w:ind w:left="860" w:right="219" w:firstLine="15"/>
        <w:spacing w:after="0" w:line="236" w:lineRule="auto"/>
        <w:tabs>
          <w:tab w:leader="none" w:pos="1192"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87" w:lineRule="exact"/>
        <w:rPr>
          <w:rFonts w:ascii="Arial" w:cs="Arial" w:eastAsia="Arial" w:hAnsi="Arial"/>
          <w:sz w:val="22"/>
          <w:szCs w:val="22"/>
          <w:color w:val="auto"/>
        </w:rPr>
      </w:pPr>
    </w:p>
    <w:p>
      <w:pPr>
        <w:ind w:left="1180" w:hanging="305"/>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100% of the principal amount of the Securities to be redeemed,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both"/>
        <w:ind w:left="200" w:right="219" w:firstLine="667"/>
        <w:spacing w:after="0" w:line="238" w:lineRule="auto"/>
        <w:rPr>
          <w:sz w:val="20"/>
          <w:szCs w:val="20"/>
          <w:color w:val="auto"/>
        </w:rPr>
      </w:pPr>
      <w:r>
        <w:rPr>
          <w:rFonts w:ascii="Arial" w:cs="Arial" w:eastAsia="Arial" w:hAnsi="Arial"/>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“Par Call Date” means December 15, 2029.</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“Treasury Rate” means, with respect to any Redemption Date, the yield determined by the Company in accordance with the following two paragraphs.</w:t>
      </w:r>
    </w:p>
    <w:p>
      <w:pPr>
        <w:spacing w:after="0" w:line="175"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9"/>
          <w:szCs w:val="19"/>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0"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473075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jc w:val="both"/>
        <w:ind w:left="200" w:right="219"/>
        <w:spacing w:after="0" w:line="241" w:lineRule="auto"/>
        <w:rPr>
          <w:sz w:val="20"/>
          <w:szCs w:val="20"/>
          <w:color w:val="auto"/>
        </w:rPr>
      </w:pPr>
      <w:r>
        <w:rPr>
          <w:rFonts w:ascii="Arial" w:cs="Arial" w:eastAsia="Arial" w:hAnsi="Arial"/>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84"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7"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64"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Except as set forth above, the Securities will not be redeemable prior to their Stated Maturity and will not be entitled to the benefit of any sinking fund.</w:t>
      </w:r>
    </w:p>
    <w:p>
      <w:pPr>
        <w:spacing w:after="0" w:line="175"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Securities may be redeemed in part in a minimum principal amount of $2,000, or any integral multiple of $1,000 in excess thereof.</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such redemption will also comply with Article Eleven of the Indenture.</w:t>
      </w:r>
    </w:p>
    <w:p>
      <w:pPr>
        <w:spacing w:after="0" w:line="206" w:lineRule="exact"/>
        <w:rPr>
          <w:sz w:val="20"/>
          <w:szCs w:val="20"/>
          <w:color w:val="auto"/>
        </w:rPr>
      </w:pPr>
    </w:p>
    <w:p>
      <w:pPr>
        <w:ind w:left="1500" w:hanging="643"/>
        <w:spacing w:after="0"/>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Change of Control Offer.</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11"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440055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both"/>
        <w:ind w:left="200" w:right="219"/>
        <w:spacing w:after="0" w:line="246" w:lineRule="auto"/>
        <w:rPr>
          <w:sz w:val="20"/>
          <w:szCs w:val="20"/>
          <w:color w:val="auto"/>
        </w:rPr>
      </w:pPr>
      <w:r>
        <w:rPr>
          <w:rFonts w:ascii="Arial" w:cs="Arial" w:eastAsia="Arial" w:hAnsi="Arial"/>
          <w:sz w:val="21"/>
          <w:szCs w:val="21"/>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Upon the Change of Control Payment Date, the Company shall, to the extent lawful:</w:t>
      </w:r>
    </w:p>
    <w:p>
      <w:pPr>
        <w:spacing w:after="0" w:line="233" w:lineRule="exact"/>
        <w:rPr>
          <w:sz w:val="20"/>
          <w:szCs w:val="20"/>
          <w:color w:val="auto"/>
        </w:rPr>
      </w:pPr>
    </w:p>
    <w:p>
      <w:pPr>
        <w:ind w:left="1500" w:right="219" w:hanging="643"/>
        <w:spacing w:after="0" w:line="250"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22"/>
          <w:szCs w:val="22"/>
          <w:color w:val="auto"/>
        </w:rPr>
        <w:t>accept for payment all Securities or portions of Securities properly tendered and not withdrawn pursuant to the Change of Control Offer;</w:t>
      </w:r>
    </w:p>
    <w:p>
      <w:pPr>
        <w:spacing w:after="0" w:line="174" w:lineRule="exact"/>
        <w:rPr>
          <w:rFonts w:ascii="Arial" w:cs="Arial" w:eastAsia="Arial" w:hAnsi="Arial"/>
          <w:sz w:val="18"/>
          <w:szCs w:val="18"/>
          <w:color w:val="auto"/>
        </w:rPr>
      </w:pPr>
    </w:p>
    <w:p>
      <w:pPr>
        <w:ind w:left="1500" w:right="239" w:hanging="643"/>
        <w:spacing w:after="0" w:line="328" w:lineRule="auto"/>
        <w:tabs>
          <w:tab w:leader="none" w:pos="1500" w:val="left"/>
        </w:tabs>
        <w:numPr>
          <w:ilvl w:val="0"/>
          <w:numId w:val="41"/>
        </w:numPr>
        <w:rPr>
          <w:rFonts w:ascii="Arial" w:cs="Arial" w:eastAsia="Arial" w:hAnsi="Arial"/>
          <w:sz w:val="16"/>
          <w:szCs w:val="16"/>
          <w:color w:val="auto"/>
        </w:rPr>
      </w:pPr>
      <w:r>
        <w:rPr>
          <w:rFonts w:ascii="Arial" w:cs="Arial" w:eastAsia="Arial" w:hAnsi="Arial"/>
          <w:sz w:val="19"/>
          <w:szCs w:val="19"/>
          <w:color w:val="auto"/>
        </w:rPr>
        <w:t>deposit with the Paying Agent an amount equal to the Change of Control Payment in respect of all Securities or portions of Securities properly tendered; and</w:t>
      </w:r>
    </w:p>
    <w:p>
      <w:pPr>
        <w:spacing w:after="0" w:line="104" w:lineRule="exact"/>
        <w:rPr>
          <w:rFonts w:ascii="Arial" w:cs="Arial" w:eastAsia="Arial" w:hAnsi="Arial"/>
          <w:sz w:val="16"/>
          <w:szCs w:val="16"/>
          <w:color w:val="auto"/>
        </w:rPr>
      </w:pPr>
    </w:p>
    <w:p>
      <w:pPr>
        <w:jc w:val="both"/>
        <w:ind w:left="1500" w:right="239" w:hanging="643"/>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86"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9"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For purposes of the Change of Control Offer provisions of the Securities, the following terms are applicable:</w:t>
      </w:r>
    </w:p>
    <w:p>
      <w:pPr>
        <w:spacing w:after="0" w:line="202"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jc w:val="both"/>
        <w:ind w:left="200" w:right="219"/>
        <w:spacing w:after="0" w:line="272" w:lineRule="auto"/>
        <w:rPr>
          <w:sz w:val="20"/>
          <w:szCs w:val="20"/>
          <w:color w:val="auto"/>
        </w:rPr>
      </w:pPr>
      <w:r>
        <w:rPr>
          <w:rFonts w:ascii="Arial" w:cs="Arial" w:eastAsia="Arial" w:hAnsi="Arial"/>
          <w:sz w:val="19"/>
          <w:szCs w:val="19"/>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0" w:lineRule="exact"/>
        <w:rPr>
          <w:sz w:val="20"/>
          <w:szCs w:val="20"/>
          <w:color w:val="auto"/>
        </w:rPr>
      </w:pPr>
    </w:p>
    <w:p>
      <w:pPr>
        <w:spacing w:after="0" w:line="204"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4"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“Change of Control Triggering Event” means the occurrence of both a Change of Control and a Rating Event.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“Fitch” means Fitch Inc. and its successors.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“Moody’s” means Moody’s Investors Service, Inc. and its successors.</w:t>
      </w:r>
    </w:p>
    <w:p>
      <w:pPr>
        <w:spacing w:after="0" w:line="206"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50"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both"/>
        <w:ind w:left="200" w:right="219"/>
        <w:spacing w:after="0" w:line="258" w:lineRule="auto"/>
        <w:rPr>
          <w:sz w:val="20"/>
          <w:szCs w:val="20"/>
          <w:color w:val="auto"/>
        </w:rPr>
      </w:pPr>
      <w:r>
        <w:rPr>
          <w:rFonts w:ascii="Arial" w:cs="Arial" w:eastAsia="Arial" w:hAnsi="Arial"/>
          <w:sz w:val="21"/>
          <w:szCs w:val="21"/>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“S&amp;P” means S&amp;P Global Ratings, a division of S&amp;P Global Inc., and its successors.</w:t>
      </w:r>
    </w:p>
    <w:p>
      <w:pPr>
        <w:spacing w:after="0" w:line="218"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Denominations; Transfer; Exchange.</w:t>
      </w:r>
    </w:p>
    <w:p>
      <w:pPr>
        <w:spacing w:after="0" w:line="206" w:lineRule="exact"/>
        <w:rPr>
          <w:sz w:val="20"/>
          <w:szCs w:val="20"/>
          <w:color w:val="auto"/>
        </w:rPr>
      </w:pPr>
    </w:p>
    <w:p>
      <w:pPr>
        <w:jc w:val="both"/>
        <w:ind w:left="200" w:right="219" w:firstLine="667"/>
        <w:spacing w:after="0" w:line="282" w:lineRule="auto"/>
        <w:rPr>
          <w:sz w:val="20"/>
          <w:szCs w:val="20"/>
          <w:color w:val="auto"/>
        </w:rPr>
      </w:pPr>
      <w:r>
        <w:rPr>
          <w:rFonts w:ascii="Arial" w:cs="Arial" w:eastAsia="Arial" w:hAnsi="Arial"/>
          <w:sz w:val="19"/>
          <w:szCs w:val="19"/>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500" w:hanging="643"/>
        <w:spacing w:after="0"/>
        <w:tabs>
          <w:tab w:leader="none" w:pos="150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Person Deemed Owners.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registered Holder of a Security may be treated as the owner of it for all purposes.</w:t>
      </w:r>
    </w:p>
    <w:p>
      <w:pPr>
        <w:spacing w:after="0" w:line="241" w:lineRule="exact"/>
        <w:rPr>
          <w:sz w:val="20"/>
          <w:szCs w:val="20"/>
          <w:color w:val="auto"/>
        </w:rPr>
      </w:pPr>
    </w:p>
    <w:p>
      <w:pPr>
        <w:ind w:left="1500" w:hanging="643"/>
        <w:spacing w:after="0"/>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Amendment; Supplement; Waiver.</w:t>
      </w:r>
    </w:p>
    <w:p>
      <w:pPr>
        <w:spacing w:after="0" w:line="206"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8" w:lineRule="exact"/>
        <w:rPr>
          <w:sz w:val="20"/>
          <w:szCs w:val="20"/>
          <w:color w:val="auto"/>
        </w:rPr>
      </w:pPr>
    </w:p>
    <w:p>
      <w:pPr>
        <w:ind w:left="1500" w:hanging="643"/>
        <w:spacing w:after="0"/>
        <w:tabs>
          <w:tab w:leader="none" w:pos="150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Defaults and Remedies.</w:t>
      </w:r>
    </w:p>
    <w:p>
      <w:pPr>
        <w:spacing w:after="0" w:line="206"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200" w:right="219"/>
        <w:spacing w:after="0" w:line="272" w:lineRule="auto"/>
        <w:rPr>
          <w:sz w:val="20"/>
          <w:szCs w:val="20"/>
          <w:color w:val="auto"/>
        </w:rPr>
      </w:pPr>
      <w:r>
        <w:rPr>
          <w:rFonts w:ascii="Arial" w:cs="Arial" w:eastAsia="Arial" w:hAnsi="Arial"/>
          <w:sz w:val="19"/>
          <w:szCs w:val="19"/>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04" w:lineRule="exact"/>
        <w:rPr>
          <w:sz w:val="20"/>
          <w:szCs w:val="20"/>
          <w:color w:val="auto"/>
        </w:rPr>
      </w:pPr>
    </w:p>
    <w:p>
      <w:pPr>
        <w:ind w:left="1500" w:hanging="643"/>
        <w:spacing w:after="0"/>
        <w:tabs>
          <w:tab w:leader="none" w:pos="1500"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Trustee Dealings with Company.</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5" w:lineRule="exact"/>
        <w:rPr>
          <w:sz w:val="20"/>
          <w:szCs w:val="20"/>
          <w:color w:val="auto"/>
        </w:rPr>
      </w:pPr>
    </w:p>
    <w:p>
      <w:pPr>
        <w:ind w:left="1500" w:hanging="643"/>
        <w:spacing w:after="0"/>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not be valid until the Trustee or authenticating agent signs the certificate of authentication on the other side of this Security.</w:t>
      </w:r>
    </w:p>
    <w:p>
      <w:pPr>
        <w:spacing w:after="0" w:line="175" w:lineRule="exact"/>
        <w:rPr>
          <w:sz w:val="20"/>
          <w:szCs w:val="20"/>
          <w:color w:val="auto"/>
        </w:rPr>
      </w:pPr>
    </w:p>
    <w:p>
      <w:pPr>
        <w:ind w:left="1500" w:hanging="643"/>
        <w:spacing w:after="0"/>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Abbreviations and Defined Terms.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5" w:lineRule="exact"/>
        <w:rPr>
          <w:sz w:val="20"/>
          <w:szCs w:val="20"/>
          <w:color w:val="auto"/>
        </w:rPr>
      </w:pPr>
    </w:p>
    <w:p>
      <w:pPr>
        <w:ind w:left="1500" w:hanging="643"/>
        <w:spacing w:after="0"/>
        <w:tabs>
          <w:tab w:leader="none" w:pos="1500"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CUSIP Numbers.</w:t>
      </w:r>
    </w:p>
    <w:p>
      <w:pPr>
        <w:spacing w:after="0" w:line="206"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7" w:lineRule="exact"/>
        <w:rPr>
          <w:sz w:val="20"/>
          <w:szCs w:val="20"/>
          <w:color w:val="auto"/>
        </w:rPr>
      </w:pPr>
    </w:p>
    <w:p>
      <w:pPr>
        <w:ind w:left="1500" w:hanging="643"/>
        <w:spacing w:after="0"/>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Absolute Obligation.</w:t>
      </w:r>
    </w:p>
    <w:p>
      <w:pPr>
        <w:spacing w:after="0" w:line="206" w:lineRule="exact"/>
        <w:rPr>
          <w:sz w:val="20"/>
          <w:szCs w:val="20"/>
          <w:color w:val="auto"/>
        </w:rPr>
      </w:pPr>
    </w:p>
    <w:p>
      <w:pPr>
        <w:jc w:val="both"/>
        <w:ind w:left="200" w:right="219" w:firstLine="667"/>
        <w:spacing w:after="0" w:line="252" w:lineRule="auto"/>
        <w:rPr>
          <w:sz w:val="20"/>
          <w:szCs w:val="20"/>
          <w:color w:val="auto"/>
        </w:rPr>
      </w:pPr>
      <w:r>
        <w:rPr>
          <w:rFonts w:ascii="Arial" w:cs="Arial" w:eastAsia="Arial" w:hAnsi="Arial"/>
          <w:sz w:val="21"/>
          <w:szCs w:val="21"/>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ind w:left="1500" w:hanging="643"/>
        <w:spacing w:after="0"/>
        <w:tabs>
          <w:tab w:leader="none" w:pos="1500"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No Recourse.</w:t>
      </w:r>
    </w:p>
    <w:p>
      <w:pPr>
        <w:spacing w:after="0" w:line="207" w:lineRule="exact"/>
        <w:rPr>
          <w:sz w:val="20"/>
          <w:szCs w:val="20"/>
          <w:color w:val="auto"/>
        </w:rPr>
      </w:pPr>
    </w:p>
    <w:p>
      <w:pPr>
        <w:jc w:val="both"/>
        <w:ind w:left="200" w:right="219" w:firstLine="667"/>
        <w:spacing w:after="0" w:line="275" w:lineRule="auto"/>
        <w:rPr>
          <w:sz w:val="20"/>
          <w:szCs w:val="20"/>
          <w:color w:val="auto"/>
        </w:rPr>
      </w:pPr>
      <w:r>
        <w:rPr>
          <w:rFonts w:ascii="Arial" w:cs="Arial" w:eastAsia="Arial" w:hAnsi="Arial"/>
          <w:sz w:val="19"/>
          <w:szCs w:val="19"/>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7" w:lineRule="exact"/>
        <w:rPr>
          <w:sz w:val="20"/>
          <w:szCs w:val="20"/>
          <w:color w:val="auto"/>
        </w:rPr>
      </w:pPr>
    </w:p>
    <w:p>
      <w:pPr>
        <w:ind w:left="1500" w:hanging="643"/>
        <w:spacing w:after="0"/>
        <w:tabs>
          <w:tab w:leader="none" w:pos="1500"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be construed in accordance with and governed by the laws of the State of New York.</w:t>
      </w:r>
    </w:p>
    <w:p>
      <w:pPr>
        <w:spacing w:after="0" w:line="175" w:lineRule="exact"/>
        <w:rPr>
          <w:sz w:val="20"/>
          <w:szCs w:val="20"/>
          <w:color w:val="auto"/>
        </w:rPr>
      </w:pPr>
    </w:p>
    <w:p>
      <w:pPr>
        <w:ind w:left="1500" w:hanging="643"/>
        <w:spacing w:after="0"/>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Guarantee.</w:t>
      </w:r>
    </w:p>
    <w:p>
      <w:pPr>
        <w:spacing w:after="0" w:line="206" w:lineRule="exact"/>
        <w:rPr>
          <w:sz w:val="20"/>
          <w:szCs w:val="20"/>
          <w:color w:val="auto"/>
        </w:rPr>
      </w:pPr>
    </w:p>
    <w:p>
      <w:pPr>
        <w:jc w:val="both"/>
        <w:ind w:left="200" w:right="219" w:firstLine="667"/>
        <w:spacing w:after="0" w:line="246" w:lineRule="auto"/>
        <w:rPr>
          <w:sz w:val="20"/>
          <w:szCs w:val="20"/>
          <w:color w:val="auto"/>
        </w:rPr>
      </w:pPr>
      <w:r>
        <w:rPr>
          <w:rFonts w:ascii="Arial" w:cs="Arial" w:eastAsia="Arial" w:hAnsi="Arial"/>
          <w:sz w:val="21"/>
          <w:szCs w:val="21"/>
          <w:color w:val="auto"/>
        </w:rPr>
        <w:t>The Securities will be fully and unconditionally guaranteed on a senior basis by the Company’s wholly owned subsidiary, Waste Management Holdings, Inc., pursuant to the terms and conditions of a Guarantee, dated as of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4" w:lineRule="exact"/>
        <w:rPr>
          <w:sz w:val="20"/>
          <w:szCs w:val="20"/>
          <w:color w:val="auto"/>
        </w:rPr>
      </w:pPr>
    </w:p>
    <w:p>
      <w:pPr>
        <w:ind w:left="1500" w:hanging="625"/>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Satisfaction and Discharge.</w:t>
      </w:r>
    </w:p>
    <w:p>
      <w:pPr>
        <w:spacing w:after="0" w:line="206" w:lineRule="exact"/>
        <w:rPr>
          <w:sz w:val="20"/>
          <w:szCs w:val="20"/>
          <w:color w:val="auto"/>
        </w:rPr>
      </w:pPr>
    </w:p>
    <w:p>
      <w:pPr>
        <w:jc w:val="both"/>
        <w:ind w:left="200" w:right="219" w:firstLine="667"/>
        <w:spacing w:after="0" w:line="277" w:lineRule="auto"/>
        <w:rPr>
          <w:sz w:val="20"/>
          <w:szCs w:val="20"/>
          <w:color w:val="auto"/>
        </w:rPr>
      </w:pPr>
      <w:r>
        <w:rPr>
          <w:rFonts w:ascii="Arial" w:cs="Arial" w:eastAsia="Arial" w:hAnsi="Arial"/>
          <w:sz w:val="19"/>
          <w:szCs w:val="19"/>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1189990</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color w:val="auto"/>
        </w:rPr>
        <w:t>SCHEDULE OF EXCHANGES OF DEFINITIVE SECURITY</w:t>
      </w:r>
    </w:p>
    <w:p>
      <w:pPr>
        <w:spacing w:after="0" w:line="207"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Amount of decrease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increase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c>
          <w:tcPr>
            <w:tcW w:w="60" w:type="dxa"/>
            <w:vAlign w:val="bottom"/>
          </w:tcPr>
          <w:p>
            <w:pPr>
              <w:spacing w:after="0"/>
              <w:rPr>
                <w:sz w:val="18"/>
                <w:szCs w:val="18"/>
                <w:color w:val="auto"/>
              </w:rPr>
            </w:pPr>
          </w:p>
        </w:tc>
      </w:tr>
      <w:tr>
        <w:trPr>
          <w:trHeight w:val="241"/>
        </w:trPr>
        <w:tc>
          <w:tcPr>
            <w:tcW w:w="80" w:type="dxa"/>
            <w:vAlign w:val="bottom"/>
          </w:tcPr>
          <w:p>
            <w:pPr>
              <w:spacing w:after="0"/>
              <w:rPr>
                <w:sz w:val="20"/>
                <w:szCs w:val="20"/>
                <w:color w:val="auto"/>
              </w:rPr>
            </w:pPr>
          </w:p>
        </w:tc>
        <w:tc>
          <w:tcPr>
            <w:tcW w:w="1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Date of Exchange</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 Custodian</w:t>
            </w:r>
          </w:p>
        </w:tc>
        <w:tc>
          <w:tcPr>
            <w:tcW w:w="60" w:type="dxa"/>
            <w:vAlign w:val="bottom"/>
            <w:tcBorders>
              <w:bottom w:val="single" w:sz="8" w:color="auto"/>
            </w:tcBorders>
          </w:tcPr>
          <w:p>
            <w:pPr>
              <w:spacing w:after="0"/>
              <w:rPr>
                <w:sz w:val="20"/>
                <w:szCs w:val="20"/>
                <w:color w:val="auto"/>
              </w:rPr>
            </w:pPr>
          </w:p>
        </w:tc>
      </w:tr>
      <w:tr>
        <w:trPr>
          <w:trHeight w:val="1613"/>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59" w:name="page60"/>
    <w:bookmarkEnd w:id="59"/>
    <w:p>
      <w:pPr>
        <w:jc w:val="right"/>
        <w:ind w:right="219"/>
        <w:spacing w:after="0"/>
        <w:rPr>
          <w:sz w:val="20"/>
          <w:szCs w:val="20"/>
          <w:color w:val="auto"/>
        </w:rPr>
      </w:pPr>
      <w:r>
        <w:rPr>
          <w:rFonts w:ascii="Arial" w:cs="Arial" w:eastAsia="Arial" w:hAnsi="Arial"/>
          <w:sz w:val="22"/>
          <w:szCs w:val="22"/>
          <w:b w:val="1"/>
          <w:bCs w:val="1"/>
          <w:color w:val="auto"/>
        </w:rPr>
        <w:t>Exhibit 4.2</w:t>
      </w:r>
    </w:p>
    <w:p>
      <w:pPr>
        <w:spacing w:after="0" w:line="396" w:lineRule="exact"/>
        <w:rPr>
          <w:sz w:val="20"/>
          <w:szCs w:val="20"/>
          <w:color w:val="auto"/>
        </w:rPr>
      </w:pPr>
    </w:p>
    <w:p>
      <w:pPr>
        <w:jc w:val="center"/>
        <w:ind w:left="200" w:right="219"/>
        <w:spacing w:after="0" w:line="243" w:lineRule="auto"/>
        <w:rPr>
          <w:sz w:val="20"/>
          <w:szCs w:val="20"/>
          <w:color w:val="auto"/>
        </w:rPr>
      </w:pPr>
      <w:r>
        <w:rPr>
          <w:rFonts w:ascii="Arial" w:cs="Arial" w:eastAsia="Arial" w:hAnsi="Arial"/>
          <w:sz w:val="22"/>
          <w:szCs w:val="22"/>
          <w:b w:val="1"/>
          <w:bCs w:val="1"/>
          <w:color w:val="auto"/>
        </w:rPr>
        <w:t>WASTE MANAGEMENT, INC. Officers’ Certificate Delivered Pursuant to Section 301 of the Indenture dated as of September 10, 1997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February 15, 2023</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undersigned, the Vice President and Treasurer, and the Vice President and</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Corporate Secretary of Waste Management, Inc. (the “Company”), hereby certify that:</w:t>
      </w:r>
    </w:p>
    <w:p>
      <w:pPr>
        <w:spacing w:after="0" w:line="188" w:lineRule="exact"/>
        <w:rPr>
          <w:sz w:val="20"/>
          <w:szCs w:val="20"/>
          <w:color w:val="auto"/>
        </w:rPr>
      </w:pPr>
    </w:p>
    <w:p>
      <w:pPr>
        <w:jc w:val="both"/>
        <w:ind w:left="200" w:right="219" w:firstLine="1305"/>
        <w:spacing w:after="0" w:line="277" w:lineRule="auto"/>
        <w:tabs>
          <w:tab w:leader="none" w:pos="2144"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February 15, 2023 (the “Order”) for the authentication and delivery by the Trustee of $500,000,000 aggregate principal amount of 4.625% Senior Notes due 2033 (the “Notes”).</w:t>
      </w:r>
    </w:p>
    <w:p>
      <w:pPr>
        <w:spacing w:after="0" w:line="151" w:lineRule="exact"/>
        <w:rPr>
          <w:rFonts w:ascii="Arial" w:cs="Arial" w:eastAsia="Arial" w:hAnsi="Arial"/>
          <w:sz w:val="19"/>
          <w:szCs w:val="19"/>
          <w:color w:val="auto"/>
        </w:rPr>
      </w:pPr>
    </w:p>
    <w:p>
      <w:pPr>
        <w:ind w:left="200" w:right="219" w:firstLine="1305"/>
        <w:spacing w:after="0" w:line="250" w:lineRule="auto"/>
        <w:tabs>
          <w:tab w:leader="none" w:pos="21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undersigned have read Sections 102, 103, 301 and 303 of the Indenture and the definitions in the Indenture relating thereto.</w:t>
      </w:r>
    </w:p>
    <w:p>
      <w:pPr>
        <w:spacing w:after="0" w:line="174" w:lineRule="exact"/>
        <w:rPr>
          <w:rFonts w:ascii="Arial" w:cs="Arial" w:eastAsia="Arial" w:hAnsi="Arial"/>
          <w:sz w:val="22"/>
          <w:szCs w:val="22"/>
          <w:color w:val="auto"/>
        </w:rPr>
      </w:pPr>
    </w:p>
    <w:p>
      <w:pPr>
        <w:jc w:val="both"/>
        <w:ind w:left="200" w:right="239" w:firstLine="1305"/>
        <w:spacing w:after="0" w:line="238" w:lineRule="auto"/>
        <w:tabs>
          <w:tab w:leader="none" w:pos="21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4" w:lineRule="exact"/>
        <w:rPr>
          <w:rFonts w:ascii="Arial" w:cs="Arial" w:eastAsia="Arial" w:hAnsi="Arial"/>
          <w:sz w:val="22"/>
          <w:szCs w:val="22"/>
          <w:color w:val="auto"/>
        </w:rPr>
      </w:pPr>
    </w:p>
    <w:p>
      <w:pPr>
        <w:ind w:left="200" w:right="239" w:firstLine="1305"/>
        <w:spacing w:after="0" w:line="250" w:lineRule="auto"/>
        <w:tabs>
          <w:tab w:leader="none" w:pos="21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undersigned have examined the Order, and they have read the covenants, conditions and provisions of the Indenture relating thereto.</w:t>
      </w:r>
    </w:p>
    <w:p>
      <w:pPr>
        <w:spacing w:after="0" w:line="17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terms of the Notes (including the Form of Note) as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932815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ind w:left="200" w:right="439" w:firstLine="1296"/>
        <w:spacing w:after="0" w:line="251" w:lineRule="auto"/>
        <w:rPr>
          <w:sz w:val="20"/>
          <w:szCs w:val="20"/>
          <w:color w:val="auto"/>
        </w:rPr>
      </w:pPr>
      <w:r>
        <w:rPr>
          <w:rFonts w:ascii="Arial" w:cs="Arial" w:eastAsia="Arial" w:hAnsi="Arial"/>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David L. Reed</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Treasurer</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Courtney A. Tippy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Corporate Secretary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i w:val="1"/>
          <w:iCs w:val="1"/>
          <w:color w:val="auto"/>
        </w:rPr>
        <w:t>Annex 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of the Notes</w:t>
      </w:r>
    </w:p>
    <w:p>
      <w:pPr>
        <w:spacing w:after="0" w:line="215"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Pursuant to authority granted by the Board of Directors of the Company on March 1, 2022 and the Sole Director of Waste Management Holdings, Inc. on February 1,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57" w:lineRule="exact"/>
        <w:rPr>
          <w:sz w:val="20"/>
          <w:szCs w:val="20"/>
          <w:color w:val="auto"/>
        </w:rPr>
      </w:pPr>
    </w:p>
    <w:p>
      <w:pPr>
        <w:ind w:left="860" w:hanging="651"/>
        <w:spacing w:after="0"/>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title of the series of Securities shall be “4.625% Senior Notes due 2033” (the “Notes”).</w:t>
      </w:r>
    </w:p>
    <w:p>
      <w:pPr>
        <w:spacing w:after="0" w:line="240" w:lineRule="exact"/>
        <w:rPr>
          <w:rFonts w:ascii="Arial" w:cs="Arial" w:eastAsia="Arial" w:hAnsi="Arial"/>
          <w:sz w:val="19"/>
          <w:szCs w:val="19"/>
          <w:color w:val="auto"/>
        </w:rPr>
      </w:pPr>
    </w:p>
    <w:p>
      <w:pPr>
        <w:ind w:left="860" w:hanging="651"/>
        <w:spacing w:after="0"/>
        <w:tabs>
          <w:tab w:leader="none" w:pos="8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Notes shall be general unsecured, senior obligations of the Company.</w:t>
      </w:r>
    </w:p>
    <w:p>
      <w:pPr>
        <w:spacing w:after="0" w:line="206" w:lineRule="exact"/>
        <w:rPr>
          <w:rFonts w:ascii="Arial" w:cs="Arial" w:eastAsia="Arial" w:hAnsi="Arial"/>
          <w:sz w:val="22"/>
          <w:szCs w:val="22"/>
          <w:color w:val="auto"/>
        </w:rPr>
      </w:pPr>
    </w:p>
    <w:p>
      <w:pPr>
        <w:jc w:val="both"/>
        <w:ind w:left="860" w:right="219" w:hanging="651"/>
        <w:spacing w:after="0" w:line="246" w:lineRule="auto"/>
        <w:tabs>
          <w:tab w:leader="none" w:pos="8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4" w:lineRule="exact"/>
        <w:rPr>
          <w:rFonts w:ascii="Arial" w:cs="Arial" w:eastAsia="Arial" w:hAnsi="Arial"/>
          <w:sz w:val="21"/>
          <w:szCs w:val="21"/>
          <w:color w:val="auto"/>
        </w:rPr>
      </w:pPr>
    </w:p>
    <w:p>
      <w:pPr>
        <w:ind w:left="860" w:hanging="651"/>
        <w:spacing w:after="0"/>
        <w:tabs>
          <w:tab w:leader="none" w:pos="8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principal amount of each Note shall be payable on February 15, 2033.</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Each Note shall bear interest from February 15, 2023 at the fixed rate of 4.625% per annum; the Interest Payment Dates on which such interest shall be payable shall be February 15 and August 15 of each year, commencing August 15, 2023,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51" w:lineRule="exact"/>
        <w:rPr>
          <w:rFonts w:ascii="Arial" w:cs="Arial" w:eastAsia="Arial" w:hAnsi="Arial"/>
          <w:sz w:val="19"/>
          <w:szCs w:val="19"/>
          <w:color w:val="auto"/>
        </w:rPr>
      </w:pPr>
    </w:p>
    <w:p>
      <w:pPr>
        <w:jc w:val="both"/>
        <w:ind w:left="860" w:right="219" w:hanging="651"/>
        <w:spacing w:after="0" w:line="287" w:lineRule="auto"/>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42" w:lineRule="exact"/>
        <w:rPr>
          <w:rFonts w:ascii="Arial" w:cs="Arial" w:eastAsia="Arial" w:hAnsi="Arial"/>
          <w:sz w:val="19"/>
          <w:szCs w:val="19"/>
          <w:color w:val="auto"/>
        </w:rPr>
      </w:pPr>
    </w:p>
    <w:p>
      <w:pPr>
        <w:jc w:val="both"/>
        <w:ind w:left="860" w:right="219" w:hanging="651"/>
        <w:spacing w:after="0" w:line="235" w:lineRule="auto"/>
        <w:tabs>
          <w:tab w:leader="none" w:pos="8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7" w:lineRule="exact"/>
        <w:rPr>
          <w:rFonts w:ascii="Arial" w:cs="Arial" w:eastAsia="Arial" w:hAnsi="Arial"/>
          <w:sz w:val="22"/>
          <w:szCs w:val="22"/>
          <w:color w:val="auto"/>
        </w:rPr>
      </w:pPr>
    </w:p>
    <w:p>
      <w:pPr>
        <w:jc w:val="both"/>
        <w:ind w:left="860" w:right="239" w:hanging="651"/>
        <w:spacing w:after="0"/>
        <w:tabs>
          <w:tab w:leader="none" w:pos="8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Payments of principal of, premium, if any, and interest due on the Notes representing Book-Entry Notes on any Interest Payment Date or at maturity will be made available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jc w:val="both"/>
        <w:ind w:left="860" w:right="219"/>
        <w:spacing w:after="0" w:line="287" w:lineRule="auto"/>
        <w:rPr>
          <w:sz w:val="20"/>
          <w:szCs w:val="20"/>
          <w:color w:val="auto"/>
        </w:rPr>
      </w:pPr>
      <w:r>
        <w:rPr>
          <w:rFonts w:ascii="Arial" w:cs="Arial" w:eastAsia="Arial" w:hAnsi="Arial"/>
          <w:sz w:val="19"/>
          <w:szCs w:val="19"/>
          <w:color w:val="auto"/>
        </w:rPr>
        <w:t>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43" w:lineRule="exact"/>
        <w:rPr>
          <w:sz w:val="20"/>
          <w:szCs w:val="20"/>
          <w:color w:val="auto"/>
        </w:rPr>
      </w:pPr>
    </w:p>
    <w:p>
      <w:pPr>
        <w:jc w:val="both"/>
        <w:ind w:left="860" w:right="239" w:hanging="651"/>
        <w:spacing w:after="0" w:line="297" w:lineRule="auto"/>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3" w:lineRule="exact"/>
        <w:rPr>
          <w:rFonts w:ascii="Arial" w:cs="Arial" w:eastAsia="Arial" w:hAnsi="Arial"/>
          <w:sz w:val="19"/>
          <w:szCs w:val="19"/>
          <w:color w:val="auto"/>
        </w:rPr>
      </w:pPr>
    </w:p>
    <w:p>
      <w:pPr>
        <w:jc w:val="both"/>
        <w:ind w:left="1500" w:right="219" w:firstLine="5"/>
        <w:spacing w:after="0" w:line="282" w:lineRule="auto"/>
        <w:tabs>
          <w:tab w:leader="none" w:pos="1857" w:val="left"/>
        </w:tabs>
        <w:numPr>
          <w:ilvl w:val="1"/>
          <w:numId w:val="57"/>
        </w:numPr>
        <w:rPr>
          <w:rFonts w:ascii="Arial" w:cs="Arial" w:eastAsia="Arial" w:hAnsi="Arial"/>
          <w:sz w:val="19"/>
          <w:szCs w:val="19"/>
          <w:color w:val="auto"/>
        </w:rPr>
      </w:pPr>
      <w:r>
        <w:rPr>
          <w:rFonts w:ascii="Arial" w:cs="Arial" w:eastAsia="Arial" w:hAnsi="Arial"/>
          <w:sz w:val="19"/>
          <w:szCs w:val="19"/>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47" w:lineRule="exact"/>
        <w:rPr>
          <w:rFonts w:ascii="Arial" w:cs="Arial" w:eastAsia="Arial" w:hAnsi="Arial"/>
          <w:sz w:val="19"/>
          <w:szCs w:val="19"/>
          <w:color w:val="auto"/>
        </w:rPr>
      </w:pPr>
    </w:p>
    <w:p>
      <w:pPr>
        <w:ind w:left="1820" w:hanging="315"/>
        <w:spacing w:after="0"/>
        <w:tabs>
          <w:tab w:leader="none" w:pos="1820" w:val="left"/>
        </w:tabs>
        <w:numPr>
          <w:ilvl w:val="1"/>
          <w:numId w:val="57"/>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6" w:lineRule="exact"/>
        <w:rPr>
          <w:sz w:val="20"/>
          <w:szCs w:val="20"/>
          <w:color w:val="auto"/>
        </w:rPr>
      </w:pPr>
    </w:p>
    <w:p>
      <w:pPr>
        <w:jc w:val="both"/>
        <w:ind w:left="860" w:right="219"/>
        <w:spacing w:after="0" w:line="238" w:lineRule="auto"/>
        <w:rPr>
          <w:sz w:val="20"/>
          <w:szCs w:val="20"/>
          <w:color w:val="auto"/>
        </w:rPr>
      </w:pPr>
      <w:r>
        <w:rPr>
          <w:rFonts w:ascii="Arial" w:cs="Arial" w:eastAsia="Arial" w:hAnsi="Arial"/>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“Par Call Date” means November 15, 2032.</w:t>
      </w:r>
    </w:p>
    <w:p>
      <w:pPr>
        <w:spacing w:after="0" w:line="206" w:lineRule="exact"/>
        <w:rPr>
          <w:sz w:val="20"/>
          <w:szCs w:val="20"/>
          <w:color w:val="auto"/>
        </w:rPr>
      </w:pPr>
    </w:p>
    <w:p>
      <w:pPr>
        <w:jc w:val="both"/>
        <w:ind w:left="860" w:right="239" w:hanging="651"/>
        <w:spacing w:after="0"/>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shall have no obligation to redeem, purchase or repay the Notes pursuant to any mandatory redemption, sinking fund or analogous provisions or at the option of a Holder thereof.</w:t>
      </w:r>
    </w:p>
    <w:p>
      <w:pPr>
        <w:spacing w:after="0" w:line="186" w:lineRule="exact"/>
        <w:rPr>
          <w:rFonts w:ascii="Arial" w:cs="Arial" w:eastAsia="Arial" w:hAnsi="Arial"/>
          <w:sz w:val="22"/>
          <w:szCs w:val="22"/>
          <w:color w:val="auto"/>
        </w:rPr>
      </w:pPr>
    </w:p>
    <w:p>
      <w:pPr>
        <w:ind w:left="860" w:right="239" w:hanging="651"/>
        <w:spacing w:after="0" w:line="328"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Notes will be subject to defeasance and discharge as contemplated by Section 1302 of the Indenture and to covenant defeasance under Section 1303 of the Indenture.</w:t>
      </w:r>
    </w:p>
    <w:p>
      <w:pPr>
        <w:spacing w:after="0" w:line="104" w:lineRule="exact"/>
        <w:rPr>
          <w:rFonts w:ascii="Arial" w:cs="Arial" w:eastAsia="Arial" w:hAnsi="Arial"/>
          <w:sz w:val="19"/>
          <w:szCs w:val="19"/>
          <w:color w:val="auto"/>
        </w:rPr>
      </w:pPr>
    </w:p>
    <w:p>
      <w:pPr>
        <w:ind w:left="860" w:right="219" w:hanging="651"/>
        <w:spacing w:after="0" w:line="250"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Notes shall be entitled to the benefit of the covenants contained in Sections 1008 and 1009 of the Indenture.</w:t>
      </w:r>
    </w:p>
    <w:p>
      <w:pPr>
        <w:spacing w:after="0" w:line="174" w:lineRule="exact"/>
        <w:rPr>
          <w:rFonts w:ascii="Arial" w:cs="Arial" w:eastAsia="Arial" w:hAnsi="Arial"/>
          <w:sz w:val="22"/>
          <w:szCs w:val="22"/>
          <w:color w:val="auto"/>
        </w:rPr>
      </w:pPr>
    </w:p>
    <w:p>
      <w:pPr>
        <w:ind w:left="860" w:right="239" w:hanging="651"/>
        <w:spacing w:after="0" w:line="250" w:lineRule="auto"/>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Bank of New York Mellon Trust Company, N.A. shall serve initially as Security Registrar for the Notes.</w:t>
      </w:r>
    </w:p>
    <w:p>
      <w:pPr>
        <w:spacing w:after="0" w:line="174" w:lineRule="exact"/>
        <w:rPr>
          <w:rFonts w:ascii="Arial" w:cs="Arial" w:eastAsia="Arial" w:hAnsi="Arial"/>
          <w:sz w:val="22"/>
          <w:szCs w:val="22"/>
          <w:color w:val="auto"/>
        </w:rPr>
      </w:pPr>
    </w:p>
    <w:p>
      <w:pPr>
        <w:ind w:left="860" w:hanging="651"/>
        <w:spacing w:after="0"/>
        <w:tabs>
          <w:tab w:leader="none" w:pos="8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Notes shall be substantially in the form of Exhibit A hereto.</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Notes will be fully and unconditionally guaranteed on a senior basis by the Company’s wholly owned subsidiary, Waste Management Holdings, Inc., pursuant to the terms and conditions of a Guarantee Agreement dated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547370</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jc w:val="both"/>
        <w:ind w:left="860" w:right="219" w:hanging="651"/>
        <w:spacing w:after="0" w:line="258" w:lineRule="auto"/>
        <w:tabs>
          <w:tab w:leader="none" w:pos="8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1431290</wp:posOffset>
            </wp:positionV>
            <wp:extent cx="54521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2"/>
          <w:szCs w:val="22"/>
          <w:color w:val="auto"/>
        </w:rPr>
        <w:t>BOOK-ENTRY SECURITY</w:t>
      </w:r>
    </w:p>
    <w:p>
      <w:pPr>
        <w:spacing w:after="0" w:line="207"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1"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5820" w:type="dxa"/>
            <w:vAlign w:val="bottom"/>
          </w:tcPr>
          <w:p>
            <w:pPr>
              <w:spacing w:after="0"/>
              <w:rPr>
                <w:sz w:val="20"/>
                <w:szCs w:val="20"/>
                <w:color w:val="auto"/>
              </w:rPr>
            </w:pPr>
            <w:r>
              <w:rPr>
                <w:rFonts w:ascii="Arial" w:cs="Arial" w:eastAsia="Arial" w:hAnsi="Arial"/>
                <w:sz w:val="22"/>
                <w:szCs w:val="22"/>
                <w:color w:val="auto"/>
              </w:rPr>
              <w:t>RGN</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Principal Amount</w:t>
            </w:r>
          </w:p>
        </w:tc>
        <w:tc>
          <w:tcPr>
            <w:tcW w:w="0" w:type="dxa"/>
            <w:vAlign w:val="bottom"/>
          </w:tcPr>
          <w:p>
            <w:pPr>
              <w:spacing w:after="0"/>
              <w:rPr>
                <w:sz w:val="1"/>
                <w:szCs w:val="1"/>
                <w:color w:val="auto"/>
              </w:rPr>
            </w:pPr>
          </w:p>
        </w:tc>
      </w:tr>
      <w:tr>
        <w:trPr>
          <w:trHeight w:val="428"/>
        </w:trPr>
        <w:tc>
          <w:tcPr>
            <w:tcW w:w="5820" w:type="dxa"/>
            <w:vAlign w:val="bottom"/>
          </w:tcPr>
          <w:p>
            <w:pPr>
              <w:spacing w:after="0"/>
              <w:rPr>
                <w:sz w:val="24"/>
                <w:szCs w:val="24"/>
                <w:color w:val="auto"/>
              </w:rPr>
            </w:pPr>
          </w:p>
        </w:tc>
        <w:tc>
          <w:tcPr>
            <w:tcW w:w="1960" w:type="dxa"/>
            <w:vAlign w:val="bottom"/>
          </w:tcPr>
          <w:p>
            <w:pPr>
              <w:ind w:left="900"/>
              <w:spacing w:after="0"/>
              <w:rPr>
                <w:sz w:val="20"/>
                <w:szCs w:val="20"/>
                <w:color w:val="auto"/>
              </w:rPr>
            </w:pPr>
            <w:r>
              <w:rPr>
                <w:rFonts w:ascii="Arial" w:cs="Arial" w:eastAsia="Arial" w:hAnsi="Arial"/>
                <w:sz w:val="22"/>
                <w:szCs w:val="22"/>
                <w:color w:val="auto"/>
              </w:rPr>
              <w:t>U.S. $</w:t>
            </w:r>
          </w:p>
        </w:tc>
        <w:tc>
          <w:tcPr>
            <w:tcW w:w="6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which may be decreased</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by the Schedule of</w:t>
            </w:r>
          </w:p>
        </w:tc>
        <w:tc>
          <w:tcPr>
            <w:tcW w:w="0" w:type="dxa"/>
            <w:vAlign w:val="bottom"/>
          </w:tcPr>
          <w:p>
            <w:pPr>
              <w:spacing w:after="0"/>
              <w:rPr>
                <w:sz w:val="1"/>
                <w:szCs w:val="1"/>
                <w:color w:val="auto"/>
              </w:rPr>
            </w:pPr>
          </w:p>
        </w:tc>
      </w:tr>
      <w:tr>
        <w:trPr>
          <w:trHeight w:val="243"/>
        </w:trPr>
        <w:tc>
          <w:tcPr>
            <w:tcW w:w="5820" w:type="dxa"/>
            <w:vAlign w:val="bottom"/>
            <w:vMerge w:val="restart"/>
          </w:tcPr>
          <w:p>
            <w:pPr>
              <w:ind w:left="2540"/>
              <w:spacing w:after="0"/>
              <w:rPr>
                <w:sz w:val="20"/>
                <w:szCs w:val="20"/>
                <w:color w:val="auto"/>
              </w:rPr>
            </w:pPr>
            <w:r>
              <w:rPr>
                <w:rFonts w:ascii="Arial" w:cs="Arial" w:eastAsia="Arial" w:hAnsi="Arial"/>
                <w:sz w:val="22"/>
                <w:szCs w:val="22"/>
                <w:color w:val="auto"/>
              </w:rPr>
              <w:t>WASTE MANAGEMENT, INC.</w:t>
            </w: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Exchanges of Definitive</w:t>
            </w:r>
          </w:p>
        </w:tc>
        <w:tc>
          <w:tcPr>
            <w:tcW w:w="0" w:type="dxa"/>
            <w:vAlign w:val="bottom"/>
          </w:tcPr>
          <w:p>
            <w:pPr>
              <w:spacing w:after="0"/>
              <w:rPr>
                <w:sz w:val="1"/>
                <w:szCs w:val="1"/>
                <w:color w:val="auto"/>
              </w:rPr>
            </w:pPr>
          </w:p>
        </w:tc>
      </w:tr>
      <w:tr>
        <w:trPr>
          <w:trHeight w:val="274"/>
        </w:trPr>
        <w:tc>
          <w:tcPr>
            <w:tcW w:w="5820" w:type="dxa"/>
            <w:vAlign w:val="bottom"/>
            <w:vMerge w:val="continue"/>
          </w:tcPr>
          <w:p>
            <w:pPr>
              <w:spacing w:after="0"/>
              <w:rPr>
                <w:sz w:val="23"/>
                <w:szCs w:val="23"/>
                <w:color w:val="auto"/>
              </w:rPr>
            </w:pP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Security attached hereto</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4.625% SENIOR NOTES DUE 2033</w:t>
      </w:r>
    </w:p>
    <w:p>
      <w:pPr>
        <w:spacing w:after="0" w:line="206" w:lineRule="exact"/>
        <w:rPr>
          <w:sz w:val="20"/>
          <w:szCs w:val="20"/>
          <w:color w:val="auto"/>
        </w:rPr>
      </w:pPr>
    </w:p>
    <w:p>
      <w:pPr>
        <w:ind w:left="6900"/>
        <w:spacing w:after="0"/>
        <w:rPr>
          <w:sz w:val="20"/>
          <w:szCs w:val="20"/>
          <w:color w:val="auto"/>
        </w:rPr>
      </w:pPr>
      <w:r>
        <w:rPr>
          <w:rFonts w:ascii="Arial" w:cs="Arial" w:eastAsia="Arial" w:hAnsi="Arial"/>
          <w:sz w:val="21"/>
          <w:szCs w:val="21"/>
          <w:color w:val="auto"/>
        </w:rPr>
        <w:t>CUSIP 94106L BU2</w:t>
      </w:r>
    </w:p>
    <w:p>
      <w:pPr>
        <w:spacing w:after="0" w:line="218"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1"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principal sum of Million ($ ) U.S. dollars, or such lesser principal sum as is shown on the attached Schedule of Exchanges of Definitive Security, on February 15, 2033 in such coin or currency of the United States of America as at the time of payment shall be legal tender for the payment of public and private debts, and to pay interest at an annual rate of 4.625% payable on February 15 and August 15 of each year, to the person in whose name this Security is registered at the close of business on the record date for such interest, which shall be the preceding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471170</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6" w:name="page67"/>
    <w:bookmarkEnd w:id="66"/>
    <w:p>
      <w:pPr>
        <w:jc w:val="both"/>
        <w:ind w:left="200" w:right="219"/>
        <w:spacing w:after="0" w:line="274" w:lineRule="auto"/>
        <w:rPr>
          <w:sz w:val="20"/>
          <w:szCs w:val="20"/>
          <w:color w:val="auto"/>
        </w:rPr>
      </w:pPr>
      <w:r>
        <w:rPr>
          <w:rFonts w:ascii="Arial" w:cs="Arial" w:eastAsia="Arial" w:hAnsi="Arial"/>
          <w:sz w:val="21"/>
          <w:szCs w:val="21"/>
          <w:color w:val="auto"/>
        </w:rPr>
        <w:t>1 or August 1, respectively, payable commencing August 15, 2023, with interest accruing from February 15, 2023, or the most recent date to which interest has been paid.</w:t>
      </w:r>
    </w:p>
    <w:p>
      <w:pPr>
        <w:spacing w:after="0" w:line="151"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86"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6"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9"/>
          <w:szCs w:val="19"/>
          <w:color w:val="auto"/>
        </w:rPr>
        <w:t>This Security is issued in respect of a series of Securities of an initial aggregate of U.S. $500,000,000 in principal amount designated as the 4.625% Senior Notes due 2033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58"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5"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7" w:name="page68"/>
    <w:bookmarkEnd w:id="67"/>
    <w:p>
      <w:pPr>
        <w:ind w:left="200" w:right="239" w:firstLine="667"/>
        <w:spacing w:after="0" w:line="329" w:lineRule="auto"/>
        <w:rPr>
          <w:sz w:val="20"/>
          <w:szCs w:val="20"/>
          <w:color w:val="auto"/>
        </w:rPr>
      </w:pPr>
      <w:r>
        <w:rPr>
          <w:rFonts w:ascii="Arial" w:cs="Arial" w:eastAsia="Arial" w:hAnsi="Arial"/>
          <w:sz w:val="19"/>
          <w:szCs w:val="19"/>
          <w:color w:val="auto"/>
        </w:rPr>
        <w:t>This Security shall not be valid or become obligatory for any purpose until the Certificate of Authentication hereon shall have been manually signed by the Trustee under the Indenture.</w:t>
      </w:r>
    </w:p>
    <w:p>
      <w:pPr>
        <w:spacing w:after="0" w:line="104"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IN WITNESS WHEREOF, the Company has caused this instrument to be duly executed under its corporate seal.</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color w:val="auto"/>
              </w:rPr>
              <w:t>Dated:</w:t>
            </w: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WASTE MANAGEMENT, INC.,</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 Delaware corporation</w:t>
            </w:r>
          </w:p>
        </w:tc>
      </w:tr>
      <w:tr>
        <w:trPr>
          <w:trHeight w:val="435"/>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David L. Reed</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2380"/>
              <w:spacing w:after="0"/>
              <w:rPr>
                <w:sz w:val="20"/>
                <w:szCs w:val="20"/>
                <w:color w:val="auto"/>
              </w:rPr>
            </w:pPr>
            <w:r>
              <w:rPr>
                <w:rFonts w:ascii="Arial" w:cs="Arial" w:eastAsia="Arial" w:hAnsi="Arial"/>
                <w:sz w:val="22"/>
                <w:szCs w:val="22"/>
                <w:color w:val="auto"/>
              </w:rPr>
              <w:t>Vice President and Treasurer</w:t>
            </w:r>
          </w:p>
        </w:tc>
      </w:tr>
      <w:tr>
        <w:trPr>
          <w:trHeight w:val="72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Attest:</w:t>
            </w:r>
          </w:p>
        </w:tc>
      </w:tr>
      <w:tr>
        <w:trPr>
          <w:trHeight w:val="436"/>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Arial" w:cs="Arial" w:eastAsia="Arial" w:hAnsi="Arial"/>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Courtney A. Tippy</w:t>
            </w:r>
          </w:p>
        </w:tc>
      </w:tr>
      <w:tr>
        <w:trPr>
          <w:trHeight w:val="274"/>
        </w:trPr>
        <w:tc>
          <w:tcPr>
            <w:tcW w:w="2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420" w:type="dxa"/>
            <w:vAlign w:val="bottom"/>
            <w:gridSpan w:val="4"/>
          </w:tcPr>
          <w:p>
            <w:pPr>
              <w:spacing w:after="0"/>
              <w:rPr>
                <w:sz w:val="20"/>
                <w:szCs w:val="20"/>
                <w:color w:val="auto"/>
              </w:rPr>
            </w:pPr>
            <w:r>
              <w:rPr>
                <w:rFonts w:ascii="Arial" w:cs="Arial" w:eastAsia="Arial" w:hAnsi="Arial"/>
                <w:sz w:val="22"/>
                <w:szCs w:val="22"/>
                <w:color w:val="auto"/>
                <w:w w:val="87"/>
              </w:rPr>
              <w:t>Vice President and Corporate Secretary</w:t>
            </w:r>
          </w:p>
        </w:tc>
      </w:tr>
    </w:tbl>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CERTIFICATE OF 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20" w:type="dxa"/>
            <w:vAlign w:val="bottom"/>
          </w:tcPr>
          <w:p>
            <w:pPr>
              <w:ind w:left="80"/>
              <w:spacing w:after="0"/>
              <w:rPr>
                <w:sz w:val="20"/>
                <w:szCs w:val="20"/>
                <w:color w:val="auto"/>
              </w:rPr>
            </w:pPr>
            <w:r>
              <w:rPr>
                <w:rFonts w:ascii="Arial" w:cs="Arial" w:eastAsia="Arial" w:hAnsi="Arial"/>
                <w:sz w:val="22"/>
                <w:szCs w:val="22"/>
                <w:color w:val="auto"/>
              </w:rPr>
              <w:t>Date of Authentication:</w:t>
            </w: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w w:val="93"/>
              </w:rPr>
              <w:t>The Bank of New York Mellon Trust Company,</w:t>
            </w:r>
          </w:p>
        </w:tc>
      </w:tr>
      <w:tr>
        <w:trPr>
          <w:trHeight w:val="274"/>
        </w:trPr>
        <w:tc>
          <w:tcPr>
            <w:tcW w:w="3220" w:type="dxa"/>
            <w:vAlign w:val="bottom"/>
          </w:tcPr>
          <w:p>
            <w:pPr>
              <w:spacing w:after="0"/>
              <w:rPr>
                <w:sz w:val="23"/>
                <w:szCs w:val="23"/>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N.A., as Trustee</w:t>
            </w:r>
          </w:p>
        </w:tc>
      </w:tr>
      <w:tr>
        <w:trPr>
          <w:trHeight w:val="435"/>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By: ​</w:t>
            </w:r>
          </w:p>
        </w:tc>
      </w:tr>
      <w:tr>
        <w:trPr>
          <w:trHeight w:val="273"/>
        </w:trPr>
        <w:tc>
          <w:tcPr>
            <w:tcW w:w="3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52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Authorized Officer</w:t>
            </w:r>
          </w:p>
        </w:tc>
        <w:tc>
          <w:tcPr>
            <w:tcW w:w="320" w:type="dxa"/>
            <w:vAlign w:val="bottom"/>
          </w:tcPr>
          <w:p>
            <w:pPr>
              <w:spacing w:after="0"/>
              <w:rPr>
                <w:sz w:val="23"/>
                <w:szCs w:val="23"/>
                <w:color w:val="auto"/>
              </w:rPr>
            </w:pPr>
          </w:p>
        </w:tc>
      </w:tr>
      <w:tr>
        <w:trPr>
          <w:trHeight w:val="1495"/>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2"/>
          <w:szCs w:val="22"/>
          <w:color w:val="auto"/>
        </w:rPr>
        <w:t>REVERSE OF BOOK-ENTRY SECURITY</w:t>
      </w:r>
    </w:p>
    <w:p>
      <w:pPr>
        <w:spacing w:after="0" w:line="23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4.625% SENIOR NOTES DUE 2033</w:t>
      </w:r>
    </w:p>
    <w:p>
      <w:pPr>
        <w:spacing w:after="0" w:line="233"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4.625% Senior Notes due 2033 of the Company, in initial aggregate principal amount of $500,000,000 (the “Securities”).</w:t>
      </w:r>
    </w:p>
    <w:p>
      <w:pPr>
        <w:spacing w:after="0" w:line="188" w:lineRule="exact"/>
        <w:rPr>
          <w:sz w:val="20"/>
          <w:szCs w:val="20"/>
          <w:color w:val="auto"/>
        </w:rPr>
      </w:pPr>
    </w:p>
    <w:p>
      <w:pPr>
        <w:ind w:left="1500" w:hanging="643"/>
        <w:spacing w:after="0"/>
        <w:tabs>
          <w:tab w:leader="none" w:pos="1500" w:val="left"/>
        </w:tabs>
        <w:numPr>
          <w:ilvl w:val="0"/>
          <w:numId w:val="60"/>
        </w:numPr>
        <w:rPr>
          <w:rFonts w:ascii="Arial" w:cs="Arial" w:eastAsia="Arial" w:hAnsi="Arial"/>
          <w:sz w:val="22"/>
          <w:szCs w:val="22"/>
          <w:color w:val="auto"/>
        </w:rPr>
      </w:pPr>
      <w:r>
        <w:rPr>
          <w:rFonts w:ascii="Arial" w:cs="Arial" w:eastAsia="Arial" w:hAnsi="Arial"/>
          <w:sz w:val="22"/>
          <w:szCs w:val="22"/>
          <w:i w:val="1"/>
          <w:iCs w:val="1"/>
          <w:color w:val="auto"/>
        </w:rPr>
        <w:t>Interest.</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Company promises to pay interest on the principal amount of this Security at the rate of 4.625% per annum.</w:t>
      </w:r>
    </w:p>
    <w:p>
      <w:pPr>
        <w:spacing w:after="0" w:line="175"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The Company will pay interest semi-annually on February 15 and August 15 of each year (each an “Interest Payment Date”), commencing August 15, 2023. Interest on the Securities will accrue from the most recent date to which interest has been paid or, if no interest has been paid on the Securities, from February 15,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4.625% per annum, in each case to the extent lawful.</w:t>
      </w:r>
    </w:p>
    <w:p>
      <w:pPr>
        <w:spacing w:after="0" w:line="193" w:lineRule="exact"/>
        <w:rPr>
          <w:sz w:val="20"/>
          <w:szCs w:val="20"/>
          <w:color w:val="auto"/>
        </w:rPr>
      </w:pPr>
    </w:p>
    <w:p>
      <w:pPr>
        <w:ind w:left="1500" w:hanging="643"/>
        <w:spacing w:after="0"/>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Method of Payment.</w:t>
      </w:r>
    </w:p>
    <w:p>
      <w:pPr>
        <w:spacing w:after="0" w:line="206" w:lineRule="exact"/>
        <w:rPr>
          <w:sz w:val="20"/>
          <w:szCs w:val="20"/>
          <w:color w:val="auto"/>
        </w:rPr>
      </w:pPr>
    </w:p>
    <w:p>
      <w:pPr>
        <w:jc w:val="both"/>
        <w:ind w:left="200" w:right="219" w:firstLine="667"/>
        <w:spacing w:after="0" w:line="272" w:lineRule="auto"/>
        <w:rPr>
          <w:sz w:val="20"/>
          <w:szCs w:val="20"/>
          <w:color w:val="auto"/>
        </w:rPr>
      </w:pPr>
      <w:r>
        <w:rPr>
          <w:rFonts w:ascii="Arial" w:cs="Arial" w:eastAsia="Arial" w:hAnsi="Arial"/>
          <w:sz w:val="19"/>
          <w:szCs w:val="19"/>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jc w:val="both"/>
        <w:ind w:left="200" w:right="219"/>
        <w:spacing w:after="0" w:line="247" w:lineRule="auto"/>
        <w:rPr>
          <w:sz w:val="20"/>
          <w:szCs w:val="20"/>
          <w:color w:val="auto"/>
        </w:rPr>
      </w:pPr>
      <w:r>
        <w:rPr>
          <w:rFonts w:ascii="Arial" w:cs="Arial" w:eastAsia="Arial" w:hAnsi="Arial"/>
          <w:sz w:val="21"/>
          <w:szCs w:val="21"/>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8" w:lineRule="exact"/>
        <w:rPr>
          <w:sz w:val="20"/>
          <w:szCs w:val="20"/>
          <w:color w:val="auto"/>
        </w:rPr>
      </w:pPr>
    </w:p>
    <w:p>
      <w:pPr>
        <w:ind w:left="1500" w:hanging="64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p>
    <w:p>
      <w:pPr>
        <w:spacing w:after="0" w:line="206"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43" w:lineRule="exact"/>
        <w:rPr>
          <w:sz w:val="20"/>
          <w:szCs w:val="20"/>
          <w:color w:val="auto"/>
        </w:rPr>
      </w:pPr>
    </w:p>
    <w:p>
      <w:pPr>
        <w:ind w:left="1500" w:hanging="643"/>
        <w:spacing w:after="0"/>
        <w:tabs>
          <w:tab w:leader="none" w:pos="1500"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Indenture.</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This Security is one of a duly authorized issue of Debt Securities of the Company issued and to be issued in one or more series under the Indenture.</w:t>
      </w:r>
    </w:p>
    <w:p>
      <w:pPr>
        <w:spacing w:after="0" w:line="175"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February 1,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155" w:lineRule="exact"/>
        <w:rPr>
          <w:sz w:val="20"/>
          <w:szCs w:val="20"/>
          <w:color w:val="auto"/>
        </w:rPr>
      </w:pPr>
    </w:p>
    <w:p>
      <w:pPr>
        <w:ind w:left="1500" w:hanging="643"/>
        <w:spacing w:after="0"/>
        <w:tabs>
          <w:tab w:leader="none" w:pos="150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Redemption.</w:t>
      </w:r>
    </w:p>
    <w:p>
      <w:pPr>
        <w:spacing w:after="0" w:line="206"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69" w:lineRule="exact"/>
        <w:rPr>
          <w:sz w:val="20"/>
          <w:szCs w:val="20"/>
          <w:color w:val="auto"/>
        </w:rPr>
      </w:pPr>
    </w:p>
    <w:p>
      <w:pPr>
        <w:jc w:val="both"/>
        <w:ind w:left="860" w:right="219" w:firstLine="15"/>
        <w:spacing w:after="0" w:line="236" w:lineRule="auto"/>
        <w:tabs>
          <w:tab w:leader="none" w:pos="1192"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87" w:lineRule="exact"/>
        <w:rPr>
          <w:rFonts w:ascii="Arial" w:cs="Arial" w:eastAsia="Arial" w:hAnsi="Arial"/>
          <w:sz w:val="22"/>
          <w:szCs w:val="22"/>
          <w:color w:val="auto"/>
        </w:rPr>
      </w:pPr>
    </w:p>
    <w:p>
      <w:pPr>
        <w:ind w:left="1180" w:hanging="305"/>
        <w:spacing w:after="0"/>
        <w:tabs>
          <w:tab w:leader="none" w:pos="11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100% of the principal amount of the Securities to be redeemed,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0" w:name="page71"/>
    <w:bookmarkEnd w:id="70"/>
    <w:p>
      <w:pPr>
        <w:jc w:val="both"/>
        <w:ind w:left="200" w:right="219" w:firstLine="667"/>
        <w:spacing w:after="0" w:line="238" w:lineRule="auto"/>
        <w:rPr>
          <w:sz w:val="20"/>
          <w:szCs w:val="20"/>
          <w:color w:val="auto"/>
        </w:rPr>
      </w:pPr>
      <w:r>
        <w:rPr>
          <w:rFonts w:ascii="Arial" w:cs="Arial" w:eastAsia="Arial" w:hAnsi="Arial"/>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“Par Call Date” means November 15, 2032.</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“Treasury Rate” means, with respect to any Redemption Date, the yield determined by the Company in accordance with the following two paragraphs.</w:t>
      </w:r>
    </w:p>
    <w:p>
      <w:pPr>
        <w:spacing w:after="0" w:line="175"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9"/>
          <w:szCs w:val="19"/>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0"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473075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jc w:val="both"/>
        <w:ind w:left="200" w:right="219"/>
        <w:spacing w:after="0"/>
        <w:rPr>
          <w:sz w:val="20"/>
          <w:szCs w:val="20"/>
          <w:color w:val="auto"/>
        </w:rPr>
      </w:pPr>
      <w:r>
        <w:rPr>
          <w:rFonts w:ascii="Arial" w:cs="Arial" w:eastAsia="Arial" w:hAnsi="Arial"/>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87"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7"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64"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Except as set forth above, the Securities will not be redeemable prior to their Stated Maturity and will not be entitled to the benefit of any sinking fund.</w:t>
      </w:r>
    </w:p>
    <w:p>
      <w:pPr>
        <w:spacing w:after="0" w:line="175"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Securities may be redeemed in part in a minimum principal amount of $2,000, or any integral multiple of $1,000 in excess thereof.</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such redemption will also comply with Article Eleven of the Indenture.</w:t>
      </w:r>
    </w:p>
    <w:p>
      <w:pPr>
        <w:spacing w:after="0" w:line="206" w:lineRule="exact"/>
        <w:rPr>
          <w:sz w:val="20"/>
          <w:szCs w:val="20"/>
          <w:color w:val="auto"/>
        </w:rPr>
      </w:pPr>
    </w:p>
    <w:p>
      <w:pPr>
        <w:ind w:left="1500" w:hanging="643"/>
        <w:spacing w:after="0"/>
        <w:tabs>
          <w:tab w:leader="none" w:pos="1500"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Change of Control Offer.</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11"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440055</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jc w:val="both"/>
        <w:ind w:left="200" w:right="219"/>
        <w:spacing w:after="0" w:line="246" w:lineRule="auto"/>
        <w:rPr>
          <w:sz w:val="20"/>
          <w:szCs w:val="20"/>
          <w:color w:val="auto"/>
        </w:rPr>
      </w:pPr>
      <w:r>
        <w:rPr>
          <w:rFonts w:ascii="Arial" w:cs="Arial" w:eastAsia="Arial" w:hAnsi="Arial"/>
          <w:sz w:val="21"/>
          <w:szCs w:val="21"/>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Upon the Change of Control Payment Date, the Company shall, to the extent lawful:</w:t>
      </w:r>
    </w:p>
    <w:p>
      <w:pPr>
        <w:spacing w:after="0" w:line="233" w:lineRule="exact"/>
        <w:rPr>
          <w:sz w:val="20"/>
          <w:szCs w:val="20"/>
          <w:color w:val="auto"/>
        </w:rPr>
      </w:pPr>
    </w:p>
    <w:p>
      <w:pPr>
        <w:ind w:left="1500" w:right="219" w:hanging="643"/>
        <w:spacing w:after="0" w:line="250" w:lineRule="auto"/>
        <w:tabs>
          <w:tab w:leader="none" w:pos="1500" w:val="left"/>
        </w:tabs>
        <w:numPr>
          <w:ilvl w:val="0"/>
          <w:numId w:val="67"/>
        </w:numPr>
        <w:rPr>
          <w:rFonts w:ascii="Arial" w:cs="Arial" w:eastAsia="Arial" w:hAnsi="Arial"/>
          <w:sz w:val="18"/>
          <w:szCs w:val="18"/>
          <w:color w:val="auto"/>
        </w:rPr>
      </w:pPr>
      <w:r>
        <w:rPr>
          <w:rFonts w:ascii="Arial" w:cs="Arial" w:eastAsia="Arial" w:hAnsi="Arial"/>
          <w:sz w:val="22"/>
          <w:szCs w:val="22"/>
          <w:color w:val="auto"/>
        </w:rPr>
        <w:t>accept for payment all Securities or portions of Securities properly tendered and not withdrawn pursuant to the Change of Control Offer;</w:t>
      </w:r>
    </w:p>
    <w:p>
      <w:pPr>
        <w:spacing w:after="0" w:line="174" w:lineRule="exact"/>
        <w:rPr>
          <w:rFonts w:ascii="Arial" w:cs="Arial" w:eastAsia="Arial" w:hAnsi="Arial"/>
          <w:sz w:val="18"/>
          <w:szCs w:val="18"/>
          <w:color w:val="auto"/>
        </w:rPr>
      </w:pPr>
    </w:p>
    <w:p>
      <w:pPr>
        <w:ind w:left="1500" w:right="239" w:hanging="643"/>
        <w:spacing w:after="0" w:line="328" w:lineRule="auto"/>
        <w:tabs>
          <w:tab w:leader="none" w:pos="1500" w:val="left"/>
        </w:tabs>
        <w:numPr>
          <w:ilvl w:val="0"/>
          <w:numId w:val="67"/>
        </w:numPr>
        <w:rPr>
          <w:rFonts w:ascii="Arial" w:cs="Arial" w:eastAsia="Arial" w:hAnsi="Arial"/>
          <w:sz w:val="16"/>
          <w:szCs w:val="16"/>
          <w:color w:val="auto"/>
        </w:rPr>
      </w:pPr>
      <w:r>
        <w:rPr>
          <w:rFonts w:ascii="Arial" w:cs="Arial" w:eastAsia="Arial" w:hAnsi="Arial"/>
          <w:sz w:val="19"/>
          <w:szCs w:val="19"/>
          <w:color w:val="auto"/>
        </w:rPr>
        <w:t>deposit with the Paying Agent an amount equal to the Change of Control Payment in respect of all Securities or portions of Securities properly tendered; and</w:t>
      </w:r>
    </w:p>
    <w:p>
      <w:pPr>
        <w:spacing w:after="0" w:line="104" w:lineRule="exact"/>
        <w:rPr>
          <w:rFonts w:ascii="Arial" w:cs="Arial" w:eastAsia="Arial" w:hAnsi="Arial"/>
          <w:sz w:val="16"/>
          <w:szCs w:val="16"/>
          <w:color w:val="auto"/>
        </w:rPr>
      </w:pPr>
    </w:p>
    <w:p>
      <w:pPr>
        <w:jc w:val="both"/>
        <w:ind w:left="1500" w:right="239" w:hanging="643"/>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86"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9"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For purposes of the Change of Control Offer provisions of the Securities, the following terms are applicable:</w:t>
      </w:r>
    </w:p>
    <w:p>
      <w:pPr>
        <w:spacing w:after="0" w:line="202"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jc w:val="both"/>
        <w:ind w:left="200" w:right="219"/>
        <w:spacing w:after="0" w:line="272" w:lineRule="auto"/>
        <w:rPr>
          <w:sz w:val="20"/>
          <w:szCs w:val="20"/>
          <w:color w:val="auto"/>
        </w:rPr>
      </w:pPr>
      <w:r>
        <w:rPr>
          <w:rFonts w:ascii="Arial" w:cs="Arial" w:eastAsia="Arial" w:hAnsi="Arial"/>
          <w:sz w:val="19"/>
          <w:szCs w:val="19"/>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0" w:lineRule="exact"/>
        <w:rPr>
          <w:sz w:val="20"/>
          <w:szCs w:val="20"/>
          <w:color w:val="auto"/>
        </w:rPr>
      </w:pPr>
    </w:p>
    <w:p>
      <w:pPr>
        <w:spacing w:after="0" w:line="204"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4"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“Change of Control Triggering Event” means the occurrence of both a Change of Control and a Rating Event.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“Fitch” means Fitch Inc. and its successors.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“Moody’s” means Moody’s Investors Service, Inc. and its successors.</w:t>
      </w:r>
    </w:p>
    <w:p>
      <w:pPr>
        <w:spacing w:after="0" w:line="206"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50"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4" w:name="page75"/>
    <w:bookmarkEnd w:id="74"/>
    <w:p>
      <w:pPr>
        <w:jc w:val="both"/>
        <w:ind w:left="200" w:right="219"/>
        <w:spacing w:after="0" w:line="258" w:lineRule="auto"/>
        <w:rPr>
          <w:sz w:val="20"/>
          <w:szCs w:val="20"/>
          <w:color w:val="auto"/>
        </w:rPr>
      </w:pPr>
      <w:r>
        <w:rPr>
          <w:rFonts w:ascii="Arial" w:cs="Arial" w:eastAsia="Arial" w:hAnsi="Arial"/>
          <w:sz w:val="21"/>
          <w:szCs w:val="21"/>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“S&amp;P” means S&amp;P Global Ratings, a division of S&amp;P Global Inc., and its successors.</w:t>
      </w:r>
    </w:p>
    <w:p>
      <w:pPr>
        <w:spacing w:after="0" w:line="218"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68"/>
        </w:numPr>
        <w:rPr>
          <w:rFonts w:ascii="Arial" w:cs="Arial" w:eastAsia="Arial" w:hAnsi="Arial"/>
          <w:sz w:val="22"/>
          <w:szCs w:val="22"/>
          <w:color w:val="auto"/>
        </w:rPr>
      </w:pPr>
      <w:r>
        <w:rPr>
          <w:rFonts w:ascii="Arial" w:cs="Arial" w:eastAsia="Arial" w:hAnsi="Arial"/>
          <w:sz w:val="22"/>
          <w:szCs w:val="22"/>
          <w:i w:val="1"/>
          <w:iCs w:val="1"/>
          <w:color w:val="auto"/>
        </w:rPr>
        <w:t>Denominations; Transfer; Exchange.</w:t>
      </w:r>
    </w:p>
    <w:p>
      <w:pPr>
        <w:spacing w:after="0" w:line="206" w:lineRule="exact"/>
        <w:rPr>
          <w:sz w:val="20"/>
          <w:szCs w:val="20"/>
          <w:color w:val="auto"/>
        </w:rPr>
      </w:pPr>
    </w:p>
    <w:p>
      <w:pPr>
        <w:jc w:val="both"/>
        <w:ind w:left="200" w:right="219" w:firstLine="667"/>
        <w:spacing w:after="0" w:line="282" w:lineRule="auto"/>
        <w:rPr>
          <w:sz w:val="20"/>
          <w:szCs w:val="20"/>
          <w:color w:val="auto"/>
        </w:rPr>
      </w:pPr>
      <w:r>
        <w:rPr>
          <w:rFonts w:ascii="Arial" w:cs="Arial" w:eastAsia="Arial" w:hAnsi="Arial"/>
          <w:sz w:val="19"/>
          <w:szCs w:val="19"/>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500" w:hanging="643"/>
        <w:spacing w:after="0"/>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Person Deemed Owners.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registered Holder of a Security may be treated as the owner of it for all purposes.</w:t>
      </w:r>
    </w:p>
    <w:p>
      <w:pPr>
        <w:spacing w:after="0" w:line="241" w:lineRule="exact"/>
        <w:rPr>
          <w:sz w:val="20"/>
          <w:szCs w:val="20"/>
          <w:color w:val="auto"/>
        </w:rPr>
      </w:pPr>
    </w:p>
    <w:p>
      <w:pPr>
        <w:ind w:left="1500" w:hanging="643"/>
        <w:spacing w:after="0"/>
        <w:tabs>
          <w:tab w:leader="none" w:pos="1500"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Amendment; Supplement; Waiver.</w:t>
      </w:r>
    </w:p>
    <w:p>
      <w:pPr>
        <w:spacing w:after="0" w:line="206"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8" w:lineRule="exact"/>
        <w:rPr>
          <w:sz w:val="20"/>
          <w:szCs w:val="20"/>
          <w:color w:val="auto"/>
        </w:rPr>
      </w:pPr>
    </w:p>
    <w:p>
      <w:pPr>
        <w:ind w:left="1500" w:hanging="643"/>
        <w:spacing w:after="0"/>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Defaults and Remedies.</w:t>
      </w:r>
    </w:p>
    <w:p>
      <w:pPr>
        <w:spacing w:after="0" w:line="206"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5" w:name="page76"/>
    <w:bookmarkEnd w:id="75"/>
    <w:p>
      <w:pPr>
        <w:jc w:val="both"/>
        <w:ind w:left="200" w:right="219"/>
        <w:spacing w:after="0" w:line="272" w:lineRule="auto"/>
        <w:rPr>
          <w:sz w:val="20"/>
          <w:szCs w:val="20"/>
          <w:color w:val="auto"/>
        </w:rPr>
      </w:pPr>
      <w:r>
        <w:rPr>
          <w:rFonts w:ascii="Arial" w:cs="Arial" w:eastAsia="Arial" w:hAnsi="Arial"/>
          <w:sz w:val="19"/>
          <w:szCs w:val="19"/>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04" w:lineRule="exact"/>
        <w:rPr>
          <w:sz w:val="20"/>
          <w:szCs w:val="20"/>
          <w:color w:val="auto"/>
        </w:rPr>
      </w:pPr>
    </w:p>
    <w:p>
      <w:pPr>
        <w:ind w:left="1500" w:hanging="643"/>
        <w:spacing w:after="0"/>
        <w:tabs>
          <w:tab w:leader="none" w:pos="1500"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Trustee Dealings with Company.</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5" w:lineRule="exact"/>
        <w:rPr>
          <w:sz w:val="20"/>
          <w:szCs w:val="20"/>
          <w:color w:val="auto"/>
        </w:rPr>
      </w:pPr>
    </w:p>
    <w:p>
      <w:pPr>
        <w:ind w:left="1500" w:hanging="643"/>
        <w:spacing w:after="0"/>
        <w:tabs>
          <w:tab w:leader="none" w:pos="1500"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not be valid until the Trustee or authenticating agent signs the certificate of authentication on the other side of this Security.</w:t>
      </w:r>
    </w:p>
    <w:p>
      <w:pPr>
        <w:spacing w:after="0" w:line="175" w:lineRule="exact"/>
        <w:rPr>
          <w:sz w:val="20"/>
          <w:szCs w:val="20"/>
          <w:color w:val="auto"/>
        </w:rPr>
      </w:pPr>
    </w:p>
    <w:p>
      <w:pPr>
        <w:ind w:left="1500" w:hanging="643"/>
        <w:spacing w:after="0"/>
        <w:tabs>
          <w:tab w:leader="none" w:pos="150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Abbreviations and Defined Terms.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5" w:lineRule="exact"/>
        <w:rPr>
          <w:sz w:val="20"/>
          <w:szCs w:val="20"/>
          <w:color w:val="auto"/>
        </w:rPr>
      </w:pPr>
    </w:p>
    <w:p>
      <w:pPr>
        <w:ind w:left="1500" w:hanging="643"/>
        <w:spacing w:after="0"/>
        <w:tabs>
          <w:tab w:leader="none" w:pos="150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CUSIP Numbers.</w:t>
      </w:r>
    </w:p>
    <w:p>
      <w:pPr>
        <w:spacing w:after="0" w:line="206"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7" w:lineRule="exact"/>
        <w:rPr>
          <w:sz w:val="20"/>
          <w:szCs w:val="20"/>
          <w:color w:val="auto"/>
        </w:rPr>
      </w:pPr>
    </w:p>
    <w:p>
      <w:pPr>
        <w:ind w:left="1500" w:hanging="643"/>
        <w:spacing w:after="0"/>
        <w:tabs>
          <w:tab w:leader="none" w:pos="150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Absolute Obligation.</w:t>
      </w:r>
    </w:p>
    <w:p>
      <w:pPr>
        <w:spacing w:after="0" w:line="206" w:lineRule="exact"/>
        <w:rPr>
          <w:sz w:val="20"/>
          <w:szCs w:val="20"/>
          <w:color w:val="auto"/>
        </w:rPr>
      </w:pPr>
    </w:p>
    <w:p>
      <w:pPr>
        <w:jc w:val="both"/>
        <w:ind w:left="200" w:right="219" w:firstLine="667"/>
        <w:spacing w:after="0" w:line="252" w:lineRule="auto"/>
        <w:rPr>
          <w:sz w:val="20"/>
          <w:szCs w:val="20"/>
          <w:color w:val="auto"/>
        </w:rPr>
      </w:pPr>
      <w:r>
        <w:rPr>
          <w:rFonts w:ascii="Arial" w:cs="Arial" w:eastAsia="Arial" w:hAnsi="Arial"/>
          <w:sz w:val="21"/>
          <w:szCs w:val="21"/>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ind w:left="1500" w:hanging="643"/>
        <w:spacing w:after="0"/>
        <w:tabs>
          <w:tab w:leader="none" w:pos="1500"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No Recourse.</w:t>
      </w:r>
    </w:p>
    <w:p>
      <w:pPr>
        <w:spacing w:after="0" w:line="207" w:lineRule="exact"/>
        <w:rPr>
          <w:sz w:val="20"/>
          <w:szCs w:val="20"/>
          <w:color w:val="auto"/>
        </w:rPr>
      </w:pPr>
    </w:p>
    <w:p>
      <w:pPr>
        <w:jc w:val="both"/>
        <w:ind w:left="200" w:right="219" w:firstLine="667"/>
        <w:spacing w:after="0" w:line="275" w:lineRule="auto"/>
        <w:rPr>
          <w:sz w:val="20"/>
          <w:szCs w:val="20"/>
          <w:color w:val="auto"/>
        </w:rPr>
      </w:pPr>
      <w:r>
        <w:rPr>
          <w:rFonts w:ascii="Arial" w:cs="Arial" w:eastAsia="Arial" w:hAnsi="Arial"/>
          <w:sz w:val="19"/>
          <w:szCs w:val="19"/>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7" w:lineRule="exact"/>
        <w:rPr>
          <w:sz w:val="20"/>
          <w:szCs w:val="20"/>
          <w:color w:val="auto"/>
        </w:rPr>
      </w:pPr>
    </w:p>
    <w:p>
      <w:pPr>
        <w:ind w:left="1500" w:hanging="643"/>
        <w:spacing w:after="0"/>
        <w:tabs>
          <w:tab w:leader="none" w:pos="150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be construed in accordance with and governed by the laws of the State of New York.</w:t>
      </w:r>
    </w:p>
    <w:p>
      <w:pPr>
        <w:spacing w:after="0" w:line="175" w:lineRule="exact"/>
        <w:rPr>
          <w:sz w:val="20"/>
          <w:szCs w:val="20"/>
          <w:color w:val="auto"/>
        </w:rPr>
      </w:pPr>
    </w:p>
    <w:p>
      <w:pPr>
        <w:ind w:left="1500" w:hanging="643"/>
        <w:spacing w:after="0"/>
        <w:tabs>
          <w:tab w:leader="none" w:pos="150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Guarantee.</w:t>
      </w:r>
    </w:p>
    <w:p>
      <w:pPr>
        <w:spacing w:after="0" w:line="206" w:lineRule="exact"/>
        <w:rPr>
          <w:sz w:val="20"/>
          <w:szCs w:val="20"/>
          <w:color w:val="auto"/>
        </w:rPr>
      </w:pPr>
    </w:p>
    <w:p>
      <w:pPr>
        <w:jc w:val="both"/>
        <w:ind w:left="200" w:right="219" w:firstLine="667"/>
        <w:spacing w:after="0" w:line="246" w:lineRule="auto"/>
        <w:rPr>
          <w:sz w:val="20"/>
          <w:szCs w:val="20"/>
          <w:color w:val="auto"/>
        </w:rPr>
      </w:pPr>
      <w:r>
        <w:rPr>
          <w:rFonts w:ascii="Arial" w:cs="Arial" w:eastAsia="Arial" w:hAnsi="Arial"/>
          <w:sz w:val="21"/>
          <w:szCs w:val="21"/>
          <w:color w:val="auto"/>
        </w:rPr>
        <w:t>The Securities will be fully and unconditionally guaranteed on a senior basis by the Company’s wholly owned subsidiary, Waste Management Holdings, Inc., pursuant to the terms and conditions of a Guarantee, dated as of February 15,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4" w:lineRule="exact"/>
        <w:rPr>
          <w:sz w:val="20"/>
          <w:szCs w:val="20"/>
          <w:color w:val="auto"/>
        </w:rPr>
      </w:pPr>
    </w:p>
    <w:p>
      <w:pPr>
        <w:ind w:left="1500" w:hanging="625"/>
        <w:spacing w:after="0"/>
        <w:tabs>
          <w:tab w:leader="none" w:pos="150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Satisfaction and Discharge.</w:t>
      </w:r>
    </w:p>
    <w:p>
      <w:pPr>
        <w:spacing w:after="0" w:line="206" w:lineRule="exact"/>
        <w:rPr>
          <w:sz w:val="20"/>
          <w:szCs w:val="20"/>
          <w:color w:val="auto"/>
        </w:rPr>
      </w:pPr>
    </w:p>
    <w:p>
      <w:pPr>
        <w:jc w:val="both"/>
        <w:ind w:left="200" w:right="219" w:firstLine="667"/>
        <w:spacing w:after="0" w:line="277" w:lineRule="auto"/>
        <w:rPr>
          <w:sz w:val="20"/>
          <w:szCs w:val="20"/>
          <w:color w:val="auto"/>
        </w:rPr>
      </w:pPr>
      <w:r>
        <w:rPr>
          <w:rFonts w:ascii="Arial" w:cs="Arial" w:eastAsia="Arial" w:hAnsi="Arial"/>
          <w:sz w:val="19"/>
          <w:szCs w:val="19"/>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1189990</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2"/>
          <w:szCs w:val="22"/>
          <w:color w:val="auto"/>
        </w:rPr>
        <w:t>SCHEDULE OF EXCHANGES OF DEFINITIVE SECURITY</w:t>
      </w:r>
    </w:p>
    <w:p>
      <w:pPr>
        <w:spacing w:after="0" w:line="207"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Amount of decrease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increase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c>
          <w:tcPr>
            <w:tcW w:w="60" w:type="dxa"/>
            <w:vAlign w:val="bottom"/>
          </w:tcPr>
          <w:p>
            <w:pPr>
              <w:spacing w:after="0"/>
              <w:rPr>
                <w:sz w:val="18"/>
                <w:szCs w:val="18"/>
                <w:color w:val="auto"/>
              </w:rPr>
            </w:pPr>
          </w:p>
        </w:tc>
      </w:tr>
      <w:tr>
        <w:trPr>
          <w:trHeight w:val="241"/>
        </w:trPr>
        <w:tc>
          <w:tcPr>
            <w:tcW w:w="80" w:type="dxa"/>
            <w:vAlign w:val="bottom"/>
          </w:tcPr>
          <w:p>
            <w:pPr>
              <w:spacing w:after="0"/>
              <w:rPr>
                <w:sz w:val="20"/>
                <w:szCs w:val="20"/>
                <w:color w:val="auto"/>
              </w:rPr>
            </w:pPr>
          </w:p>
        </w:tc>
        <w:tc>
          <w:tcPr>
            <w:tcW w:w="1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Date of Exchange</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 Custodian</w:t>
            </w:r>
          </w:p>
        </w:tc>
        <w:tc>
          <w:tcPr>
            <w:tcW w:w="60" w:type="dxa"/>
            <w:vAlign w:val="bottom"/>
            <w:tcBorders>
              <w:bottom w:val="single" w:sz="8" w:color="auto"/>
            </w:tcBorders>
          </w:tcPr>
          <w:p>
            <w:pPr>
              <w:spacing w:after="0"/>
              <w:rPr>
                <w:sz w:val="20"/>
                <w:szCs w:val="20"/>
                <w:color w:val="auto"/>
              </w:rPr>
            </w:pPr>
          </w:p>
        </w:tc>
      </w:tr>
      <w:tr>
        <w:trPr>
          <w:trHeight w:val="1613"/>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78" w:name="page79"/>
    <w:bookmarkEnd w:id="78"/>
    <w:p>
      <w:pPr>
        <w:jc w:val="right"/>
        <w:ind w:right="219"/>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GUARANTEE</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BY WASTE MANAGEMENT HOLDINGS, INC.</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(formerly known as Waste Management, Inc.)</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in Favor of The Bank of New York Mellon Trust Company, N.A., as Trustee for the Holders</w:t>
      </w:r>
    </w:p>
    <w:p>
      <w:pPr>
        <w:spacing w:after="0" w:line="43"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of Certain Debt Securities of</w:t>
      </w:r>
    </w:p>
    <w:p>
      <w:pPr>
        <w:spacing w:after="0" w:line="188"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0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$750,000,000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4.625% Senior Notes due 2030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p>
      <w:pPr>
        <w:jc w:val="both"/>
        <w:ind w:left="200" w:right="219" w:firstLine="648"/>
        <w:spacing w:after="0" w:line="279" w:lineRule="auto"/>
        <w:rPr>
          <w:sz w:val="20"/>
          <w:szCs w:val="20"/>
          <w:color w:val="auto"/>
        </w:rPr>
      </w:pPr>
      <w:r>
        <w:rPr>
          <w:rFonts w:ascii="Arial" w:cs="Arial" w:eastAsia="Arial" w:hAnsi="Arial"/>
          <w:sz w:val="19"/>
          <w:szCs w:val="19"/>
          <w:color w:val="auto"/>
        </w:rPr>
        <w:t>GUARANTEE, dated as of February 15, 2023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4.625% Senior Notes due 2030 (the “Debt Securities”) of Waste Management, Inc. (formerly known as USA Waste Services, Inc.), a Delaware corporation (the “Issuer”).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Guarantee</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305"/>
        <w:spacing w:after="0" w:line="245" w:lineRule="auto"/>
        <w:tabs>
          <w:tab w:leader="none" w:pos="2144"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4" w:lineRule="exact"/>
        <w:rPr>
          <w:rFonts w:ascii="Arial" w:cs="Arial" w:eastAsia="Arial" w:hAnsi="Arial"/>
          <w:sz w:val="21"/>
          <w:szCs w:val="21"/>
          <w:color w:val="auto"/>
        </w:rPr>
      </w:pPr>
    </w:p>
    <w:p>
      <w:pPr>
        <w:jc w:val="both"/>
        <w:ind w:left="200" w:right="219" w:firstLine="1305"/>
        <w:spacing w:after="0" w:line="273" w:lineRule="auto"/>
        <w:tabs>
          <w:tab w:leader="none" w:pos="2144" w:val="left"/>
        </w:tabs>
        <w:numPr>
          <w:ilvl w:val="0"/>
          <w:numId w:val="81"/>
        </w:numPr>
        <w:rPr>
          <w:rFonts w:ascii="Arial" w:cs="Arial" w:eastAsia="Arial" w:hAnsi="Arial"/>
          <w:sz w:val="19"/>
          <w:szCs w:val="19"/>
          <w:color w:val="auto"/>
        </w:rPr>
      </w:pPr>
      <w:r>
        <w:rPr>
          <w:rFonts w:ascii="Arial" w:cs="Arial" w:eastAsia="Arial" w:hAnsi="Arial"/>
          <w:sz w:val="19"/>
          <w:szCs w:val="19"/>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1"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u w:val="single" w:color="auto"/>
          <w:color w:val="auto"/>
        </w:rPr>
        <w:t>Guarantee Absolute</w:t>
      </w:r>
      <w:r>
        <w:rPr>
          <w:rFonts w:ascii="Arial" w:cs="Arial" w:eastAsia="Arial" w:hAnsi="Arial"/>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460" w:right="239" w:firstLine="1044"/>
        <w:spacing w:after="0" w:line="250" w:lineRule="auto"/>
        <w:tabs>
          <w:tab w:leader="none" w:pos="21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lack of validity or enforceability of the Indenture, the Debt Securities or any other agreement or instrument relating thereto;</w:t>
      </w:r>
    </w:p>
    <w:p>
      <w:pPr>
        <w:spacing w:after="0" w:line="174" w:lineRule="exact"/>
        <w:rPr>
          <w:rFonts w:ascii="Arial" w:cs="Arial" w:eastAsia="Arial" w:hAnsi="Arial"/>
          <w:sz w:val="22"/>
          <w:szCs w:val="22"/>
          <w:color w:val="auto"/>
        </w:rPr>
      </w:pPr>
    </w:p>
    <w:p>
      <w:pPr>
        <w:jc w:val="both"/>
        <w:ind w:left="460" w:right="219" w:firstLine="1044"/>
        <w:spacing w:after="0"/>
        <w:tabs>
          <w:tab w:leader="none" w:pos="21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Obligations, or any other amendment or waiver of or any consent to departure from the Indenture;</w:t>
      </w:r>
    </w:p>
    <w:p>
      <w:pPr>
        <w:spacing w:after="0" w:line="186" w:lineRule="exact"/>
        <w:rPr>
          <w:rFonts w:ascii="Arial" w:cs="Arial" w:eastAsia="Arial" w:hAnsi="Arial"/>
          <w:sz w:val="22"/>
          <w:szCs w:val="22"/>
          <w:color w:val="auto"/>
        </w:rPr>
      </w:pPr>
    </w:p>
    <w:p>
      <w:pPr>
        <w:jc w:val="both"/>
        <w:ind w:left="460" w:right="219" w:firstLine="1044"/>
        <w:spacing w:after="0"/>
        <w:tabs>
          <w:tab w:leader="none" w:pos="21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0" w:name="page81"/>
    <w:bookmarkEnd w:id="80"/>
    <w:p>
      <w:pPr>
        <w:ind w:left="460" w:right="219" w:firstLine="1044"/>
        <w:spacing w:after="0" w:line="251" w:lineRule="auto"/>
        <w:tabs>
          <w:tab w:leader="none" w:pos="2145"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discharge of, the Issuer or a guarantor.</w:t>
      </w:r>
    </w:p>
    <w:p>
      <w:pPr>
        <w:spacing w:after="0" w:line="173"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9"/>
          <w:szCs w:val="19"/>
          <w:i w:val="1"/>
          <w:iCs w:val="1"/>
          <w:color w:val="auto"/>
        </w:rPr>
        <w:t>pari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passu </w:t>
      </w:r>
      <w:r>
        <w:rPr>
          <w:rFonts w:ascii="Arial" w:cs="Arial" w:eastAsia="Arial" w:hAnsi="Arial"/>
          <w:sz w:val="19"/>
          <w:szCs w:val="19"/>
          <w:color w:val="auto"/>
        </w:rPr>
        <w:t>with all existing and future senior indebtedness of the Guarantor and (b) senior in right of</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to all existing and future subordinated indebtedness of the Guarantor.</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Waiver; Subrogation</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7" w:lineRule="exact"/>
        <w:rPr>
          <w:rFonts w:ascii="Arial" w:cs="Arial" w:eastAsia="Arial" w:hAnsi="Arial"/>
          <w:sz w:val="22"/>
          <w:szCs w:val="22"/>
          <w:color w:val="auto"/>
        </w:rPr>
      </w:pPr>
    </w:p>
    <w:p>
      <w:pPr>
        <w:jc w:val="both"/>
        <w:ind w:left="200" w:right="219" w:firstLine="1305"/>
        <w:spacing w:after="0" w:line="282" w:lineRule="auto"/>
        <w:tabs>
          <w:tab w:leader="none" w:pos="21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u w:val="single" w:color="auto"/>
          <w:color w:val="auto"/>
        </w:rPr>
        <w:t>No Waiver, Remedies</w:t>
      </w:r>
      <w:r>
        <w:rPr>
          <w:rFonts w:ascii="Arial" w:cs="Arial" w:eastAsia="Arial" w:hAnsi="Arial"/>
          <w:sz w:val="21"/>
          <w:szCs w:val="21"/>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8"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u w:val="single" w:color="auto"/>
          <w:color w:val="auto"/>
        </w:rPr>
        <w:t>Continuing Guarantee; Transfer of Interest</w:t>
      </w:r>
      <w:r>
        <w:rPr>
          <w:rFonts w:ascii="Arial" w:cs="Arial" w:eastAsia="Arial" w:hAnsi="Arial"/>
          <w:sz w:val="19"/>
          <w:szCs w:val="19"/>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0" w:lineRule="exact"/>
        <w:rPr>
          <w:sz w:val="20"/>
          <w:szCs w:val="20"/>
          <w:color w:val="auto"/>
        </w:rPr>
      </w:pPr>
    </w:p>
    <w:p>
      <w:pPr>
        <w:spacing w:after="0" w:line="207"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u w:val="single" w:color="auto"/>
          <w:color w:val="auto"/>
        </w:rPr>
        <w:t>Reinstatement</w:t>
      </w:r>
      <w:r>
        <w:rPr>
          <w:rFonts w:ascii="Arial" w:cs="Arial" w:eastAsia="Arial" w:hAnsi="Arial"/>
          <w:sz w:val="19"/>
          <w:szCs w:val="19"/>
          <w:color w:val="auto"/>
        </w:rPr>
        <w:t>. This Guarantee shall continue to be effective or be reinstated, as the case may be, if at any time any payment of any of the Obligations is rescinded or must otherwise be returned by any holder of the Debt Securities or the Trustee upon the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595630</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p>
      <w:pPr>
        <w:jc w:val="both"/>
        <w:ind w:left="200" w:right="219"/>
        <w:spacing w:after="0" w:line="251" w:lineRule="auto"/>
        <w:rPr>
          <w:sz w:val="20"/>
          <w:szCs w:val="20"/>
          <w:color w:val="auto"/>
        </w:rPr>
      </w:pPr>
      <w:r>
        <w:rPr>
          <w:rFonts w:ascii="Arial" w:cs="Arial" w:eastAsia="Arial" w:hAnsi="Arial"/>
          <w:sz w:val="22"/>
          <w:szCs w:val="22"/>
          <w:color w:val="auto"/>
        </w:rPr>
        <w:t>bankruptcy or reorganization of the Issuer or otherwise, all as though such payment had not been made.</w:t>
      </w:r>
    </w:p>
    <w:p>
      <w:pPr>
        <w:spacing w:after="0" w:line="173"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2" w:name="page83"/>
    <w:bookmarkEnd w:id="82"/>
    <w:p>
      <w:pPr>
        <w:ind w:left="200" w:right="219" w:firstLine="648"/>
        <w:spacing w:after="0" w:line="329" w:lineRule="auto"/>
        <w:rPr>
          <w:sz w:val="20"/>
          <w:szCs w:val="20"/>
          <w:color w:val="auto"/>
        </w:rPr>
      </w:pPr>
      <w:r>
        <w:rPr>
          <w:rFonts w:ascii="Arial" w:cs="Arial" w:eastAsia="Arial" w:hAnsi="Arial"/>
          <w:sz w:val="19"/>
          <w:szCs w:val="19"/>
          <w:color w:val="auto"/>
        </w:rPr>
        <w:t>IN WITNESS WHEREOF, the Guarantor has caused this Guarantee to be duly executed and delivered by its officer thereunto duly authorized as of the date first above written.</w:t>
      </w:r>
    </w:p>
    <w:p>
      <w:pPr>
        <w:spacing w:after="0" w:line="36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i w:val="1"/>
          <w:iCs w:val="1"/>
          <w:u w:val="single" w:color="auto"/>
          <w:color w:val="auto"/>
        </w:rPr>
        <w:t>/s/ David L. Reed__________________</w:t>
      </w:r>
    </w:p>
    <w:p>
      <w:pPr>
        <w:spacing w:after="0" w:line="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David L. Reed</w:t>
      </w:r>
    </w:p>
    <w:p>
      <w:pPr>
        <w:ind w:left="5240"/>
        <w:spacing w:after="0"/>
        <w:rPr>
          <w:sz w:val="20"/>
          <w:szCs w:val="20"/>
          <w:color w:val="auto"/>
        </w:rPr>
      </w:pPr>
      <w:r>
        <w:rPr>
          <w:rFonts w:ascii="Arial" w:cs="Arial" w:eastAsia="Arial" w:hAnsi="Arial"/>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i w:val="1"/>
          <w:iCs w:val="1"/>
          <w:u w:val="single" w:color="auto"/>
          <w:color w:val="auto"/>
        </w:rPr>
        <w:t>/s/ Jeff Bennett____________________</w:t>
      </w:r>
    </w:p>
    <w:p>
      <w:pPr>
        <w:spacing w:after="0" w:line="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Jeff Bennett</w:t>
      </w:r>
    </w:p>
    <w:p>
      <w:pPr>
        <w:ind w:left="5240"/>
        <w:spacing w:after="0"/>
        <w:rPr>
          <w:sz w:val="20"/>
          <w:szCs w:val="20"/>
          <w:color w:val="auto"/>
        </w:rPr>
      </w:pPr>
      <w:r>
        <w:rPr>
          <w:rFonts w:ascii="Arial" w:cs="Arial" w:eastAsia="Arial" w:hAnsi="Arial"/>
          <w:sz w:val="22"/>
          <w:szCs w:val="22"/>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Guarantee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(4.625%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jc w:val="right"/>
        <w:ind w:right="219"/>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GUARANTEE</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BY WASTE MANAGEMENT HOLDINGS, INC.</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(formerly known as Waste Management, Inc.)</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in Favor of The Bank of New York Mellon Trust Company, N.A., as Trustee for the Holders</w:t>
      </w:r>
    </w:p>
    <w:p>
      <w:pPr>
        <w:spacing w:after="0" w:line="43"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of Certain Debt Securities of</w:t>
      </w:r>
    </w:p>
    <w:p>
      <w:pPr>
        <w:spacing w:after="0" w:line="188"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0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$500,000,000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4.625% Senior Notes due 2033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4" w:name="page85"/>
    <w:bookmarkEnd w:id="84"/>
    <w:p>
      <w:pPr>
        <w:jc w:val="both"/>
        <w:ind w:left="200" w:right="219" w:firstLine="648"/>
        <w:spacing w:after="0" w:line="279" w:lineRule="auto"/>
        <w:rPr>
          <w:sz w:val="20"/>
          <w:szCs w:val="20"/>
          <w:color w:val="auto"/>
        </w:rPr>
      </w:pPr>
      <w:r>
        <w:rPr>
          <w:rFonts w:ascii="Arial" w:cs="Arial" w:eastAsia="Arial" w:hAnsi="Arial"/>
          <w:sz w:val="19"/>
          <w:szCs w:val="19"/>
          <w:color w:val="auto"/>
        </w:rPr>
        <w:t>GUARANTEE, dated as of February 15, 2023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4.625% Senior Notes due 2033 (the “Debt Securities”) of Waste Management, Inc. (formerly known as USA Waste Services, Inc.), a Delaware corporation (the “Issuer”).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Guarantee</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305"/>
        <w:spacing w:after="0" w:line="245" w:lineRule="auto"/>
        <w:tabs>
          <w:tab w:leader="none" w:pos="2144"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4" w:lineRule="exact"/>
        <w:rPr>
          <w:rFonts w:ascii="Arial" w:cs="Arial" w:eastAsia="Arial" w:hAnsi="Arial"/>
          <w:sz w:val="21"/>
          <w:szCs w:val="21"/>
          <w:color w:val="auto"/>
        </w:rPr>
      </w:pPr>
    </w:p>
    <w:p>
      <w:pPr>
        <w:jc w:val="both"/>
        <w:ind w:left="200" w:right="219" w:firstLine="1305"/>
        <w:spacing w:after="0" w:line="273" w:lineRule="auto"/>
        <w:tabs>
          <w:tab w:leader="none" w:pos="2144" w:val="left"/>
        </w:tabs>
        <w:numPr>
          <w:ilvl w:val="0"/>
          <w:numId w:val="85"/>
        </w:numPr>
        <w:rPr>
          <w:rFonts w:ascii="Arial" w:cs="Arial" w:eastAsia="Arial" w:hAnsi="Arial"/>
          <w:sz w:val="19"/>
          <w:szCs w:val="19"/>
          <w:color w:val="auto"/>
        </w:rPr>
      </w:pPr>
      <w:r>
        <w:rPr>
          <w:rFonts w:ascii="Arial" w:cs="Arial" w:eastAsia="Arial" w:hAnsi="Arial"/>
          <w:sz w:val="19"/>
          <w:szCs w:val="19"/>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1"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u w:val="single" w:color="auto"/>
          <w:color w:val="auto"/>
        </w:rPr>
        <w:t>Guarantee Absolute</w:t>
      </w:r>
      <w:r>
        <w:rPr>
          <w:rFonts w:ascii="Arial" w:cs="Arial" w:eastAsia="Arial" w:hAnsi="Arial"/>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460" w:right="239" w:firstLine="1044"/>
        <w:spacing w:after="0" w:line="250" w:lineRule="auto"/>
        <w:tabs>
          <w:tab w:leader="none" w:pos="2145"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lack of validity or enforceability of the Indenture, the Debt Securities or any other agreement or instrument relating thereto;</w:t>
      </w:r>
    </w:p>
    <w:p>
      <w:pPr>
        <w:spacing w:after="0" w:line="174" w:lineRule="exact"/>
        <w:rPr>
          <w:rFonts w:ascii="Arial" w:cs="Arial" w:eastAsia="Arial" w:hAnsi="Arial"/>
          <w:sz w:val="22"/>
          <w:szCs w:val="22"/>
          <w:color w:val="auto"/>
        </w:rPr>
      </w:pPr>
    </w:p>
    <w:p>
      <w:pPr>
        <w:jc w:val="both"/>
        <w:ind w:left="460" w:right="219" w:firstLine="1044"/>
        <w:spacing w:after="0"/>
        <w:tabs>
          <w:tab w:leader="none" w:pos="2145"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Obligations, or any other amendment or waiver of or any consent to departure from the Indenture;</w:t>
      </w:r>
    </w:p>
    <w:p>
      <w:pPr>
        <w:spacing w:after="0" w:line="186" w:lineRule="exact"/>
        <w:rPr>
          <w:rFonts w:ascii="Arial" w:cs="Arial" w:eastAsia="Arial" w:hAnsi="Arial"/>
          <w:sz w:val="22"/>
          <w:szCs w:val="22"/>
          <w:color w:val="auto"/>
        </w:rPr>
      </w:pPr>
    </w:p>
    <w:p>
      <w:pPr>
        <w:jc w:val="both"/>
        <w:ind w:left="460" w:right="219" w:firstLine="1044"/>
        <w:spacing w:after="0"/>
        <w:tabs>
          <w:tab w:leader="none" w:pos="2145"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5" w:name="page86"/>
    <w:bookmarkEnd w:id="85"/>
    <w:p>
      <w:pPr>
        <w:ind w:left="460" w:right="219" w:firstLine="1044"/>
        <w:spacing w:after="0" w:line="251" w:lineRule="auto"/>
        <w:tabs>
          <w:tab w:leader="none" w:pos="2145"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discharge of, the Issuer or a guarantor.</w:t>
      </w:r>
    </w:p>
    <w:p>
      <w:pPr>
        <w:spacing w:after="0" w:line="173"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9"/>
          <w:szCs w:val="19"/>
          <w:i w:val="1"/>
          <w:iCs w:val="1"/>
          <w:color w:val="auto"/>
        </w:rPr>
        <w:t>pari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passu </w:t>
      </w:r>
      <w:r>
        <w:rPr>
          <w:rFonts w:ascii="Arial" w:cs="Arial" w:eastAsia="Arial" w:hAnsi="Arial"/>
          <w:sz w:val="19"/>
          <w:szCs w:val="19"/>
          <w:color w:val="auto"/>
        </w:rPr>
        <w:t>with all existing and future senior indebtedness of the Guarantor and (b) senior in right of</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to all existing and future subordinated indebtedness of the Guarantor.</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Waiver; Subrogation</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7" w:lineRule="exact"/>
        <w:rPr>
          <w:rFonts w:ascii="Arial" w:cs="Arial" w:eastAsia="Arial" w:hAnsi="Arial"/>
          <w:sz w:val="22"/>
          <w:szCs w:val="22"/>
          <w:color w:val="auto"/>
        </w:rPr>
      </w:pPr>
    </w:p>
    <w:p>
      <w:pPr>
        <w:jc w:val="both"/>
        <w:ind w:left="200" w:right="219" w:firstLine="1305"/>
        <w:spacing w:after="0" w:line="282" w:lineRule="auto"/>
        <w:tabs>
          <w:tab w:leader="none" w:pos="2144"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u w:val="single" w:color="auto"/>
          <w:color w:val="auto"/>
        </w:rPr>
        <w:t>No Waiver, Remedies</w:t>
      </w:r>
      <w:r>
        <w:rPr>
          <w:rFonts w:ascii="Arial" w:cs="Arial" w:eastAsia="Arial" w:hAnsi="Arial"/>
          <w:sz w:val="21"/>
          <w:szCs w:val="21"/>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78"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u w:val="single" w:color="auto"/>
          <w:color w:val="auto"/>
        </w:rPr>
        <w:t>Continuing Guarantee; Transfer of Interest</w:t>
      </w:r>
      <w:r>
        <w:rPr>
          <w:rFonts w:ascii="Arial" w:cs="Arial" w:eastAsia="Arial" w:hAnsi="Arial"/>
          <w:sz w:val="19"/>
          <w:szCs w:val="19"/>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0" w:lineRule="exact"/>
        <w:rPr>
          <w:sz w:val="20"/>
          <w:szCs w:val="20"/>
          <w:color w:val="auto"/>
        </w:rPr>
      </w:pPr>
    </w:p>
    <w:p>
      <w:pPr>
        <w:spacing w:after="0" w:line="207"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u w:val="single" w:color="auto"/>
          <w:color w:val="auto"/>
        </w:rPr>
        <w:t>Reinstatement</w:t>
      </w:r>
      <w:r>
        <w:rPr>
          <w:rFonts w:ascii="Arial" w:cs="Arial" w:eastAsia="Arial" w:hAnsi="Arial"/>
          <w:sz w:val="19"/>
          <w:szCs w:val="19"/>
          <w:color w:val="auto"/>
        </w:rPr>
        <w:t>. This Guarantee shall continue to be effective or be reinstated, as the case may be, if at any time any payment of any of the Obligations is rescinded or must otherwise be returned by any holder of the Debt Securities or the Trustee upon the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595630</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6" w:name="page87"/>
    <w:bookmarkEnd w:id="86"/>
    <w:p>
      <w:pPr>
        <w:jc w:val="both"/>
        <w:ind w:left="200" w:right="219"/>
        <w:spacing w:after="0" w:line="251" w:lineRule="auto"/>
        <w:rPr>
          <w:sz w:val="20"/>
          <w:szCs w:val="20"/>
          <w:color w:val="auto"/>
        </w:rPr>
      </w:pPr>
      <w:r>
        <w:rPr>
          <w:rFonts w:ascii="Arial" w:cs="Arial" w:eastAsia="Arial" w:hAnsi="Arial"/>
          <w:sz w:val="22"/>
          <w:szCs w:val="22"/>
          <w:color w:val="auto"/>
        </w:rPr>
        <w:t>bankruptcy or reorganization of the Issuer or otherwise, all as though such payment had not been made.</w:t>
      </w:r>
    </w:p>
    <w:p>
      <w:pPr>
        <w:spacing w:after="0" w:line="173"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7" w:name="page88"/>
    <w:bookmarkEnd w:id="87"/>
    <w:p>
      <w:pPr>
        <w:ind w:left="200" w:right="219" w:firstLine="648"/>
        <w:spacing w:after="0" w:line="329" w:lineRule="auto"/>
        <w:rPr>
          <w:sz w:val="20"/>
          <w:szCs w:val="20"/>
          <w:color w:val="auto"/>
        </w:rPr>
      </w:pPr>
      <w:r>
        <w:rPr>
          <w:rFonts w:ascii="Arial" w:cs="Arial" w:eastAsia="Arial" w:hAnsi="Arial"/>
          <w:sz w:val="19"/>
          <w:szCs w:val="19"/>
          <w:color w:val="auto"/>
        </w:rPr>
        <w:t>IN WITNESS WHEREOF, the Guarantor has caused this Guarantee to be duly executed and delivered by its officer thereunto duly authorized as of the date first above written.</w:t>
      </w:r>
    </w:p>
    <w:p>
      <w:pPr>
        <w:spacing w:after="0" w:line="347"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u w:val="single" w:color="auto"/>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4317365</wp:posOffset>
            </wp:positionH>
            <wp:positionV relativeFrom="paragraph">
              <wp:posOffset>-17780</wp:posOffset>
            </wp:positionV>
            <wp:extent cx="1165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ind w:left="5240"/>
        <w:spacing w:after="0" w:line="238" w:lineRule="auto"/>
        <w:rPr>
          <w:sz w:val="20"/>
          <w:szCs w:val="20"/>
          <w:color w:val="auto"/>
        </w:rPr>
      </w:pPr>
      <w:r>
        <w:rPr>
          <w:rFonts w:ascii="Arial" w:cs="Arial" w:eastAsia="Arial" w:hAnsi="Arial"/>
          <w:sz w:val="22"/>
          <w:szCs w:val="22"/>
          <w:color w:val="auto"/>
        </w:rPr>
        <w:t>David L. Reed</w:t>
      </w:r>
    </w:p>
    <w:p>
      <w:pPr>
        <w:ind w:left="5240"/>
        <w:spacing w:after="0"/>
        <w:rPr>
          <w:sz w:val="20"/>
          <w:szCs w:val="20"/>
          <w:color w:val="auto"/>
        </w:rPr>
      </w:pPr>
      <w:r>
        <w:rPr>
          <w:rFonts w:ascii="Arial" w:cs="Arial" w:eastAsia="Arial" w:hAnsi="Arial"/>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u w:val="single" w:color="auto"/>
          <w:color w:val="auto"/>
        </w:rPr>
        <w:t>/s/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-17780</wp:posOffset>
            </wp:positionV>
            <wp:extent cx="1336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5240"/>
        <w:spacing w:after="0" w:line="238" w:lineRule="auto"/>
        <w:rPr>
          <w:sz w:val="20"/>
          <w:szCs w:val="20"/>
          <w:color w:val="auto"/>
        </w:rPr>
      </w:pPr>
      <w:r>
        <w:rPr>
          <w:rFonts w:ascii="Arial" w:cs="Arial" w:eastAsia="Arial" w:hAnsi="Arial"/>
          <w:sz w:val="22"/>
          <w:szCs w:val="22"/>
          <w:color w:val="auto"/>
        </w:rPr>
        <w:t>Jeff Bennett</w:t>
      </w:r>
    </w:p>
    <w:p>
      <w:pPr>
        <w:ind w:left="5240"/>
        <w:spacing w:after="0"/>
        <w:rPr>
          <w:sz w:val="20"/>
          <w:szCs w:val="20"/>
          <w:color w:val="auto"/>
        </w:rPr>
      </w:pPr>
      <w:r>
        <w:rPr>
          <w:rFonts w:ascii="Arial" w:cs="Arial" w:eastAsia="Arial" w:hAnsi="Arial"/>
          <w:sz w:val="22"/>
          <w:szCs w:val="22"/>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Guarantee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(4.625%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March 31, 2023,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3.15%</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7/15/2049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0.75%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2.00%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5/12/2022</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4/15/2032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2/15/2030</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4.625%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2/15/2023</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2/15/2033</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89" w:name="page90"/>
    <w:bookmarkEnd w:id="8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760" w:hanging="269"/>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60" w:right="59" w:firstLine="431"/>
        <w:spacing w:after="0" w:line="263" w:lineRule="auto"/>
        <w:tabs>
          <w:tab w:leader="none" w:pos="69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59" w:firstLine="431"/>
        <w:spacing w:after="0" w:line="286" w:lineRule="auto"/>
        <w:tabs>
          <w:tab w:leader="none" w:pos="721"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500" w:right="59" w:firstLine="431"/>
        <w:spacing w:after="0" w:line="259" w:lineRule="auto"/>
        <w:tabs>
          <w:tab w:leader="none" w:pos="129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79" w:firstLine="431"/>
        <w:spacing w:after="0" w:line="263" w:lineRule="auto"/>
        <w:tabs>
          <w:tab w:leader="none" w:pos="12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42"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60" w:right="79" w:firstLine="431"/>
        <w:spacing w:after="0" w:line="263" w:lineRule="auto"/>
        <w:tabs>
          <w:tab w:leader="none" w:pos="75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59"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4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C. FISH, JR.</w:t>
            </w:r>
          </w:p>
        </w:tc>
      </w:tr>
      <w:tr>
        <w:trPr>
          <w:trHeight w:val="195"/>
        </w:trPr>
        <w:tc>
          <w:tcPr>
            <w:tcW w:w="36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760" w:hanging="269"/>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84" w:lineRule="exact"/>
        <w:rPr>
          <w:rFonts w:ascii="Arial" w:cs="Arial" w:eastAsia="Arial" w:hAnsi="Arial"/>
          <w:sz w:val="18"/>
          <w:szCs w:val="18"/>
          <w:color w:val="auto"/>
        </w:rPr>
      </w:pPr>
    </w:p>
    <w:p>
      <w:pPr>
        <w:jc w:val="both"/>
        <w:ind w:left="60" w:right="59" w:firstLine="431"/>
        <w:spacing w:after="0" w:line="263" w:lineRule="auto"/>
        <w:tabs>
          <w:tab w:leader="none" w:pos="7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60" w:right="59" w:firstLine="431"/>
        <w:spacing w:after="0" w:line="263" w:lineRule="auto"/>
        <w:tabs>
          <w:tab w:leader="none" w:pos="6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0" w:right="59" w:firstLine="431"/>
        <w:spacing w:after="0" w:line="286" w:lineRule="auto"/>
        <w:tabs>
          <w:tab w:leader="none" w:pos="72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500" w:right="59" w:firstLine="431"/>
        <w:spacing w:after="0" w:line="259" w:lineRule="auto"/>
        <w:tabs>
          <w:tab w:leader="none" w:pos="12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500" w:right="59" w:firstLine="431"/>
        <w:spacing w:after="0" w:line="259" w:lineRule="auto"/>
        <w:tabs>
          <w:tab w:leader="none" w:pos="12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500" w:right="79" w:firstLine="431"/>
        <w:spacing w:after="0" w:line="263" w:lineRule="auto"/>
        <w:tabs>
          <w:tab w:leader="none" w:pos="1283"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500" w:right="59" w:firstLine="431"/>
        <w:spacing w:after="0" w:line="259" w:lineRule="auto"/>
        <w:tabs>
          <w:tab w:leader="none" w:pos="1242"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60" w:right="79" w:firstLine="431"/>
        <w:spacing w:after="0" w:line="263" w:lineRule="auto"/>
        <w:tabs>
          <w:tab w:leader="none" w:pos="7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500" w:right="59" w:firstLine="431"/>
        <w:spacing w:after="0" w:line="263" w:lineRule="auto"/>
        <w:tabs>
          <w:tab w:leader="none" w:pos="1259"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79" w:firstLine="431"/>
        <w:spacing w:after="0" w:line="277" w:lineRule="auto"/>
        <w:tabs>
          <w:tab w:leader="none" w:pos="124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80" w:type="dxa"/>
            <w:vAlign w:val="bottom"/>
          </w:tcPr>
          <w:p>
            <w:pPr>
              <w:spacing w:after="0"/>
              <w:rPr>
                <w:sz w:val="16"/>
                <w:szCs w:val="16"/>
                <w:color w:val="auto"/>
              </w:rPr>
            </w:pPr>
          </w:p>
        </w:tc>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2023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C. FISH, JR.</w:t>
            </w:r>
          </w:p>
        </w:tc>
      </w:tr>
      <w:tr>
        <w:trPr>
          <w:trHeight w:val="195"/>
        </w:trPr>
        <w:tc>
          <w:tcPr>
            <w:tcW w:w="3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2023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500" w:right="59" w:firstLine="431"/>
        <w:spacing w:after="0" w:line="277" w:lineRule="auto"/>
        <w:tabs>
          <w:tab w:leader="none" w:pos="12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500" w:right="79" w:firstLine="431"/>
        <w:spacing w:after="0" w:line="277" w:lineRule="auto"/>
        <w:tabs>
          <w:tab w:leader="none" w:pos="11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00" w:type="dxa"/>
            <w:vAlign w:val="bottom"/>
          </w:tcPr>
          <w:p>
            <w:pPr>
              <w:spacing w:after="0"/>
              <w:rPr>
                <w:sz w:val="16"/>
                <w:szCs w:val="16"/>
                <w:color w:val="auto"/>
              </w:rPr>
            </w:pPr>
          </w:p>
        </w:tc>
        <w:tc>
          <w:tcPr>
            <w:tcW w:w="4140" w:type="dxa"/>
            <w:vAlign w:val="bottom"/>
          </w:tcPr>
          <w:p>
            <w:pPr>
              <w:ind w:left="148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During the quarter ended March 31, 2023,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In addition, during the quarter ended March 31, 2023,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2"/>
    </w:lvl>
  </w:abstractNum>
  <w:abstractNum w:abstractNumId="3">
    <w:nsid w:val="7644A45C"/>
    <w:multiLevelType w:val="hybridMultilevel"/>
    <w:lvl w:ilvl="0">
      <w:lvlJc w:val="left"/>
      <w:lvlText w:val="%1."/>
      <w:numFmt w:val="decimal"/>
      <w:start w:val="3"/>
    </w:lvl>
  </w:abstractNum>
  <w:abstractNum w:abstractNumId="4">
    <w:nsid w:val="32FFF902"/>
    <w:multiLevelType w:val="hybridMultilevel"/>
    <w:lvl w:ilvl="0">
      <w:lvlJc w:val="left"/>
      <w:lvlText w:val="(%1)"/>
      <w:numFmt w:val="lowerLetter"/>
      <w:start w:val="1"/>
    </w:lvl>
  </w:abstractNum>
  <w:abstractNum w:abstractNumId="5">
    <w:nsid w:val="684A481A"/>
    <w:multiLevelType w:val="hybridMultilevel"/>
    <w:lvl w:ilvl="0">
      <w:lvlJc w:val="left"/>
      <w:lvlText w:val="(%1)"/>
      <w:numFmt w:val="lowerRoman"/>
      <w:start w:val="1"/>
    </w:lvl>
  </w:abstractNum>
  <w:abstractNum w:abstractNumId="6">
    <w:nsid w:val="579478FE"/>
    <w:multiLevelType w:val="hybridMultilevel"/>
    <w:lvl w:ilvl="0">
      <w:lvlJc w:val="left"/>
      <w:lvlText w:val="%1."/>
      <w:numFmt w:val="decimal"/>
      <w:start w:val="4"/>
    </w:lvl>
  </w:abstractNum>
  <w:abstractNum w:abstractNumId="7">
    <w:nsid w:val="749ABB43"/>
    <w:multiLevelType w:val="hybridMultilevel"/>
    <w:lvl w:ilvl="0">
      <w:lvlJc w:val="left"/>
      <w:lvlText w:val="%1."/>
      <w:numFmt w:val="decimal"/>
      <w:start w:val="5"/>
    </w:lvl>
  </w:abstractNum>
  <w:abstractNum w:abstractNumId="8">
    <w:nsid w:val="3DC240FB"/>
    <w:multiLevelType w:val="hybridMultilevel"/>
    <w:lvl w:ilvl="0">
      <w:lvlJc w:val="left"/>
      <w:lvlText w:val="%1."/>
      <w:numFmt w:val="decimal"/>
      <w:start w:val="6"/>
    </w:lvl>
  </w:abstractNum>
  <w:abstractNum w:abstractNumId="9">
    <w:nsid w:val="1BA026FA"/>
    <w:multiLevelType w:val="hybridMultilevel"/>
    <w:lvl w:ilvl="0">
      <w:lvlJc w:val="left"/>
      <w:lvlText w:val="%1."/>
      <w:numFmt w:val="decimal"/>
      <w:start w:val="7"/>
    </w:lvl>
  </w:abstractNum>
  <w:abstractNum w:abstractNumId="10">
    <w:nsid w:val="79A1DEAA"/>
    <w:multiLevelType w:val="hybridMultilevel"/>
    <w:lvl w:ilvl="0">
      <w:lvlJc w:val="left"/>
      <w:lvlText w:val="(%1)"/>
      <w:numFmt w:val="lowerLetter"/>
      <w:start w:val="1"/>
    </w:lvl>
  </w:abstractNum>
  <w:abstractNum w:abstractNumId="11">
    <w:nsid w:val="75C6C33A"/>
    <w:multiLevelType w:val="hybridMultilevel"/>
    <w:lvl w:ilvl="0">
      <w:lvlJc w:val="left"/>
      <w:lvlText w:val="(%1)"/>
      <w:numFmt w:val="lowerLetter"/>
      <w:start w:val="3"/>
    </w:lvl>
  </w:abstractNum>
  <w:abstractNum w:abstractNumId="12">
    <w:nsid w:val="12E685FB"/>
    <w:multiLevelType w:val="hybridMultilevel"/>
    <w:lvl w:ilvl="0">
      <w:lvlJc w:val="left"/>
      <w:lvlText w:val="(%1)"/>
      <w:numFmt w:val="lowerLetter"/>
      <w:start w:val="1"/>
    </w:lvl>
  </w:abstractNum>
  <w:abstractNum w:abstractNumId="13">
    <w:nsid w:val="70C6A529"/>
    <w:multiLevelType w:val="hybridMultilevel"/>
    <w:lvl w:ilvl="0">
      <w:lvlJc w:val="left"/>
      <w:lvlText w:val="(%1)"/>
      <w:numFmt w:val="lowerLetter"/>
      <w:start w:val="1"/>
    </w:lvl>
  </w:abstractNum>
  <w:abstractNum w:abstractNumId="14">
    <w:nsid w:val="520EEDD1"/>
    <w:multiLevelType w:val="hybridMultilevel"/>
    <w:lvl w:ilvl="0">
      <w:lvlJc w:val="left"/>
      <w:lvlText w:val="●"/>
      <w:numFmt w:val="bullet"/>
      <w:start w:val="1"/>
    </w:lvl>
    <w:lvl w:ilvl="1">
      <w:lvlJc w:val="left"/>
      <w:lvlText w:val="(%2)"/>
      <w:numFmt w:val="lowerRoman"/>
      <w:start w:val="2"/>
    </w:lvl>
  </w:abstractNum>
  <w:abstractNum w:abstractNumId="15">
    <w:nsid w:val="374A3FE6"/>
    <w:multiLevelType w:val="hybridMultilevel"/>
    <w:lvl w:ilvl="0">
      <w:lvlJc w:val="left"/>
      <w:lvlText w:val="(%1)"/>
      <w:numFmt w:val="lowerLetter"/>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1)"/>
      <w:numFmt w:val="lowerLetter"/>
      <w:start w:val="1"/>
    </w:lvl>
  </w:abstractNum>
  <w:abstractNum w:abstractNumId="18">
    <w:nsid w:val="649BB77C"/>
    <w:multiLevelType w:val="hybridMultilevel"/>
    <w:lvl w:ilvl="0">
      <w:lvlJc w:val="left"/>
      <w:lvlText w:val="(%1)"/>
      <w:numFmt w:val="lowerLetter"/>
      <w:start w:val="1"/>
    </w:lvl>
  </w:abstractNum>
  <w:abstractNum w:abstractNumId="19">
    <w:nsid w:val="275AC794"/>
    <w:multiLevelType w:val="hybridMultilevel"/>
    <w:lvl w:ilvl="0">
      <w:lvlJc w:val="left"/>
      <w:lvlText w:val="(%1)"/>
      <w:numFmt w:val="lowerRoman"/>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lowerLetter"/>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lowerLetter"/>
      <w:start w:val="1"/>
    </w:lvl>
  </w:abstractNum>
  <w:abstractNum w:abstractNumId="26">
    <w:nsid w:val="15B5AF5C"/>
    <w:multiLevelType w:val="hybridMultilevel"/>
    <w:lvl w:ilvl="0">
      <w:lvlJc w:val="left"/>
      <w:lvlText w:val="(%1)"/>
      <w:numFmt w:val="lowerLetter"/>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9"/>
    </w:lvl>
    <w:lvl w:ilvl="1">
      <w:lvlJc w:val="left"/>
      <w:lvlText w:val="(%2)"/>
      <w:numFmt w:val="decimal"/>
      <w:start w:val="1"/>
    </w:lvl>
  </w:abstractNum>
  <w:abstractNum w:abstractNumId="31">
    <w:nsid w:val="61574095"/>
    <w:multiLevelType w:val="hybridMultilevel"/>
    <w:lvl w:ilvl="0">
      <w:lvlJc w:val="left"/>
      <w:lvlText w:val="(%1)"/>
      <w:numFmt w:val="decimal"/>
      <w:start w:val="10"/>
    </w:lvl>
  </w:abstractNum>
  <w:abstractNum w:abstractNumId="32">
    <w:nsid w:val="7E0C57B1"/>
    <w:multiLevelType w:val="hybridMultilevel"/>
    <w:lvl w:ilvl="0">
      <w:lvlJc w:val="left"/>
      <w:lvlText w:val="(%1)"/>
      <w:numFmt w:val="decimal"/>
      <w:start w:val="16"/>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1."/>
      <w:numFmt w:val="decimal"/>
      <w:start w:val="2"/>
    </w:lvl>
  </w:abstractNum>
  <w:abstractNum w:abstractNumId="35">
    <w:nsid w:val="310C50B3"/>
    <w:multiLevelType w:val="hybridMultilevel"/>
    <w:lvl w:ilvl="0">
      <w:lvlJc w:val="left"/>
      <w:lvlText w:val="%1."/>
      <w:numFmt w:val="decimal"/>
      <w:start w:val="3"/>
    </w:lvl>
  </w:abstractNum>
  <w:abstractNum w:abstractNumId="36">
    <w:nsid w:val="5FF87E05"/>
    <w:multiLevelType w:val="hybridMultilevel"/>
    <w:lvl w:ilvl="0">
      <w:lvlJc w:val="left"/>
      <w:lvlText w:val="%1."/>
      <w:numFmt w:val="decimal"/>
      <w:start w:val="4"/>
    </w:lvl>
  </w:abstractNum>
  <w:abstractNum w:abstractNumId="37">
    <w:nsid w:val="2F305DEF"/>
    <w:multiLevelType w:val="hybridMultilevel"/>
    <w:lvl w:ilvl="0">
      <w:lvlJc w:val="left"/>
      <w:lvlText w:val="%1."/>
      <w:numFmt w:val="decimal"/>
      <w:start w:val="5"/>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6"/>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7"/>
    </w:lvl>
  </w:abstractNum>
  <w:abstractNum w:abstractNumId="42">
    <w:nsid w:val="1381823A"/>
    <w:multiLevelType w:val="hybridMultilevel"/>
    <w:lvl w:ilvl="0">
      <w:lvlJc w:val="left"/>
      <w:lvlText w:val="%1."/>
      <w:numFmt w:val="decimal"/>
      <w:start w:val="8"/>
    </w:lvl>
  </w:abstractNum>
  <w:abstractNum w:abstractNumId="43">
    <w:nsid w:val="5DB70AE5"/>
    <w:multiLevelType w:val="hybridMultilevel"/>
    <w:lvl w:ilvl="0">
      <w:lvlJc w:val="left"/>
      <w:lvlText w:val="%1."/>
      <w:numFmt w:val="decimal"/>
      <w:start w:val="9"/>
    </w:lvl>
  </w:abstractNum>
  <w:abstractNum w:abstractNumId="44">
    <w:nsid w:val="100F8FCA"/>
    <w:multiLevelType w:val="hybridMultilevel"/>
    <w:lvl w:ilvl="0">
      <w:lvlJc w:val="left"/>
      <w:lvlText w:val="%1."/>
      <w:numFmt w:val="decimal"/>
      <w:start w:val="10"/>
    </w:lvl>
  </w:abstractNum>
  <w:abstractNum w:abstractNumId="45">
    <w:nsid w:val="6590700B"/>
    <w:multiLevelType w:val="hybridMultilevel"/>
    <w:lvl w:ilvl="0">
      <w:lvlJc w:val="left"/>
      <w:lvlText w:val="%1."/>
      <w:numFmt w:val="decimal"/>
      <w:start w:val="11"/>
    </w:lvl>
  </w:abstractNum>
  <w:abstractNum w:abstractNumId="46">
    <w:nsid w:val="15014ACB"/>
    <w:multiLevelType w:val="hybridMultilevel"/>
    <w:lvl w:ilvl="0">
      <w:lvlJc w:val="left"/>
      <w:lvlText w:val="%1."/>
      <w:numFmt w:val="decimal"/>
      <w:start w:val="12"/>
    </w:lvl>
  </w:abstractNum>
  <w:abstractNum w:abstractNumId="47">
    <w:nsid w:val="5F5E7FD0"/>
    <w:multiLevelType w:val="hybridMultilevel"/>
    <w:lvl w:ilvl="0">
      <w:lvlJc w:val="left"/>
      <w:lvlText w:val="%1."/>
      <w:numFmt w:val="decimal"/>
      <w:start w:val="13"/>
    </w:lvl>
  </w:abstractNum>
  <w:abstractNum w:abstractNumId="48">
    <w:nsid w:val="98A3148"/>
    <w:multiLevelType w:val="hybridMultilevel"/>
    <w:lvl w:ilvl="0">
      <w:lvlJc w:val="left"/>
      <w:lvlText w:val="%1."/>
      <w:numFmt w:val="decimal"/>
      <w:start w:val="14"/>
    </w:lvl>
  </w:abstractNum>
  <w:abstractNum w:abstractNumId="49">
    <w:nsid w:val="799D0247"/>
    <w:multiLevelType w:val="hybridMultilevel"/>
    <w:lvl w:ilvl="0">
      <w:lvlJc w:val="left"/>
      <w:lvlText w:val="%1."/>
      <w:numFmt w:val="decimal"/>
      <w:start w:val="15"/>
    </w:lvl>
  </w:abstractNum>
  <w:abstractNum w:abstractNumId="50">
    <w:nsid w:val="6B94764"/>
    <w:multiLevelType w:val="hybridMultilevel"/>
    <w:lvl w:ilvl="0">
      <w:lvlJc w:val="left"/>
      <w:lvlText w:val="%1."/>
      <w:numFmt w:val="decimal"/>
      <w:start w:val="16"/>
    </w:lvl>
  </w:abstractNum>
  <w:abstractNum w:abstractNumId="51">
    <w:nsid w:val="42C296BD"/>
    <w:multiLevelType w:val="hybridMultilevel"/>
    <w:lvl w:ilvl="0">
      <w:lvlJc w:val="left"/>
      <w:lvlText w:val="%1."/>
      <w:numFmt w:val="decimal"/>
      <w:start w:val="17"/>
    </w:lvl>
  </w:abstractNum>
  <w:abstractNum w:abstractNumId="52">
    <w:nsid w:val="168E121F"/>
    <w:multiLevelType w:val="hybridMultilevel"/>
    <w:lvl w:ilvl="0">
      <w:lvlJc w:val="left"/>
      <w:lvlText w:val="%1."/>
      <w:numFmt w:val="decimal"/>
      <w:start w:val="18"/>
    </w:lvl>
  </w:abstractNum>
  <w:abstractNum w:abstractNumId="53">
    <w:nsid w:val="1EBA5D23"/>
    <w:multiLevelType w:val="hybridMultilevel"/>
    <w:lvl w:ilvl="0">
      <w:lvlJc w:val="left"/>
      <w:lvlText w:val="%1."/>
      <w:numFmt w:val="decimal"/>
      <w:start w:val="19"/>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9"/>
    </w:lvl>
    <w:lvl w:ilvl="1">
      <w:lvlJc w:val="left"/>
      <w:lvlText w:val="(%2)"/>
      <w:numFmt w:val="decimal"/>
      <w:start w:val="1"/>
    </w:lvl>
  </w:abstractNum>
  <w:abstractNum w:abstractNumId="57">
    <w:nsid w:val="7BD3EE7B"/>
    <w:multiLevelType w:val="hybridMultilevel"/>
    <w:lvl w:ilvl="0">
      <w:lvlJc w:val="left"/>
      <w:lvlText w:val="(%1)"/>
      <w:numFmt w:val="decimal"/>
      <w:start w:val="10"/>
    </w:lvl>
  </w:abstractNum>
  <w:abstractNum w:abstractNumId="58">
    <w:nsid w:val="51D9C564"/>
    <w:multiLevelType w:val="hybridMultilevel"/>
    <w:lvl w:ilvl="0">
      <w:lvlJc w:val="left"/>
      <w:lvlText w:val="(%1)"/>
      <w:numFmt w:val="decimal"/>
      <w:start w:val="16"/>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2"/>
    </w:lvl>
  </w:abstractNum>
  <w:abstractNum w:abstractNumId="61">
    <w:nsid w:val="11447B73"/>
    <w:multiLevelType w:val="hybridMultilevel"/>
    <w:lvl w:ilvl="0">
      <w:lvlJc w:val="left"/>
      <w:lvlText w:val="%1."/>
      <w:numFmt w:val="decimal"/>
      <w:start w:val="3"/>
    </w:lvl>
  </w:abstractNum>
  <w:abstractNum w:abstractNumId="62">
    <w:nsid w:val="42963E5A"/>
    <w:multiLevelType w:val="hybridMultilevel"/>
    <w:lvl w:ilvl="0">
      <w:lvlJc w:val="left"/>
      <w:lvlText w:val="%1."/>
      <w:numFmt w:val="decimal"/>
      <w:start w:val="4"/>
    </w:lvl>
  </w:abstractNum>
  <w:abstractNum w:abstractNumId="63">
    <w:nsid w:val="A0382C5"/>
    <w:multiLevelType w:val="hybridMultilevel"/>
    <w:lvl w:ilvl="0">
      <w:lvlJc w:val="left"/>
      <w:lvlText w:val="%1."/>
      <w:numFmt w:val="decimal"/>
      <w:start w:val="5"/>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1."/>
      <w:numFmt w:val="decimal"/>
      <w:start w:val="6"/>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1."/>
      <w:numFmt w:val="decimal"/>
      <w:start w:val="7"/>
    </w:lvl>
  </w:abstractNum>
  <w:abstractNum w:abstractNumId="68">
    <w:nsid w:val="4962813B"/>
    <w:multiLevelType w:val="hybridMultilevel"/>
    <w:lvl w:ilvl="0">
      <w:lvlJc w:val="left"/>
      <w:lvlText w:val="%1."/>
      <w:numFmt w:val="decimal"/>
      <w:start w:val="8"/>
    </w:lvl>
  </w:abstractNum>
  <w:abstractNum w:abstractNumId="69">
    <w:nsid w:val="60B6DF70"/>
    <w:multiLevelType w:val="hybridMultilevel"/>
    <w:lvl w:ilvl="0">
      <w:lvlJc w:val="left"/>
      <w:lvlText w:val="%1."/>
      <w:numFmt w:val="decimal"/>
      <w:start w:val="9"/>
    </w:lvl>
  </w:abstractNum>
  <w:abstractNum w:abstractNumId="70">
    <w:nsid w:val="6A5EE64"/>
    <w:multiLevelType w:val="hybridMultilevel"/>
    <w:lvl w:ilvl="0">
      <w:lvlJc w:val="left"/>
      <w:lvlText w:val="%1."/>
      <w:numFmt w:val="decimal"/>
      <w:start w:val="10"/>
    </w:lvl>
  </w:abstractNum>
  <w:abstractNum w:abstractNumId="71">
    <w:nsid w:val="14330624"/>
    <w:multiLevelType w:val="hybridMultilevel"/>
    <w:lvl w:ilvl="0">
      <w:lvlJc w:val="left"/>
      <w:lvlText w:val="%1."/>
      <w:numFmt w:val="decimal"/>
      <w:start w:val="11"/>
    </w:lvl>
  </w:abstractNum>
  <w:abstractNum w:abstractNumId="72">
    <w:nsid w:val="7FFFCA11"/>
    <w:multiLevelType w:val="hybridMultilevel"/>
    <w:lvl w:ilvl="0">
      <w:lvlJc w:val="left"/>
      <w:lvlText w:val="%1."/>
      <w:numFmt w:val="decimal"/>
      <w:start w:val="12"/>
    </w:lvl>
  </w:abstractNum>
  <w:abstractNum w:abstractNumId="73">
    <w:nsid w:val="1A27709E"/>
    <w:multiLevelType w:val="hybridMultilevel"/>
    <w:lvl w:ilvl="0">
      <w:lvlJc w:val="left"/>
      <w:lvlText w:val="%1."/>
      <w:numFmt w:val="decimal"/>
      <w:start w:val="13"/>
    </w:lvl>
  </w:abstractNum>
  <w:abstractNum w:abstractNumId="74">
    <w:nsid w:val="71EA1109"/>
    <w:multiLevelType w:val="hybridMultilevel"/>
    <w:lvl w:ilvl="0">
      <w:lvlJc w:val="left"/>
      <w:lvlText w:val="%1."/>
      <w:numFmt w:val="decimal"/>
      <w:start w:val="14"/>
    </w:lvl>
  </w:abstractNum>
  <w:abstractNum w:abstractNumId="75">
    <w:nsid w:val="100F59DC"/>
    <w:multiLevelType w:val="hybridMultilevel"/>
    <w:lvl w:ilvl="0">
      <w:lvlJc w:val="left"/>
      <w:lvlText w:val="%1."/>
      <w:numFmt w:val="decimal"/>
      <w:start w:val="15"/>
    </w:lvl>
  </w:abstractNum>
  <w:abstractNum w:abstractNumId="76">
    <w:nsid w:val="7FB7E0AA"/>
    <w:multiLevelType w:val="hybridMultilevel"/>
    <w:lvl w:ilvl="0">
      <w:lvlJc w:val="left"/>
      <w:lvlText w:val="%1."/>
      <w:numFmt w:val="decimal"/>
      <w:start w:val="16"/>
    </w:lvl>
  </w:abstractNum>
  <w:abstractNum w:abstractNumId="77">
    <w:nsid w:val="6EB5BD4"/>
    <w:multiLevelType w:val="hybridMultilevel"/>
    <w:lvl w:ilvl="0">
      <w:lvlJc w:val="left"/>
      <w:lvlText w:val="%1."/>
      <w:numFmt w:val="decimal"/>
      <w:start w:val="17"/>
    </w:lvl>
  </w:abstractNum>
  <w:abstractNum w:abstractNumId="78">
    <w:nsid w:val="6F6DD9AC"/>
    <w:multiLevelType w:val="hybridMultilevel"/>
    <w:lvl w:ilvl="0">
      <w:lvlJc w:val="left"/>
      <w:lvlText w:val="%1."/>
      <w:numFmt w:val="decimal"/>
      <w:start w:val="18"/>
    </w:lvl>
  </w:abstractNum>
  <w:abstractNum w:abstractNumId="79">
    <w:nsid w:val="94211F2"/>
    <w:multiLevelType w:val="hybridMultilevel"/>
    <w:lvl w:ilvl="0">
      <w:lvlJc w:val="left"/>
      <w:lvlText w:val="%1."/>
      <w:numFmt w:val="decimal"/>
      <w:start w:val="19"/>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Roman"/>
      <w:start w:val="1"/>
    </w:lvl>
  </w:abstractNum>
  <w:abstractNum w:abstractNumId="82">
    <w:nsid w:val="4C04A8AF"/>
    <w:multiLevelType w:val="hybridMultilevel"/>
    <w:lvl w:ilvl="0">
      <w:lvlJc w:val="left"/>
      <w:lvlText w:val="(%1)"/>
      <w:numFmt w:val="lowerRoman"/>
      <w:start w:val="4"/>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lowerRoman"/>
      <w:start w:val="1"/>
    </w:lvl>
  </w:abstractNum>
  <w:abstractNum w:abstractNumId="86">
    <w:nsid w:val="74DE0EE3"/>
    <w:multiLevelType w:val="hybridMultilevel"/>
    <w:lvl w:ilvl="0">
      <w:lvlJc w:val="left"/>
      <w:lvlText w:val="(%1)"/>
      <w:numFmt w:val="lowerRoman"/>
      <w:start w:val="4"/>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51" Type="http://schemas.openxmlformats.org/officeDocument/2006/relationships/hyperlink" Target="https://www.sec.gov/Archives/edgar/data/823768/000110465923030666/tm23896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2023-04-27T14:14:22Z</dcterms:created>
  <dcterms:modified xsi:type="dcterms:W3CDTF">2023-04-27T14:14:22Z</dcterms:modified>
</cp:coreProperties>
</file>