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12,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 Item 8.01 Other Events.</w:t>
      </w:r>
    </w:p>
    <w:p>
      <w:pPr>
        <w:spacing w:after="0" w:line="121"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On November 12, 2009, Waste Management, Inc. (the “Company”) commenced an underwritten public offering of $600,000,000 aggregate principal amount of its 6.125% Senior Notes due 2039 (the “Notes”) under the Company’s Registration Statement on Form S-3 (No. 333-162059) (the “Registration Statement”). The Notes, which will be fully and unconditionally guaranteed by our wholly-owned subsidiary Waste Management Holdings, Inc. (“WM Holdings”), were sold pursuant to an underwriting agreement (the “Underwriting Agreement”) entered into on November 12, 2009 by the Company, WM Holdings and BNP Paribas Securities Corp., J.P. Morgan Securities, Inc., Scotia Capital (USA) Inc. and Wells Fargo Securities, LLC as representatives of the several underwriters set forth therein. The Notes will be issued under an indenture dated as of September 10, 1997, between the Company and The Bank of New York Mellon Trust Company, N.A. (successor by merger to Texas Commerce Bank National Association), as trustee (the “Indenture”). Closing of the issuance and sale of the Notes is scheduled to occur on November 17, 2009. Certain of the underwriters and their respective affiliates have, from time to time, performed, and may in the future perform, various financial advisory and investment banking services for us, for which they have received or will receive customary fees and expense reimbursements. The underwriting agreement includes the terms and conditions for the Notes, indemnification and contribution obligations, and other terms and conditions customary in agreements of this type. The terms of the Notes and the guarantee by WM Holdings are further described in the prospectus supplement dated November 12, 2009, as filed by the Company with the SEC on November 13, 2009, which description is incorporated herein by reference. The exhibits filed herewith are filed pursuant to the Registration Statement pursuant to Item 601 of Regulation S-K and are included as exhibits to this current report and are incorporated herein by reference. The descriptions of the documents described herein are qualified in their entirety by the full text of such documents, which are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1.1 Underwriting Agreement dated November 12, 2009 by and among the Company, WM Holdings and BNP Paribas Securities Corp., J.P. Morgan Securities, Inc., Scotia Capital (USA) Inc. and Wells Fargo Securities, LLC as representatives of the several Underwriters named therein.</w:t>
      </w:r>
    </w:p>
    <w:p>
      <w:pPr>
        <w:spacing w:after="0" w:line="3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4.1 Indenture dated September 10, 1997 by and between the Company and The Bank of New York Mellon Trust Company, N.A. (successor by merger to Texas Commerce Bank National Association), as Trustee, relating to senior debt securities of the Company (incorporated by reference to Exhibit 4.1 to Current Report on Form 8-K filed September 24, 1997).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4.2 Form of Officers’ Certificate delivered pursuant to Section 3.01 of the Indenture establishing the terms and form of the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 Form of Note (included in Exhibit 4.2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4.4 Form of Guarantee Agreement by WM Holding in favor of the holders of Waste Management, Inc.’s 6.125% Senior Notes due 2039.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5.1 Opinion of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16, 2009</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Cherie C. Rice</w:t>
            </w:r>
          </w:p>
        </w:tc>
        <w:tc>
          <w:tcPr>
            <w:tcW w:w="1680" w:type="dxa"/>
            <w:vAlign w:val="bottom"/>
          </w:tcPr>
          <w:p>
            <w:pPr>
              <w:spacing w:after="0"/>
              <w:rPr>
                <w:sz w:val="24"/>
                <w:szCs w:val="24"/>
                <w:color w:val="auto"/>
              </w:rPr>
            </w:pPr>
          </w:p>
        </w:tc>
      </w:tr>
      <w:tr>
        <w:trPr>
          <w:trHeight w:val="224"/>
        </w:trPr>
        <w:tc>
          <w:tcPr>
            <w:tcW w:w="3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Cherie C. Rice, VP — Finance &amp; Treasurer</w:t>
            </w:r>
          </w:p>
        </w:tc>
        <w:tc>
          <w:tcPr>
            <w:tcW w:w="1680" w:type="dxa"/>
            <w:vAlign w:val="bottom"/>
          </w:tcPr>
          <w:p>
            <w:pPr>
              <w:spacing w:after="0"/>
              <w:rPr>
                <w:sz w:val="19"/>
                <w:szCs w:val="19"/>
                <w:color w:val="auto"/>
              </w:rPr>
            </w:pPr>
          </w:p>
        </w:tc>
      </w:tr>
      <w:tr>
        <w:trPr>
          <w:trHeight w:val="1049"/>
        </w:trPr>
        <w:tc>
          <w:tcPr>
            <w:tcW w:w="36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1.1 Underwriting Agreement dated November 12, 2009 by and among the Company, WM Holdings and BNP Paribas Securities Corp., J.P. Morgan Securities, Inc., Scotia Capital (USA) Inc. and Wells Fargo Securities, LLC as representatives of the several Underwriters named therein.</w:t>
      </w:r>
    </w:p>
    <w:p>
      <w:pPr>
        <w:spacing w:after="0" w:line="3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4.1 Indenture dated September 10, 1997 by and between the Company and The Bank of New York Mellon Trust Company, N.A. (successor by merger to Texas Commerce Bank National Association), as Trustee, relating to senior debt securities of the Company (incorporated by reference to Exhibit 4.1 to Current Report on Form 8-K filed September 24, 1997).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4.2 Form of Officers’ Certificate delivered pursuant to Section 3.01 of the Indenture establishing the terms and form of the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 Form of Note (included in Exhibit 4.2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 Form of Guarantee Agreement by WM Holding in favor of the holders of Waste Management, Inc.’s 6.125% Senior Notes due 2039.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Baker Botts L.L.P.</w:t>
      </w:r>
    </w:p>
    <w:p>
      <w:pPr>
        <w:sectPr>
          <w:pgSz w:w="11900" w:h="16838" w:orient="portrait"/>
          <w:cols w:equalWidth="0" w:num="1">
            <w:col w:w="11400"/>
          </w:cols>
          <w:pgMar w:left="240" w:top="958"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6.125% Senior Notes due 2039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12,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 II 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Waste Management, Inc., a corporation organized under the laws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sell to the several underwriters named in Schedule II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are acting as representatives, the principal amounts of its securities identified in Schedule I hereto (the “</w:t>
      </w:r>
      <w:r>
        <w:rPr>
          <w:rFonts w:ascii="Arial" w:cs="Arial" w:eastAsia="Arial" w:hAnsi="Arial"/>
          <w:sz w:val="17"/>
          <w:szCs w:val="17"/>
          <w:u w:val="single" w:color="auto"/>
          <w:color w:val="auto"/>
        </w:rPr>
        <w:t>Notes</w:t>
      </w:r>
      <w:r>
        <w:rPr>
          <w:rFonts w:ascii="Arial" w:cs="Arial" w:eastAsia="Arial" w:hAnsi="Arial"/>
          <w:sz w:val="17"/>
          <w:szCs w:val="17"/>
          <w:color w:val="auto"/>
        </w:rPr>
        <w:t>”),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dated as of September 10, 1997, between the Company and The Bank of New York Mellon Trust Company, N.A. (as the current successor to Texas Commerce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to be guaranteed on a senior unsecured basis (the “</w:t>
      </w:r>
      <w:r>
        <w:rPr>
          <w:rFonts w:ascii="Arial" w:cs="Arial" w:eastAsia="Arial" w:hAnsi="Arial"/>
          <w:sz w:val="17"/>
          <w:szCs w:val="17"/>
          <w:u w:val="single" w:color="auto"/>
          <w:color w:val="auto"/>
        </w:rPr>
        <w:t>Guarantee</w:t>
      </w:r>
      <w:r>
        <w:rPr>
          <w:rFonts w:ascii="Arial" w:cs="Arial" w:eastAsia="Arial" w:hAnsi="Arial"/>
          <w:sz w:val="17"/>
          <w:szCs w:val="17"/>
          <w:color w:val="auto"/>
        </w:rPr>
        <w:t>”) by Waste Management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pursuant to a guarantee (the “</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 favor of the holders of the Notes to be dated as of the Closing Date (as defined in Section 3 hereof). The Notes and the Guarantee are sometimes referred to herein collectively as the “</w:t>
      </w:r>
      <w:r>
        <w:rPr>
          <w:rFonts w:ascii="Arial" w:cs="Arial" w:eastAsia="Arial" w:hAnsi="Arial"/>
          <w:sz w:val="17"/>
          <w:szCs w:val="17"/>
          <w:u w:val="single" w:color="auto"/>
          <w:color w:val="auto"/>
        </w:rPr>
        <w:t>Securities</w:t>
      </w:r>
      <w:r>
        <w:rPr>
          <w:rFonts w:ascii="Arial" w:cs="Arial" w:eastAsia="Arial" w:hAnsi="Arial"/>
          <w:sz w:val="17"/>
          <w:szCs w:val="17"/>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80"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20" w:right="80" w:firstLine="233"/>
        <w:spacing w:after="0" w:line="277" w:lineRule="auto"/>
        <w:tabs>
          <w:tab w:leader="none" w:pos="38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62" w:lineRule="exact"/>
        <w:rPr>
          <w:rFonts w:ascii="Arial" w:cs="Arial" w:eastAsia="Arial" w:hAnsi="Arial"/>
          <w:sz w:val="18"/>
          <w:szCs w:val="18"/>
          <w:color w:val="auto"/>
        </w:rPr>
      </w:pPr>
    </w:p>
    <w:p>
      <w:pPr>
        <w:ind w:left="220" w:right="20" w:firstLine="221"/>
        <w:spacing w:after="0" w:line="289" w:lineRule="auto"/>
        <w:tabs>
          <w:tab w:leader="none" w:pos="69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333-162059) on Form S-3, including a related basic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58" w:lineRule="exact"/>
        <w:rPr>
          <w:rFonts w:ascii="Arial" w:cs="Arial" w:eastAsia="Arial" w:hAnsi="Arial"/>
          <w:sz w:val="16"/>
          <w:szCs w:val="16"/>
          <w:color w:val="auto"/>
        </w:rPr>
      </w:pPr>
    </w:p>
    <w:p>
      <w:pPr>
        <w:ind w:left="220" w:firstLine="221"/>
        <w:spacing w:after="0" w:line="286" w:lineRule="auto"/>
        <w:tabs>
          <w:tab w:leader="none" w:pos="70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in order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66" w:lineRule="exact"/>
        <w:rPr>
          <w:rFonts w:ascii="Arial" w:cs="Arial" w:eastAsia="Arial" w:hAnsi="Arial"/>
          <w:sz w:val="16"/>
          <w:szCs w:val="16"/>
          <w:color w:val="auto"/>
        </w:rPr>
      </w:pPr>
    </w:p>
    <w:p>
      <w:pPr>
        <w:ind w:left="220" w:right="180" w:firstLine="221"/>
        <w:spacing w:after="0" w:line="277" w:lineRule="auto"/>
        <w:tabs>
          <w:tab w:leader="none" w:pos="69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Time of Sale Information, at the Time of Sale did not, and at the Closing Date will not, contain any untrue statement of a material fact or omit to state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7" w:name="page8"/>
    <w:bookmarkEnd w:id="7"/>
    <w:p>
      <w:pPr>
        <w:ind w:right="220"/>
        <w:spacing w:after="0" w:line="297" w:lineRule="auto"/>
        <w:rPr>
          <w:sz w:val="20"/>
          <w:szCs w:val="20"/>
          <w:color w:val="auto"/>
        </w:rPr>
      </w:pPr>
      <w:r>
        <w:rPr>
          <w:rFonts w:ascii="Arial" w:cs="Arial" w:eastAsia="Arial" w:hAnsi="Arial"/>
          <w:sz w:val="16"/>
          <w:szCs w:val="16"/>
          <w:color w:val="auto"/>
        </w:rPr>
        <w:t>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50" w:lineRule="exact"/>
        <w:rPr>
          <w:sz w:val="20"/>
          <w:szCs w:val="20"/>
          <w:color w:val="auto"/>
        </w:rPr>
      </w:pPr>
    </w:p>
    <w:p>
      <w:pPr>
        <w:ind w:firstLine="221"/>
        <w:spacing w:after="0" w:line="286"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66" w:lineRule="exact"/>
        <w:rPr>
          <w:rFonts w:ascii="Arial" w:cs="Arial" w:eastAsia="Arial" w:hAnsi="Arial"/>
          <w:sz w:val="16"/>
          <w:szCs w:val="16"/>
          <w:color w:val="auto"/>
        </w:rPr>
      </w:pPr>
    </w:p>
    <w:p>
      <w:pPr>
        <w:ind w:right="100" w:firstLine="221"/>
        <w:spacing w:after="0" w:line="271" w:lineRule="auto"/>
        <w:tabs>
          <w:tab w:leader="none" w:pos="47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8" w:name="page9"/>
    <w:bookmarkEnd w:id="8"/>
    <w:p>
      <w:pPr>
        <w:ind w:firstLine="221"/>
        <w:spacing w:after="0" w:line="255"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85" w:lineRule="exact"/>
        <w:rPr>
          <w:rFonts w:ascii="Arial" w:cs="Arial" w:eastAsia="Arial" w:hAnsi="Arial"/>
          <w:sz w:val="18"/>
          <w:szCs w:val="18"/>
          <w:color w:val="auto"/>
        </w:rPr>
      </w:pPr>
    </w:p>
    <w:p>
      <w:pPr>
        <w:ind w:firstLine="221"/>
        <w:spacing w:after="0" w:line="25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81" w:lineRule="exact"/>
        <w:rPr>
          <w:rFonts w:ascii="Arial" w:cs="Arial" w:eastAsia="Arial" w:hAnsi="Arial"/>
          <w:sz w:val="18"/>
          <w:szCs w:val="18"/>
          <w:color w:val="auto"/>
        </w:rPr>
      </w:pPr>
    </w:p>
    <w:p>
      <w:pPr>
        <w:ind w:right="80" w:firstLine="221"/>
        <w:spacing w:after="0" w:line="273"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70" w:lineRule="exact"/>
        <w:rPr>
          <w:rFonts w:ascii="Arial" w:cs="Arial" w:eastAsia="Arial" w:hAnsi="Arial"/>
          <w:sz w:val="17"/>
          <w:szCs w:val="17"/>
          <w:color w:val="auto"/>
        </w:rPr>
      </w:pPr>
    </w:p>
    <w:p>
      <w:pPr>
        <w:ind w:right="20" w:firstLine="221"/>
        <w:spacing w:after="0" w:line="293"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 w:name="page10"/>
    <w:bookmarkEnd w:id="9"/>
    <w:p>
      <w:pPr>
        <w:ind w:firstLine="221"/>
        <w:spacing w:after="0" w:line="25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80" w:lineRule="exact"/>
        <w:rPr>
          <w:rFonts w:ascii="Arial" w:cs="Arial" w:eastAsia="Arial" w:hAnsi="Arial"/>
          <w:sz w:val="18"/>
          <w:szCs w:val="18"/>
          <w:color w:val="auto"/>
        </w:rPr>
      </w:pPr>
    </w:p>
    <w:p>
      <w:pPr>
        <w:ind w:right="80" w:firstLine="221"/>
        <w:spacing w:after="0" w:line="272"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is included in the list of subsidiaries on Exhibit 21.1 of the Annual Report on Form 10-K for the year ended December 31, 2008 (the “</w:t>
      </w:r>
      <w:r>
        <w:rPr>
          <w:rFonts w:ascii="Arial" w:cs="Arial" w:eastAsia="Arial" w:hAnsi="Arial"/>
          <w:sz w:val="17"/>
          <w:szCs w:val="17"/>
          <w:u w:val="single" w:color="auto"/>
          <w:color w:val="auto"/>
        </w:rPr>
        <w:t>Subsidiaries</w:t>
      </w:r>
      <w:r>
        <w:rPr>
          <w:rFonts w:ascii="Arial" w:cs="Arial" w:eastAsia="Arial" w:hAnsi="Arial"/>
          <w:sz w:val="17"/>
          <w:szCs w:val="17"/>
          <w:color w:val="auto"/>
        </w:rPr>
        <w:t>”),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69" w:lineRule="exact"/>
        <w:rPr>
          <w:rFonts w:ascii="Arial" w:cs="Arial" w:eastAsia="Arial" w:hAnsi="Arial"/>
          <w:sz w:val="17"/>
          <w:szCs w:val="17"/>
          <w:color w:val="auto"/>
        </w:rPr>
      </w:pPr>
    </w:p>
    <w:p>
      <w:pPr>
        <w:ind w:firstLine="221"/>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8"/>
          <w:szCs w:val="18"/>
          <w:u w:val="single" w:color="auto"/>
          <w:color w:val="auto"/>
        </w:rPr>
        <w:t>Lien</w:t>
      </w:r>
      <w:r>
        <w:rPr>
          <w:rFonts w:ascii="Arial" w:cs="Arial" w:eastAsia="Arial" w:hAnsi="Arial"/>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81" w:lineRule="exact"/>
        <w:rPr>
          <w:rFonts w:ascii="Arial" w:cs="Arial" w:eastAsia="Arial" w:hAnsi="Arial"/>
          <w:sz w:val="18"/>
          <w:szCs w:val="18"/>
          <w:color w:val="auto"/>
        </w:rPr>
      </w:pPr>
    </w:p>
    <w:p>
      <w:pPr>
        <w:ind w:left="520" w:hanging="299"/>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117" w:lineRule="exact"/>
        <w:rPr>
          <w:rFonts w:ascii="Arial" w:cs="Arial" w:eastAsia="Arial" w:hAnsi="Arial"/>
          <w:sz w:val="18"/>
          <w:szCs w:val="18"/>
          <w:color w:val="auto"/>
        </w:rPr>
      </w:pPr>
    </w:p>
    <w:p>
      <w:pPr>
        <w:ind w:right="40" w:firstLine="221"/>
        <w:spacing w:after="0" w:line="29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and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0" w:name="page11"/>
    <w:bookmarkEnd w:id="10"/>
    <w:p>
      <w:pPr>
        <w:spacing w:after="0" w:line="276" w:lineRule="auto"/>
        <w:rPr>
          <w:sz w:val="20"/>
          <w:szCs w:val="20"/>
          <w:color w:val="auto"/>
        </w:rPr>
      </w:pPr>
      <w:r>
        <w:rPr>
          <w:rFonts w:ascii="Arial" w:cs="Arial" w:eastAsia="Arial" w:hAnsi="Arial"/>
          <w:sz w:val="17"/>
          <w:szCs w:val="17"/>
          <w:color w:val="auto"/>
        </w:rPr>
        <w:t>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64" w:lineRule="exact"/>
        <w:rPr>
          <w:sz w:val="20"/>
          <w:szCs w:val="20"/>
          <w:color w:val="auto"/>
        </w:rPr>
      </w:pPr>
    </w:p>
    <w:p>
      <w:pPr>
        <w:ind w:right="20" w:firstLine="221"/>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59" w:lineRule="exact"/>
        <w:rPr>
          <w:rFonts w:ascii="Arial" w:cs="Arial" w:eastAsia="Arial" w:hAnsi="Arial"/>
          <w:sz w:val="16"/>
          <w:szCs w:val="16"/>
          <w:color w:val="auto"/>
        </w:rPr>
      </w:pPr>
    </w:p>
    <w:p>
      <w:pPr>
        <w:ind w:right="80" w:firstLine="221"/>
        <w:spacing w:after="0" w:line="255"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81" w:lineRule="exact"/>
        <w:rPr>
          <w:rFonts w:ascii="Arial" w:cs="Arial" w:eastAsia="Arial" w:hAnsi="Arial"/>
          <w:sz w:val="18"/>
          <w:szCs w:val="18"/>
          <w:color w:val="auto"/>
        </w:rPr>
      </w:pPr>
    </w:p>
    <w:p>
      <w:pPr>
        <w:ind w:firstLine="221"/>
        <w:spacing w:after="0" w:line="276"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64" w:lineRule="exact"/>
        <w:rPr>
          <w:rFonts w:ascii="Arial" w:cs="Arial" w:eastAsia="Arial" w:hAnsi="Arial"/>
          <w:sz w:val="17"/>
          <w:szCs w:val="17"/>
          <w:color w:val="auto"/>
        </w:rPr>
      </w:pPr>
    </w:p>
    <w:p>
      <w:pPr>
        <w:ind w:right="20" w:firstLine="221"/>
        <w:spacing w:after="0" w:line="277"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auto"/>
        </w:rPr>
        <w:t>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62" w:lineRule="exact"/>
        <w:rPr>
          <w:sz w:val="20"/>
          <w:szCs w:val="20"/>
          <w:color w:val="auto"/>
        </w:rPr>
      </w:pPr>
    </w:p>
    <w:p>
      <w:pPr>
        <w:ind w:firstLine="221"/>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80" w:lineRule="exact"/>
        <w:rPr>
          <w:rFonts w:ascii="Arial" w:cs="Arial" w:eastAsia="Arial" w:hAnsi="Arial"/>
          <w:sz w:val="18"/>
          <w:szCs w:val="18"/>
          <w:color w:val="auto"/>
        </w:rPr>
      </w:pPr>
    </w:p>
    <w:p>
      <w:pPr>
        <w:jc w:val="both"/>
        <w:ind w:right="80" w:firstLine="221"/>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73" w:lineRule="exact"/>
        <w:rPr>
          <w:rFonts w:ascii="Arial" w:cs="Arial" w:eastAsia="Arial" w:hAnsi="Arial"/>
          <w:sz w:val="18"/>
          <w:szCs w:val="18"/>
          <w:color w:val="auto"/>
        </w:rPr>
      </w:pPr>
    </w:p>
    <w:p>
      <w:pPr>
        <w:ind w:firstLine="221"/>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8" w:lineRule="exact"/>
        <w:rPr>
          <w:rFonts w:ascii="Arial" w:cs="Arial" w:eastAsia="Arial" w:hAnsi="Arial"/>
          <w:sz w:val="18"/>
          <w:szCs w:val="18"/>
          <w:color w:val="auto"/>
        </w:rPr>
      </w:pPr>
    </w:p>
    <w:p>
      <w:pPr>
        <w:ind w:right="40" w:firstLine="221"/>
        <w:spacing w:after="0" w:line="29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59" w:lineRule="exact"/>
        <w:rPr>
          <w:rFonts w:ascii="Arial" w:cs="Arial" w:eastAsia="Arial" w:hAnsi="Arial"/>
          <w:sz w:val="16"/>
          <w:szCs w:val="16"/>
          <w:color w:val="auto"/>
        </w:rPr>
      </w:pPr>
    </w:p>
    <w:p>
      <w:pPr>
        <w:ind w:firstLine="221"/>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w:t>
      </w:r>
    </w:p>
    <w:p>
      <w:pPr>
        <w:spacing w:after="0" w:line="16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2" w:name="page13"/>
    <w:bookmarkEnd w:id="12"/>
    <w:p>
      <w:pPr>
        <w:ind w:right="360"/>
        <w:spacing w:after="0" w:line="277" w:lineRule="auto"/>
        <w:rPr>
          <w:sz w:val="20"/>
          <w:szCs w:val="20"/>
          <w:color w:val="auto"/>
        </w:rPr>
      </w:pPr>
      <w:r>
        <w:rPr>
          <w:rFonts w:ascii="Arial" w:cs="Arial" w:eastAsia="Arial" w:hAnsi="Arial"/>
          <w:sz w:val="18"/>
          <w:szCs w:val="18"/>
          <w:color w:val="auto"/>
        </w:rPr>
        <w:t>generally accepted accounting principles in the United States applied on a consistent basis throughout the periods involved (except as otherwise noted therein).</w:t>
      </w:r>
    </w:p>
    <w:p>
      <w:pPr>
        <w:spacing w:after="0" w:line="62" w:lineRule="exact"/>
        <w:rPr>
          <w:sz w:val="20"/>
          <w:szCs w:val="20"/>
          <w:color w:val="auto"/>
        </w:rPr>
      </w:pPr>
    </w:p>
    <w:p>
      <w:pPr>
        <w:ind w:right="100" w:firstLine="221"/>
        <w:spacing w:after="0" w:line="279"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Ernst &amp; Young LLP, who has certified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63" w:lineRule="exact"/>
        <w:rPr>
          <w:rFonts w:ascii="Arial" w:cs="Arial" w:eastAsia="Arial" w:hAnsi="Arial"/>
          <w:sz w:val="17"/>
          <w:szCs w:val="17"/>
          <w:color w:val="auto"/>
        </w:rPr>
      </w:pPr>
    </w:p>
    <w:p>
      <w:pPr>
        <w:ind w:right="80"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40" w:firstLine="221"/>
        <w:spacing w:after="0" w:line="259"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sz w:val="20"/>
          <w:szCs w:val="20"/>
          <w:color w:val="auto"/>
        </w:rPr>
      </w:pPr>
    </w:p>
    <w:p>
      <w:pPr>
        <w:ind w:firstLine="221"/>
        <w:spacing w:after="0" w:line="270" w:lineRule="auto"/>
        <w:tabs>
          <w:tab w:leader="none" w:pos="55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3" w:name="page14"/>
    <w:bookmarkEnd w:id="13"/>
    <w:p>
      <w:pPr>
        <w:ind w:left="4" w:right="440"/>
        <w:spacing w:after="0" w:line="277" w:lineRule="auto"/>
        <w:rPr>
          <w:sz w:val="20"/>
          <w:szCs w:val="20"/>
          <w:color w:val="auto"/>
        </w:rPr>
      </w:pPr>
      <w:r>
        <w:rPr>
          <w:rFonts w:ascii="Arial" w:cs="Arial" w:eastAsia="Arial" w:hAnsi="Arial"/>
          <w:sz w:val="18"/>
          <w:szCs w:val="18"/>
          <w:color w:val="auto"/>
        </w:rPr>
        <w:t>Adverse Effect, except as set forth or incorporated by reference in the Registration Statement, the Time of Sale Information and the Final Prospectus (exclusive of any amendment or supplement thereto).</w:t>
      </w:r>
    </w:p>
    <w:p>
      <w:pPr>
        <w:spacing w:after="0" w:line="62" w:lineRule="exact"/>
        <w:rPr>
          <w:sz w:val="20"/>
          <w:szCs w:val="20"/>
          <w:color w:val="auto"/>
        </w:rPr>
      </w:pPr>
    </w:p>
    <w:p>
      <w:pPr>
        <w:jc w:val="both"/>
        <w:ind w:left="4" w:firstLine="221"/>
        <w:spacing w:after="0" w:line="279" w:lineRule="auto"/>
        <w:tabs>
          <w:tab w:leader="none" w:pos="574"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Time of Sale Information and the Final Prospectus (exclusive of any amendment or supplement thereto).</w:t>
      </w:r>
    </w:p>
    <w:p>
      <w:pPr>
        <w:spacing w:after="0" w:line="63" w:lineRule="exact"/>
        <w:rPr>
          <w:rFonts w:ascii="Arial" w:cs="Arial" w:eastAsia="Arial" w:hAnsi="Arial"/>
          <w:sz w:val="17"/>
          <w:szCs w:val="17"/>
          <w:color w:val="auto"/>
        </w:rPr>
      </w:pPr>
    </w:p>
    <w:p>
      <w:pPr>
        <w:ind w:left="4" w:right="20" w:firstLine="221"/>
        <w:spacing w:after="0" w:line="255" w:lineRule="auto"/>
        <w:tabs>
          <w:tab w:leader="none" w:pos="5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85" w:lineRule="exact"/>
        <w:rPr>
          <w:rFonts w:ascii="Arial" w:cs="Arial" w:eastAsia="Arial" w:hAnsi="Arial"/>
          <w:sz w:val="18"/>
          <w:szCs w:val="18"/>
          <w:color w:val="auto"/>
        </w:rPr>
      </w:pPr>
    </w:p>
    <w:p>
      <w:pPr>
        <w:ind w:left="564" w:hanging="339"/>
        <w:spacing w:after="0"/>
        <w:tabs>
          <w:tab w:leader="none" w:pos="5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right="140" w:hanging="4"/>
        <w:spacing w:after="0" w:line="281" w:lineRule="auto"/>
        <w:tabs>
          <w:tab w:leader="none" w:pos="2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left="4" w:right="40" w:hanging="4"/>
        <w:spacing w:after="0" w:line="290" w:lineRule="auto"/>
        <w:tabs>
          <w:tab w:leader="none" w:pos="3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53" w:lineRule="exact"/>
        <w:rPr>
          <w:rFonts w:ascii="Arial" w:cs="Arial" w:eastAsia="Arial" w:hAnsi="Arial"/>
          <w:sz w:val="17"/>
          <w:szCs w:val="17"/>
          <w:color w:val="auto"/>
        </w:rPr>
      </w:pPr>
    </w:p>
    <w:p>
      <w:pPr>
        <w:jc w:val="both"/>
        <w:ind w:left="4" w:right="280" w:firstLine="221"/>
        <w:spacing w:after="0" w:line="264" w:lineRule="auto"/>
        <w:tabs>
          <w:tab w:leader="none" w:pos="5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73" w:lineRule="exact"/>
        <w:rPr>
          <w:rFonts w:ascii="Arial" w:cs="Arial" w:eastAsia="Arial" w:hAnsi="Arial"/>
          <w:sz w:val="18"/>
          <w:szCs w:val="18"/>
          <w:color w:val="auto"/>
        </w:rPr>
      </w:pPr>
    </w:p>
    <w:p>
      <w:pPr>
        <w:ind w:left="4" w:right="40" w:firstLine="221"/>
        <w:spacing w:after="0" w:line="255" w:lineRule="auto"/>
        <w:tabs>
          <w:tab w:leader="none" w:pos="5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liability for the investigation or remediation of any disposal or release of hazardous or toxic</w:t>
      </w:r>
    </w:p>
    <w:p>
      <w:pPr>
        <w:spacing w:after="0" w:line="166"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4" w:name="page15"/>
    <w:bookmarkEnd w:id="14"/>
    <w:p>
      <w:pPr>
        <w:ind w:right="60"/>
        <w:spacing w:after="0" w:line="273" w:lineRule="auto"/>
        <w:rPr>
          <w:sz w:val="20"/>
          <w:szCs w:val="20"/>
          <w:color w:val="auto"/>
        </w:rPr>
      </w:pPr>
      <w:r>
        <w:rPr>
          <w:rFonts w:ascii="Arial" w:cs="Arial" w:eastAsia="Arial" w:hAnsi="Arial"/>
          <w:sz w:val="17"/>
          <w:szCs w:val="17"/>
          <w:color w:val="auto"/>
        </w:rPr>
        <w:t>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70" w:lineRule="exact"/>
        <w:rPr>
          <w:sz w:val="20"/>
          <w:szCs w:val="20"/>
          <w:color w:val="auto"/>
        </w:rPr>
      </w:pPr>
    </w:p>
    <w:p>
      <w:pPr>
        <w:ind w:firstLine="221"/>
        <w:spacing w:after="0" w:line="255"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20" w:firstLine="221"/>
        <w:spacing w:after="0" w:line="291" w:lineRule="auto"/>
        <w:tabs>
          <w:tab w:leader="none" w:pos="57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59" w:lineRule="exact"/>
        <w:rPr>
          <w:rFonts w:ascii="Arial" w:cs="Arial" w:eastAsia="Arial" w:hAnsi="Arial"/>
          <w:sz w:val="16"/>
          <w:szCs w:val="16"/>
          <w:color w:val="auto"/>
        </w:rPr>
      </w:pPr>
    </w:p>
    <w:p>
      <w:pPr>
        <w:ind w:left="480" w:hanging="259"/>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 Statement.</w:t>
      </w:r>
    </w:p>
    <w:p>
      <w:pPr>
        <w:spacing w:after="0" w:line="128" w:lineRule="exact"/>
        <w:rPr>
          <w:rFonts w:ascii="Arial" w:cs="Arial" w:eastAsia="Arial" w:hAnsi="Arial"/>
          <w:sz w:val="17"/>
          <w:szCs w:val="17"/>
          <w:color w:val="auto"/>
        </w:rPr>
      </w:pPr>
    </w:p>
    <w:p>
      <w:pPr>
        <w:ind w:firstLine="221"/>
        <w:spacing w:after="0" w:line="259"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their capacities as such, to comply with any provision of the Sarbanes-Oxley Act, including Section 402 related to loans.</w:t>
      </w:r>
    </w:p>
    <w:p>
      <w:pPr>
        <w:spacing w:after="0" w:line="117" w:lineRule="exact"/>
        <w:rPr>
          <w:sz w:val="20"/>
          <w:szCs w:val="20"/>
          <w:color w:val="auto"/>
        </w:rPr>
      </w:pPr>
    </w:p>
    <w:p>
      <w:pPr>
        <w:ind w:right="60" w:firstLine="221"/>
        <w:spacing w:after="0" w:line="290" w:lineRule="auto"/>
        <w:tabs>
          <w:tab w:leader="none" w:pos="5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2008 and quarterly reports on Form 10-Q for the three months ended March 31, June 30 and September 30, 2009 were being prepared; (ii) have been evaluated for effectiveness as of the end of the periods covered by the Company’s Annual Report on Form 10-K for the year ended December 31, 2008 and quarterly reports on Form 10-Q for the three months ended March 31, June 30 and September 30, 2009 pursuant to Rule 13a-15 of the Exchange Act; and (iii) are effective to ensure that the Company is able to collect, process and disclose the information required to be disclosed in reports filed with the Commission within required time periods.</w:t>
      </w:r>
    </w:p>
    <w:p>
      <w:pPr>
        <w:spacing w:after="0" w:line="58" w:lineRule="exact"/>
        <w:rPr>
          <w:rFonts w:ascii="Arial" w:cs="Arial" w:eastAsia="Arial" w:hAnsi="Arial"/>
          <w:sz w:val="16"/>
          <w:szCs w:val="16"/>
          <w:color w:val="auto"/>
        </w:rPr>
      </w:pPr>
    </w:p>
    <w:p>
      <w:pPr>
        <w:ind w:firstLine="221"/>
        <w:spacing w:after="0" w:line="255" w:lineRule="auto"/>
        <w:tabs>
          <w:tab w:leader="none" w:pos="4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evaluation of its disclosure controls and procedures as of the end of the periods covered by the Annual Report on Form 10-K for the year ended December 31, 2008 and the quarterly reports on Form 10-Q for the three months ended March 31, June 30 and September 30, 2009,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85" w:lineRule="exact"/>
        <w:rPr>
          <w:rFonts w:ascii="Arial" w:cs="Arial" w:eastAsia="Arial" w:hAnsi="Arial"/>
          <w:sz w:val="18"/>
          <w:szCs w:val="18"/>
          <w:color w:val="auto"/>
        </w:rPr>
      </w:pPr>
    </w:p>
    <w:p>
      <w:pPr>
        <w:ind w:firstLine="221"/>
        <w:spacing w:after="0" w:line="255" w:lineRule="auto"/>
        <w:tabs>
          <w:tab w:leader="none" w:pos="6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85" w:lineRule="exact"/>
        <w:rPr>
          <w:rFonts w:ascii="Arial" w:cs="Arial" w:eastAsia="Arial" w:hAnsi="Arial"/>
          <w:sz w:val="18"/>
          <w:szCs w:val="18"/>
          <w:color w:val="auto"/>
        </w:rPr>
      </w:pPr>
    </w:p>
    <w:p>
      <w:pPr>
        <w:ind w:right="700" w:firstLine="221"/>
        <w:spacing w:after="0" w:line="277" w:lineRule="auto"/>
        <w:tabs>
          <w:tab w:leader="none" w:pos="5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December 31, 2008, there have been no significant changes in internal controls or in other factors that could significantly affect the Company’s internal controls over financial reporting.</w:t>
      </w:r>
    </w:p>
    <w:p>
      <w:pPr>
        <w:spacing w:after="0" w:line="62" w:lineRule="exact"/>
        <w:rPr>
          <w:rFonts w:ascii="Arial" w:cs="Arial" w:eastAsia="Arial" w:hAnsi="Arial"/>
          <w:sz w:val="18"/>
          <w:szCs w:val="18"/>
          <w:color w:val="auto"/>
        </w:rPr>
      </w:pPr>
    </w:p>
    <w:p>
      <w:pPr>
        <w:ind w:right="300" w:firstLine="221"/>
        <w:spacing w:after="0" w:line="277" w:lineRule="auto"/>
        <w:tabs>
          <w:tab w:leader="none" w:pos="5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6" w:name="page17"/>
    <w:bookmarkEnd w:id="16"/>
    <w:p>
      <w:pPr>
        <w:ind w:left="240" w:right="400" w:firstLine="221"/>
        <w:spacing w:after="0" w:line="264" w:lineRule="auto"/>
        <w:tabs>
          <w:tab w:leader="none" w:pos="8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 The Company has paid the registration fee for this offering pursuant to Rule 457 under the Act.</w:t>
      </w:r>
    </w:p>
    <w:p>
      <w:pPr>
        <w:spacing w:after="0" w:line="73" w:lineRule="exact"/>
        <w:rPr>
          <w:rFonts w:ascii="Arial" w:cs="Arial" w:eastAsia="Arial" w:hAnsi="Arial"/>
          <w:sz w:val="18"/>
          <w:szCs w:val="18"/>
          <w:color w:val="auto"/>
        </w:rPr>
      </w:pPr>
    </w:p>
    <w:p>
      <w:pPr>
        <w:ind w:left="240" w:firstLine="221"/>
        <w:spacing w:after="0" w:line="290" w:lineRule="auto"/>
        <w:tabs>
          <w:tab w:leader="none" w:pos="8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rFonts w:ascii="Arial" w:cs="Arial" w:eastAsia="Arial" w:hAnsi="Arial"/>
          <w:sz w:val="16"/>
          <w:szCs w:val="16"/>
          <w:color w:val="auto"/>
        </w:rPr>
      </w:pPr>
    </w:p>
    <w:p>
      <w:pPr>
        <w:ind w:left="240" w:right="80" w:firstLine="221"/>
        <w:spacing w:after="0" w:line="257" w:lineRule="auto"/>
        <w:tabs>
          <w:tab w:leader="none" w:pos="7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left="240" w:right="20" w:firstLine="221"/>
        <w:spacing w:after="0" w:line="255" w:lineRule="auto"/>
        <w:tabs>
          <w:tab w:leader="none" w:pos="7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85"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73" w:lineRule="exact"/>
        <w:rPr>
          <w:sz w:val="20"/>
          <w:szCs w:val="20"/>
          <w:color w:val="auto"/>
        </w:rPr>
      </w:pPr>
    </w:p>
    <w:p>
      <w:pPr>
        <w:ind w:right="160" w:firstLine="233"/>
        <w:spacing w:after="0" w:line="277" w:lineRule="auto"/>
        <w:tabs>
          <w:tab w:leader="none" w:pos="40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Company agrees to sell to each Underwriter,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60"/>
        <w:spacing w:after="0" w:line="264" w:lineRule="auto"/>
        <w:rPr>
          <w:sz w:val="20"/>
          <w:szCs w:val="20"/>
          <w:color w:val="auto"/>
        </w:rPr>
      </w:pPr>
      <w:r>
        <w:rPr>
          <w:rFonts w:ascii="Arial" w:cs="Arial" w:eastAsia="Arial" w:hAnsi="Arial"/>
          <w:sz w:val="18"/>
          <w:szCs w:val="18"/>
          <w:color w:val="auto"/>
        </w:rPr>
        <w:t>and each Underwriter agrees, severally and not jointly, to purchase from the Company, at a purchase price of 98.591% of the principal amount of the 6.125% Senior Notes due 2039 plus accrued interest, if any, from November 17, 2009 to the Closing Date, the principal amount of the Securities set forth opposite such Underwriter’s name in Schedule II hereto.</w:t>
      </w:r>
    </w:p>
    <w:p>
      <w:pPr>
        <w:spacing w:after="0" w:line="73"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1" w:lineRule="exact"/>
        <w:rPr>
          <w:sz w:val="20"/>
          <w:szCs w:val="20"/>
          <w:color w:val="auto"/>
        </w:rPr>
      </w:pPr>
    </w:p>
    <w:p>
      <w:pPr>
        <w:ind w:right="100" w:firstLine="233"/>
        <w:spacing w:after="0" w:line="272"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69" w:lineRule="exact"/>
        <w:rPr>
          <w:rFonts w:ascii="Arial" w:cs="Arial" w:eastAsia="Arial" w:hAnsi="Arial"/>
          <w:sz w:val="17"/>
          <w:szCs w:val="17"/>
          <w:color w:val="auto"/>
        </w:rPr>
      </w:pPr>
    </w:p>
    <w:p>
      <w:pPr>
        <w:ind w:right="780" w:firstLine="233"/>
        <w:spacing w:after="0" w:line="277" w:lineRule="auto"/>
        <w:tabs>
          <w:tab w:leader="none" w:pos="40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240" w:right="160" w:firstLine="221"/>
        <w:spacing w:after="0" w:line="273" w:lineRule="auto"/>
        <w:tabs>
          <w:tab w:leader="none" w:pos="71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ind w:right="80"/>
        <w:spacing w:after="0" w:line="264" w:lineRule="auto"/>
        <w:rPr>
          <w:sz w:val="20"/>
          <w:szCs w:val="20"/>
          <w:color w:val="auto"/>
        </w:rPr>
      </w:pPr>
      <w:r>
        <w:rPr>
          <w:rFonts w:ascii="Arial" w:cs="Arial" w:eastAsia="Arial" w:hAnsi="Arial"/>
          <w:sz w:val="18"/>
          <w:szCs w:val="18"/>
          <w:color w:val="auto"/>
        </w:rPr>
        <w:t>New York City prior to 10:00 A.M., New York City time, on the business day next succeeding the date of this Agreement in such quantities as the Representatives may reasonably request. The Company has paid the registration fees for this offering within the time period required by Rule 456(b)(1)(i) under the Act (without giving effect to the proviso therein) and in any event prior to the Closing Date.</w:t>
      </w:r>
    </w:p>
    <w:p>
      <w:pPr>
        <w:spacing w:after="0" w:line="73" w:lineRule="exact"/>
        <w:rPr>
          <w:sz w:val="20"/>
          <w:szCs w:val="20"/>
          <w:color w:val="auto"/>
        </w:rPr>
      </w:pPr>
    </w:p>
    <w:p>
      <w:pPr>
        <w:ind w:right="40" w:firstLine="221"/>
        <w:spacing w:after="0" w:line="291" w:lineRule="auto"/>
        <w:tabs>
          <w:tab w:leader="none" w:pos="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59" w:lineRule="exact"/>
        <w:rPr>
          <w:rFonts w:ascii="Arial" w:cs="Arial" w:eastAsia="Arial" w:hAnsi="Arial"/>
          <w:sz w:val="16"/>
          <w:szCs w:val="16"/>
          <w:color w:val="auto"/>
        </w:rPr>
      </w:pPr>
    </w:p>
    <w:p>
      <w:pPr>
        <w:ind w:firstLine="221"/>
        <w:spacing w:after="0" w:line="287" w:lineRule="auto"/>
        <w:tabs>
          <w:tab w:leader="none" w:pos="4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(1)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(2) when, prior to termination of the offering of the Securities, any amendment to the Registration Statement shall have been filed or become effective, (3) of any request by the Commission or its staff for any amendment to the Registration Statement, or any Rule 462(b) Registration Statement, or for any supplement to the Final Prospectus or for any additional information, (4)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(5) of the receipt by the Company of any notification with respect to the suspension of the qualification of the Securities for sale in any jurisdiction or the institution or threatening of any proceeding for such purpose, and (6)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64" w:lineRule="exact"/>
        <w:rPr>
          <w:rFonts w:ascii="Arial" w:cs="Arial" w:eastAsia="Arial" w:hAnsi="Arial"/>
          <w:sz w:val="16"/>
          <w:szCs w:val="16"/>
          <w:color w:val="auto"/>
        </w:rPr>
      </w:pPr>
    </w:p>
    <w:p>
      <w:pPr>
        <w:ind w:right="40" w:firstLine="221"/>
        <w:spacing w:after="0" w:line="259"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9" w:name="page20"/>
    <w:bookmarkEnd w:id="19"/>
    <w:p>
      <w:pPr>
        <w:ind w:left="4" w:right="300"/>
        <w:spacing w:after="0" w:line="291" w:lineRule="auto"/>
        <w:rPr>
          <w:sz w:val="20"/>
          <w:szCs w:val="20"/>
          <w:color w:val="auto"/>
        </w:rPr>
      </w:pPr>
      <w:r>
        <w:rPr>
          <w:rFonts w:ascii="Arial" w:cs="Arial" w:eastAsia="Arial" w:hAnsi="Arial"/>
          <w:sz w:val="16"/>
          <w:szCs w:val="16"/>
          <w:color w:val="auto"/>
        </w:rPr>
        <w:t>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w:t>
      </w: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supply any supplemented Final Prospectus to you in such quantities as you may reasonably request.</w:t>
      </w:r>
    </w:p>
    <w:p>
      <w:pPr>
        <w:spacing w:after="0" w:line="102" w:lineRule="exact"/>
        <w:rPr>
          <w:rFonts w:ascii="Arial" w:cs="Arial" w:eastAsia="Arial" w:hAnsi="Arial"/>
          <w:sz w:val="18"/>
          <w:szCs w:val="18"/>
          <w:color w:val="auto"/>
        </w:rPr>
      </w:pPr>
    </w:p>
    <w:p>
      <w:pPr>
        <w:ind w:left="4" w:right="40" w:firstLine="221"/>
        <w:spacing w:after="0" w:line="272" w:lineRule="auto"/>
        <w:tabs>
          <w:tab w:leader="none" w:pos="474" w:val="left"/>
        </w:tabs>
        <w:numPr>
          <w:ilvl w:val="1"/>
          <w:numId w:val="19"/>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w:t>
      </w:r>
    </w:p>
    <w:p>
      <w:pPr>
        <w:spacing w:after="0" w:line="69" w:lineRule="exact"/>
        <w:rPr>
          <w:rFonts w:ascii="Arial" w:cs="Arial" w:eastAsia="Arial" w:hAnsi="Arial"/>
          <w:sz w:val="17"/>
          <w:szCs w:val="17"/>
          <w:color w:val="auto"/>
        </w:rPr>
      </w:pPr>
    </w:p>
    <w:p>
      <w:pPr>
        <w:ind w:left="4" w:right="540" w:firstLine="221"/>
        <w:spacing w:after="0" w:line="342" w:lineRule="auto"/>
        <w:tabs>
          <w:tab w:leader="none" w:pos="4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5" w:lineRule="exact"/>
        <w:rPr>
          <w:rFonts w:ascii="Arial" w:cs="Arial" w:eastAsia="Arial" w:hAnsi="Arial"/>
          <w:sz w:val="16"/>
          <w:szCs w:val="16"/>
          <w:color w:val="auto"/>
        </w:rPr>
      </w:pPr>
    </w:p>
    <w:p>
      <w:pPr>
        <w:ind w:left="4" w:firstLine="221"/>
        <w:spacing w:after="0" w:line="297" w:lineRule="auto"/>
        <w:tabs>
          <w:tab w:leader="none" w:pos="484"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50" w:lineRule="exact"/>
        <w:rPr>
          <w:rFonts w:ascii="Arial" w:cs="Arial" w:eastAsia="Arial" w:hAnsi="Arial"/>
          <w:sz w:val="16"/>
          <w:szCs w:val="16"/>
          <w:color w:val="auto"/>
        </w:rPr>
      </w:pPr>
    </w:p>
    <w:p>
      <w:pPr>
        <w:ind w:left="4" w:right="80" w:firstLine="221"/>
        <w:spacing w:after="0" w:line="276" w:lineRule="auto"/>
        <w:tabs>
          <w:tab w:leader="none" w:pos="484"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64" w:lineRule="exact"/>
        <w:rPr>
          <w:rFonts w:ascii="Arial" w:cs="Arial" w:eastAsia="Arial" w:hAnsi="Arial"/>
          <w:sz w:val="17"/>
          <w:szCs w:val="17"/>
          <w:color w:val="auto"/>
        </w:rPr>
      </w:pPr>
    </w:p>
    <w:p>
      <w:pPr>
        <w:ind w:left="4" w:right="120" w:firstLine="221"/>
        <w:spacing w:after="0" w:line="277" w:lineRule="auto"/>
        <w:tabs>
          <w:tab w:leader="none" w:pos="4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will not, without the prior written consent of J.P. Morgan Securities Inc., Wells Fargo Securities, LLC, BNP Paribas Securities Corp. and Scotia</w:t>
      </w:r>
    </w:p>
    <w:p>
      <w:pPr>
        <w:spacing w:after="0" w:line="143"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0" w:name="page21"/>
    <w:bookmarkEnd w:id="20"/>
    <w:p>
      <w:pPr>
        <w:ind w:left="180"/>
        <w:spacing w:after="0" w:line="255" w:lineRule="auto"/>
        <w:rPr>
          <w:sz w:val="20"/>
          <w:szCs w:val="20"/>
          <w:color w:val="auto"/>
        </w:rPr>
      </w:pPr>
      <w:r>
        <w:rPr>
          <w:rFonts w:ascii="Arial" w:cs="Arial" w:eastAsia="Arial" w:hAnsi="Arial"/>
          <w:sz w:val="18"/>
          <w:szCs w:val="18"/>
          <w:color w:val="auto"/>
        </w:rPr>
        <w:t>Capital (USA) Inc.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December 13, 2009.</w:t>
      </w:r>
    </w:p>
    <w:p>
      <w:pPr>
        <w:spacing w:after="0" w:line="81" w:lineRule="exact"/>
        <w:rPr>
          <w:sz w:val="20"/>
          <w:szCs w:val="20"/>
          <w:color w:val="auto"/>
        </w:rPr>
      </w:pPr>
    </w:p>
    <w:p>
      <w:pPr>
        <w:ind w:left="180" w:right="80" w:firstLine="221"/>
        <w:spacing w:after="0" w:line="264" w:lineRule="auto"/>
        <w:tabs>
          <w:tab w:leader="none" w:pos="620" w:val="left"/>
        </w:tabs>
        <w:numPr>
          <w:ilvl w:val="2"/>
          <w:numId w:val="20"/>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73" w:lineRule="exact"/>
        <w:rPr>
          <w:rFonts w:ascii="Arial" w:cs="Arial" w:eastAsia="Arial" w:hAnsi="Arial"/>
          <w:sz w:val="18"/>
          <w:szCs w:val="18"/>
          <w:color w:val="auto"/>
        </w:rPr>
      </w:pPr>
    </w:p>
    <w:p>
      <w:pPr>
        <w:ind w:left="180" w:right="60" w:firstLine="221"/>
        <w:spacing w:after="0" w:line="277" w:lineRule="auto"/>
        <w:tabs>
          <w:tab w:leader="none" w:pos="6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62" w:lineRule="exact"/>
        <w:rPr>
          <w:rFonts w:ascii="Arial" w:cs="Arial" w:eastAsia="Arial" w:hAnsi="Arial"/>
          <w:sz w:val="18"/>
          <w:szCs w:val="18"/>
          <w:color w:val="auto"/>
        </w:rPr>
      </w:pPr>
    </w:p>
    <w:p>
      <w:pPr>
        <w:ind w:left="360" w:hanging="187"/>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180" w:right="140" w:firstLine="221"/>
        <w:spacing w:after="0" w:line="284" w:lineRule="auto"/>
        <w:tabs>
          <w:tab w:leader="none" w:pos="650" w:val="left"/>
        </w:tabs>
        <w:numPr>
          <w:ilvl w:val="2"/>
          <w:numId w:val="21"/>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w:t>
      </w:r>
    </w:p>
    <w:p>
      <w:pPr>
        <w:spacing w:after="0" w:line="4" w:lineRule="exact"/>
        <w:rPr>
          <w:rFonts w:ascii="Arial" w:cs="Arial" w:eastAsia="Arial" w:hAnsi="Arial"/>
          <w:sz w:val="16"/>
          <w:szCs w:val="16"/>
          <w:color w:val="auto"/>
        </w:rPr>
      </w:pPr>
    </w:p>
    <w:p>
      <w:pPr>
        <w:ind w:left="180" w:right="120" w:hanging="4"/>
        <w:spacing w:after="0" w:line="261" w:lineRule="auto"/>
        <w:tabs>
          <w:tab w:leader="none" w:pos="3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or (iii), an “</w:t>
      </w:r>
      <w:r>
        <w:rPr>
          <w:rFonts w:ascii="Arial" w:cs="Arial" w:eastAsia="Arial" w:hAnsi="Arial"/>
          <w:sz w:val="18"/>
          <w:szCs w:val="18"/>
          <w:u w:val="single" w:color="auto"/>
          <w:color w:val="auto"/>
        </w:rPr>
        <w:t>Underwriter Free Writing Prospectus</w:t>
      </w:r>
      <w:r>
        <w:rPr>
          <w:rFonts w:ascii="Arial" w:cs="Arial" w:eastAsia="Arial" w:hAnsi="Arial"/>
          <w:sz w:val="18"/>
          <w:szCs w:val="18"/>
          <w:color w:val="auto"/>
        </w:rPr>
        <w:t>”). Notwithstanding the foregoing, the Underwriters may use a term sheet substantially in the form of Schedule I hereto without the consent of the Company.</w:t>
      </w:r>
    </w:p>
    <w:p>
      <w:pPr>
        <w:spacing w:after="0" w:line="75" w:lineRule="exact"/>
        <w:rPr>
          <w:rFonts w:ascii="Arial" w:cs="Arial" w:eastAsia="Arial" w:hAnsi="Arial"/>
          <w:sz w:val="18"/>
          <w:szCs w:val="18"/>
          <w:color w:val="auto"/>
        </w:rPr>
      </w:pPr>
    </w:p>
    <w:p>
      <w:pPr>
        <w:ind w:left="180" w:right="200" w:firstLine="221"/>
        <w:spacing w:after="0" w:line="277" w:lineRule="auto"/>
        <w:tabs>
          <w:tab w:leader="none" w:pos="6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jc w:val="both"/>
        <w:ind w:left="-60" w:right="80" w:firstLine="233"/>
        <w:spacing w:after="0" w:line="264" w:lineRule="auto"/>
        <w:tabs>
          <w:tab w:leader="none" w:pos="34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935" w:right="279" w:bottom="1440" w:gutter="0" w:footer="0" w:header="0"/>
        </w:sectPr>
      </w:pPr>
    </w:p>
    <w:bookmarkStart w:id="21" w:name="page22"/>
    <w:bookmarkEnd w:id="21"/>
    <w:p>
      <w:pPr>
        <w:ind w:right="480"/>
        <w:spacing w:after="0" w:line="277" w:lineRule="auto"/>
        <w:rPr>
          <w:sz w:val="20"/>
          <w:szCs w:val="20"/>
          <w:color w:val="auto"/>
        </w:rPr>
      </w:pPr>
      <w:r>
        <w:rPr>
          <w:rFonts w:ascii="Arial" w:cs="Arial" w:eastAsia="Arial" w:hAnsi="Arial"/>
          <w:sz w:val="18"/>
          <w:szCs w:val="18"/>
          <w:color w:val="auto"/>
        </w:rPr>
        <w:t>any certificates pursuant to the provisions hereof, to the performance by the Company and Holdings of their obligations hereunder and to the following additional conditions:</w:t>
      </w:r>
    </w:p>
    <w:p>
      <w:pPr>
        <w:spacing w:after="0" w:line="62" w:lineRule="exact"/>
        <w:rPr>
          <w:sz w:val="20"/>
          <w:szCs w:val="20"/>
          <w:color w:val="auto"/>
        </w:rPr>
      </w:pPr>
    </w:p>
    <w:p>
      <w:pPr>
        <w:ind w:left="240" w:right="80" w:firstLine="221"/>
        <w:spacing w:after="0" w:line="255"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85" w:lineRule="exact"/>
        <w:rPr>
          <w:rFonts w:ascii="Arial" w:cs="Arial" w:eastAsia="Arial" w:hAnsi="Arial"/>
          <w:sz w:val="18"/>
          <w:szCs w:val="18"/>
          <w:color w:val="auto"/>
        </w:rPr>
      </w:pPr>
    </w:p>
    <w:p>
      <w:pPr>
        <w:ind w:left="240" w:right="20" w:firstLine="221"/>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460" w:right="180" w:firstLine="229"/>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8" w:lineRule="exact"/>
        <w:rPr>
          <w:rFonts w:ascii="Arial" w:cs="Arial" w:eastAsia="Arial" w:hAnsi="Arial"/>
          <w:sz w:val="18"/>
          <w:szCs w:val="18"/>
          <w:color w:val="auto"/>
        </w:rPr>
      </w:pPr>
    </w:p>
    <w:p>
      <w:pPr>
        <w:ind w:left="960" w:hanging="271"/>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117" w:lineRule="exact"/>
        <w:rPr>
          <w:rFonts w:ascii="Arial" w:cs="Arial" w:eastAsia="Arial" w:hAnsi="Arial"/>
          <w:sz w:val="18"/>
          <w:szCs w:val="18"/>
          <w:color w:val="auto"/>
        </w:rPr>
      </w:pPr>
    </w:p>
    <w:p>
      <w:pPr>
        <w:ind w:left="460" w:firstLine="229"/>
        <w:spacing w:after="0" w:line="276" w:lineRule="auto"/>
        <w:tabs>
          <w:tab w:leader="none" w:pos="10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64" w:lineRule="exact"/>
        <w:rPr>
          <w:rFonts w:ascii="Arial" w:cs="Arial" w:eastAsia="Arial" w:hAnsi="Arial"/>
          <w:sz w:val="17"/>
          <w:szCs w:val="17"/>
          <w:color w:val="auto"/>
        </w:rPr>
      </w:pPr>
    </w:p>
    <w:p>
      <w:pPr>
        <w:ind w:left="460" w:right="40" w:firstLine="229"/>
        <w:spacing w:after="0" w:line="297" w:lineRule="auto"/>
        <w:tabs>
          <w:tab w:leader="none" w:pos="9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global certificate representing the Notes is in a form authorized by the Indenture, the Notes have been duly authorized by the Company and, assuming the global certificate representing the Notes has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2" w:name="page23"/>
    <w:bookmarkEnd w:id="22"/>
    <w:p>
      <w:pPr>
        <w:ind w:right="100"/>
        <w:spacing w:after="0" w:line="264" w:lineRule="auto"/>
        <w:rPr>
          <w:sz w:val="20"/>
          <w:szCs w:val="20"/>
          <w:color w:val="auto"/>
        </w:rPr>
      </w:pPr>
      <w:r>
        <w:rPr>
          <w:rFonts w:ascii="Arial" w:cs="Arial" w:eastAsia="Arial" w:hAnsi="Arial"/>
          <w:sz w:val="18"/>
          <w:szCs w:val="18"/>
          <w:color w:val="auto"/>
        </w:rPr>
        <w:t>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73" w:lineRule="exact"/>
        <w:rPr>
          <w:sz w:val="20"/>
          <w:szCs w:val="20"/>
          <w:color w:val="auto"/>
        </w:rPr>
      </w:pPr>
    </w:p>
    <w:p>
      <w:pPr>
        <w:ind w:firstLine="229"/>
        <w:spacing w:after="0" w:line="255"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Guarantee Agreement has been duly authorized, executed and delivered by Holdings and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85" w:lineRule="exact"/>
        <w:rPr>
          <w:rFonts w:ascii="Arial" w:cs="Arial" w:eastAsia="Arial" w:hAnsi="Arial"/>
          <w:sz w:val="18"/>
          <w:szCs w:val="18"/>
          <w:color w:val="auto"/>
        </w:rPr>
      </w:pPr>
    </w:p>
    <w:p>
      <w:pPr>
        <w:ind w:left="540" w:hanging="311"/>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right="360" w:firstLine="229"/>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62" w:lineRule="exact"/>
        <w:rPr>
          <w:rFonts w:ascii="Arial" w:cs="Arial" w:eastAsia="Arial" w:hAnsi="Arial"/>
          <w:sz w:val="18"/>
          <w:szCs w:val="18"/>
          <w:color w:val="auto"/>
        </w:rPr>
      </w:pPr>
    </w:p>
    <w:p>
      <w:pPr>
        <w:ind w:right="40" w:firstLine="229"/>
        <w:spacing w:after="0" w:line="259" w:lineRule="auto"/>
        <w:tabs>
          <w:tab w:leader="none" w:pos="6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78" w:lineRule="exact"/>
        <w:rPr>
          <w:rFonts w:ascii="Arial" w:cs="Arial" w:eastAsia="Arial" w:hAnsi="Arial"/>
          <w:sz w:val="18"/>
          <w:szCs w:val="18"/>
          <w:color w:val="auto"/>
        </w:rPr>
      </w:pPr>
    </w:p>
    <w:p>
      <w:pPr>
        <w:ind w:right="360" w:firstLine="229"/>
        <w:spacing w:after="0" w:line="286" w:lineRule="auto"/>
        <w:tabs>
          <w:tab w:leader="none" w:pos="5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57" w:lineRule="exact"/>
        <w:rPr>
          <w:rFonts w:ascii="Arial" w:cs="Arial" w:eastAsia="Arial" w:hAnsi="Arial"/>
          <w:sz w:val="17"/>
          <w:szCs w:val="17"/>
          <w:color w:val="auto"/>
        </w:rPr>
      </w:pPr>
    </w:p>
    <w:p>
      <w:pPr>
        <w:ind w:right="60" w:firstLine="229"/>
        <w:spacing w:after="0" w:line="255"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Holdings or Wheelabrator Technologies Inc., or any indenture, mortgage or other agreement or instrument to which the Company or its subsidiaries is a party or by which they or any of their property is bound which is filed as an exhibit to the Registration Statement or to any of the documents incorporated by reference in the Registration Statement, the Time of Sale</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23" w:name="page24"/>
    <w:bookmarkEnd w:id="23"/>
    <w:p>
      <w:pPr>
        <w:ind w:left="224" w:right="140"/>
        <w:spacing w:after="0" w:line="277" w:lineRule="auto"/>
        <w:rPr>
          <w:sz w:val="20"/>
          <w:szCs w:val="20"/>
          <w:color w:val="auto"/>
        </w:rPr>
      </w:pPr>
      <w:r>
        <w:rPr>
          <w:rFonts w:ascii="Arial" w:cs="Arial" w:eastAsia="Arial" w:hAnsi="Arial"/>
          <w:sz w:val="18"/>
          <w:szCs w:val="18"/>
          <w:color w:val="auto"/>
        </w:rPr>
        <w:t>Information and the Final Prospectus, or any existing applicable laws, rule, regulation (excluding any state securities or state or federal anti-fraud law, rule or regulation); and</w:t>
      </w:r>
    </w:p>
    <w:p>
      <w:pPr>
        <w:spacing w:after="0" w:line="62" w:lineRule="exact"/>
        <w:rPr>
          <w:sz w:val="20"/>
          <w:szCs w:val="20"/>
          <w:color w:val="auto"/>
        </w:rPr>
      </w:pPr>
    </w:p>
    <w:p>
      <w:pPr>
        <w:ind w:left="224" w:firstLine="229"/>
        <w:spacing w:after="0" w:line="277" w:lineRule="auto"/>
        <w:tabs>
          <w:tab w:leader="none" w:pos="7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62" w:lineRule="exact"/>
        <w:rPr>
          <w:sz w:val="20"/>
          <w:szCs w:val="20"/>
          <w:color w:val="auto"/>
        </w:rPr>
      </w:pPr>
    </w:p>
    <w:p>
      <w:pPr>
        <w:ind w:left="4" w:firstLine="225"/>
        <w:spacing w:after="0" w:line="297" w:lineRule="auto"/>
        <w:rPr>
          <w:sz w:val="20"/>
          <w:szCs w:val="20"/>
          <w:color w:val="auto"/>
        </w:rPr>
      </w:pPr>
      <w:r>
        <w:rPr>
          <w:rFonts w:ascii="Arial" w:cs="Arial" w:eastAsia="Arial" w:hAnsi="Arial"/>
          <w:sz w:val="16"/>
          <w:szCs w:val="16"/>
          <w:color w:val="auto"/>
        </w:rPr>
        <w:t>Such counsel shall state that the Registration Statement, the Time of Sale Information and the Final Prospectus, excluding the documents incorporated by reference therein and the financial statements and related notes and schedules thereto and the auditors’ reports thereon, management’s report on internal control over financial reporting and the other financial and accounting data included therein or omitted therefrom, the exhibits thereto, and the Trustee’s Statement of Eligibility on Form T-1 (the “</w:t>
      </w:r>
      <w:r>
        <w:rPr>
          <w:rFonts w:ascii="Arial" w:cs="Arial" w:eastAsia="Arial" w:hAnsi="Arial"/>
          <w:sz w:val="16"/>
          <w:szCs w:val="16"/>
          <w:u w:val="single" w:color="auto"/>
          <w:color w:val="auto"/>
        </w:rPr>
        <w:t>Form T-1</w:t>
      </w:r>
      <w:r>
        <w:rPr>
          <w:rFonts w:ascii="Arial" w:cs="Arial" w:eastAsia="Arial" w:hAnsi="Arial"/>
          <w:sz w:val="16"/>
          <w:szCs w:val="16"/>
          <w:color w:val="auto"/>
        </w:rPr>
        <w:t>”), as to which such counsel need not express a view, as of the date they became effective or issue dates, as the case may be, appear on their face to have been appropriately responsive in all material respects with the requirements of the Act.</w:t>
      </w:r>
    </w:p>
    <w:p>
      <w:pPr>
        <w:spacing w:after="0" w:line="50" w:lineRule="exact"/>
        <w:rPr>
          <w:sz w:val="20"/>
          <w:szCs w:val="20"/>
          <w:color w:val="auto"/>
        </w:rPr>
      </w:pPr>
    </w:p>
    <w:p>
      <w:pPr>
        <w:ind w:left="4" w:firstLine="225"/>
        <w:spacing w:after="0" w:line="284"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Company, counsel employed by the Company, representatives of the independent public accountants of the Company, representatives of the Underwriters and counsel to the Underwriters at which the contents of the Registration Statement, the Time of Sale Information and the Final Prospectus and related matters were discussed and, although such counsel did not independently verify such information and is not passing upon and does not assume any responsibility for the accuracy, completeness or fairness of the statements contained in the Registration Statement, the Time of Sale Information and the Final Prospectus (other than as set forth in paragraph (vii) above), on the basis of the foregoing, no facts have come to such counsel’s attention that led such counsel to believe</w:t>
      </w:r>
    </w:p>
    <w:p>
      <w:pPr>
        <w:spacing w:after="0" w:line="5" w:lineRule="exact"/>
        <w:rPr>
          <w:sz w:val="20"/>
          <w:szCs w:val="20"/>
          <w:color w:val="auto"/>
        </w:rPr>
      </w:pPr>
    </w:p>
    <w:p>
      <w:pPr>
        <w:ind w:left="4" w:right="20" w:hanging="4"/>
        <w:spacing w:after="0" w:line="268" w:lineRule="auto"/>
        <w:tabs>
          <w:tab w:leader="none" w:pos="21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that the Registration Statement (other than the financial statements, the related notes and schedules thereto and the auditors’ reports thereon, management’s report on internal control over financial reporting and the other financial and accounting data included or incorporated by reference therein, or omitted therefrom, the exhibits thereto, and the Form T-1, as to which such counsel need not comment) as of the Effective Date and the Closing Date contained an untrue statement of a material fact or omitted to state a material fact required to be stated therein or necessary in order to make the statements therein not misleading, or (ii) that (A) the Time of Sale Information, as of the Time of Sale and as of the Closing Date, contained or contains, or (B) the Final Prospectus, as of its date and as of the Closing Date, contained or contains (other than the financial statements, the related notes and schedules thereto and the auditors’ reports thereon, management’s report on internal control over financial reporting and the other financial and accounting data included or incorporated by reference therein, or omitted therefrom, as to which such counsel need not comment) an untrue statement of a material fact or omitted or omits to state a material fact necessary in order to make the statements therein, in the light of the circumstances under which they were made, not misleading.</w:t>
      </w:r>
    </w:p>
    <w:p>
      <w:pPr>
        <w:spacing w:after="0" w:line="153"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4" w:name="page25"/>
    <w:bookmarkEnd w:id="24"/>
    <w:p>
      <w:pPr>
        <w:ind w:left="4" w:right="20" w:firstLine="225"/>
        <w:spacing w:after="0" w:line="288" w:lineRule="auto"/>
        <w:rPr>
          <w:sz w:val="20"/>
          <w:szCs w:val="20"/>
          <w:color w:val="auto"/>
        </w:rPr>
      </w:pPr>
      <w:r>
        <w:rPr>
          <w:rFonts w:ascii="Arial" w:cs="Arial" w:eastAsia="Arial" w:hAnsi="Arial"/>
          <w:sz w:val="16"/>
          <w:szCs w:val="16"/>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w:t>
      </w:r>
    </w:p>
    <w:p>
      <w:pPr>
        <w:ind w:left="264" w:hanging="264"/>
        <w:spacing w:after="0"/>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 any supplements thereto at the Closing Date.</w:t>
      </w:r>
    </w:p>
    <w:p>
      <w:pPr>
        <w:spacing w:after="0" w:line="102" w:lineRule="exact"/>
        <w:rPr>
          <w:rFonts w:ascii="Arial" w:cs="Arial" w:eastAsia="Arial" w:hAnsi="Arial"/>
          <w:sz w:val="18"/>
          <w:szCs w:val="18"/>
          <w:color w:val="auto"/>
        </w:rPr>
      </w:pPr>
    </w:p>
    <w:p>
      <w:pPr>
        <w:ind w:left="4" w:firstLine="221"/>
        <w:spacing w:after="0" w:line="277" w:lineRule="auto"/>
        <w:tabs>
          <w:tab w:leader="none" w:pos="4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62" w:lineRule="exact"/>
        <w:rPr>
          <w:rFonts w:ascii="Arial" w:cs="Arial" w:eastAsia="Arial" w:hAnsi="Arial"/>
          <w:sz w:val="18"/>
          <w:szCs w:val="18"/>
          <w:color w:val="auto"/>
        </w:rPr>
      </w:pPr>
    </w:p>
    <w:p>
      <w:pPr>
        <w:ind w:left="224" w:right="20" w:firstLine="229"/>
        <w:spacing w:after="0" w:line="254" w:lineRule="auto"/>
        <w:tabs>
          <w:tab w:leader="none" w:pos="664" w:val="left"/>
        </w:tabs>
        <w:numPr>
          <w:ilvl w:val="2"/>
          <w:numId w:val="28"/>
        </w:numPr>
        <w:rPr>
          <w:rFonts w:ascii="Arial" w:cs="Arial" w:eastAsia="Arial" w:hAnsi="Arial"/>
          <w:sz w:val="18"/>
          <w:szCs w:val="18"/>
          <w:color w:val="auto"/>
        </w:rPr>
      </w:pPr>
      <w:r>
        <w:rPr>
          <w:rFonts w:ascii="Arial" w:cs="Arial" w:eastAsia="Arial" w:hAnsi="Arial"/>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or set forth in the opinion,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84" w:lineRule="exact"/>
        <w:rPr>
          <w:rFonts w:ascii="Arial" w:cs="Arial" w:eastAsia="Arial" w:hAnsi="Arial"/>
          <w:sz w:val="18"/>
          <w:szCs w:val="18"/>
          <w:color w:val="auto"/>
        </w:rPr>
      </w:pPr>
    </w:p>
    <w:p>
      <w:pPr>
        <w:ind w:left="224" w:right="60" w:firstLine="229"/>
        <w:spacing w:after="0" w:line="276" w:lineRule="auto"/>
        <w:tabs>
          <w:tab w:leader="none" w:pos="714" w:val="left"/>
        </w:tabs>
        <w:numPr>
          <w:ilvl w:val="2"/>
          <w:numId w:val="28"/>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(other than the financial statements, related schedules and other financial data included therein or omitted therefrom, as to which he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64" w:lineRule="exact"/>
        <w:rPr>
          <w:rFonts w:ascii="Arial" w:cs="Arial" w:eastAsia="Arial" w:hAnsi="Arial"/>
          <w:sz w:val="17"/>
          <w:szCs w:val="17"/>
          <w:color w:val="auto"/>
        </w:rPr>
      </w:pPr>
    </w:p>
    <w:p>
      <w:pPr>
        <w:ind w:left="224" w:right="160" w:firstLine="229"/>
        <w:spacing w:after="0" w:line="279" w:lineRule="auto"/>
        <w:tabs>
          <w:tab w:leader="none" w:pos="764" w:val="left"/>
        </w:tabs>
        <w:numPr>
          <w:ilvl w:val="2"/>
          <w:numId w:val="28"/>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63" w:lineRule="exact"/>
        <w:rPr>
          <w:rFonts w:ascii="Arial" w:cs="Arial" w:eastAsia="Arial" w:hAnsi="Arial"/>
          <w:sz w:val="17"/>
          <w:szCs w:val="17"/>
          <w:color w:val="auto"/>
        </w:rPr>
      </w:pPr>
    </w:p>
    <w:p>
      <w:pPr>
        <w:ind w:left="224" w:right="560" w:firstLine="229"/>
        <w:spacing w:after="0" w:line="277" w:lineRule="auto"/>
        <w:tabs>
          <w:tab w:leader="none" w:pos="754" w:val="left"/>
        </w:tabs>
        <w:numPr>
          <w:ilvl w:val="2"/>
          <w:numId w:val="28"/>
        </w:numPr>
        <w:rPr>
          <w:rFonts w:ascii="Arial" w:cs="Arial" w:eastAsia="Arial" w:hAnsi="Arial"/>
          <w:sz w:val="18"/>
          <w:szCs w:val="18"/>
          <w:color w:val="auto"/>
        </w:rPr>
      </w:pPr>
      <w:r>
        <w:rPr>
          <w:rFonts w:ascii="Arial" w:cs="Arial" w:eastAsia="Arial" w:hAnsi="Arial"/>
          <w:sz w:val="18"/>
          <w:szCs w:val="18"/>
          <w:color w:val="auto"/>
        </w:rPr>
        <w:t>such counsel does not know of any statutes or regulations or any pending or threatened legal or governmental proceedings required to be described in the Registration Statement, the Time of Sale Information and the Final</w:t>
      </w:r>
    </w:p>
    <w:p>
      <w:pPr>
        <w:spacing w:after="0" w:line="143"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5" w:name="page26"/>
    <w:bookmarkEnd w:id="25"/>
    <w:p>
      <w:pPr>
        <w:jc w:val="both"/>
        <w:ind w:left="220" w:right="160"/>
        <w:spacing w:after="0" w:line="264" w:lineRule="auto"/>
        <w:rPr>
          <w:sz w:val="20"/>
          <w:szCs w:val="20"/>
          <w:color w:val="auto"/>
        </w:rPr>
      </w:pPr>
      <w:r>
        <w:rPr>
          <w:rFonts w:ascii="Arial" w:cs="Arial" w:eastAsia="Arial" w:hAnsi="Arial"/>
          <w:sz w:val="18"/>
          <w:szCs w:val="18"/>
          <w:color w:val="auto"/>
        </w:rPr>
        <w:t>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73" w:lineRule="exact"/>
        <w:rPr>
          <w:sz w:val="20"/>
          <w:szCs w:val="20"/>
          <w:color w:val="auto"/>
        </w:rPr>
      </w:pPr>
    </w:p>
    <w:p>
      <w:pPr>
        <w:ind w:left="220" w:right="80" w:firstLine="229"/>
        <w:spacing w:after="0" w:line="277" w:lineRule="auto"/>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62" w:lineRule="exact"/>
        <w:rPr>
          <w:rFonts w:ascii="Arial" w:cs="Arial" w:eastAsia="Arial" w:hAnsi="Arial"/>
          <w:sz w:val="18"/>
          <w:szCs w:val="18"/>
          <w:color w:val="auto"/>
        </w:rPr>
      </w:pPr>
    </w:p>
    <w:p>
      <w:pPr>
        <w:ind w:left="220" w:right="260" w:firstLine="229"/>
        <w:spacing w:after="0" w:line="290" w:lineRule="auto"/>
        <w:tabs>
          <w:tab w:leader="none" w:pos="7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the Notes, the Guarantee Agreement and the execution and performance of the Indenture (the “</w:t>
      </w:r>
      <w:r>
        <w:rPr>
          <w:rFonts w:ascii="Arial" w:cs="Arial" w:eastAsia="Arial" w:hAnsi="Arial"/>
          <w:sz w:val="16"/>
          <w:szCs w:val="16"/>
          <w:u w:val="single" w:color="auto"/>
          <w:color w:val="auto"/>
        </w:rPr>
        <w:t>Operative Agreements</w:t>
      </w:r>
      <w:r>
        <w:rPr>
          <w:rFonts w:ascii="Arial" w:cs="Arial" w:eastAsia="Arial" w:hAnsi="Arial"/>
          <w:sz w:val="16"/>
          <w:szCs w:val="16"/>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58" w:lineRule="exact"/>
        <w:rPr>
          <w:rFonts w:ascii="Arial" w:cs="Arial" w:eastAsia="Arial" w:hAnsi="Arial"/>
          <w:sz w:val="16"/>
          <w:szCs w:val="16"/>
          <w:color w:val="auto"/>
        </w:rPr>
      </w:pPr>
    </w:p>
    <w:p>
      <w:pPr>
        <w:jc w:val="both"/>
        <w:ind w:firstLine="221"/>
        <w:spacing w:after="0" w:line="302" w:lineRule="auto"/>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46" w:lineRule="exact"/>
        <w:rPr>
          <w:rFonts w:ascii="Arial" w:cs="Arial" w:eastAsia="Arial" w:hAnsi="Arial"/>
          <w:sz w:val="16"/>
          <w:szCs w:val="16"/>
          <w:color w:val="auto"/>
        </w:rPr>
      </w:pPr>
    </w:p>
    <w:p>
      <w:pPr>
        <w:ind w:right="120" w:firstLine="221"/>
        <w:spacing w:after="0" w:line="302" w:lineRule="auto"/>
        <w:tabs>
          <w:tab w:leader="none" w:pos="4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46" w:lineRule="exact"/>
        <w:rPr>
          <w:rFonts w:ascii="Arial" w:cs="Arial" w:eastAsia="Arial" w:hAnsi="Arial"/>
          <w:sz w:val="16"/>
          <w:szCs w:val="16"/>
          <w:color w:val="auto"/>
        </w:rPr>
      </w:pPr>
    </w:p>
    <w:p>
      <w:pPr>
        <w:ind w:left="220" w:right="40" w:firstLine="229"/>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26" w:name="page27"/>
    <w:bookmarkEnd w:id="26"/>
    <w:p>
      <w:pPr>
        <w:jc w:val="both"/>
        <w:ind w:left="220" w:right="120" w:firstLine="229"/>
        <w:spacing w:after="0" w:line="264"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73" w:lineRule="exact"/>
        <w:rPr>
          <w:rFonts w:ascii="Arial" w:cs="Arial" w:eastAsia="Arial" w:hAnsi="Arial"/>
          <w:sz w:val="18"/>
          <w:szCs w:val="18"/>
          <w:color w:val="auto"/>
        </w:rPr>
      </w:pPr>
    </w:p>
    <w:p>
      <w:pPr>
        <w:ind w:left="220" w:right="640" w:firstLine="229"/>
        <w:spacing w:after="0" w:line="277" w:lineRule="auto"/>
        <w:tabs>
          <w:tab w:leader="none" w:pos="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62" w:lineRule="exact"/>
        <w:rPr>
          <w:rFonts w:ascii="Arial" w:cs="Arial" w:eastAsia="Arial" w:hAnsi="Arial"/>
          <w:sz w:val="18"/>
          <w:szCs w:val="18"/>
          <w:color w:val="auto"/>
        </w:rPr>
      </w:pPr>
    </w:p>
    <w:p>
      <w:pPr>
        <w:ind w:left="220" w:right="60" w:firstLine="229"/>
        <w:spacing w:after="0" w:line="257" w:lineRule="auto"/>
        <w:tabs>
          <w:tab w:leader="none" w:pos="7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80" w:lineRule="exact"/>
        <w:rPr>
          <w:rFonts w:ascii="Arial" w:cs="Arial" w:eastAsia="Arial" w:hAnsi="Arial"/>
          <w:sz w:val="18"/>
          <w:szCs w:val="18"/>
          <w:color w:val="auto"/>
        </w:rPr>
      </w:pPr>
    </w:p>
    <w:p>
      <w:pPr>
        <w:ind w:firstLine="221"/>
        <w:spacing w:after="0" w:line="257" w:lineRule="auto"/>
        <w:tabs>
          <w:tab w:leader="none" w:pos="4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80" w:lineRule="exact"/>
        <w:rPr>
          <w:rFonts w:ascii="Arial" w:cs="Arial" w:eastAsia="Arial" w:hAnsi="Arial"/>
          <w:sz w:val="18"/>
          <w:szCs w:val="18"/>
          <w:color w:val="auto"/>
        </w:rPr>
      </w:pPr>
    </w:p>
    <w:p>
      <w:pPr>
        <w:ind w:left="220" w:right="480" w:firstLine="229"/>
        <w:spacing w:after="0" w:line="312"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and financial statement schedules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38" w:lineRule="exact"/>
        <w:rPr>
          <w:rFonts w:ascii="Arial" w:cs="Arial" w:eastAsia="Arial" w:hAnsi="Arial"/>
          <w:sz w:val="16"/>
          <w:szCs w:val="16"/>
          <w:color w:val="auto"/>
        </w:rPr>
      </w:pPr>
    </w:p>
    <w:p>
      <w:pPr>
        <w:ind w:left="220" w:right="520" w:firstLine="229"/>
        <w:spacing w:after="0" w:line="264" w:lineRule="auto"/>
        <w:tabs>
          <w:tab w:leader="none" w:pos="7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 and</w:t>
      </w:r>
    </w:p>
    <w:p>
      <w:pPr>
        <w:spacing w:after="0" w:line="73" w:lineRule="exact"/>
        <w:rPr>
          <w:rFonts w:ascii="Arial" w:cs="Arial" w:eastAsia="Arial" w:hAnsi="Arial"/>
          <w:sz w:val="18"/>
          <w:szCs w:val="18"/>
          <w:color w:val="auto"/>
        </w:rPr>
      </w:pPr>
    </w:p>
    <w:p>
      <w:pPr>
        <w:jc w:val="both"/>
        <w:ind w:left="220" w:firstLine="229"/>
        <w:spacing w:after="0" w:line="259" w:lineRule="auto"/>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w:t>
      </w:r>
    </w:p>
    <w:p>
      <w:pPr>
        <w:spacing w:after="0" w:line="1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7" w:name="page28"/>
    <w:bookmarkEnd w:id="27"/>
    <w:p>
      <w:pPr>
        <w:ind w:left="460" w:right="40"/>
        <w:spacing w:after="0" w:line="257" w:lineRule="auto"/>
        <w:rPr>
          <w:sz w:val="20"/>
          <w:szCs w:val="20"/>
          <w:color w:val="auto"/>
        </w:rPr>
      </w:pPr>
      <w:r>
        <w:rPr>
          <w:rFonts w:ascii="Arial" w:cs="Arial" w:eastAsia="Arial" w:hAnsi="Arial"/>
          <w:sz w:val="18"/>
          <w:szCs w:val="18"/>
          <w:color w:val="auto"/>
        </w:rPr>
        <w:t>Statement, the information included or incorporated by reference in the Company’s Annual Report on Form 10-K for the year ended December 31, 2008 and Quarterly Reports on Form 10-Q for the quarters ended March 31, 2009, June 30, 2009 and September 30, 2009,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w:t>
      </w:r>
    </w:p>
    <w:p>
      <w:pPr>
        <w:spacing w:after="0" w:line="80" w:lineRule="exact"/>
        <w:rPr>
          <w:sz w:val="20"/>
          <w:szCs w:val="20"/>
          <w:color w:val="auto"/>
        </w:rPr>
      </w:pPr>
    </w:p>
    <w:p>
      <w:pPr>
        <w:ind w:left="240" w:right="80" w:firstLine="225"/>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62" w:lineRule="exact"/>
        <w:rPr>
          <w:sz w:val="20"/>
          <w:szCs w:val="20"/>
          <w:color w:val="auto"/>
        </w:rPr>
      </w:pPr>
    </w:p>
    <w:p>
      <w:pPr>
        <w:ind w:left="240" w:right="20" w:firstLine="221"/>
        <w:spacing w:after="0" w:line="270"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left="240" w:right="60" w:firstLine="221"/>
        <w:spacing w:after="0" w:line="286"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left="240" w:right="740" w:firstLine="221"/>
        <w:spacing w:after="0" w:line="277"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62"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right="240"/>
        <w:spacing w:after="0" w:line="277" w:lineRule="auto"/>
        <w:rPr>
          <w:sz w:val="20"/>
          <w:szCs w:val="20"/>
          <w:color w:val="auto"/>
        </w:rPr>
      </w:pPr>
      <w:r>
        <w:rPr>
          <w:rFonts w:ascii="Arial" w:cs="Arial" w:eastAsia="Arial" w:hAnsi="Arial"/>
          <w:sz w:val="18"/>
          <w:szCs w:val="18"/>
          <w:color w:val="auto"/>
        </w:rPr>
        <w:t>at, or at any time prior to, the Closing Date by the Representatives. Notice of such cancellation shall be given to the Company in writing or by telephone or facsimile confirmed in writing.</w:t>
      </w:r>
    </w:p>
    <w:p>
      <w:pPr>
        <w:spacing w:after="0" w:line="62"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62" w:lineRule="exact"/>
        <w:rPr>
          <w:sz w:val="20"/>
          <w:szCs w:val="20"/>
          <w:color w:val="auto"/>
        </w:rPr>
      </w:pPr>
    </w:p>
    <w:p>
      <w:pPr>
        <w:ind w:right="20" w:firstLine="233"/>
        <w:spacing w:after="0" w:line="255"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J.P. Morgan Securities Inc., Wells Fargo Securities, LLC, BNP Paribas Securities Corp. and Scotia Capital (USA) Inc. on demand for all out-of-pocket expenses (including reasonable fees and disbursements of counsel) that shall have been incurred by them in connection with the proposed purchase and sale of the Securities.</w:t>
      </w:r>
    </w:p>
    <w:p>
      <w:pPr>
        <w:spacing w:after="0" w:line="81" w:lineRule="exact"/>
        <w:rPr>
          <w:rFonts w:ascii="Arial" w:cs="Arial" w:eastAsia="Arial" w:hAnsi="Arial"/>
          <w:sz w:val="18"/>
          <w:szCs w:val="18"/>
          <w:color w:val="auto"/>
        </w:rPr>
      </w:pPr>
    </w:p>
    <w:p>
      <w:pPr>
        <w:ind w:firstLine="233"/>
        <w:spacing w:after="0" w:line="286" w:lineRule="auto"/>
        <w:tabs>
          <w:tab w:leader="none" w:pos="4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Each of the Company and Holdings, jointly and severally,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60" w:lineRule="exact"/>
        <w:rPr>
          <w:rFonts w:ascii="Arial" w:cs="Arial" w:eastAsia="Arial" w:hAnsi="Arial"/>
          <w:sz w:val="16"/>
          <w:szCs w:val="16"/>
          <w:color w:val="auto"/>
        </w:rPr>
      </w:pPr>
    </w:p>
    <w:p>
      <w:pPr>
        <w:ind w:right="220" w:firstLine="458"/>
        <w:spacing w:after="0" w:line="277"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Underwriter, severally and not jointly, agrees to indemnify and hold harmless the Company and Holdings, each of their respective directors, each of their respective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line="270" w:lineRule="auto"/>
        <w:rPr>
          <w:sz w:val="20"/>
          <w:szCs w:val="20"/>
          <w:color w:val="auto"/>
        </w:rPr>
      </w:pPr>
      <w:r>
        <w:rPr>
          <w:rFonts w:ascii="Arial" w:cs="Arial" w:eastAsia="Arial" w:hAnsi="Arial"/>
          <w:sz w:val="17"/>
          <w:szCs w:val="17"/>
          <w:color w:val="auto"/>
        </w:rPr>
        <w:t>officers who signs the Registration Statement, and each person who controls either the Company or Holdings within the meaning of either the Act or the Exchange Act, to the same extent as the foregoing indemnity from the Company or Holdings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statements set forth in the last paragraph of the cover page regarding delivery of the Securities and, under the heading “Underwriting,” (i) the list of Underwriters and their respective participation in the sale of the Securities, (ii) the sentences related to concessions and reallowances, and (iii) the paragraphs related to stabilization, syndicate covering transactions and penalty bids in the Time of Sale Information and the Final Prospectus constitute the only information furnished in writing by or on behalf of the several Underwriters for inclusion in the Time of Sale Information and the Final Prospectus.</w:t>
      </w:r>
    </w:p>
    <w:p>
      <w:pPr>
        <w:spacing w:after="0" w:line="74" w:lineRule="exact"/>
        <w:rPr>
          <w:sz w:val="20"/>
          <w:szCs w:val="20"/>
          <w:color w:val="auto"/>
        </w:rPr>
      </w:pPr>
    </w:p>
    <w:p>
      <w:pPr>
        <w:ind w:right="20" w:firstLine="458"/>
        <w:spacing w:after="0" w:line="285" w:lineRule="auto"/>
        <w:tabs>
          <w:tab w:leader="none" w:pos="695" w:val="left"/>
        </w:tabs>
        <w:numPr>
          <w:ilvl w:val="1"/>
          <w:numId w:val="35"/>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2" w:lineRule="exact"/>
        <w:rPr>
          <w:rFonts w:ascii="Arial" w:cs="Arial" w:eastAsia="Arial" w:hAnsi="Arial"/>
          <w:sz w:val="16"/>
          <w:szCs w:val="16"/>
          <w:color w:val="auto"/>
        </w:rPr>
      </w:pPr>
    </w:p>
    <w:p>
      <w:pPr>
        <w:ind w:right="20" w:firstLine="8"/>
        <w:spacing w:after="0" w:line="267"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ind w:right="460"/>
        <w:spacing w:after="0" w:line="264" w:lineRule="auto"/>
        <w:rPr>
          <w:sz w:val="20"/>
          <w:szCs w:val="20"/>
          <w:color w:val="auto"/>
        </w:rPr>
      </w:pPr>
      <w:r>
        <w:rPr>
          <w:rFonts w:ascii="Arial" w:cs="Arial" w:eastAsia="Arial" w:hAnsi="Arial"/>
          <w:sz w:val="18"/>
          <w:szCs w:val="18"/>
          <w:color w:val="auto"/>
        </w:rPr>
        <w:t>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73" w:lineRule="exact"/>
        <w:rPr>
          <w:sz w:val="20"/>
          <w:szCs w:val="20"/>
          <w:color w:val="auto"/>
        </w:rPr>
      </w:pPr>
    </w:p>
    <w:p>
      <w:pPr>
        <w:ind w:firstLine="458"/>
        <w:spacing w:after="0" w:line="284"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left="-20" w:firstLine="233"/>
        <w:spacing w:after="0" w:line="268" w:lineRule="auto"/>
        <w:tabs>
          <w:tab w:leader="none" w:pos="47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79" w:lineRule="exact"/>
        <w:rPr>
          <w:rFonts w:ascii="Arial" w:cs="Arial" w:eastAsia="Arial" w:hAnsi="Arial"/>
          <w:sz w:val="17"/>
          <w:szCs w:val="17"/>
          <w:color w:val="auto"/>
        </w:rPr>
      </w:pPr>
    </w:p>
    <w:p>
      <w:pPr>
        <w:ind w:left="-20" w:right="80" w:firstLine="233"/>
        <w:spacing w:after="0" w:line="270" w:lineRule="auto"/>
        <w:tabs>
          <w:tab w:leader="none" w:pos="46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left="-20" w:firstLine="233"/>
        <w:spacing w:after="0" w:line="257" w:lineRule="auto"/>
        <w:tabs>
          <w:tab w:leader="none" w:pos="47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2" w:name="page33"/>
    <w:bookmarkEnd w:id="32"/>
    <w:p>
      <w:pPr>
        <w:ind w:left="-8" w:firstLine="8"/>
        <w:spacing w:after="0" w:line="254" w:lineRule="auto"/>
        <w:tabs>
          <w:tab w:leader="none" w:pos="26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(1) J.P Morgan Securities Inc., Attention: High Grade Syndicate Desk, 270 Park Avenue, 8th Floor, New York, New York 10017 (fax no.: 212-834-6081); (2) Wells Fargo Securities, LLC, Attention: Transaction Management Department, 301 S. College Street, Charlotte, North Carolina 28288 (fax no.: 704-383-9165); (3) BNP Paribas Securities Corp., Attention: Syndicate Desk, 787 Seventh Avenue, New York, New York 10019 (fax no.: 212-841-3930); and Scotia Capital (USA) Inc., Attention: Debt Capital Markets Desk (cc: Legal and Compliance Group), One Liberty Plaza, 25th Floor, 165 Broadway, New York, New York 10006 (fax no.: 212-225-6550); or, if sent to the Company or Holdings, will be mailed, delivered or telefaxed to the Waste Management, Inc. General Counsel (fax no.: 713-209-9710) and confirmed to it at 1001 Fannin, Suite 4000, Houston, Texas 77002, attention of the Legal Department.</w:t>
      </w:r>
    </w:p>
    <w:p>
      <w:pPr>
        <w:spacing w:after="0" w:line="84" w:lineRule="exact"/>
        <w:rPr>
          <w:rFonts w:ascii="Arial" w:cs="Arial" w:eastAsia="Arial" w:hAnsi="Arial"/>
          <w:sz w:val="18"/>
          <w:szCs w:val="18"/>
          <w:color w:val="auto"/>
        </w:rPr>
      </w:pPr>
    </w:p>
    <w:p>
      <w:pPr>
        <w:ind w:left="-8" w:right="500" w:firstLine="233"/>
        <w:spacing w:after="0" w:line="342" w:lineRule="auto"/>
        <w:tabs>
          <w:tab w:leader="none" w:pos="487"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5" w:lineRule="exact"/>
        <w:rPr>
          <w:rFonts w:ascii="Arial" w:cs="Arial" w:eastAsia="Arial" w:hAnsi="Arial"/>
          <w:sz w:val="16"/>
          <w:szCs w:val="16"/>
          <w:color w:val="auto"/>
        </w:rPr>
      </w:pPr>
    </w:p>
    <w:p>
      <w:pPr>
        <w:ind w:left="-8" w:right="240" w:firstLine="233"/>
        <w:spacing w:after="0" w:line="277" w:lineRule="auto"/>
        <w:tabs>
          <w:tab w:leader="none" w:pos="48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left="-8" w:right="160" w:firstLine="233"/>
        <w:spacing w:after="0" w:line="277" w:lineRule="auto"/>
        <w:tabs>
          <w:tab w:leader="none" w:pos="48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492" w:hanging="267"/>
        <w:spacing w:after="0"/>
        <w:tabs>
          <w:tab w:leader="none" w:pos="49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492" w:hanging="267"/>
        <w:spacing w:after="0"/>
        <w:tabs>
          <w:tab w:leader="none" w:pos="49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232" w:right="20" w:firstLine="225"/>
        <w:spacing w:after="0" w:line="277" w:lineRule="auto"/>
        <w:rPr>
          <w:sz w:val="20"/>
          <w:szCs w:val="20"/>
          <w:color w:val="auto"/>
        </w:rPr>
      </w:pPr>
      <w:r>
        <w:rPr>
          <w:rFonts w:ascii="Arial" w:cs="Arial" w:eastAsia="Arial" w:hAnsi="Arial"/>
          <w:sz w:val="18"/>
          <w:szCs w:val="18"/>
          <w:color w:val="auto"/>
        </w:rPr>
        <w:t>“affiliate” shall mean a person that directly, or indirectly through one or more intermediaries, controls or is controlled by, or is under common control with, the person specified.</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6"/>
          <w:szCs w:val="16"/>
          <w:color w:val="auto"/>
        </w:rPr>
        <w:t>“Basic Prospectus” shall mean the prospectus referred to in paragraph 1(a) above contained in the Registration Statement at the Effective Date.</w:t>
      </w:r>
    </w:p>
    <w:p>
      <w:pPr>
        <w:spacing w:after="0" w:line="140" w:lineRule="exact"/>
        <w:rPr>
          <w:sz w:val="20"/>
          <w:szCs w:val="20"/>
          <w:color w:val="auto"/>
        </w:rPr>
      </w:pPr>
    </w:p>
    <w:p>
      <w:pPr>
        <w:ind w:left="232" w:right="140" w:firstLine="225"/>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9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32"/>
          </w:cols>
          <w:pgMar w:left="248" w:top="935" w:right="419" w:bottom="1440" w:gutter="0" w:footer="0" w:header="0"/>
        </w:sectPr>
      </w:pPr>
    </w:p>
    <w:bookmarkStart w:id="33" w:name="page34"/>
    <w:bookmarkEnd w:id="33"/>
    <w:p>
      <w:pPr>
        <w:ind w:right="300" w:firstLine="225"/>
        <w:spacing w:after="0" w:line="342" w:lineRule="auto"/>
        <w:rPr>
          <w:sz w:val="20"/>
          <w:szCs w:val="20"/>
          <w:color w:val="auto"/>
        </w:rPr>
      </w:pPr>
      <w:r>
        <w:rPr>
          <w:rFonts w:ascii="Arial" w:cs="Arial" w:eastAsia="Arial" w:hAnsi="Arial"/>
          <w:sz w:val="16"/>
          <w:szCs w:val="16"/>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6"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Basic Prospectus.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November 12, 2009 that was filed with the Commission pursuant to Rule 424(b) prior to the Time of Sale, together with the Basic Prospectus.</w:t>
      </w:r>
    </w:p>
    <w:p>
      <w:pPr>
        <w:spacing w:after="0" w:line="62"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73"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“Registration Statement” shall mean the registration statement referred to in paragraph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7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“Time of Sale” shall mean 1:55 PM New York time on November 12, 2009, the time when sales of the Securities were first made.</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4" w:name="page35"/>
    <w:bookmarkEnd w:id="34"/>
    <w:p>
      <w:pPr>
        <w:ind w:left="7" w:right="300" w:firstLine="225"/>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62" w:lineRule="exact"/>
        <w:rPr>
          <w:sz w:val="20"/>
          <w:szCs w:val="20"/>
          <w:color w:val="auto"/>
        </w:rPr>
      </w:pPr>
    </w:p>
    <w:p>
      <w:pPr>
        <w:ind w:left="-233" w:firstLine="233"/>
        <w:spacing w:after="0" w:line="312" w:lineRule="auto"/>
        <w:tabs>
          <w:tab w:leader="none" w:pos="26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Consent to Representation</w:t>
      </w:r>
      <w:r>
        <w:rPr>
          <w:rFonts w:ascii="Arial" w:cs="Arial" w:eastAsia="Arial" w:hAnsi="Arial"/>
          <w:sz w:val="16"/>
          <w:szCs w:val="16"/>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20" w:lineRule="exact"/>
        <w:rPr>
          <w:sz w:val="20"/>
          <w:szCs w:val="20"/>
          <w:color w:val="auto"/>
        </w:rPr>
      </w:pPr>
    </w:p>
    <w:p>
      <w:pPr>
        <w:jc w:val="center"/>
        <w:ind w:right="-24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7"/>
          </w:cols>
          <w:pgMar w:left="473" w:top="936" w:right="719" w:bottom="1440" w:gutter="0" w:footer="0" w:header="0"/>
        </w:sectPr>
      </w:pPr>
    </w:p>
    <w:bookmarkStart w:id="35" w:name="page36"/>
    <w:bookmarkEnd w:id="35"/>
    <w:p>
      <w:pPr>
        <w:ind w:firstLine="225"/>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President-Finance &amp; Treasurer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Amanda K. Maki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Assistant Secretary</w:t>
      </w:r>
    </w:p>
    <w:p>
      <w:pPr>
        <w:spacing w:after="0" w:line="200" w:lineRule="exact"/>
        <w:rPr>
          <w:sz w:val="20"/>
          <w:szCs w:val="20"/>
          <w:color w:val="auto"/>
        </w:rPr>
      </w:pPr>
    </w:p>
    <w:p>
      <w:pPr>
        <w:spacing w:after="0" w:line="335"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Underwriting Agreement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5" w:right="6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J.P. MORGAN SECURITIES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Bottamedi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Robert Bottamedi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WELLS FARGO SECURITIES,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C. Hurley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Carolyn C. Hurley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BNP PARIBAS SECURITIES CORP.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McCann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Tim McCann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spacing w:after="0"/>
              <w:rPr>
                <w:sz w:val="20"/>
                <w:szCs w:val="20"/>
                <w:color w:val="auto"/>
              </w:rPr>
            </w:pPr>
            <w:r>
              <w:rPr>
                <w:rFonts w:ascii="Arial" w:cs="Arial" w:eastAsia="Arial" w:hAnsi="Arial"/>
                <w:sz w:val="18"/>
                <w:szCs w:val="18"/>
                <w:color w:val="auto"/>
              </w:rPr>
              <w:t>SCOTIA CAPITAL (USA) INC.</w:t>
            </w: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McKeown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Paul McKeown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470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any, named in Schedule II to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19" w:lineRule="exact"/>
        <w:rPr>
          <w:sz w:val="20"/>
          <w:szCs w:val="20"/>
          <w:color w:val="auto"/>
        </w:rPr>
      </w:pPr>
    </w:p>
    <w:p>
      <w:pPr>
        <w:jc w:val="right"/>
        <w:ind w:right="2799"/>
        <w:spacing w:after="0"/>
        <w:rPr>
          <w:sz w:val="20"/>
          <w:szCs w:val="20"/>
          <w:color w:val="auto"/>
        </w:rPr>
      </w:pPr>
      <w:r>
        <w:rPr>
          <w:rFonts w:ascii="Arial" w:cs="Arial" w:eastAsia="Arial" w:hAnsi="Arial"/>
          <w:sz w:val="18"/>
          <w:szCs w:val="18"/>
          <w:i w:val="1"/>
          <w:iCs w:val="1"/>
          <w:color w:val="auto"/>
        </w:rPr>
        <w:t>Signature Page to Underwriting Agreement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November 12, 2009 relating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November 12, 2009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tcPr>
          <w:p>
            <w:pPr>
              <w:ind w:left="110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640" w:type="dxa"/>
            <w:vAlign w:val="bottom"/>
          </w:tcPr>
          <w:p>
            <w:pPr>
              <w:spacing w:after="0"/>
              <w:rPr>
                <w:sz w:val="20"/>
                <w:szCs w:val="20"/>
                <w:color w:val="auto"/>
              </w:rPr>
            </w:pPr>
          </w:p>
        </w:tc>
        <w:tc>
          <w:tcPr>
            <w:tcW w:w="7780" w:type="dxa"/>
            <w:vAlign w:val="bottom"/>
          </w:tcPr>
          <w:p>
            <w:pPr>
              <w:ind w:left="900"/>
              <w:spacing w:after="0"/>
              <w:rPr>
                <w:sz w:val="20"/>
                <w:szCs w:val="20"/>
                <w:color w:val="auto"/>
              </w:rPr>
            </w:pPr>
            <w:r>
              <w:rPr>
                <w:rFonts w:ascii="Arial" w:cs="Arial" w:eastAsia="Arial" w:hAnsi="Arial"/>
                <w:sz w:val="18"/>
                <w:szCs w:val="18"/>
                <w:b w:val="1"/>
                <w:bCs w:val="1"/>
                <w:color w:val="auto"/>
              </w:rPr>
              <w:t>6.125% Senior Notes due 2039</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Issuer:</w:t>
            </w:r>
          </w:p>
        </w:tc>
        <w:tc>
          <w:tcPr>
            <w:tcW w:w="7780" w:type="dxa"/>
            <w:vAlign w:val="bottom"/>
          </w:tcPr>
          <w:p>
            <w:pPr>
              <w:ind w:left="1480"/>
              <w:spacing w:after="0"/>
              <w:rPr>
                <w:sz w:val="20"/>
                <w:szCs w:val="20"/>
                <w:color w:val="auto"/>
              </w:rPr>
            </w:pPr>
            <w:r>
              <w:rPr>
                <w:rFonts w:ascii="Arial" w:cs="Arial" w:eastAsia="Arial" w:hAnsi="Arial"/>
                <w:sz w:val="18"/>
                <w:szCs w:val="18"/>
                <w:color w:val="auto"/>
              </w:rPr>
              <w:t>Waste Management,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Guarantor:</w:t>
            </w:r>
          </w:p>
        </w:tc>
        <w:tc>
          <w:tcPr>
            <w:tcW w:w="7780" w:type="dxa"/>
            <w:vAlign w:val="bottom"/>
          </w:tcPr>
          <w:p>
            <w:pPr>
              <w:ind w:left="1480"/>
              <w:spacing w:after="0"/>
              <w:rPr>
                <w:sz w:val="20"/>
                <w:szCs w:val="20"/>
                <w:color w:val="auto"/>
              </w:rPr>
            </w:pPr>
            <w:r>
              <w:rPr>
                <w:rFonts w:ascii="Arial" w:cs="Arial" w:eastAsia="Arial" w:hAnsi="Arial"/>
                <w:sz w:val="18"/>
                <w:szCs w:val="18"/>
                <w:color w:val="auto"/>
              </w:rPr>
              <w:t>Waste Management Holdings, Inc.</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Size:</w:t>
            </w:r>
          </w:p>
        </w:tc>
        <w:tc>
          <w:tcPr>
            <w:tcW w:w="7780" w:type="dxa"/>
            <w:vAlign w:val="bottom"/>
          </w:tcPr>
          <w:p>
            <w:pPr>
              <w:ind w:left="1480"/>
              <w:spacing w:after="0"/>
              <w:rPr>
                <w:sz w:val="20"/>
                <w:szCs w:val="20"/>
                <w:color w:val="auto"/>
              </w:rPr>
            </w:pPr>
            <w:r>
              <w:rPr>
                <w:rFonts w:ascii="Arial" w:cs="Arial" w:eastAsia="Arial" w:hAnsi="Arial"/>
                <w:sz w:val="18"/>
                <w:szCs w:val="18"/>
                <w:color w:val="auto"/>
              </w:rPr>
              <w:t>$600,000,000</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Maturity:</w:t>
            </w:r>
          </w:p>
        </w:tc>
        <w:tc>
          <w:tcPr>
            <w:tcW w:w="7780" w:type="dxa"/>
            <w:vAlign w:val="bottom"/>
          </w:tcPr>
          <w:p>
            <w:pPr>
              <w:ind w:left="1480"/>
              <w:spacing w:after="0"/>
              <w:rPr>
                <w:sz w:val="20"/>
                <w:szCs w:val="20"/>
                <w:color w:val="auto"/>
              </w:rPr>
            </w:pPr>
            <w:r>
              <w:rPr>
                <w:rFonts w:ascii="Arial" w:cs="Arial" w:eastAsia="Arial" w:hAnsi="Arial"/>
                <w:sz w:val="18"/>
                <w:szCs w:val="18"/>
                <w:color w:val="auto"/>
              </w:rPr>
              <w:t>November 30, 2039</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Coupon:</w:t>
            </w:r>
          </w:p>
        </w:tc>
        <w:tc>
          <w:tcPr>
            <w:tcW w:w="7780" w:type="dxa"/>
            <w:vAlign w:val="bottom"/>
          </w:tcPr>
          <w:p>
            <w:pPr>
              <w:ind w:left="1480"/>
              <w:spacing w:after="0"/>
              <w:rPr>
                <w:sz w:val="20"/>
                <w:szCs w:val="20"/>
                <w:color w:val="auto"/>
              </w:rPr>
            </w:pPr>
            <w:r>
              <w:rPr>
                <w:rFonts w:ascii="Arial" w:cs="Arial" w:eastAsia="Arial" w:hAnsi="Arial"/>
                <w:sz w:val="18"/>
                <w:szCs w:val="18"/>
                <w:color w:val="auto"/>
              </w:rPr>
              <w:t>6.125 %</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Price to Public:</w:t>
            </w:r>
          </w:p>
        </w:tc>
        <w:tc>
          <w:tcPr>
            <w:tcW w:w="7780" w:type="dxa"/>
            <w:vAlign w:val="bottom"/>
          </w:tcPr>
          <w:p>
            <w:pPr>
              <w:ind w:left="1480"/>
              <w:spacing w:after="0"/>
              <w:rPr>
                <w:sz w:val="20"/>
                <w:szCs w:val="20"/>
                <w:color w:val="auto"/>
              </w:rPr>
            </w:pPr>
            <w:r>
              <w:rPr>
                <w:rFonts w:ascii="Arial" w:cs="Arial" w:eastAsia="Arial" w:hAnsi="Arial"/>
                <w:sz w:val="18"/>
                <w:szCs w:val="18"/>
                <w:color w:val="auto"/>
              </w:rPr>
              <w:t>99.466 % of face amount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7780" w:type="dxa"/>
            <w:vAlign w:val="bottom"/>
          </w:tcPr>
          <w:p>
            <w:pPr>
              <w:ind w:left="1480"/>
              <w:spacing w:after="0"/>
              <w:rPr>
                <w:sz w:val="20"/>
                <w:szCs w:val="20"/>
                <w:color w:val="auto"/>
              </w:rPr>
            </w:pPr>
            <w:r>
              <w:rPr>
                <w:rFonts w:ascii="Arial" w:cs="Arial" w:eastAsia="Arial" w:hAnsi="Arial"/>
                <w:sz w:val="18"/>
                <w:szCs w:val="18"/>
                <w:color w:val="auto"/>
              </w:rPr>
              <w:t>0.875 %</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Yield to maturity:</w:t>
            </w:r>
          </w:p>
        </w:tc>
        <w:tc>
          <w:tcPr>
            <w:tcW w:w="7780" w:type="dxa"/>
            <w:vAlign w:val="bottom"/>
          </w:tcPr>
          <w:p>
            <w:pPr>
              <w:ind w:left="1480"/>
              <w:spacing w:after="0"/>
              <w:rPr>
                <w:sz w:val="20"/>
                <w:szCs w:val="20"/>
                <w:color w:val="auto"/>
              </w:rPr>
            </w:pPr>
            <w:r>
              <w:rPr>
                <w:rFonts w:ascii="Arial" w:cs="Arial" w:eastAsia="Arial" w:hAnsi="Arial"/>
                <w:sz w:val="18"/>
                <w:szCs w:val="18"/>
                <w:color w:val="auto"/>
              </w:rPr>
              <w:t>6.164 %</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80" w:type="dxa"/>
            <w:vAlign w:val="bottom"/>
          </w:tcPr>
          <w:p>
            <w:pPr>
              <w:ind w:left="1480"/>
              <w:spacing w:after="0"/>
              <w:rPr>
                <w:sz w:val="20"/>
                <w:szCs w:val="20"/>
                <w:color w:val="auto"/>
              </w:rPr>
            </w:pPr>
            <w:r>
              <w:rPr>
                <w:rFonts w:ascii="Arial" w:cs="Arial" w:eastAsia="Arial" w:hAnsi="Arial"/>
                <w:sz w:val="18"/>
                <w:szCs w:val="18"/>
                <w:color w:val="auto"/>
              </w:rPr>
              <w:t>1.750 %</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Benchmark Treasury:</w:t>
            </w:r>
          </w:p>
        </w:tc>
        <w:tc>
          <w:tcPr>
            <w:tcW w:w="7780" w:type="dxa"/>
            <w:vAlign w:val="bottom"/>
          </w:tcPr>
          <w:p>
            <w:pPr>
              <w:ind w:left="1480"/>
              <w:spacing w:after="0"/>
              <w:rPr>
                <w:sz w:val="20"/>
                <w:szCs w:val="20"/>
                <w:color w:val="auto"/>
              </w:rPr>
            </w:pPr>
            <w:r>
              <w:rPr>
                <w:rFonts w:ascii="Arial" w:cs="Arial" w:eastAsia="Arial" w:hAnsi="Arial"/>
                <w:sz w:val="18"/>
                <w:szCs w:val="18"/>
                <w:color w:val="auto"/>
              </w:rPr>
              <w:t>4.250 % due 05/15/2039</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80" w:type="dxa"/>
            <w:vAlign w:val="bottom"/>
          </w:tcPr>
          <w:p>
            <w:pPr>
              <w:ind w:left="1480"/>
              <w:spacing w:after="0"/>
              <w:rPr>
                <w:sz w:val="20"/>
                <w:szCs w:val="20"/>
                <w:color w:val="auto"/>
              </w:rPr>
            </w:pPr>
            <w:r>
              <w:rPr>
                <w:rFonts w:ascii="Arial" w:cs="Arial" w:eastAsia="Arial" w:hAnsi="Arial"/>
                <w:sz w:val="18"/>
                <w:szCs w:val="18"/>
                <w:color w:val="auto"/>
              </w:rPr>
              <w:t>97-10 + 4.414%</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80" w:type="dxa"/>
            <w:vAlign w:val="bottom"/>
          </w:tcPr>
          <w:p>
            <w:pPr>
              <w:ind w:left="1480"/>
              <w:spacing w:after="0"/>
              <w:rPr>
                <w:sz w:val="20"/>
                <w:szCs w:val="20"/>
                <w:color w:val="auto"/>
              </w:rPr>
            </w:pPr>
            <w:r>
              <w:rPr>
                <w:rFonts w:ascii="Arial" w:cs="Arial" w:eastAsia="Arial" w:hAnsi="Arial"/>
                <w:sz w:val="18"/>
                <w:szCs w:val="18"/>
                <w:color w:val="auto"/>
              </w:rPr>
              <w:t>Semi-annually on November 30 and May 30, commencing May 30, 2010.</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Redemption Provisions:</w:t>
            </w:r>
          </w:p>
        </w:tc>
        <w:tc>
          <w:tcPr>
            <w:tcW w:w="7780" w:type="dxa"/>
            <w:vAlign w:val="bottom"/>
          </w:tcPr>
          <w:p>
            <w:pPr>
              <w:spacing w:after="0"/>
              <w:rPr>
                <w:sz w:val="24"/>
                <w:szCs w:val="24"/>
                <w:color w:val="auto"/>
              </w:rPr>
            </w:pPr>
          </w:p>
        </w:tc>
      </w:tr>
      <w:tr>
        <w:trPr>
          <w:trHeight w:val="216"/>
        </w:trPr>
        <w:tc>
          <w:tcPr>
            <w:tcW w:w="3640" w:type="dxa"/>
            <w:vAlign w:val="bottom"/>
          </w:tcPr>
          <w:p>
            <w:pPr>
              <w:ind w:left="240"/>
              <w:spacing w:after="0"/>
              <w:rPr>
                <w:sz w:val="20"/>
                <w:szCs w:val="20"/>
                <w:color w:val="auto"/>
              </w:rPr>
            </w:pPr>
            <w:r>
              <w:rPr>
                <w:rFonts w:ascii="Arial" w:cs="Arial" w:eastAsia="Arial" w:hAnsi="Arial"/>
                <w:sz w:val="18"/>
                <w:szCs w:val="18"/>
                <w:color w:val="auto"/>
              </w:rPr>
              <w:t>Optional Redemption:</w:t>
            </w:r>
          </w:p>
        </w:tc>
        <w:tc>
          <w:tcPr>
            <w:tcW w:w="7780" w:type="dxa"/>
            <w:vAlign w:val="bottom"/>
          </w:tcPr>
          <w:p>
            <w:pPr>
              <w:ind w:left="1480"/>
              <w:spacing w:after="0"/>
              <w:rPr>
                <w:sz w:val="20"/>
                <w:szCs w:val="20"/>
                <w:color w:val="auto"/>
              </w:rPr>
            </w:pPr>
            <w:r>
              <w:rPr>
                <w:rFonts w:ascii="Arial" w:cs="Arial" w:eastAsia="Arial" w:hAnsi="Arial"/>
                <w:sz w:val="18"/>
                <w:szCs w:val="18"/>
                <w:color w:val="auto"/>
                <w:w w:val="93"/>
              </w:rPr>
              <w:t>At any time for an amount equal to the greater of (1) 100% of the principal amount of</w:t>
            </w:r>
          </w:p>
        </w:tc>
      </w:tr>
      <w:tr>
        <w:trPr>
          <w:trHeight w:val="216"/>
        </w:trPr>
        <w:tc>
          <w:tcPr>
            <w:tcW w:w="36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Arial" w:cs="Arial" w:eastAsia="Arial" w:hAnsi="Arial"/>
                <w:sz w:val="18"/>
                <w:szCs w:val="18"/>
                <w:color w:val="auto"/>
                <w:w w:val="92"/>
              </w:rPr>
              <w:t>the notes redeemed and repaid, or (2) the sum of the present values of the remaining</w:t>
            </w:r>
          </w:p>
        </w:tc>
      </w:tr>
      <w:tr>
        <w:trPr>
          <w:trHeight w:val="216"/>
        </w:trPr>
        <w:tc>
          <w:tcPr>
            <w:tcW w:w="3640" w:type="dxa"/>
            <w:vAlign w:val="bottom"/>
          </w:tcPr>
          <w:p>
            <w:pPr>
              <w:spacing w:after="0"/>
              <w:rPr>
                <w:sz w:val="18"/>
                <w:szCs w:val="18"/>
                <w:color w:val="auto"/>
              </w:rPr>
            </w:pPr>
          </w:p>
        </w:tc>
        <w:tc>
          <w:tcPr>
            <w:tcW w:w="7780" w:type="dxa"/>
            <w:vAlign w:val="bottom"/>
          </w:tcPr>
          <w:p>
            <w:pPr>
              <w:ind w:left="1480"/>
              <w:spacing w:after="0"/>
              <w:rPr>
                <w:sz w:val="20"/>
                <w:szCs w:val="20"/>
                <w:color w:val="auto"/>
              </w:rPr>
            </w:pPr>
            <w:r>
              <w:rPr>
                <w:rFonts w:ascii="Arial" w:cs="Arial" w:eastAsia="Arial" w:hAnsi="Arial"/>
                <w:sz w:val="18"/>
                <w:szCs w:val="18"/>
                <w:color w:val="auto"/>
              </w:rPr>
              <w:t>scheduled payments of principal and interest on such notes discounted to the</w:t>
            </w:r>
          </w:p>
        </w:tc>
      </w:tr>
      <w:tr>
        <w:trPr>
          <w:trHeight w:val="230"/>
        </w:trPr>
        <w:tc>
          <w:tcPr>
            <w:tcW w:w="3640" w:type="dxa"/>
            <w:vAlign w:val="bottom"/>
          </w:tcPr>
          <w:p>
            <w:pPr>
              <w:spacing w:after="0"/>
              <w:rPr>
                <w:sz w:val="20"/>
                <w:szCs w:val="20"/>
                <w:color w:val="auto"/>
              </w:rPr>
            </w:pPr>
          </w:p>
        </w:tc>
        <w:tc>
          <w:tcPr>
            <w:tcW w:w="7780" w:type="dxa"/>
            <w:vAlign w:val="bottom"/>
          </w:tcPr>
          <w:p>
            <w:pPr>
              <w:ind w:left="1480"/>
              <w:spacing w:after="0"/>
              <w:rPr>
                <w:sz w:val="20"/>
                <w:szCs w:val="20"/>
                <w:color w:val="auto"/>
              </w:rPr>
            </w:pPr>
            <w:r>
              <w:rPr>
                <w:rFonts w:ascii="Arial" w:cs="Arial" w:eastAsia="Arial" w:hAnsi="Arial"/>
                <w:sz w:val="18"/>
                <w:szCs w:val="18"/>
                <w:color w:val="auto"/>
              </w:rPr>
              <w:t>redemption date at the applicable Treasury Yield plus 30 basis points.</w:t>
            </w:r>
          </w:p>
        </w:tc>
      </w:tr>
      <w:tr>
        <w:trPr>
          <w:trHeight w:val="418"/>
        </w:trPr>
        <w:tc>
          <w:tcPr>
            <w:tcW w:w="3640" w:type="dxa"/>
            <w:vAlign w:val="bottom"/>
          </w:tcPr>
          <w:p>
            <w:pPr>
              <w:ind w:left="240"/>
              <w:spacing w:after="0"/>
              <w:rPr>
                <w:sz w:val="20"/>
                <w:szCs w:val="20"/>
                <w:color w:val="auto"/>
              </w:rPr>
            </w:pPr>
            <w:r>
              <w:rPr>
                <w:rFonts w:ascii="Arial" w:cs="Arial" w:eastAsia="Arial" w:hAnsi="Arial"/>
                <w:sz w:val="18"/>
                <w:szCs w:val="18"/>
                <w:color w:val="auto"/>
              </w:rPr>
              <w:t>Change of Control Put:</w:t>
            </w:r>
          </w:p>
        </w:tc>
        <w:tc>
          <w:tcPr>
            <w:tcW w:w="7780" w:type="dxa"/>
            <w:vAlign w:val="bottom"/>
          </w:tcPr>
          <w:p>
            <w:pPr>
              <w:ind w:left="1480"/>
              <w:spacing w:after="0"/>
              <w:rPr>
                <w:sz w:val="20"/>
                <w:szCs w:val="20"/>
                <w:color w:val="auto"/>
              </w:rPr>
            </w:pPr>
            <w:r>
              <w:rPr>
                <w:rFonts w:ascii="Arial" w:cs="Arial" w:eastAsia="Arial" w:hAnsi="Arial"/>
                <w:sz w:val="18"/>
                <w:szCs w:val="18"/>
                <w:color w:val="auto"/>
                <w:w w:val="91"/>
              </w:rPr>
              <w:t>A put right upon the occurrence of a change of control triggering event as described in</w:t>
            </w:r>
          </w:p>
        </w:tc>
      </w:tr>
      <w:tr>
        <w:trPr>
          <w:trHeight w:val="230"/>
        </w:trPr>
        <w:tc>
          <w:tcPr>
            <w:tcW w:w="3640" w:type="dxa"/>
            <w:vAlign w:val="bottom"/>
          </w:tcPr>
          <w:p>
            <w:pPr>
              <w:spacing w:after="0"/>
              <w:rPr>
                <w:sz w:val="20"/>
                <w:szCs w:val="20"/>
                <w:color w:val="auto"/>
              </w:rPr>
            </w:pPr>
          </w:p>
        </w:tc>
        <w:tc>
          <w:tcPr>
            <w:tcW w:w="7780" w:type="dxa"/>
            <w:vAlign w:val="bottom"/>
          </w:tcPr>
          <w:p>
            <w:pPr>
              <w:ind w:left="1480"/>
              <w:spacing w:after="0"/>
              <w:rPr>
                <w:sz w:val="20"/>
                <w:szCs w:val="20"/>
                <w:color w:val="auto"/>
              </w:rPr>
            </w:pPr>
            <w:r>
              <w:rPr>
                <w:rFonts w:ascii="Arial" w:cs="Arial" w:eastAsia="Arial" w:hAnsi="Arial"/>
                <w:sz w:val="18"/>
                <w:szCs w:val="18"/>
                <w:color w:val="auto"/>
              </w:rPr>
              <w:t>the Preliminary</w:t>
            </w:r>
          </w:p>
        </w:tc>
      </w:tr>
      <w:tr>
        <w:trPr>
          <w:trHeight w:val="632"/>
        </w:trPr>
        <w:tc>
          <w:tcPr>
            <w:tcW w:w="3640" w:type="dxa"/>
            <w:vAlign w:val="bottom"/>
            <w:tcBorders>
              <w:bottom w:val="single" w:sz="8" w:color="808080"/>
            </w:tcBorders>
          </w:tcPr>
          <w:p>
            <w:pPr>
              <w:spacing w:after="0"/>
              <w:rPr>
                <w:sz w:val="24"/>
                <w:szCs w:val="24"/>
                <w:color w:val="auto"/>
              </w:rPr>
            </w:pPr>
          </w:p>
        </w:tc>
        <w:tc>
          <w:tcPr>
            <w:tcW w:w="7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38" w:name="page39"/>
    <w:bookmarkEnd w:id="38"/>
    <w:p>
      <w:pPr>
        <w:ind w:left="5120"/>
        <w:spacing w:after="0"/>
        <w:rPr>
          <w:sz w:val="20"/>
          <w:szCs w:val="20"/>
          <w:color w:val="auto"/>
        </w:rPr>
      </w:pPr>
      <w:r>
        <w:rPr>
          <w:rFonts w:ascii="Arial" w:cs="Arial" w:eastAsia="Arial" w:hAnsi="Arial"/>
          <w:sz w:val="16"/>
          <w:szCs w:val="16"/>
          <w:color w:val="auto"/>
        </w:rPr>
        <w:t>Prospectus Supplement dated November 12, 2009.</w:t>
      </w:r>
    </w:p>
    <w:p>
      <w:pPr>
        <w:sectPr>
          <w:pgSz w:w="11900" w:h="16838" w:orient="portrait"/>
          <w:cols w:equalWidth="0" w:num="1">
            <w:col w:w="11420"/>
          </w:cols>
          <w:pgMar w:left="240" w:top="1152"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Settlement: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4480"/>
        <w:spacing w:after="0"/>
        <w:rPr>
          <w:sz w:val="20"/>
          <w:szCs w:val="20"/>
          <w:color w:val="auto"/>
        </w:rPr>
      </w:pPr>
      <w:r>
        <w:rPr>
          <w:rFonts w:ascii="Arial" w:cs="Arial" w:eastAsia="Arial" w:hAnsi="Arial"/>
          <w:sz w:val="16"/>
          <w:szCs w:val="16"/>
          <w:color w:val="auto"/>
        </w:rPr>
        <w:t>T+3; November 17, 2009</w:t>
      </w:r>
    </w:p>
    <w:p>
      <w:pPr>
        <w:spacing w:after="0" w:line="200" w:lineRule="exact"/>
        <w:rPr>
          <w:sz w:val="20"/>
          <w:szCs w:val="20"/>
          <w:color w:val="auto"/>
        </w:rPr>
      </w:pPr>
    </w:p>
    <w:p>
      <w:pPr>
        <w:sectPr>
          <w:pgSz w:w="11900" w:h="16838" w:orient="portrait"/>
          <w:cols w:equalWidth="0" w:num="2">
            <w:col w:w="4400" w:space="720"/>
            <w:col w:w="6300"/>
          </w:cols>
          <w:pgMar w:left="240" w:top="1152"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94106LAV1</w:t>
      </w:r>
    </w:p>
    <w:p>
      <w:pPr>
        <w:spacing w:after="0" w:line="200" w:lineRule="exact"/>
        <w:rPr>
          <w:sz w:val="20"/>
          <w:szCs w:val="20"/>
          <w:color w:val="auto"/>
        </w:rPr>
      </w:pPr>
    </w:p>
    <w:p>
      <w:pPr>
        <w:sectPr>
          <w:pgSz w:w="11900" w:h="16838" w:orient="portrait"/>
          <w:cols w:equalWidth="0" w:num="2">
            <w:col w:w="4400" w:space="720"/>
            <w:col w:w="6300"/>
          </w:cols>
          <w:pgMar w:left="240" w:top="1152"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and Joint Lead Managers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Anticipated Ratings: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Calyon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Daiwa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Keegan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Moody’s: Baa3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S&amp;P: BBB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103" w:lineRule="exact"/>
        <w:rPr>
          <w:sz w:val="20"/>
          <w:szCs w:val="20"/>
          <w:color w:val="auto"/>
        </w:rPr>
      </w:pPr>
    </w:p>
    <w:p>
      <w:pPr>
        <w:sectPr>
          <w:pgSz w:w="11900" w:h="16838" w:orient="portrait"/>
          <w:cols w:equalWidth="0" w:num="2">
            <w:col w:w="4400" w:space="720"/>
            <w:col w:w="6300"/>
          </w:cols>
          <w:pgMar w:left="240" w:top="1152" w:right="23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J.P. Morgan Securities Inc. collect at 1-212-834-4533</w:t>
      </w:r>
      <w:r>
        <w:rPr>
          <w:rFonts w:ascii="Arial" w:cs="Arial" w:eastAsia="Arial" w:hAnsi="Arial"/>
          <w:sz w:val="16"/>
          <w:szCs w:val="16"/>
          <w:color w:val="auto"/>
        </w:rPr>
        <w:t>;</w:t>
      </w:r>
      <w:r>
        <w:rPr>
          <w:rFonts w:ascii="Arial" w:cs="Arial" w:eastAsia="Arial" w:hAnsi="Arial"/>
          <w:sz w:val="16"/>
          <w:szCs w:val="16"/>
          <w:b w:val="1"/>
          <w:bCs w:val="1"/>
          <w:color w:val="auto"/>
        </w:rPr>
        <w:t xml:space="preserve"> Wells Fargo Securities, LLC toll-free at 1-800-326-5897; BNP Paribas Securities Corp. toll-free at 1-800-854-5674; or Scotia Capital (USA) Inc. toll-free at 1-800-372-3930.</w:t>
      </w:r>
    </w:p>
    <w:p>
      <w:pPr>
        <w:spacing w:after="0" w:line="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Representatives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49"/>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4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171"/>
        </w:trPr>
        <w:tc>
          <w:tcPr>
            <w:tcW w:w="9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54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$ 120,000,000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Calyon Securities (USA) Inc.</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Daiwa Securities America Inc.</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Mitsubishi UFJ Securities (USA), Inc.</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Morgan Keegan &amp; Company, Inc.</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U.S. Bancorp Investments, Inc.</w:t>
            </w: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$ 600,000,000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6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0" w:name="page41"/>
    <w:bookmarkEnd w:id="40"/>
    <w:p>
      <w:pPr>
        <w:jc w:val="center"/>
        <w:ind w:right="-1220"/>
        <w:spacing w:after="0"/>
        <w:rPr>
          <w:sz w:val="20"/>
          <w:szCs w:val="20"/>
          <w:color w:val="auto"/>
        </w:rPr>
      </w:pPr>
      <w:r>
        <w:rPr>
          <w:rFonts w:ascii="Arial" w:cs="Arial" w:eastAsia="Arial" w:hAnsi="Arial"/>
          <w:sz w:val="18"/>
          <w:szCs w:val="18"/>
          <w:b w:val="1"/>
          <w:bCs w:val="1"/>
          <w:color w:val="auto"/>
        </w:rPr>
        <w:t>ANNEX A</w:t>
      </w:r>
    </w:p>
    <w:p>
      <w:pPr>
        <w:spacing w:after="0" w:line="12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FREE WRITING PROSPECTUSES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Schedule I attached to this Underwriting Agreement.</w:t>
      </w:r>
    </w:p>
    <w:p>
      <w:pPr>
        <w:sectPr>
          <w:pgSz w:w="11900" w:h="16838" w:orient="portrait"/>
          <w:cols w:equalWidth="0" w:num="1">
            <w:col w:w="10219"/>
          </w:cols>
          <w:pgMar w:left="240" w:top="959"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0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undersigned, the Vice President — Finance and Treasurer, and the Corporate Secretary of Waste Management, Inc. (the “Company”), hereby certify that:</w:t>
      </w:r>
    </w:p>
    <w:p>
      <w:pPr>
        <w:spacing w:after="0" w:line="62" w:lineRule="exact"/>
        <w:rPr>
          <w:sz w:val="20"/>
          <w:szCs w:val="20"/>
          <w:color w:val="auto"/>
        </w:rPr>
      </w:pPr>
    </w:p>
    <w:p>
      <w:pPr>
        <w:ind w:right="260" w:firstLine="233"/>
        <w:spacing w:after="0" w:line="279" w:lineRule="auto"/>
        <w:tabs>
          <w:tab w:leader="none" w:pos="40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(successor by merger to Texas Commerce Bank National Association), as trustee (the “Trustee”), pursuant to Sections 102 and 301 of the Indenture dated as of September 10, 1997 between the Company, formerly known as USA Waste Services, Inc., and the Trustee in connection with the Company Order dated November 17, 2009 (the “Order”) for the authentication and delivery by the Trustee of $600,000,000 aggregate principal amount of 6.125% Notes due 2039 (the “Notes”).</w:t>
      </w:r>
    </w:p>
    <w:p>
      <w:pPr>
        <w:spacing w:after="0" w:line="63" w:lineRule="exact"/>
        <w:rPr>
          <w:rFonts w:ascii="Arial" w:cs="Arial" w:eastAsia="Arial" w:hAnsi="Arial"/>
          <w:sz w:val="17"/>
          <w:szCs w:val="17"/>
          <w:color w:val="auto"/>
        </w:rPr>
      </w:pPr>
    </w:p>
    <w:p>
      <w:pPr>
        <w:ind w:left="400" w:hanging="167"/>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17" w:lineRule="exact"/>
        <w:rPr>
          <w:rFonts w:ascii="Arial" w:cs="Arial" w:eastAsia="Arial" w:hAnsi="Arial"/>
          <w:sz w:val="18"/>
          <w:szCs w:val="18"/>
          <w:color w:val="auto"/>
        </w:rPr>
      </w:pPr>
    </w:p>
    <w:p>
      <w:pPr>
        <w:ind w:right="360" w:firstLine="233"/>
        <w:spacing w:after="0" w:line="342" w:lineRule="auto"/>
        <w:tabs>
          <w:tab w:leader="none" w:pos="40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 w:lineRule="exact"/>
        <w:rPr>
          <w:rFonts w:ascii="Arial" w:cs="Arial" w:eastAsia="Arial" w:hAnsi="Arial"/>
          <w:sz w:val="16"/>
          <w:szCs w:val="16"/>
          <w:color w:val="auto"/>
        </w:rPr>
      </w:pPr>
    </w:p>
    <w:p>
      <w:pPr>
        <w:ind w:left="400" w:hanging="167"/>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examined the covenants, conditions and provisions of the Indenture relating thereto.</w:t>
      </w:r>
    </w:p>
    <w:p>
      <w:pPr>
        <w:spacing w:after="0" w:line="128" w:lineRule="exact"/>
        <w:rPr>
          <w:rFonts w:ascii="Arial" w:cs="Arial" w:eastAsia="Arial" w:hAnsi="Arial"/>
          <w:sz w:val="17"/>
          <w:szCs w:val="17"/>
          <w:color w:val="auto"/>
        </w:rPr>
      </w:pPr>
    </w:p>
    <w:p>
      <w:pPr>
        <w:ind w:right="360" w:firstLine="233"/>
        <w:spacing w:after="0" w:line="308" w:lineRule="auto"/>
        <w:tabs>
          <w:tab w:leader="none" w:pos="4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38" w:lineRule="exact"/>
        <w:rPr>
          <w:rFonts w:ascii="Arial" w:cs="Arial" w:eastAsia="Arial" w:hAnsi="Arial"/>
          <w:sz w:val="17"/>
          <w:szCs w:val="17"/>
          <w:color w:val="auto"/>
        </w:rPr>
      </w:pPr>
    </w:p>
    <w:p>
      <w:pPr>
        <w:ind w:right="120" w:firstLine="233"/>
        <w:spacing w:after="0" w:line="277" w:lineRule="auto"/>
        <w:tabs>
          <w:tab w:leader="none" w:pos="3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$600,000,000 aggregate principal amount of Notes have been complied with, and such Notes may be delivered in accordance with the Order as provided in the Indenture.</w:t>
      </w:r>
    </w:p>
    <w:p>
      <w:pPr>
        <w:spacing w:after="0" w:line="62" w:lineRule="exact"/>
        <w:rPr>
          <w:rFonts w:ascii="Arial" w:cs="Arial" w:eastAsia="Arial" w:hAnsi="Arial"/>
          <w:sz w:val="18"/>
          <w:szCs w:val="18"/>
          <w:color w:val="auto"/>
        </w:rPr>
      </w:pPr>
    </w:p>
    <w:p>
      <w:pPr>
        <w:jc w:val="both"/>
        <w:ind w:firstLine="233"/>
        <w:spacing w:after="0" w:line="264" w:lineRule="auto"/>
        <w:tabs>
          <w:tab w:leader="none" w:pos="4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the Notes (including the Form of Note) as set forth in Annex A to this Officers’ Certificate have been approved by officers of the Company as duly authorized by resolutions of the Board of Directors of the Company as of August 20, 2009 and such resolutions, copies of which are attached hereto as Annex B, are in full force and effect as of the date 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IN WITNESS WHEREOF, the undersigned has hereunto executed this Certificate as of November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313690</wp:posOffset>
            </wp:positionV>
            <wp:extent cx="25298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Cherie C. Rice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Vice President —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157480</wp:posOffset>
            </wp:positionV>
            <wp:extent cx="25298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Linda J. Smith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Secretary</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6"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Annex A</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authority granted by the Board of Directors of the Company on August 20, 2009 and the Sole Director of Waste Management Holdings, Inc. on November 6, 2009,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(successor by merger to Texas Commerce Bank National Association), as trustee (the “Trustee”), the terms of which are set forth below. Capitalized terms used but not defined herein are used herein as defined in the Indenture.</w:t>
      </w:r>
    </w:p>
    <w:p>
      <w:pPr>
        <w:spacing w:after="0" w:line="5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the series of Securities shall be “6.125% Senior Notes due 2039” (the “Notes”).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340" w:right="120" w:hanging="332"/>
        <w:spacing w:after="0" w:line="279"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$600,000,000 (except for Notes authenticated and delivered upon registration of transfer of, or in exchange for, or in lieu of, other Notes pursuant to Section 304, 305, 306, 907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November 30, 2039.</w:t>
      </w:r>
    </w:p>
    <w:p>
      <w:pPr>
        <w:spacing w:after="0" w:line="130" w:lineRule="exact"/>
        <w:rPr>
          <w:rFonts w:ascii="Arial" w:cs="Arial" w:eastAsia="Arial" w:hAnsi="Arial"/>
          <w:sz w:val="18"/>
          <w:szCs w:val="18"/>
          <w:color w:val="auto"/>
        </w:rPr>
      </w:pPr>
    </w:p>
    <w:p>
      <w:pPr>
        <w:ind w:left="340" w:right="80" w:hanging="332"/>
        <w:spacing w:after="0" w:line="30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Note shall bear interest from November 17, 2009 at the fixed rate of 6.125% per annum; the Interest Payment Dates on which such interest shall be payable shall be May 30 and November 30, of each year, commencing May 30, 2010, until maturity unless such date falls on a day that is not a Business Day, in which case, such payment shall be made on the next day that is a Business Day. The Regular Record Date for the determination of Holders to whom interest is payable shall be May 15 or November 15, respectively, immediately preceding such date, as the case may be.</w:t>
      </w:r>
    </w:p>
    <w:p>
      <w:pPr>
        <w:spacing w:after="0" w:line="59"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us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left="412" w:right="200" w:hanging="412"/>
        <w:spacing w:after="0" w:line="259" w:lineRule="auto"/>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12" w:hanging="412"/>
        <w:spacing w:after="0" w:line="297" w:lineRule="auto"/>
        <w:tabs>
          <w:tab w:leader="none" w:pos="4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30 basis points; plus, in either case, accrued interest to the Redemption Date.</w:t>
      </w:r>
    </w:p>
    <w:p>
      <w:pPr>
        <w:spacing w:after="0" w:line="63" w:lineRule="exact"/>
        <w:rPr>
          <w:rFonts w:ascii="Arial" w:cs="Arial" w:eastAsia="Arial" w:hAnsi="Arial"/>
          <w:sz w:val="16"/>
          <w:szCs w:val="16"/>
          <w:color w:val="auto"/>
        </w:rPr>
      </w:pPr>
    </w:p>
    <w:p>
      <w:pPr>
        <w:ind w:left="412" w:right="520" w:hanging="412"/>
        <w:spacing w:after="0" w:line="277" w:lineRule="auto"/>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12" w:hanging="412"/>
        <w:spacing w:after="0" w:line="277" w:lineRule="auto"/>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12" w:hanging="412"/>
        <w:spacing w:after="0"/>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12" w:hanging="412"/>
        <w:spacing w:after="0"/>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Bank of New York Mellon shall serve initially as Security Registrar for the Notes.</w:t>
      </w:r>
    </w:p>
    <w:p>
      <w:pPr>
        <w:spacing w:after="0" w:line="130" w:lineRule="exact"/>
        <w:rPr>
          <w:rFonts w:ascii="Arial" w:cs="Arial" w:eastAsia="Arial" w:hAnsi="Arial"/>
          <w:sz w:val="18"/>
          <w:szCs w:val="18"/>
          <w:color w:val="auto"/>
        </w:rPr>
      </w:pPr>
    </w:p>
    <w:p>
      <w:pPr>
        <w:ind w:left="412" w:hanging="412"/>
        <w:spacing w:after="0"/>
        <w:tabs>
          <w:tab w:leader="none" w:pos="4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ind w:left="412" w:right="60" w:hanging="412"/>
        <w:spacing w:after="0" w:line="302" w:lineRule="auto"/>
        <w:tabs>
          <w:tab w:leader="none" w:pos="4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wholly-owned subsidiary, Waste Management Holdings, Inc., pursuant to the terms and conditions of a Guarantee Agreement dated November 17, 2009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17"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958"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420" w:space="720"/>
            <w:col w:w="1280"/>
          </w:cols>
          <w:pgMar w:left="240" w:top="958" w:right="239" w:bottom="1440" w:gutter="0" w:footer="0" w:header="0"/>
          <w:type w:val="continuous"/>
        </w:sectPr>
      </w:pPr>
    </w:p>
    <w:p>
      <w:pPr>
        <w:spacing w:after="0" w:line="37"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4"/>
          <w:szCs w:val="14"/>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Exchanges of Definitive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Security attached hereto</w:t>
      </w:r>
    </w:p>
    <w:p>
      <w:pPr>
        <w:sectPr>
          <w:pgSz w:w="11900" w:h="16838" w:orient="portrait"/>
          <w:cols w:equalWidth="0" w:num="1">
            <w:col w:w="11420"/>
          </w:cols>
          <w:pgMar w:left="240" w:top="958" w:right="239" w:bottom="1440" w:gutter="0" w:footer="0" w:header="0"/>
          <w:type w:val="continuous"/>
        </w:sectPr>
      </w:pPr>
    </w:p>
    <w:p>
      <w:pPr>
        <w:spacing w:after="0" w:line="3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6.125% SENIOR NOTES DUE 2039</w:t>
      </w:r>
    </w:p>
    <w:p>
      <w:pPr>
        <w:spacing w:after="0" w:line="11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CUSIP</w:t>
      </w:r>
    </w:p>
    <w:p>
      <w:pPr>
        <w:spacing w:after="0" w:line="11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Million ($ ) U.S. dollars, or such lesser principal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46" w:name="page47"/>
    <w:bookmarkEnd w:id="46"/>
    <w:p>
      <w:pPr>
        <w:spacing w:after="0" w:line="257" w:lineRule="auto"/>
        <w:rPr>
          <w:sz w:val="20"/>
          <w:szCs w:val="20"/>
          <w:color w:val="auto"/>
        </w:rPr>
      </w:pPr>
      <w:r>
        <w:rPr>
          <w:rFonts w:ascii="Arial" w:cs="Arial" w:eastAsia="Arial" w:hAnsi="Arial"/>
          <w:sz w:val="18"/>
          <w:szCs w:val="18"/>
          <w:color w:val="auto"/>
        </w:rPr>
        <w:t>sum as is shown on the attached Schedule of Exchanges of Definitive Security, on November 30, 2039 in such coin or currency of the United States of America as at the time of payment shall be legal tender for the payment of public and private debts, and to pay interest at an annual rate of 6.125% payable on May 30 and November 30 of each year, to the person in whose name this Security is registered at the close of business on the record date for such interest, which shall be the preceding May 15 or November 15, respectively, payable commencing May 30, 2010, with interest consisting of interest accrued from November 17, 2009.</w:t>
      </w:r>
    </w:p>
    <w:p>
      <w:pPr>
        <w:spacing w:after="0" w:line="8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62"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 in principal amount designated as the 6.125% Senior Notes due 2039 of the Company and is governed by the Indenture dated as of September 10, 1997, duly executed and delivered by the Company, formerly known as USA Waste Services, Inc., to The Bank of New York Mellon Trust Company N.A. (successor by merger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5"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ind w:right="4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Dated: November 17, 2009</w:t>
            </w: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WASTE MANAGEMENT, INC.,</w:t>
            </w:r>
          </w:p>
        </w:tc>
      </w:tr>
      <w:tr>
        <w:trPr>
          <w:trHeight w:val="230"/>
        </w:trPr>
        <w:tc>
          <w:tcPr>
            <w:tcW w:w="3660" w:type="dxa"/>
            <w:vAlign w:val="bottom"/>
          </w:tcPr>
          <w:p>
            <w:pPr>
              <w:spacing w:after="0"/>
              <w:rPr>
                <w:sz w:val="20"/>
                <w:szCs w:val="20"/>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a Delaware corporation</w:t>
            </w:r>
          </w:p>
        </w:tc>
      </w:tr>
      <w:tr>
        <w:trPr>
          <w:trHeight w:val="432"/>
        </w:trPr>
        <w:tc>
          <w:tcPr>
            <w:tcW w:w="3660" w:type="dxa"/>
            <w:vAlign w:val="bottom"/>
          </w:tcPr>
          <w:p>
            <w:pPr>
              <w:spacing w:after="0"/>
              <w:rPr>
                <w:sz w:val="24"/>
                <w:szCs w:val="24"/>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By:</w:t>
            </w:r>
          </w:p>
        </w:tc>
      </w:tr>
      <w:tr>
        <w:trPr>
          <w:trHeight w:val="195"/>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660" w:type="dxa"/>
            <w:vAlign w:val="bottom"/>
          </w:tcPr>
          <w:p>
            <w:pPr>
              <w:spacing w:after="0"/>
              <w:rPr>
                <w:sz w:val="20"/>
                <w:szCs w:val="20"/>
                <w:color w:val="auto"/>
              </w:rPr>
            </w:pPr>
          </w:p>
        </w:tc>
        <w:tc>
          <w:tcPr>
            <w:tcW w:w="6080" w:type="dxa"/>
            <w:vAlign w:val="bottom"/>
            <w:gridSpan w:val="2"/>
          </w:tcPr>
          <w:p>
            <w:pPr>
              <w:ind w:left="2040"/>
              <w:spacing w:after="0"/>
              <w:rPr>
                <w:sz w:val="20"/>
                <w:szCs w:val="20"/>
                <w:color w:val="auto"/>
              </w:rPr>
            </w:pPr>
            <w:r>
              <w:rPr>
                <w:rFonts w:ascii="Arial" w:cs="Arial" w:eastAsia="Arial" w:hAnsi="Arial"/>
                <w:sz w:val="18"/>
                <w:szCs w:val="18"/>
                <w:color w:val="auto"/>
              </w:rPr>
              <w:t>Vice President-Finance and Treasurer</w:t>
            </w:r>
          </w:p>
        </w:tc>
      </w:tr>
      <w:tr>
        <w:trPr>
          <w:trHeight w:val="432"/>
        </w:trPr>
        <w:tc>
          <w:tcPr>
            <w:tcW w:w="3660" w:type="dxa"/>
            <w:vAlign w:val="bottom"/>
          </w:tcPr>
          <w:p>
            <w:pPr>
              <w:spacing w:after="0"/>
              <w:rPr>
                <w:sz w:val="24"/>
                <w:szCs w:val="24"/>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Attest:</w:t>
            </w:r>
          </w:p>
        </w:tc>
      </w:tr>
      <w:tr>
        <w:trPr>
          <w:trHeight w:val="432"/>
        </w:trPr>
        <w:tc>
          <w:tcPr>
            <w:tcW w:w="3660" w:type="dxa"/>
            <w:vAlign w:val="bottom"/>
          </w:tcPr>
          <w:p>
            <w:pPr>
              <w:spacing w:after="0"/>
              <w:rPr>
                <w:sz w:val="24"/>
                <w:szCs w:val="24"/>
                <w:color w:val="auto"/>
              </w:rPr>
            </w:pPr>
          </w:p>
        </w:tc>
        <w:tc>
          <w:tcPr>
            <w:tcW w:w="6080" w:type="dxa"/>
            <w:vAlign w:val="bottom"/>
            <w:gridSpan w:val="2"/>
          </w:tcPr>
          <w:p>
            <w:pPr>
              <w:ind w:left="1700"/>
              <w:spacing w:after="0"/>
              <w:rPr>
                <w:sz w:val="20"/>
                <w:szCs w:val="20"/>
                <w:color w:val="auto"/>
              </w:rPr>
            </w:pPr>
            <w:r>
              <w:rPr>
                <w:rFonts w:ascii="Arial" w:cs="Arial" w:eastAsia="Arial" w:hAnsi="Arial"/>
                <w:sz w:val="18"/>
                <w:szCs w:val="18"/>
                <w:color w:val="auto"/>
              </w:rPr>
              <w:t>By:</w:t>
            </w:r>
          </w:p>
        </w:tc>
      </w:tr>
      <w:tr>
        <w:trPr>
          <w:trHeight w:val="195"/>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Linda J. Smith</w:t>
            </w:r>
          </w:p>
        </w:tc>
      </w:tr>
      <w:tr>
        <w:trPr>
          <w:trHeight w:val="230"/>
        </w:trPr>
        <w:tc>
          <w:tcPr>
            <w:tcW w:w="3660" w:type="dxa"/>
            <w:vAlign w:val="bottom"/>
          </w:tcPr>
          <w:p>
            <w:pPr>
              <w:spacing w:after="0"/>
              <w:rPr>
                <w:sz w:val="20"/>
                <w:szCs w:val="20"/>
                <w:color w:val="auto"/>
              </w:rPr>
            </w:pPr>
          </w:p>
        </w:tc>
        <w:tc>
          <w:tcPr>
            <w:tcW w:w="6080" w:type="dxa"/>
            <w:vAlign w:val="bottom"/>
            <w:gridSpan w:val="2"/>
          </w:tcPr>
          <w:p>
            <w:pPr>
              <w:ind w:left="2040"/>
              <w:spacing w:after="0"/>
              <w:rPr>
                <w:sz w:val="20"/>
                <w:szCs w:val="20"/>
                <w:color w:val="auto"/>
              </w:rPr>
            </w:pPr>
            <w:r>
              <w:rPr>
                <w:rFonts w:ascii="Arial" w:cs="Arial" w:eastAsia="Arial" w:hAnsi="Arial"/>
                <w:sz w:val="18"/>
                <w:szCs w:val="18"/>
                <w:color w:val="auto"/>
              </w:rPr>
              <w:t>Secretary</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Date of Authentication: November 17, 2009</w:t>
            </w:r>
          </w:p>
        </w:tc>
        <w:tc>
          <w:tcPr>
            <w:tcW w:w="5460" w:type="dxa"/>
            <w:vAlign w:val="bottom"/>
            <w:gridSpan w:val="2"/>
          </w:tcPr>
          <w:p>
            <w:pPr>
              <w:ind w:left="1120"/>
              <w:spacing w:after="0"/>
              <w:rPr>
                <w:sz w:val="20"/>
                <w:szCs w:val="20"/>
                <w:color w:val="auto"/>
              </w:rPr>
            </w:pPr>
            <w:r>
              <w:rPr>
                <w:rFonts w:ascii="Arial" w:cs="Arial" w:eastAsia="Arial" w:hAnsi="Arial"/>
                <w:sz w:val="18"/>
                <w:szCs w:val="18"/>
                <w:color w:val="auto"/>
              </w:rPr>
              <w:t>The Bank of New York Mellon Trust</w:t>
            </w:r>
          </w:p>
        </w:tc>
        <w:tc>
          <w:tcPr>
            <w:tcW w:w="166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5460" w:type="dxa"/>
            <w:vAlign w:val="bottom"/>
            <w:gridSpan w:val="2"/>
          </w:tcPr>
          <w:p>
            <w:pPr>
              <w:ind w:left="1120"/>
              <w:spacing w:after="0"/>
              <w:rPr>
                <w:sz w:val="20"/>
                <w:szCs w:val="20"/>
                <w:color w:val="auto"/>
              </w:rPr>
            </w:pPr>
            <w:r>
              <w:rPr>
                <w:rFonts w:ascii="Arial" w:cs="Arial" w:eastAsia="Arial" w:hAnsi="Arial"/>
                <w:sz w:val="18"/>
                <w:szCs w:val="18"/>
                <w:color w:val="auto"/>
              </w:rPr>
              <w:t>Company N.A., as Trustee</w:t>
            </w:r>
          </w:p>
        </w:tc>
        <w:tc>
          <w:tcPr>
            <w:tcW w:w="1660" w:type="dxa"/>
            <w:vAlign w:val="bottom"/>
          </w:tcPr>
          <w:p>
            <w:pPr>
              <w:spacing w:after="0"/>
              <w:rPr>
                <w:sz w:val="20"/>
                <w:szCs w:val="20"/>
                <w:color w:val="auto"/>
              </w:rPr>
            </w:pPr>
          </w:p>
        </w:tc>
      </w:tr>
      <w:tr>
        <w:trPr>
          <w:trHeight w:val="432"/>
        </w:trPr>
        <w:tc>
          <w:tcPr>
            <w:tcW w:w="4300" w:type="dxa"/>
            <w:vAlign w:val="bottom"/>
          </w:tcPr>
          <w:p>
            <w:pPr>
              <w:spacing w:after="0"/>
              <w:rPr>
                <w:sz w:val="24"/>
                <w:szCs w:val="24"/>
                <w:color w:val="auto"/>
              </w:rPr>
            </w:pPr>
          </w:p>
        </w:tc>
        <w:tc>
          <w:tcPr>
            <w:tcW w:w="5460" w:type="dxa"/>
            <w:vAlign w:val="bottom"/>
            <w:gridSpan w:val="2"/>
          </w:tcPr>
          <w:p>
            <w:pPr>
              <w:ind w:left="1120"/>
              <w:spacing w:after="0"/>
              <w:rPr>
                <w:sz w:val="20"/>
                <w:szCs w:val="20"/>
                <w:color w:val="auto"/>
              </w:rPr>
            </w:pPr>
            <w:r>
              <w:rPr>
                <w:rFonts w:ascii="Arial" w:cs="Arial" w:eastAsia="Arial" w:hAnsi="Arial"/>
                <w:sz w:val="18"/>
                <w:szCs w:val="18"/>
                <w:color w:val="auto"/>
              </w:rPr>
              <w:t>By:</w:t>
            </w:r>
          </w:p>
        </w:tc>
        <w:tc>
          <w:tcPr>
            <w:tcW w:w="1660" w:type="dxa"/>
            <w:vAlign w:val="bottom"/>
          </w:tcPr>
          <w:p>
            <w:pPr>
              <w:spacing w:after="0"/>
              <w:rPr>
                <w:sz w:val="24"/>
                <w:szCs w:val="24"/>
                <w:color w:val="auto"/>
              </w:rPr>
            </w:pPr>
          </w:p>
        </w:tc>
      </w:tr>
      <w:tr>
        <w:trPr>
          <w:trHeight w:val="195"/>
        </w:trPr>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Marcella Burgess</w:t>
            </w:r>
          </w:p>
        </w:tc>
        <w:tc>
          <w:tcPr>
            <w:tcW w:w="1660" w:type="dxa"/>
            <w:vAlign w:val="bottom"/>
          </w:tcPr>
          <w:p>
            <w:pPr>
              <w:spacing w:after="0"/>
              <w:rPr>
                <w:sz w:val="16"/>
                <w:szCs w:val="16"/>
                <w:color w:val="auto"/>
              </w:rPr>
            </w:pPr>
          </w:p>
        </w:tc>
      </w:tr>
      <w:tr>
        <w:trPr>
          <w:trHeight w:val="230"/>
        </w:trPr>
        <w:tc>
          <w:tcPr>
            <w:tcW w:w="4300" w:type="dxa"/>
            <w:vAlign w:val="bottom"/>
          </w:tcPr>
          <w:p>
            <w:pPr>
              <w:spacing w:after="0"/>
              <w:rPr>
                <w:sz w:val="20"/>
                <w:szCs w:val="20"/>
                <w:color w:val="auto"/>
              </w:rPr>
            </w:pPr>
          </w:p>
        </w:tc>
        <w:tc>
          <w:tcPr>
            <w:tcW w:w="5460" w:type="dxa"/>
            <w:vAlign w:val="bottom"/>
            <w:gridSpan w:val="2"/>
          </w:tcPr>
          <w:p>
            <w:pPr>
              <w:ind w:left="1460"/>
              <w:spacing w:after="0"/>
              <w:rPr>
                <w:sz w:val="20"/>
                <w:szCs w:val="20"/>
                <w:color w:val="auto"/>
              </w:rPr>
            </w:pPr>
            <w:r>
              <w:rPr>
                <w:rFonts w:ascii="Arial" w:cs="Arial" w:eastAsia="Arial" w:hAnsi="Arial"/>
                <w:sz w:val="18"/>
                <w:szCs w:val="18"/>
                <w:color w:val="auto"/>
              </w:rPr>
              <w:t>Vice President</w:t>
            </w:r>
          </w:p>
        </w:tc>
        <w:tc>
          <w:tcPr>
            <w:tcW w:w="1660" w:type="dxa"/>
            <w:vAlign w:val="bottom"/>
          </w:tcPr>
          <w:p>
            <w:pPr>
              <w:spacing w:after="0"/>
              <w:rPr>
                <w:sz w:val="20"/>
                <w:szCs w:val="20"/>
                <w:color w:val="auto"/>
              </w:rPr>
            </w:pPr>
          </w:p>
        </w:tc>
      </w:tr>
      <w:tr>
        <w:trPr>
          <w:trHeight w:val="621"/>
        </w:trPr>
        <w:tc>
          <w:tcPr>
            <w:tcW w:w="4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6"/>
        </w:trPr>
        <w:tc>
          <w:tcPr>
            <w:tcW w:w="43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6.125% SENIOR NOTES DUE 2039</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6.125% Senior Notes due 2039 of the Company, in initial aggregate principal amount of $ (the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Interest.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6.125% per annum.</w:t>
      </w:r>
    </w:p>
    <w:p>
      <w:pPr>
        <w:spacing w:after="0" w:line="11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will pay interest semi-annually on May 30 and November 30 of each year (each an “Interest Payment Date”), commencing May 30, 2010. Interest on the Securities will accrue from the most recent date to which interest has been paid or, if no interest has been paid on the Securities, from November 17, 2009.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6.125% per annum, in each case to the extent lawful.</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9" w:name="page50"/>
    <w:bookmarkEnd w:id="49"/>
    <w:p>
      <w:pPr>
        <w:ind w:right="4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Paying Agent and Registrar.</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Initially, The Bank of New York Mellon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 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is one of a duly authorized issue of Debt Securities of the Company issued and to be issued in one or more series under the Indenture.</w:t>
      </w:r>
    </w:p>
    <w:p>
      <w:pPr>
        <w:spacing w:after="0" w:line="129"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November 6, 2009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 .</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 Redemption.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30 basis points; plus, in either case, accrued interest to the Redemption Date.</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ind w:right="20"/>
        <w:spacing w:after="0" w:line="279" w:lineRule="auto"/>
        <w:rPr>
          <w:sz w:val="20"/>
          <w:szCs w:val="20"/>
          <w:color w:val="auto"/>
        </w:rPr>
      </w:pPr>
      <w:r>
        <w:rPr>
          <w:rFonts w:ascii="Arial" w:cs="Arial" w:eastAsia="Arial" w:hAnsi="Arial"/>
          <w:sz w:val="17"/>
          <w:szCs w:val="17"/>
          <w:color w:val="auto"/>
        </w:rPr>
        <w:t>redeemed, the Redemption Date,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73" w:lineRule="exact"/>
        <w:rPr>
          <w:sz w:val="20"/>
          <w:szCs w:val="20"/>
          <w:color w:val="auto"/>
        </w:rPr>
      </w:pPr>
    </w:p>
    <w:p>
      <w:pPr>
        <w:ind w:right="340" w:firstLine="225"/>
        <w:spacing w:after="0" w:line="286" w:lineRule="auto"/>
        <w:rPr>
          <w:sz w:val="20"/>
          <w:szCs w:val="20"/>
          <w:color w:val="auto"/>
        </w:rPr>
      </w:pPr>
      <w:r>
        <w:rPr>
          <w:rFonts w:ascii="Arial" w:cs="Arial" w:eastAsia="Arial" w:hAnsi="Arial"/>
          <w:sz w:val="17"/>
          <w:szCs w:val="17"/>
          <w:color w:val="auto"/>
        </w:rPr>
        <w:t>“Independent Investment Banker” means any of BNP Paribas Securities Corp., J.P. Morgan Securities Inc., Scotia Capital (USA) Inc. and Wells Fargo Securities, LLC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5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7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“Reference Treasury Dealer” means (i) each of BNP Paribas Securities Corp., J.P. Morgan Securities Inc., a Primary Treasury Dealer (as defined below) selected by Scotia Capital (USA) Inc., and a Primary Treasury Dealer (as defined below) selected by Wells Fargo Securities, LLC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1" w:name="page52"/>
    <w:bookmarkEnd w:id="51"/>
    <w:p>
      <w:pPr>
        <w:ind w:firstLine="225"/>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a minimum principal amount of $2,000, or any integral of $1,000 in excess thereof.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 Change of Control Offer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85" w:lineRule="exact"/>
        <w:rPr>
          <w:sz w:val="20"/>
          <w:szCs w:val="20"/>
          <w:color w:val="auto"/>
        </w:rPr>
      </w:pPr>
    </w:p>
    <w:p>
      <w:pPr>
        <w:ind w:right="340" w:firstLine="222"/>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17" w:lineRule="exact"/>
        <w:rPr>
          <w:sz w:val="20"/>
          <w:szCs w:val="20"/>
          <w:color w:val="auto"/>
        </w:rPr>
      </w:pPr>
    </w:p>
    <w:p>
      <w:pPr>
        <w:ind w:left="660" w:hanging="436"/>
        <w:spacing w:after="0"/>
        <w:tabs>
          <w:tab w:leader="none" w:pos="6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142" w:lineRule="exact"/>
        <w:rPr>
          <w:rFonts w:ascii="Arial" w:cs="Arial" w:eastAsia="Arial" w:hAnsi="Arial"/>
          <w:sz w:val="17"/>
          <w:szCs w:val="17"/>
          <w:b w:val="1"/>
          <w:bCs w:val="1"/>
          <w:color w:val="auto"/>
        </w:rPr>
      </w:pPr>
    </w:p>
    <w:p>
      <w:pPr>
        <w:ind w:left="660" w:right="400" w:hanging="436"/>
        <w:spacing w:after="0" w:line="277"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2" w:name="page53"/>
    <w:bookmarkEnd w:id="52"/>
    <w:p>
      <w:pPr>
        <w:ind w:left="660" w:right="160" w:hanging="436"/>
        <w:spacing w:after="0" w:line="277" w:lineRule="auto"/>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80"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17"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right="400" w:firstLine="225"/>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20" w:firstLine="8"/>
        <w:spacing w:after="0" w:line="255" w:lineRule="auto"/>
        <w:tabs>
          <w:tab w:leader="none" w:pos="2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means Fitch Inc. and its successors.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17"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Rule 15c3-1(c)(2)(vi)(F) under the Exchange Act selected by the Company (as certified by a resolution of our Board of Directors) as a replacement agency for Fitch, Moody’s or S&amp;P, or all of them, as the case may be.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ind w:right="340" w:firstLine="225"/>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 Denominations; Transfer; Exchange.</w:t>
      </w:r>
    </w:p>
    <w:p>
      <w:pPr>
        <w:spacing w:after="0" w:line="11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 Person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 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 Defaults and Remedies.</w:t>
      </w:r>
    </w:p>
    <w:p>
      <w:pPr>
        <w:spacing w:after="0" w:line="117"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160" w:firstLine="8"/>
        <w:spacing w:after="0" w:line="261" w:lineRule="auto"/>
        <w:tabs>
          <w:tab w:leader="none" w:pos="2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sums paid or advanced by the Trustee and the reasonable compensation, expenses, disbursements and advances of the Trustee, its agents and counsel and (2) all Events of Default under the Indenture with respect to the Securities, other than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jc w:val="both"/>
        <w:ind w:right="40"/>
        <w:spacing w:after="0" w:line="288" w:lineRule="auto"/>
        <w:rPr>
          <w:sz w:val="20"/>
          <w:szCs w:val="20"/>
          <w:color w:val="auto"/>
        </w:rPr>
      </w:pPr>
      <w:r>
        <w:rPr>
          <w:rFonts w:ascii="Arial" w:cs="Arial" w:eastAsia="Arial" w:hAnsi="Arial"/>
          <w:sz w:val="16"/>
          <w:szCs w:val="16"/>
          <w:color w:val="auto"/>
        </w:rPr>
        <w:t>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w:t>
      </w:r>
    </w:p>
    <w:p>
      <w:pPr>
        <w:ind w:right="160"/>
        <w:spacing w:after="0" w:line="261" w:lineRule="auto"/>
        <w:rPr>
          <w:sz w:val="20"/>
          <w:szCs w:val="20"/>
          <w:color w:val="auto"/>
        </w:rPr>
      </w:pPr>
      <w:r>
        <w:rPr>
          <w:rFonts w:ascii="Arial" w:cs="Arial" w:eastAsia="Arial" w:hAnsi="Arial"/>
          <w:sz w:val="18"/>
          <w:szCs w:val="18"/>
          <w:color w:val="auto"/>
        </w:rPr>
        <w:t>Subject to certain limitations, Holders of a majority in aggregate principal amount of the Securities then outstanding may direct the Trustee in its exercise of any trust or power.</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 Trustee Dealings with Company.</w:t>
      </w:r>
    </w:p>
    <w:p>
      <w:pPr>
        <w:spacing w:after="0" w:line="117"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 Abbreviations and Defined Terms.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 CUSIP Numbers.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 Absolute Obligation.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 No Recourse.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spacing w:after="0" w:line="264" w:lineRule="auto"/>
        <w:rPr>
          <w:sz w:val="20"/>
          <w:szCs w:val="20"/>
          <w:color w:val="auto"/>
        </w:rPr>
      </w:pPr>
      <w:r>
        <w:rPr>
          <w:rFonts w:ascii="Arial" w:cs="Arial" w:eastAsia="Arial" w:hAnsi="Arial"/>
          <w:sz w:val="18"/>
          <w:szCs w:val="18"/>
          <w:color w:val="auto"/>
        </w:rPr>
        <w:t>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 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 Guarantee.</w:t>
      </w:r>
    </w:p>
    <w:p>
      <w:pPr>
        <w:spacing w:after="0" w:line="117"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wholly-owned subsidiary, Waste Management Holdings, Inc., pursuant to the terms and conditions of a Guarantee Agreement dated November 17, 2009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7" w:name="page58"/>
    <w:bookmarkEnd w:id="57"/>
    <w:p>
      <w:pPr>
        <w:ind w:left="220" w:right="3400" w:firstLine="3187"/>
        <w:spacing w:after="0" w:line="440" w:lineRule="auto"/>
        <w:rPr>
          <w:sz w:val="20"/>
          <w:szCs w:val="20"/>
          <w:color w:val="auto"/>
        </w:rPr>
      </w:pPr>
      <w:r>
        <w:rPr>
          <w:rFonts w:ascii="Arial" w:cs="Arial" w:eastAsia="Arial" w:hAnsi="Arial"/>
          <w:sz w:val="17"/>
          <w:szCs w:val="17"/>
          <w:color w:val="auto"/>
        </w:rPr>
        <w:t>SCHEDULE OF EXCHANGES OF DEFINITIVE SECURITY The following exchanges of a part of this Book-Entry Security for definitive Securities have been made: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7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w:t>
            </w:r>
          </w:p>
        </w:tc>
        <w:tc>
          <w:tcPr>
            <w:tcW w:w="7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7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decrease in</w:t>
            </w:r>
          </w:p>
        </w:tc>
        <w:tc>
          <w:tcPr>
            <w:tcW w:w="7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7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this Book-Entry</w:t>
            </w:r>
          </w:p>
        </w:tc>
        <w:tc>
          <w:tcPr>
            <w:tcW w:w="7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7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7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7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27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Date of Exchange</w:t>
            </w:r>
          </w:p>
        </w:tc>
        <w:tc>
          <w:tcPr>
            <w:tcW w:w="7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7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Book-Entry</w:t>
            </w:r>
          </w:p>
        </w:tc>
        <w:tc>
          <w:tcPr>
            <w:tcW w:w="76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7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vMerge w:val="continue"/>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7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7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7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ANNEX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Waste Management, Inc.)</w:t>
      </w:r>
    </w:p>
    <w:p>
      <w:pPr>
        <w:spacing w:after="0" w:line="99"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2006, Waste Management, Inc. (the “Company”) filed with the Securities Exchange Commission (the “SEC”) an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 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76"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SEC, the Automatic Shelf expires, by its terms, on September 22, 2009, three years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the Automatic Shelf; and</w:t>
      </w:r>
    </w:p>
    <w:p>
      <w:pPr>
        <w:spacing w:after="0" w:line="5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54" w:lineRule="exact"/>
        <w:rPr>
          <w:sz w:val="20"/>
          <w:szCs w:val="20"/>
          <w:color w:val="auto"/>
        </w:rPr>
      </w:pPr>
    </w:p>
    <w:p>
      <w:pPr>
        <w:ind w:right="120" w:firstLine="225"/>
        <w:spacing w:after="0" w:line="254"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Company is hereby authorized to prepare and file with the SEC an automatic shelf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S-3 (the “New Automatic Shelf”), pursuant to 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81"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68"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the authorized employees (as established pursuant to these resolutions) be, and each of them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in the name and on behalf of the Company, to execute and cause to be filed with the SEC any and all amendments (including, without limitation, post-effective amendments) or supplements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59" w:name="page60"/>
    <w:bookmarkEnd w:id="59"/>
    <w:p>
      <w:pPr>
        <w:ind w:right="20"/>
        <w:spacing w:after="0" w:line="264" w:lineRule="auto"/>
        <w:rPr>
          <w:sz w:val="20"/>
          <w:szCs w:val="20"/>
          <w:color w:val="auto"/>
        </w:rPr>
      </w:pPr>
      <w:r>
        <w:rPr>
          <w:rFonts w:ascii="Arial" w:cs="Arial" w:eastAsia="Arial" w:hAnsi="Arial"/>
          <w:sz w:val="18"/>
          <w:szCs w:val="18"/>
          <w:color w:val="auto"/>
        </w:rPr>
        <w:t>New Automatic Shelf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69"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Automatic Shelf and any and all amendments and supplements thereto, with all powers incident to such appointment;</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76"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of the proper officers or authorized employees be, and each of them hereby is, authorized to approve at any time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20"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New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76" w:lineRule="exact"/>
        <w:rPr>
          <w:sz w:val="20"/>
          <w:szCs w:val="20"/>
          <w:color w:val="auto"/>
        </w:rPr>
      </w:pPr>
    </w:p>
    <w:p>
      <w:pPr>
        <w:ind w:right="160" w:firstLine="225"/>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46"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34" w:lineRule="exact"/>
        <w:rPr>
          <w:sz w:val="20"/>
          <w:szCs w:val="20"/>
          <w:color w:val="auto"/>
        </w:rPr>
      </w:pPr>
    </w:p>
    <w:p>
      <w:pPr>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34"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indentures in connection therewith or as may be necessary or appropriate in connection with the issuance and sale of Securities thereunder;</w:t>
      </w:r>
    </w:p>
    <w:p>
      <w:pPr>
        <w:spacing w:after="0" w:line="113" w:lineRule="exact"/>
        <w:rPr>
          <w:sz w:val="20"/>
          <w:szCs w:val="20"/>
          <w:color w:val="auto"/>
        </w:rPr>
      </w:pPr>
    </w:p>
    <w:p>
      <w:pPr>
        <w:ind w:right="60" w:firstLine="225"/>
        <w:spacing w:after="0" w:line="274"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subject to and in accordance with the Company’s indentures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66"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authorized employees be, and each of them hereby is, authorized,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60"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officers and authorized employees of the Company be, and each of them hereby is, authorized to take, or cause to be</w:t>
      </w:r>
      <w:r>
        <w:rPr>
          <w:rFonts w:ascii="Arial" w:cs="Arial" w:eastAsia="Arial" w:hAnsi="Arial"/>
          <w:sz w:val="17"/>
          <w:szCs w:val="17"/>
          <w:b w:val="1"/>
          <w:bCs w:val="1"/>
          <w:color w:val="auto"/>
        </w:rPr>
        <w:t xml:space="preserve"> </w:t>
      </w:r>
      <w:r>
        <w:rPr>
          <w:rFonts w:ascii="Arial" w:cs="Arial" w:eastAsia="Arial" w:hAnsi="Arial"/>
          <w:sz w:val="17"/>
          <w:szCs w:val="17"/>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right="60"/>
        <w:spacing w:after="0" w:line="277" w:lineRule="auto"/>
        <w:rPr>
          <w:sz w:val="20"/>
          <w:szCs w:val="20"/>
          <w:color w:val="auto"/>
        </w:rPr>
      </w:pPr>
      <w:r>
        <w:rPr>
          <w:rFonts w:ascii="Arial" w:cs="Arial" w:eastAsia="Arial" w:hAnsi="Arial"/>
          <w:sz w:val="18"/>
          <w:szCs w:val="18"/>
          <w:color w:val="auto"/>
        </w:rPr>
        <w:t>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58"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for purposes of these resolutions, the term “proper officer” shall mean any or all of the Chief Executive Officer,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the General Counsel, the Chief Accounting 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72"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form of any additional resolutions required in connection with the foregoing resolutions be and hereby is approved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7" w:lineRule="exact"/>
        <w:rPr>
          <w:sz w:val="20"/>
          <w:szCs w:val="20"/>
          <w:color w:val="auto"/>
        </w:rPr>
      </w:pPr>
    </w:p>
    <w:p>
      <w:pPr>
        <w:ind w:right="140" w:firstLine="270"/>
        <w:spacing w:after="0" w:line="261" w:lineRule="auto"/>
        <w:rPr>
          <w:sz w:val="20"/>
          <w:szCs w:val="20"/>
          <w:color w:val="auto"/>
        </w:rPr>
      </w:pPr>
      <w:r>
        <w:rPr>
          <w:rFonts w:ascii="Arial" w:cs="Arial" w:eastAsia="Arial" w:hAnsi="Arial"/>
          <w:sz w:val="18"/>
          <w:szCs w:val="18"/>
          <w:b w:val="1"/>
          <w:bCs w:val="1"/>
          <w:color w:val="auto"/>
        </w:rPr>
        <w:t xml:space="preserve">RESOLVED FURTHER, </w:t>
      </w:r>
      <w:r>
        <w:rPr>
          <w:rFonts w:ascii="Arial" w:cs="Arial" w:eastAsia="Arial" w:hAnsi="Arial"/>
          <w:sz w:val="18"/>
          <w:szCs w:val="18"/>
          <w:color w:val="auto"/>
        </w:rPr>
        <w:t>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360"/>
          </w:cols>
          <w:pgMar w:left="240" w:top="935" w:right="2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4.4</w:t>
      </w:r>
    </w:p>
    <w:p>
      <w:pPr>
        <w:spacing w:after="0" w:line="3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(formerly known as Waste Management, Inc.)</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Certain Debt Securities of</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$600,000,000</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6.125% Senior Notes due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4" w:name="page65"/>
    <w:bookmarkEnd w:id="64"/>
    <w:p>
      <w:pPr>
        <w:ind w:right="80" w:firstLine="225"/>
        <w:spacing w:after="0" w:line="259" w:lineRule="auto"/>
        <w:rPr>
          <w:sz w:val="20"/>
          <w:szCs w:val="20"/>
          <w:color w:val="auto"/>
        </w:rPr>
      </w:pPr>
      <w:r>
        <w:rPr>
          <w:rFonts w:ascii="Arial" w:cs="Arial" w:eastAsia="Arial" w:hAnsi="Arial"/>
          <w:sz w:val="18"/>
          <w:szCs w:val="18"/>
          <w:color w:val="auto"/>
        </w:rPr>
        <w:t>GUARANTEE, dated as of November 17, 2009 (as amended from time to time, this “Guarantee”), made by Waste Management Holdings, Inc. (formerly known as Waste Management, Inc.), a Delaware corporation (the “Guarantor”), in favor of The Bank of New York Mellon Trust Company, N.A., as trustee for the holders of the $600 million 6.125% Senior Notes due 2039 (the “Debt Securities”) of Waste Management, Inc. (formerly known as USA Waste Services, Inc.), a Delaware corporation (the “Issuer”).</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(successor by merger to Texas Commerce Bank National Association), as trustee (the “Trustee”).</w:t>
      </w:r>
    </w:p>
    <w:p>
      <w:pPr>
        <w:spacing w:after="0" w:line="80" w:lineRule="exact"/>
        <w:rPr>
          <w:sz w:val="20"/>
          <w:szCs w:val="20"/>
          <w:color w:val="auto"/>
        </w:rPr>
      </w:pPr>
    </w:p>
    <w:p>
      <w:pPr>
        <w:ind w:firstLine="458"/>
        <w:spacing w:after="0" w:line="293"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57" w:lineRule="exact"/>
        <w:rPr>
          <w:sz w:val="20"/>
          <w:szCs w:val="20"/>
          <w:color w:val="auto"/>
        </w:rPr>
      </w:pPr>
    </w:p>
    <w:p>
      <w:pPr>
        <w:ind w:right="500" w:firstLine="225"/>
        <w:spacing w:after="0" w:line="312" w:lineRule="auto"/>
        <w:rPr>
          <w:sz w:val="20"/>
          <w:szCs w:val="20"/>
          <w:color w:val="auto"/>
        </w:rPr>
      </w:pPr>
      <w:r>
        <w:rPr>
          <w:rFonts w:ascii="Arial" w:cs="Arial" w:eastAsia="Arial" w:hAnsi="Arial"/>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39" w:lineRule="exact"/>
        <w:rPr>
          <w:sz w:val="20"/>
          <w:szCs w:val="20"/>
          <w:color w:val="auto"/>
        </w:rPr>
      </w:pPr>
    </w:p>
    <w:p>
      <w:pPr>
        <w:ind w:left="780" w:hanging="208"/>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left="120" w:firstLine="452"/>
        <w:spacing w:after="0" w:line="277" w:lineRule="auto"/>
        <w:tabs>
          <w:tab w:leader="none" w:pos="8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62" w:lineRule="exact"/>
        <w:rPr>
          <w:rFonts w:ascii="Arial" w:cs="Arial" w:eastAsia="Arial" w:hAnsi="Arial"/>
          <w:sz w:val="18"/>
          <w:szCs w:val="18"/>
          <w:color w:val="auto"/>
        </w:rPr>
      </w:pPr>
    </w:p>
    <w:p>
      <w:pPr>
        <w:ind w:left="120" w:right="480" w:firstLine="452"/>
        <w:spacing w:after="0" w:line="277" w:lineRule="auto"/>
        <w:tabs>
          <w:tab w:leader="none" w:pos="8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62" w:lineRule="exact"/>
        <w:rPr>
          <w:rFonts w:ascii="Arial" w:cs="Arial" w:eastAsia="Arial" w:hAnsi="Arial"/>
          <w:sz w:val="18"/>
          <w:szCs w:val="18"/>
          <w:color w:val="auto"/>
        </w:rPr>
      </w:pPr>
    </w:p>
    <w:p>
      <w:pPr>
        <w:ind w:left="880" w:hanging="308"/>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65" w:name="page66"/>
    <w:bookmarkEnd w:id="65"/>
    <w:p>
      <w:pPr>
        <w:ind w:right="520" w:firstLine="225"/>
        <w:spacing w:after="0" w:line="264" w:lineRule="auto"/>
        <w:rPr>
          <w:sz w:val="20"/>
          <w:szCs w:val="20"/>
          <w:color w:val="auto"/>
        </w:rPr>
      </w:pPr>
      <w:r>
        <w:rPr>
          <w:rFonts w:ascii="Arial" w:cs="Arial" w:eastAsia="Arial" w:hAnsi="Arial"/>
          <w:sz w:val="18"/>
          <w:szCs w:val="18"/>
          <w:color w:val="auto"/>
        </w:rPr>
        <w:t xml:space="preserve">SECTION 3. Subordination.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SECTION 4. Waiver; Subrogation. (a)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3" w:lineRule="exact"/>
        <w:rPr>
          <w:sz w:val="20"/>
          <w:szCs w:val="20"/>
          <w:color w:val="auto"/>
        </w:rPr>
      </w:pPr>
    </w:p>
    <w:p>
      <w:pPr>
        <w:ind w:right="60" w:firstLine="458"/>
        <w:spacing w:after="0" w:line="312" w:lineRule="auto"/>
        <w:tabs>
          <w:tab w:leader="none" w:pos="7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39"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SECTION 5. No Waiver, Remedies.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August 17, 2006, by and among the Issuer, the Guarantor (as guarantor), Citibank, N.A., as administrative agent, J.P. Morgan Securities Inc. and Banc of America Securities LLC,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5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73"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SECTION 8. Amendment.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right="100" w:firstLine="225"/>
        <w:spacing w:after="0" w:line="277" w:lineRule="auto"/>
        <w:rPr>
          <w:sz w:val="20"/>
          <w:szCs w:val="20"/>
          <w:color w:val="auto"/>
        </w:rPr>
      </w:pPr>
      <w:r>
        <w:rPr>
          <w:rFonts w:ascii="Arial" w:cs="Arial" w:eastAsia="Arial" w:hAnsi="Arial"/>
          <w:sz w:val="18"/>
          <w:szCs w:val="18"/>
          <w:color w:val="auto"/>
        </w:rPr>
        <w:t>SECTION 9. Governing Law. THIS GUARANTEE SHALL BE GOVERNED BY, AND CONSTRUED IN ACCORDANCE WITH THE LAWS OF THE STATE OF NEW YORK, WITHOUT REGARD TO THE PROVISIONS THEREOF RELATING TO CONFLICT OF LAWS.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Secretary</w:t>
      </w:r>
    </w:p>
    <w:p>
      <w:pPr>
        <w:sectPr>
          <w:pgSz w:w="11900" w:h="16838" w:orient="portrait"/>
          <w:cols w:equalWidth="0" w:num="1">
            <w:col w:w="11120"/>
          </w:cols>
          <w:pgMar w:left="240" w:top="935" w:right="5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ONE SHELL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68973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89735" cy="171450"/>
                    </a:xfrm>
                    <a:prstGeom prst="rect">
                      <a:avLst/>
                    </a:prstGeom>
                    <a:noFill/>
                  </pic:spPr>
                </pic:pic>
              </a:graphicData>
            </a:graphic>
          </wp:anchor>
        </w:drawing>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910 LOUISIANA</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77002-4995</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TEL +1</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713.229.1234</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FAX +1</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713.229.1522</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www.bakerbotts.com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AUSTIN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WASHINGTON</w:t>
      </w:r>
    </w:p>
    <w:p>
      <w:pPr>
        <w:spacing w:after="0" w:line="200" w:lineRule="exact"/>
        <w:rPr>
          <w:sz w:val="20"/>
          <w:szCs w:val="20"/>
          <w:color w:val="auto"/>
        </w:rPr>
      </w:pPr>
    </w:p>
    <w:p>
      <w:pPr>
        <w:sectPr>
          <w:pgSz w:w="11900" w:h="16838" w:orient="portrait"/>
          <w:cols w:equalWidth="0" w:num="2">
            <w:col w:w="8420" w:space="720"/>
            <w:col w:w="2280"/>
          </w:cols>
          <w:pgMar w:left="240" w:top="12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November 16,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222"/>
        <w:spacing w:after="0" w:line="291" w:lineRule="auto"/>
        <w:rPr>
          <w:sz w:val="20"/>
          <w:szCs w:val="20"/>
          <w:color w:val="auto"/>
        </w:rPr>
      </w:pPr>
      <w:r>
        <w:rPr>
          <w:rFonts w:ascii="Arial" w:cs="Arial" w:eastAsia="Arial" w:hAnsi="Arial"/>
          <w:sz w:val="16"/>
          <w:szCs w:val="16"/>
          <w:color w:val="auto"/>
        </w:rPr>
        <w:t>Waste Management, Inc., a Delaware corporation (the “Company”), and Waste Management Holdings, Inc., a Delaware corporation (“Holdings”), have engaged us to render the opinions expressed below in connection with the Company’s proposed issuance of $600,000,000 aggregate principal amount of</w:t>
      </w:r>
    </w:p>
    <w:p>
      <w:pPr>
        <w:ind w:right="140"/>
        <w:spacing w:after="0" w:line="254" w:lineRule="auto"/>
        <w:rPr>
          <w:sz w:val="20"/>
          <w:szCs w:val="20"/>
          <w:color w:val="auto"/>
        </w:rPr>
      </w:pPr>
      <w:r>
        <w:rPr>
          <w:rFonts w:ascii="Arial" w:cs="Arial" w:eastAsia="Arial" w:hAnsi="Arial"/>
          <w:sz w:val="18"/>
          <w:szCs w:val="18"/>
          <w:color w:val="auto"/>
        </w:rPr>
        <w:t>6.125% Senior Notes due 2015 (the “Notes”) and the issuance of the related guarantee of the Notes by Holdings (the “Guarantee”), as contemplated by the Registration Statement on Form S-3 (Registration No. 333-162059)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82"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September 22, 2009 and prospectus supplement dated November 12, 2009 relating to the Notes (collectively, the “Prospectus”) have been filed with the Commission pursuant to Rule 424(b) under the Act.</w:t>
      </w:r>
    </w:p>
    <w:p>
      <w:pPr>
        <w:spacing w:after="0" w:line="73"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Company and Holdings entered into an Underwriting Agreement (the “Underwriting Agreement”), dated November 12, 2009, with BNP Paribas Securities Corp., J.P. Morgan Securities Inc., Scotia Capital (USA) Inc. and Wells Fargo Securities, LLC,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successor to Texas Commerce Bank National Association, as trustee (the “Trustee”).</w:t>
      </w:r>
    </w:p>
    <w:p>
      <w:pPr>
        <w:spacing w:after="0" w:line="64"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 (i) the Second Amended and Restated Certificate of Incorporation and the Bylaws of the Company, each as amended to date; (ii) the Certificate of Incorporation and Bylaws of Holdings, each as amended to date; (iii) the Indenture; (iv) the Guarantee to be entered into by Holdings in favor of the holders of the Notes concurrently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12331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2331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9960" w:val="left"/>
        </w:tabs>
        <w:rPr>
          <w:sz w:val="20"/>
          <w:szCs w:val="20"/>
          <w:color w:val="auto"/>
        </w:rPr>
      </w:pPr>
      <w:r>
        <w:rPr>
          <w:rFonts w:ascii="Arial" w:cs="Arial" w:eastAsia="Arial" w:hAnsi="Arial"/>
          <w:sz w:val="18"/>
          <w:szCs w:val="18"/>
          <w:color w:val="auto"/>
        </w:rPr>
        <w:t>Waste Management, Inc.</w:t>
      </w:r>
      <w:r>
        <w:rPr>
          <w:sz w:val="20"/>
          <w:szCs w:val="20"/>
          <w:color w:val="auto"/>
        </w:rPr>
        <w:tab/>
      </w:r>
      <w:r>
        <w:rPr>
          <w:rFonts w:ascii="Arial" w:cs="Arial" w:eastAsia="Arial" w:hAnsi="Arial"/>
          <w:sz w:val="16"/>
          <w:szCs w:val="16"/>
          <w:color w:val="auto"/>
        </w:rPr>
        <w:t>November 16, 2009</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the issuance of the Notes under the Indenture (the “Guarantee Agreement”); (v) the Underwriting Agreement; (vi) the Registration Statement and the Prospectus; and (vii) 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5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6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62"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12331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23315" cy="120015"/>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category of persons whose consent is required under Section 7 of the Act and the rules and regulations of the Commission thereunder.</w:t>
      </w:r>
    </w:p>
    <w:p>
      <w:pPr>
        <w:spacing w:after="0" w:line="1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November 16, 2009</w:t>
      </w:r>
    </w:p>
    <w:p>
      <w:pPr>
        <w:spacing w:after="0" w:line="1195" w:lineRule="exact"/>
        <w:rPr>
          <w:sz w:val="20"/>
          <w:szCs w:val="20"/>
          <w:color w:val="auto"/>
        </w:rPr>
      </w:pPr>
    </w:p>
    <w:p>
      <w:pPr>
        <w:sectPr>
          <w:pgSz w:w="11900" w:h="16838" w:orient="portrait"/>
          <w:cols w:equalWidth="0" w:num="2">
            <w:col w:w="9640" w:space="340"/>
            <w:col w:w="1440"/>
          </w:cols>
          <w:pgMar w:left="240" w:top="935"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JDK/JAR/JAA</w:t>
      </w:r>
    </w:p>
    <w:sectPr>
      <w:pgSz w:w="11900" w:h="16838" w:orient="portrait"/>
      <w:cols w:equalWidth="0" w:num="1">
        <w:col w:w="11420"/>
      </w:cols>
      <w:pgMar w:left="240" w:top="93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1."/>
      <w:numFmt w:val="decimal"/>
      <w:start w:val="1"/>
    </w:lvl>
    <w:lvl w:ilvl="1">
      <w:lvlJc w:val="left"/>
      <w:lvlText w:val="(%2)"/>
      <w:numFmt w:val="lowerLetter"/>
      <w:start w:val="1"/>
    </w:lvl>
  </w:abstractNum>
  <w:abstractNum w:abstractNumId="2">
    <w:nsid w:val="189A769B"/>
    <w:multiLevelType w:val="hybridMultilevel"/>
    <w:lvl w:ilvl="0">
      <w:lvlJc w:val="left"/>
      <w:lvlText w:val="(%1)"/>
      <w:numFmt w:val="lowerLetter"/>
      <w:start w:val="4"/>
    </w:lvl>
  </w:abstractNum>
  <w:abstractNum w:abstractNumId="3">
    <w:nsid w:val="54E49EB4"/>
    <w:multiLevelType w:val="hybridMultilevel"/>
    <w:lvl w:ilvl="0">
      <w:lvlJc w:val="left"/>
      <w:lvlText w:val="(%1)"/>
      <w:numFmt w:val="lowerLetter"/>
      <w:start w:val="6"/>
    </w:lvl>
  </w:abstractNum>
  <w:abstractNum w:abstractNumId="4">
    <w:nsid w:val="71F32454"/>
    <w:multiLevelType w:val="hybridMultilevel"/>
    <w:lvl w:ilvl="0">
      <w:lvlJc w:val="left"/>
      <w:lvlText w:val="(%1)"/>
      <w:numFmt w:val="lowerLetter"/>
      <w:start w:val="10"/>
    </w:lvl>
  </w:abstractNum>
  <w:abstractNum w:abstractNumId="5">
    <w:nsid w:val="2CA88611"/>
    <w:multiLevelType w:val="hybridMultilevel"/>
    <w:lvl w:ilvl="0">
      <w:lvlJc w:val="left"/>
      <w:lvlText w:val="(%1)"/>
      <w:numFmt w:val="lowerLetter"/>
      <w:start w:val="15"/>
    </w:lvl>
  </w:abstractNum>
  <w:abstractNum w:abstractNumId="6">
    <w:nsid w:val="836C40E"/>
    <w:multiLevelType w:val="hybridMultilevel"/>
    <w:lvl w:ilvl="0">
      <w:lvlJc w:val="left"/>
      <w:lvlText w:val="(%1)"/>
      <w:numFmt w:val="lowerLetter"/>
      <w:start w:val="19"/>
    </w:lvl>
  </w:abstractNum>
  <w:abstractNum w:abstractNumId="7">
    <w:nsid w:val="2901D82"/>
    <w:multiLevelType w:val="hybridMultilevel"/>
    <w:lvl w:ilvl="0">
      <w:lvlJc w:val="left"/>
      <w:lvlText w:val="(%1)"/>
      <w:numFmt w:val="lowerLetter"/>
      <w:start w:val="24"/>
    </w:lvl>
  </w:abstractNum>
  <w:abstractNum w:abstractNumId="8">
    <w:nsid w:val="3A95F874"/>
    <w:multiLevelType w:val="hybridMultilevel"/>
    <w:lvl w:ilvl="0">
      <w:lvlJc w:val="left"/>
      <w:lvlText w:val="(%1)"/>
      <w:numFmt w:val="lowerLetter"/>
      <w:start w:val="27"/>
    </w:lvl>
  </w:abstractNum>
  <w:abstractNum w:abstractNumId="9">
    <w:nsid w:val="8138641"/>
    <w:multiLevelType w:val="hybridMultilevel"/>
    <w:lvl w:ilvl="0">
      <w:lvlJc w:val="left"/>
      <w:lvlText w:val="%1"/>
      <w:numFmt w:val="lowerLetter"/>
      <w:start w:val="1"/>
    </w:lvl>
    <w:lvl w:ilvl="1">
      <w:lvlJc w:val="left"/>
      <w:lvlText w:val="(%2)"/>
      <w:numFmt w:val="lowerLetter"/>
      <w:start w:val="28"/>
    </w:lvl>
  </w:abstractNum>
  <w:abstractNum w:abstractNumId="10">
    <w:nsid w:val="1E7FF521"/>
    <w:multiLevelType w:val="hybridMultilevel"/>
    <w:lvl w:ilvl="0">
      <w:lvlJc w:val="left"/>
      <w:lvlText w:val="(%1)"/>
      <w:numFmt w:val="lowerLetter"/>
      <w:start w:val="9"/>
    </w:lvl>
    <w:lvl w:ilvl="1">
      <w:lvlJc w:val="left"/>
      <w:lvlText w:val="%2"/>
      <w:numFmt w:val="lowerLetter"/>
      <w:start w:val="1"/>
    </w:lvl>
  </w:abstractNum>
  <w:abstractNum w:abstractNumId="11">
    <w:nsid w:val="7C3DBD3D"/>
    <w:multiLevelType w:val="hybridMultilevel"/>
    <w:lvl w:ilvl="0">
      <w:lvlJc w:val="left"/>
      <w:lvlText w:val="(%1)"/>
      <w:numFmt w:val="lowerLetter"/>
      <w:start w:val="61"/>
    </w:lvl>
    <w:lvl w:ilvl="1">
      <w:lvlJc w:val="left"/>
      <w:lvlText w:val="(%2)"/>
      <w:numFmt w:val="lowerLetter"/>
      <w:start w:val="31"/>
    </w:lvl>
  </w:abstractNum>
  <w:abstractNum w:abstractNumId="12">
    <w:nsid w:val="737B8DDC"/>
    <w:multiLevelType w:val="hybridMultilevel"/>
    <w:lvl w:ilvl="0">
      <w:lvlJc w:val="left"/>
      <w:lvlText w:val="(%1)"/>
      <w:numFmt w:val="lowerLetter"/>
      <w:start w:val="33"/>
    </w:lvl>
  </w:abstractNum>
  <w:abstractNum w:abstractNumId="13">
    <w:nsid w:val="6CEAF087"/>
    <w:multiLevelType w:val="hybridMultilevel"/>
    <w:lvl w:ilvl="0">
      <w:lvlJc w:val="left"/>
      <w:lvlText w:val="(%1)"/>
      <w:numFmt w:val="lowerLetter"/>
      <w:start w:val="37"/>
    </w:lvl>
  </w:abstractNum>
  <w:abstractNum w:abstractNumId="14">
    <w:nsid w:val="22221A70"/>
    <w:multiLevelType w:val="hybridMultilevel"/>
    <w:lvl w:ilvl="0">
      <w:lvlJc w:val="left"/>
      <w:lvlText w:val="(%1)"/>
      <w:numFmt w:val="lowerLetter"/>
      <w:start w:val="42"/>
    </w:lvl>
  </w:abstractNum>
  <w:abstractNum w:abstractNumId="15">
    <w:nsid w:val="4516DDE9"/>
    <w:multiLevelType w:val="hybridMultilevel"/>
    <w:lvl w:ilvl="0">
      <w:lvlJc w:val="left"/>
      <w:lvlText w:val="%1."/>
      <w:numFmt w:val="decimal"/>
      <w:start w:val="2"/>
    </w:lvl>
  </w:abstractNum>
  <w:abstractNum w:abstractNumId="16">
    <w:nsid w:val="3006C83E"/>
    <w:multiLevelType w:val="hybridMultilevel"/>
    <w:lvl w:ilvl="0">
      <w:lvlJc w:val="left"/>
      <w:lvlText w:val="%1."/>
      <w:numFmt w:val="decimal"/>
      <w:start w:val="3"/>
    </w:lvl>
    <w:lvl w:ilvl="1">
      <w:lvlJc w:val="left"/>
      <w:lvlText w:val="(%2)"/>
      <w:numFmt w:val="lowerLetter"/>
      <w:start w:val="1"/>
    </w:lvl>
  </w:abstractNum>
  <w:abstractNum w:abstractNumId="17">
    <w:nsid w:val="614FD4A1"/>
    <w:multiLevelType w:val="hybridMultilevel"/>
    <w:lvl w:ilvl="0">
      <w:lvlJc w:val="left"/>
      <w:lvlText w:val="(%1)"/>
      <w:numFmt w:val="lowerLetter"/>
      <w:start w:val="2"/>
    </w:lvl>
  </w:abstractNum>
  <w:abstractNum w:abstractNumId="18">
    <w:nsid w:val="419AC241"/>
    <w:multiLevelType w:val="hybridMultilevel"/>
    <w:lvl w:ilvl="0">
      <w:lvlJc w:val="left"/>
      <w:lvlText w:val="(%1)"/>
      <w:numFmt w:val="decimal"/>
      <w:start w:val="3"/>
    </w:lvl>
    <w:lvl w:ilvl="1">
      <w:lvlJc w:val="left"/>
      <w:lvlText w:val="(%2)"/>
      <w:numFmt w:val="lowerLetter"/>
      <w:start w:val="5"/>
    </w:lvl>
  </w:abstractNum>
  <w:abstractNum w:abstractNumId="19">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20">
    <w:nsid w:val="440BADFC"/>
    <w:multiLevelType w:val="hybridMultilevel"/>
    <w:lvl w:ilvl="0">
      <w:lvlJc w:val="left"/>
      <w:lvlText w:val="%1."/>
      <w:numFmt w:val="decimal"/>
      <w:start w:val="6"/>
    </w:lvl>
    <w:lvl w:ilvl="1">
      <w:lvlJc w:val="left"/>
      <w:lvlText w:val="(%2)"/>
      <w:numFmt w:val="lowerLetter"/>
      <w:start w:val="8"/>
    </w:lvl>
    <w:lvl w:ilvl="2">
      <w:lvlJc w:val="left"/>
      <w:lvlText w:val="(%3)"/>
      <w:numFmt w:val="lowerLetter"/>
      <w:start w:val="1"/>
    </w:lvl>
  </w:abstractNum>
  <w:abstractNum w:abstractNumId="21">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3804823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3">
    <w:nsid w:val="77465F01"/>
    <w:multiLevelType w:val="hybridMultilevel"/>
    <w:lvl w:ilvl="0">
      <w:lvlJc w:val="left"/>
      <w:lvlText w:val="(%1)"/>
      <w:numFmt w:val="lowerLetter"/>
      <w:start w:val="1"/>
    </w:lvl>
    <w:lvl w:ilvl="1">
      <w:lvlJc w:val="left"/>
      <w:lvlText w:val="(%2)"/>
      <w:numFmt w:val="lowerRoman"/>
      <w:start w:val="1"/>
    </w:lvl>
  </w:abstractNum>
  <w:abstractNum w:abstractNumId="24">
    <w:nsid w:val="7724C67E"/>
    <w:multiLevelType w:val="hybridMultilevel"/>
    <w:lvl w:ilvl="0">
      <w:lvlJc w:val="left"/>
      <w:lvlText w:val="(%1)"/>
      <w:numFmt w:val="lowerRoman"/>
      <w:start w:val="5"/>
    </w:lvl>
  </w:abstractNum>
  <w:abstractNum w:abstractNumId="25">
    <w:nsid w:val="5C482A97"/>
    <w:multiLevelType w:val="hybridMultilevel"/>
    <w:lvl w:ilvl="0">
      <w:lvlJc w:val="left"/>
      <w:lvlText w:val="(%1)"/>
      <w:numFmt w:val="lowerRoman"/>
      <w:start w:val="11"/>
    </w:lvl>
  </w:abstractNum>
  <w:abstractNum w:abstractNumId="26">
    <w:nsid w:val="2463B9EA"/>
    <w:multiLevelType w:val="hybridMultilevel"/>
    <w:lvl w:ilvl="0">
      <w:lvlJc w:val="left"/>
      <w:lvlText w:val="(%1)"/>
      <w:numFmt w:val="lowerRoman"/>
      <w:start w:val="1"/>
    </w:lvl>
  </w:abstractNum>
  <w:abstractNum w:abstractNumId="27">
    <w:nsid w:val="5E884ADC"/>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28">
    <w:nsid w:val="51EAD36B"/>
    <w:multiLevelType w:val="hybridMultilevel"/>
    <w:lvl w:ilvl="0">
      <w:lvlJc w:val="left"/>
      <w:lvlText w:val="%1"/>
      <w:numFmt w:val="lowerLetter"/>
      <w:start w:val="1"/>
    </w:lvl>
    <w:lvl w:ilvl="1">
      <w:lvlJc w:val="left"/>
      <w:lvlText w:val="(%2)"/>
      <w:numFmt w:val="lowerRoman"/>
      <w:start w:val="5"/>
    </w:lvl>
  </w:abstractNum>
  <w:abstractNum w:abstractNumId="29">
    <w:nsid w:val="2D517796"/>
    <w:multiLevelType w:val="hybridMultilevel"/>
    <w:lvl w:ilvl="0">
      <w:lvlJc w:val="left"/>
      <w:lvlText w:val="(%1)"/>
      <w:numFmt w:val="lowerLetter"/>
      <w:start w:val="4"/>
    </w:lvl>
    <w:lvl w:ilvl="1">
      <w:lvlJc w:val="left"/>
      <w:lvlText w:val="(%2)"/>
      <w:numFmt w:val="lowerRoman"/>
      <w:start w:val="1"/>
    </w:lvl>
  </w:abstractNum>
  <w:abstractNum w:abstractNumId="30">
    <w:nsid w:val="580BD78F"/>
    <w:multiLevelType w:val="hybridMultilevel"/>
    <w:lvl w:ilvl="0">
      <w:lvlJc w:val="left"/>
      <w:lvlText w:val="%1"/>
      <w:numFmt w:val="lowerLetter"/>
      <w:start w:val="1"/>
    </w:lvl>
    <w:lvl w:ilvl="1">
      <w:lvlJc w:val="left"/>
      <w:lvlText w:val="(%2)"/>
      <w:numFmt w:val="lowerRoman"/>
      <w:start w:val="2"/>
    </w:lvl>
  </w:abstractNum>
  <w:abstractNum w:abstractNumId="31">
    <w:nsid w:val="153EA438"/>
    <w:multiLevelType w:val="hybridMultilevel"/>
    <w:lvl w:ilvl="0">
      <w:lvlJc w:val="left"/>
      <w:lvlText w:val="(%1)"/>
      <w:numFmt w:val="lowerLetter"/>
      <w:start w:val="6"/>
    </w:lvl>
    <w:lvl w:ilvl="1">
      <w:lvlJc w:val="left"/>
      <w:lvlText w:val="(%2)"/>
      <w:numFmt w:val="lowerRoman"/>
      <w:start w:val="1"/>
    </w:lvl>
  </w:abstractNum>
  <w:abstractNum w:abstractNumId="32">
    <w:nsid w:val="3855585C"/>
    <w:multiLevelType w:val="hybridMultilevel"/>
    <w:lvl w:ilvl="0">
      <w:lvlJc w:val="left"/>
      <w:lvlText w:val="(%1)"/>
      <w:numFmt w:val="lowerLetter"/>
      <w:start w:val="7"/>
    </w:lvl>
  </w:abstractNum>
  <w:abstractNum w:abstractNumId="33">
    <w:nsid w:val="70A64E2A"/>
    <w:multiLevelType w:val="hybridMultilevel"/>
    <w:lvl w:ilvl="0">
      <w:lvlJc w:val="left"/>
      <w:lvlText w:val="%1."/>
      <w:numFmt w:val="decimal"/>
      <w:start w:val="8"/>
    </w:lvl>
    <w:lvl w:ilvl="1">
      <w:lvlJc w:val="left"/>
      <w:lvlText w:val="(%2)"/>
      <w:numFmt w:val="lowerLetter"/>
      <w:start w:val="2"/>
    </w:lvl>
  </w:abstractNum>
  <w:abstractNum w:abstractNumId="34">
    <w:nsid w:val="6A2342EC"/>
    <w:multiLevelType w:val="hybridMultilevel"/>
    <w:lvl w:ilvl="0">
      <w:lvlJc w:val="left"/>
      <w:lvlText w:val="%1"/>
      <w:numFmt w:val="lowerLetter"/>
      <w:start w:val="1"/>
    </w:lvl>
    <w:lvl w:ilvl="1">
      <w:lvlJc w:val="left"/>
      <w:lvlText w:val="(%2)"/>
      <w:numFmt w:val="lowerLetter"/>
      <w:start w:val="3"/>
    </w:lvl>
  </w:abstractNum>
  <w:abstractNum w:abstractNumId="35">
    <w:nsid w:val="2A487CB0"/>
    <w:multiLevelType w:val="hybridMultilevel"/>
    <w:lvl w:ilvl="0">
      <w:lvlJc w:val="left"/>
      <w:lvlText w:val="(%1)"/>
      <w:numFmt w:val="lowerLetter"/>
      <w:start w:val="2"/>
    </w:lvl>
    <w:lvl w:ilvl="1">
      <w:lvlJc w:val="left"/>
      <w:lvlText w:val="%2"/>
      <w:numFmt w:val="lowerLetter"/>
      <w:start w:val="1"/>
    </w:lvl>
  </w:abstractNum>
  <w:abstractNum w:abstractNumId="36">
    <w:nsid w:val="1D4ED43B"/>
    <w:multiLevelType w:val="hybridMultilevel"/>
    <w:lvl w:ilvl="0">
      <w:lvlJc w:val="left"/>
      <w:lvlText w:val="(%1)"/>
      <w:numFmt w:val="lowerLetter"/>
      <w:start w:val="4"/>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3"/>
    </w:lvl>
    <w:lvl w:ilvl="1">
      <w:lvlJc w:val="left"/>
      <w:lvlText w:val="%2."/>
      <w:numFmt w:val="decimal"/>
      <w:start w:val="14"/>
    </w:lvl>
  </w:abstractNum>
  <w:abstractNum w:abstractNumId="39">
    <w:nsid w:val="57E4CCAF"/>
    <w:multiLevelType w:val="hybridMultilevel"/>
    <w:lvl w:ilvl="0">
      <w:lvlJc w:val="left"/>
      <w:lvlText w:val="%1."/>
      <w:numFmt w:val="decimal"/>
      <w:start w:val="19"/>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8"/>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upperLetter"/>
      <w:start w:val="2"/>
    </w:lvl>
  </w:abstractNum>
  <w:abstractNum w:abstractNumId="46">
    <w:nsid w:val="32FFF902"/>
    <w:multiLevelType w:val="hybridMultilevel"/>
    <w:lvl w:ilvl="0">
      <w:lvlJc w:val="left"/>
      <w:lvlText w:val="(%1)"/>
      <w:numFmt w:val="upperLetter"/>
      <w:start w:val="4"/>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2019-12-10T07:12:29Z</dcterms:created>
  <dcterms:modified xsi:type="dcterms:W3CDTF">2019-12-10T07:12:29Z</dcterms:modified>
</cp:coreProperties>
</file>