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2" w:lineRule="exact"/>
        <w:rPr>
          <w:sz w:val="24"/>
          <w:szCs w:val="24"/>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 Filed Pursuant to Rule 424(b)(5)</w:t>
      </w:r>
    </w:p>
    <w:p>
      <w:pPr>
        <w:spacing w:after="0" w:line="42" w:lineRule="exact"/>
        <w:rPr>
          <w:sz w:val="24"/>
          <w:szCs w:val="24"/>
          <w:color w:val="auto"/>
        </w:rPr>
      </w:pPr>
    </w:p>
    <w:p>
      <w:pPr>
        <w:ind w:left="7440"/>
        <w:spacing w:after="0"/>
        <w:rPr>
          <w:sz w:val="20"/>
          <w:szCs w:val="20"/>
          <w:color w:val="auto"/>
        </w:rPr>
      </w:pPr>
      <w:r>
        <w:rPr>
          <w:rFonts w:ascii="Times New Roman" w:cs="Times New Roman" w:eastAsia="Times New Roman" w:hAnsi="Times New Roman"/>
          <w:sz w:val="16"/>
          <w:szCs w:val="16"/>
          <w:b w:val="1"/>
          <w:bCs w:val="1"/>
          <w:color w:val="auto"/>
        </w:rPr>
        <w:t> Registration File No. 333-264493​</w:t>
      </w:r>
    </w:p>
    <w:p>
      <w:pPr>
        <w:spacing w:after="0" w:line="7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(To Prospectus dated April 26, 2022)</w:t>
      </w:r>
    </w:p>
    <w:p>
      <w:pPr>
        <w:spacing w:after="0" w:line="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4"/>
          <w:szCs w:val="24"/>
          <w:b w:val="1"/>
          <w:bCs w:val="1"/>
          <w:color w:val="auto"/>
        </w:rPr>
        <w:t>$1,500,000,000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2169160</wp:posOffset>
            </wp:positionH>
            <wp:positionV relativeFrom="paragraph">
              <wp:posOffset>86360</wp:posOffset>
            </wp:positionV>
            <wp:extent cx="2118995" cy="562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995" cy="562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$750,000,000 4.950% Senior Notes due 2027</w:t>
      </w:r>
    </w:p>
    <w:p>
      <w:pPr>
        <w:spacing w:after="0" w:line="7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24"/>
          <w:szCs w:val="24"/>
          <w:b w:val="1"/>
          <w:bCs w:val="1"/>
          <w:color w:val="auto"/>
        </w:rPr>
        <w:t>$750,000,000 4.950% Senior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2641600</wp:posOffset>
            </wp:positionH>
            <wp:positionV relativeFrom="paragraph">
              <wp:posOffset>135255</wp:posOffset>
            </wp:positionV>
            <wp:extent cx="1173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344" w:lineRule="exact"/>
        <w:rPr>
          <w:sz w:val="24"/>
          <w:szCs w:val="24"/>
          <w:color w:val="auto"/>
        </w:rPr>
      </w:pPr>
    </w:p>
    <w:p>
      <w:pPr>
        <w:ind w:left="460" w:right="220" w:firstLine="342"/>
        <w:spacing w:after="0" w:line="252" w:lineRule="auto"/>
        <w:rPr>
          <w:sz w:val="20"/>
          <w:szCs w:val="20"/>
          <w:color w:val="auto"/>
        </w:rPr>
      </w:pPr>
      <w:r>
        <w:rPr>
          <w:rFonts w:ascii="Times New Roman" w:cs="Times New Roman" w:eastAsia="Times New Roman" w:hAnsi="Times New Roman"/>
          <w:sz w:val="17"/>
          <w:szCs w:val="17"/>
          <w:color w:val="auto"/>
        </w:rPr>
        <w:t>We are offering $1,500,000,000 of our senior notes, consisting of $750,000,000 of our 4.950% senior notes due 2027 (the “2027 notes”) and $750,000,000 of our 4.950% senior notes due 2031 (the “2031 notes” and, together with the 2027 notes, the “notes”). Interest on the notes will accrue from July 3 , 2024 and will be payable on January 3 and July 3 of each year, beginning January 3, 2025. The 2027 notes will mature on July 3, 2027 and the 2031 notes will mature on July 3, 2031.</w:t>
      </w:r>
    </w:p>
    <w:p>
      <w:pPr>
        <w:spacing w:after="0" w:line="52" w:lineRule="exact"/>
        <w:rPr>
          <w:sz w:val="24"/>
          <w:szCs w:val="24"/>
          <w:color w:val="auto"/>
        </w:rPr>
      </w:pPr>
    </w:p>
    <w:p>
      <w:pPr>
        <w:ind w:left="460" w:right="120" w:firstLine="342"/>
        <w:spacing w:after="0" w:line="252" w:lineRule="auto"/>
        <w:rPr>
          <w:sz w:val="20"/>
          <w:szCs w:val="20"/>
          <w:color w:val="auto"/>
        </w:rPr>
      </w:pPr>
      <w:r>
        <w:rPr>
          <w:rFonts w:ascii="Times New Roman" w:cs="Times New Roman" w:eastAsia="Times New Roman" w:hAnsi="Times New Roman"/>
          <w:sz w:val="17"/>
          <w:szCs w:val="17"/>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52" w:lineRule="exact"/>
        <w:rPr>
          <w:sz w:val="24"/>
          <w:szCs w:val="24"/>
          <w:color w:val="auto"/>
        </w:rPr>
      </w:pPr>
    </w:p>
    <w:p>
      <w:pPr>
        <w:jc w:val="both"/>
        <w:ind w:left="460" w:right="300" w:firstLine="342"/>
        <w:spacing w:after="0" w:line="252" w:lineRule="auto"/>
        <w:rPr>
          <w:sz w:val="20"/>
          <w:szCs w:val="20"/>
          <w:color w:val="auto"/>
        </w:rPr>
      </w:pPr>
      <w:r>
        <w:rPr>
          <w:rFonts w:ascii="Times New Roman" w:cs="Times New Roman" w:eastAsia="Times New Roman" w:hAnsi="Times New Roman"/>
          <w:sz w:val="17"/>
          <w:szCs w:val="17"/>
          <w:color w:val="auto"/>
        </w:rPr>
        <w:t>We may redeem each series of the notes, in whole or in part, at any time at the redemption prices described beginning on page S-14. If a change of control triggering event as described beginning on page S-17 occurs, we may be required to offer to purchase the notes of each series from holders.</w:t>
      </w:r>
    </w:p>
    <w:p>
      <w:pPr>
        <w:spacing w:after="0" w:line="46" w:lineRule="exact"/>
        <w:rPr>
          <w:sz w:val="24"/>
          <w:szCs w:val="24"/>
          <w:color w:val="auto"/>
        </w:rPr>
      </w:pPr>
    </w:p>
    <w:p>
      <w:pPr>
        <w:ind w:left="460" w:right="220" w:firstLine="342"/>
        <w:spacing w:after="0" w:line="276" w:lineRule="auto"/>
        <w:rPr>
          <w:sz w:val="20"/>
          <w:szCs w:val="20"/>
          <w:color w:val="auto"/>
        </w:rPr>
      </w:pPr>
      <w:r>
        <w:rPr>
          <w:rFonts w:ascii="Times New Roman" w:cs="Times New Roman" w:eastAsia="Times New Roman" w:hAnsi="Times New Roman"/>
          <w:sz w:val="17"/>
          <w:szCs w:val="17"/>
          <w:b w:val="1"/>
          <w:bCs w:val="1"/>
          <w:color w:val="auto"/>
        </w:rPr>
        <w:t>Investing in the notes involves risks.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beginning on page </w:t>
      </w:r>
      <w:r>
        <w:rPr>
          <w:rFonts w:ascii="Times New Roman" w:cs="Times New Roman" w:eastAsia="Times New Roman" w:hAnsi="Times New Roman"/>
          <w:sz w:val="17"/>
          <w:szCs w:val="17"/>
          <w:b w:val="1"/>
          <w:bCs w:val="1"/>
          <w:u w:val="single" w:color="auto"/>
          <w:color w:val="0000EE"/>
        </w:rPr>
        <w:t>S-6</w:t>
      </w:r>
      <w:r>
        <w:rPr>
          <w:rFonts w:ascii="Times New Roman" w:cs="Times New Roman" w:eastAsia="Times New Roman" w:hAnsi="Times New Roman"/>
          <w:sz w:val="17"/>
          <w:szCs w:val="17"/>
          <w:b w:val="1"/>
          <w:bCs w:val="1"/>
          <w:color w:val="auto"/>
        </w:rPr>
        <w:t xml:space="preserve"> of this prospectus supplement and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2641600</wp:posOffset>
            </wp:positionH>
            <wp:positionV relativeFrom="paragraph">
              <wp:posOffset>87630</wp:posOffset>
            </wp:positionV>
            <wp:extent cx="1173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277" w:lineRule="exact"/>
        <w:rPr>
          <w:sz w:val="24"/>
          <w:szCs w:val="24"/>
          <w:color w:val="auto"/>
        </w:rPr>
      </w:pPr>
    </w:p>
    <w:p>
      <w:pPr>
        <w:ind w:left="460" w:right="380" w:firstLine="342"/>
        <w:spacing w:after="0" w:line="263"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2641600</wp:posOffset>
            </wp:positionH>
            <wp:positionV relativeFrom="paragraph">
              <wp:posOffset>93980</wp:posOffset>
            </wp:positionV>
            <wp:extent cx="1173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219" w:lineRule="exact"/>
        <w:rPr>
          <w:sz w:val="24"/>
          <w:szCs w:val="24"/>
          <w:color w:val="auto"/>
        </w:rPr>
      </w:pPr>
    </w:p>
    <w:tbl>
      <w:tblPr>
        <w:tblLayout w:type="fixed"/>
        <w:tblInd w:w="460" w:type="dxa"/>
        <w:tblCellMar>
          <w:top w:w="0" w:type="dxa"/>
          <w:left w:w="0" w:type="dxa"/>
          <w:bottom w:w="0" w:type="dxa"/>
          <w:right w:w="0" w:type="dxa"/>
        </w:tblCellMar>
      </w:tblPr>
      <w:tr>
        <w:trPr>
          <w:trHeight w:val="217"/>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2027 Notes</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w w:val="92"/>
              </w:rPr>
              <w:t>2031 Notes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Per Note </w:t>
            </w:r>
            <w:r>
              <w:rPr>
                <w:rFonts w:ascii="Times New Roman" w:cs="Times New Roman" w:eastAsia="Times New Roman" w:hAnsi="Times New Roman"/>
                <w:sz w:val="25"/>
                <w:szCs w:val="25"/>
                <w:b w:val="1"/>
                <w:bCs w:val="1"/>
                <w:color w:val="auto"/>
                <w:vertAlign w:val="subscript"/>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Per Note</w:t>
            </w:r>
          </w:p>
        </w:tc>
        <w:tc>
          <w:tcPr>
            <w:tcW w:w="1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spacing w:after="0" w:line="231" w:lineRule="exact"/>
              <w:rPr>
                <w:sz w:val="20"/>
                <w:szCs w:val="20"/>
                <w:color w:val="auto"/>
              </w:rPr>
            </w:pPr>
            <w:r>
              <w:rPr>
                <w:rFonts w:ascii="Times New Roman" w:cs="Times New Roman" w:eastAsia="Times New Roman" w:hAnsi="Times New Roman"/>
                <w:sz w:val="17"/>
                <w:szCs w:val="17"/>
                <w:color w:val="auto"/>
              </w:rPr>
              <w:t>Public Offering Price</w:t>
            </w:r>
            <w:r>
              <w:rPr>
                <w:rFonts w:ascii="Times New Roman" w:cs="Times New Roman" w:eastAsia="Times New Roman" w:hAnsi="Times New Roman"/>
                <w:sz w:val="22"/>
                <w:szCs w:val="22"/>
                <w:color w:val="auto"/>
                <w:vertAlign w:val="superscript"/>
              </w:rPr>
              <w:t>(1)</w:t>
            </w: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60" w:type="dxa"/>
            <w:vAlign w:val="bottom"/>
            <w:vMerge w:val="continue"/>
            <w:shd w:val="clear" w:color="auto" w:fill="CCEEFF"/>
          </w:tcPr>
          <w:p>
            <w:pPr>
              <w:spacing w:after="0"/>
              <w:rPr>
                <w:sz w:val="18"/>
                <w:szCs w:val="18"/>
                <w:color w:val="auto"/>
              </w:rPr>
            </w:pPr>
          </w:p>
        </w:tc>
        <w:tc>
          <w:tcPr>
            <w:tcW w:w="1600" w:type="dxa"/>
            <w:vAlign w:val="bottom"/>
            <w:gridSpan w:val="2"/>
            <w:vMerge w:val="restart"/>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99.879%</w:t>
            </w:r>
          </w:p>
        </w:tc>
        <w:tc>
          <w:tcPr>
            <w:tcW w:w="1020" w:type="dxa"/>
            <w:vAlign w:val="bottom"/>
            <w:tcBorders>
              <w:lef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8"/>
              </w:rPr>
              <w:t>$749,092,500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99.393%</w:t>
            </w:r>
          </w:p>
        </w:tc>
        <w:tc>
          <w:tcPr>
            <w:tcW w:w="1020" w:type="dxa"/>
            <w:vAlign w:val="bottom"/>
            <w:tcBorders>
              <w:lef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8"/>
              </w:rPr>
              <w:t>$745,447,500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4060" w:type="dxa"/>
            <w:vAlign w:val="bottom"/>
            <w:shd w:val="clear" w:color="auto" w:fill="CCEEFF"/>
          </w:tcPr>
          <w:p>
            <w:pPr>
              <w:spacing w:after="0"/>
              <w:rPr>
                <w:sz w:val="4"/>
                <w:szCs w:val="4"/>
                <w:color w:val="auto"/>
              </w:rPr>
            </w:pPr>
          </w:p>
        </w:tc>
        <w:tc>
          <w:tcPr>
            <w:tcW w:w="1600" w:type="dxa"/>
            <w:vAlign w:val="bottom"/>
            <w:gridSpan w:val="2"/>
            <w:vMerge w:val="continue"/>
            <w:shd w:val="clear" w:color="auto" w:fill="CCEEFF"/>
          </w:tcPr>
          <w:p>
            <w:pPr>
              <w:spacing w:after="0"/>
              <w:rPr>
                <w:sz w:val="4"/>
                <w:szCs w:val="4"/>
                <w:color w:val="auto"/>
              </w:rPr>
            </w:pPr>
          </w:p>
        </w:tc>
        <w:tc>
          <w:tcPr>
            <w:tcW w:w="660" w:type="dxa"/>
            <w:vAlign w:val="bottom"/>
            <w:gridSpan w:val="2"/>
            <w:shd w:val="clear" w:color="auto" w:fill="CCEEFF"/>
          </w:tcPr>
          <w:p>
            <w:pPr>
              <w:ind w:left="520"/>
              <w:spacing w:after="0" w:line="52" w:lineRule="exact"/>
              <w:rPr>
                <w:sz w:val="20"/>
                <w:szCs w:val="20"/>
                <w:color w:val="auto"/>
              </w:rPr>
            </w:pPr>
            <w:r>
              <w:rPr>
                <w:rFonts w:ascii="Times New Roman" w:cs="Times New Roman" w:eastAsia="Times New Roman" w:hAnsi="Times New Roman"/>
                <w:sz w:val="5"/>
                <w:szCs w:val="5"/>
                <w:color w:val="auto"/>
              </w:rPr>
              <w:t>​​</w:t>
            </w:r>
          </w:p>
        </w:tc>
        <w:tc>
          <w:tcPr>
            <w:tcW w:w="260" w:type="dxa"/>
            <w:vAlign w:val="bottom"/>
            <w:tcBorders>
              <w:left w:val="single" w:sz="8" w:color="CCEEFF"/>
            </w:tcBorders>
            <w:shd w:val="clear" w:color="auto" w:fill="CCEEFF"/>
          </w:tcPr>
          <w:p>
            <w:pPr>
              <w:ind w:left="20"/>
              <w:spacing w:after="0" w:line="52" w:lineRule="exact"/>
              <w:rPr>
                <w:sz w:val="20"/>
                <w:szCs w:val="20"/>
                <w:color w:val="auto"/>
              </w:rPr>
            </w:pPr>
            <w:r>
              <w:rPr>
                <w:rFonts w:ascii="Times New Roman" w:cs="Times New Roman" w:eastAsia="Times New Roman" w:hAnsi="Times New Roman"/>
                <w:sz w:val="5"/>
                <w:szCs w:val="5"/>
                <w:color w:val="auto"/>
              </w:rPr>
              <w:t>​​</w:t>
            </w:r>
          </w:p>
        </w:tc>
        <w:tc>
          <w:tcPr>
            <w:tcW w:w="76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jc w:val="right"/>
              <w:spacing w:after="0" w:line="52" w:lineRule="exact"/>
              <w:rPr>
                <w:sz w:val="20"/>
                <w:szCs w:val="20"/>
                <w:color w:val="auto"/>
              </w:rPr>
            </w:pPr>
            <w:r>
              <w:rPr>
                <w:rFonts w:ascii="Times New Roman" w:cs="Times New Roman" w:eastAsia="Times New Roman" w:hAnsi="Times New Roman"/>
                <w:sz w:val="5"/>
                <w:szCs w:val="5"/>
                <w:color w:val="auto"/>
              </w:rPr>
              <w:t>​​</w:t>
            </w:r>
          </w:p>
        </w:tc>
        <w:tc>
          <w:tcPr>
            <w:tcW w:w="260" w:type="dxa"/>
            <w:vAlign w:val="bottom"/>
            <w:tcBorders>
              <w:left w:val="single" w:sz="8" w:color="CCEEFF"/>
            </w:tcBorders>
            <w:shd w:val="clear" w:color="auto" w:fill="CCEEFF"/>
          </w:tcPr>
          <w:p>
            <w:pPr>
              <w:ind w:left="20"/>
              <w:spacing w:after="0" w:line="52" w:lineRule="exact"/>
              <w:rPr>
                <w:sz w:val="20"/>
                <w:szCs w:val="20"/>
                <w:color w:val="auto"/>
              </w:rPr>
            </w:pPr>
            <w:r>
              <w:rPr>
                <w:rFonts w:ascii="Times New Roman" w:cs="Times New Roman" w:eastAsia="Times New Roman" w:hAnsi="Times New Roman"/>
                <w:sz w:val="5"/>
                <w:szCs w:val="5"/>
                <w:color w:val="auto"/>
              </w:rPr>
              <w:t>​​</w:t>
            </w:r>
          </w:p>
        </w:tc>
        <w:tc>
          <w:tcPr>
            <w:tcW w:w="7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0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Underwriting Discount</w:t>
            </w:r>
          </w:p>
        </w:tc>
        <w:tc>
          <w:tcPr>
            <w:tcW w:w="160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0.250%</w:t>
            </w:r>
          </w:p>
        </w:tc>
        <w:tc>
          <w:tcPr>
            <w:tcW w:w="260" w:type="dxa"/>
            <w:vAlign w:val="bottom"/>
          </w:tcPr>
          <w:p>
            <w:pPr>
              <w:ind w:lef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1,875,000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0.400%</w:t>
            </w:r>
          </w:p>
        </w:tc>
        <w:tc>
          <w:tcPr>
            <w:tcW w:w="260" w:type="dxa"/>
            <w:vAlign w:val="bottom"/>
          </w:tcPr>
          <w:p>
            <w:pPr>
              <w:ind w:lef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3,000,000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40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660" w:type="dxa"/>
            <w:vAlign w:val="bottom"/>
            <w:gridSpan w:val="2"/>
          </w:tcPr>
          <w:p>
            <w:pPr>
              <w:ind w:left="520"/>
              <w:spacing w:after="0" w:line="52" w:lineRule="exact"/>
              <w:rPr>
                <w:sz w:val="20"/>
                <w:szCs w:val="20"/>
                <w:color w:val="auto"/>
              </w:rPr>
            </w:pPr>
            <w:r>
              <w:rPr>
                <w:rFonts w:ascii="Times New Roman" w:cs="Times New Roman" w:eastAsia="Times New Roman" w:hAnsi="Times New Roman"/>
                <w:sz w:val="5"/>
                <w:szCs w:val="5"/>
                <w:color w:val="auto"/>
              </w:rPr>
              <w:t>​​</w:t>
            </w:r>
          </w:p>
        </w:tc>
        <w:tc>
          <w:tcPr>
            <w:tcW w:w="260" w:type="dxa"/>
            <w:vAlign w:val="bottom"/>
          </w:tcPr>
          <w:p>
            <w:pPr>
              <w:ind w:left="20"/>
              <w:spacing w:after="0" w:line="52" w:lineRule="exact"/>
              <w:rPr>
                <w:sz w:val="20"/>
                <w:szCs w:val="20"/>
                <w:color w:val="auto"/>
              </w:rPr>
            </w:pPr>
            <w:r>
              <w:rPr>
                <w:rFonts w:ascii="Times New Roman" w:cs="Times New Roman" w:eastAsia="Times New Roman" w:hAnsi="Times New Roman"/>
                <w:sz w:val="5"/>
                <w:szCs w:val="5"/>
                <w:color w:val="auto"/>
              </w:rPr>
              <w:t>​​</w:t>
            </w:r>
          </w:p>
        </w:tc>
        <w:tc>
          <w:tcPr>
            <w:tcW w:w="76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jc w:val="right"/>
              <w:spacing w:after="0" w:line="52" w:lineRule="exact"/>
              <w:rPr>
                <w:sz w:val="20"/>
                <w:szCs w:val="20"/>
                <w:color w:val="auto"/>
              </w:rPr>
            </w:pPr>
            <w:r>
              <w:rPr>
                <w:rFonts w:ascii="Times New Roman" w:cs="Times New Roman" w:eastAsia="Times New Roman" w:hAnsi="Times New Roman"/>
                <w:sz w:val="5"/>
                <w:szCs w:val="5"/>
                <w:color w:val="auto"/>
              </w:rPr>
              <w:t>​​</w:t>
            </w:r>
          </w:p>
        </w:tc>
        <w:tc>
          <w:tcPr>
            <w:tcW w:w="260" w:type="dxa"/>
            <w:vAlign w:val="bottom"/>
          </w:tcPr>
          <w:p>
            <w:pPr>
              <w:ind w:left="20"/>
              <w:spacing w:after="0" w:line="52" w:lineRule="exact"/>
              <w:rPr>
                <w:sz w:val="20"/>
                <w:szCs w:val="20"/>
                <w:color w:val="auto"/>
              </w:rPr>
            </w:pPr>
            <w:r>
              <w:rPr>
                <w:rFonts w:ascii="Times New Roman" w:cs="Times New Roman" w:eastAsia="Times New Roman" w:hAnsi="Times New Roman"/>
                <w:sz w:val="5"/>
                <w:szCs w:val="5"/>
                <w:color w:val="auto"/>
              </w:rPr>
              <w:t>​​</w:t>
            </w:r>
          </w:p>
        </w:tc>
        <w:tc>
          <w:tcPr>
            <w:tcW w:w="7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0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Proceeds to Us (excluding expenses)</w:t>
            </w:r>
          </w:p>
        </w:tc>
        <w:tc>
          <w:tcPr>
            <w:tcW w:w="1600" w:type="dxa"/>
            <w:vAlign w:val="bottom"/>
            <w:gridSpan w:val="2"/>
            <w:vMerge w:val="restart"/>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w w:val="98"/>
              </w:rPr>
              <w:t>​</w:t>
            </w:r>
            <w:r>
              <w:rPr>
                <w:rFonts w:ascii="Times New Roman" w:cs="Times New Roman" w:eastAsia="Times New Roman" w:hAnsi="Times New Roman"/>
                <w:sz w:val="17"/>
                <w:szCs w:val="17"/>
                <w:color w:val="auto"/>
                <w:w w:val="98"/>
              </w:rPr>
              <w:t>99.629%</w:t>
            </w:r>
          </w:p>
        </w:tc>
        <w:tc>
          <w:tcPr>
            <w:tcW w:w="1020" w:type="dxa"/>
            <w:vAlign w:val="bottom"/>
            <w:tcBorders>
              <w:left w:val="single" w:sz="8" w:color="CCEEFF"/>
            </w:tcBorders>
            <w:gridSpan w:val="2"/>
            <w:shd w:val="clear" w:color="auto" w:fill="CCEEFF"/>
          </w:tcPr>
          <w:p>
            <w:pPr>
              <w:ind w:left="80"/>
              <w:spacing w:after="0" w:line="193" w:lineRule="exact"/>
              <w:rPr>
                <w:sz w:val="20"/>
                <w:szCs w:val="20"/>
                <w:color w:val="auto"/>
              </w:rPr>
            </w:pPr>
            <w:r>
              <w:rPr>
                <w:rFonts w:ascii="Times New Roman" w:cs="Times New Roman" w:eastAsia="Times New Roman" w:hAnsi="Times New Roman"/>
                <w:sz w:val="17"/>
                <w:szCs w:val="17"/>
                <w:color w:val="auto"/>
                <w:w w:val="98"/>
              </w:rPr>
              <w:t>$747,217,500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98.993%</w:t>
            </w:r>
          </w:p>
        </w:tc>
        <w:tc>
          <w:tcPr>
            <w:tcW w:w="1020" w:type="dxa"/>
            <w:vAlign w:val="bottom"/>
            <w:tcBorders>
              <w:left w:val="single" w:sz="8" w:color="CCEEFF"/>
            </w:tcBorders>
            <w:gridSpan w:val="2"/>
            <w:shd w:val="clear" w:color="auto" w:fill="CCEEFF"/>
          </w:tcPr>
          <w:p>
            <w:pPr>
              <w:ind w:left="80"/>
              <w:spacing w:after="0" w:line="193" w:lineRule="exact"/>
              <w:rPr>
                <w:sz w:val="20"/>
                <w:szCs w:val="20"/>
                <w:color w:val="auto"/>
              </w:rPr>
            </w:pPr>
            <w:r>
              <w:rPr>
                <w:rFonts w:ascii="Times New Roman" w:cs="Times New Roman" w:eastAsia="Times New Roman" w:hAnsi="Times New Roman"/>
                <w:sz w:val="17"/>
                <w:szCs w:val="17"/>
                <w:color w:val="auto"/>
                <w:w w:val="98"/>
              </w:rPr>
              <w:t>$742,447,500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1"/>
        </w:trPr>
        <w:tc>
          <w:tcPr>
            <w:tcW w:w="4060" w:type="dxa"/>
            <w:vAlign w:val="bottom"/>
            <w:shd w:val="clear" w:color="auto" w:fill="CCEEFF"/>
          </w:tcPr>
          <w:p>
            <w:pPr>
              <w:spacing w:after="0"/>
              <w:rPr>
                <w:sz w:val="4"/>
                <w:szCs w:val="4"/>
                <w:color w:val="auto"/>
              </w:rPr>
            </w:pPr>
          </w:p>
        </w:tc>
        <w:tc>
          <w:tcPr>
            <w:tcW w:w="1600" w:type="dxa"/>
            <w:vAlign w:val="bottom"/>
            <w:gridSpan w:val="2"/>
            <w:vMerge w:val="continue"/>
            <w:shd w:val="clear" w:color="auto" w:fill="CCEEFF"/>
          </w:tcPr>
          <w:p>
            <w:pPr>
              <w:spacing w:after="0"/>
              <w:rPr>
                <w:sz w:val="4"/>
                <w:szCs w:val="4"/>
                <w:color w:val="auto"/>
              </w:rPr>
            </w:pPr>
          </w:p>
        </w:tc>
        <w:tc>
          <w:tcPr>
            <w:tcW w:w="660" w:type="dxa"/>
            <w:vAlign w:val="bottom"/>
            <w:gridSpan w:val="2"/>
            <w:shd w:val="clear" w:color="auto" w:fill="CCEEFF"/>
          </w:tcPr>
          <w:p>
            <w:pPr>
              <w:ind w:left="520"/>
              <w:spacing w:after="0" w:line="52" w:lineRule="exact"/>
              <w:rPr>
                <w:sz w:val="20"/>
                <w:szCs w:val="20"/>
                <w:color w:val="auto"/>
              </w:rPr>
            </w:pPr>
            <w:r>
              <w:rPr>
                <w:rFonts w:ascii="Times New Roman" w:cs="Times New Roman" w:eastAsia="Times New Roman" w:hAnsi="Times New Roman"/>
                <w:sz w:val="5"/>
                <w:szCs w:val="5"/>
                <w:color w:val="auto"/>
              </w:rPr>
              <w:t>​​</w:t>
            </w:r>
          </w:p>
        </w:tc>
        <w:tc>
          <w:tcPr>
            <w:tcW w:w="260" w:type="dxa"/>
            <w:vAlign w:val="bottom"/>
            <w:tcBorders>
              <w:left w:val="single" w:sz="8" w:color="CCEEFF"/>
            </w:tcBorders>
            <w:shd w:val="clear" w:color="auto" w:fill="CCEEFF"/>
          </w:tcPr>
          <w:p>
            <w:pPr>
              <w:ind w:left="20"/>
              <w:spacing w:after="0" w:line="52" w:lineRule="exact"/>
              <w:rPr>
                <w:sz w:val="20"/>
                <w:szCs w:val="20"/>
                <w:color w:val="auto"/>
              </w:rPr>
            </w:pPr>
            <w:r>
              <w:rPr>
                <w:rFonts w:ascii="Times New Roman" w:cs="Times New Roman" w:eastAsia="Times New Roman" w:hAnsi="Times New Roman"/>
                <w:sz w:val="5"/>
                <w:szCs w:val="5"/>
                <w:color w:val="auto"/>
              </w:rPr>
              <w:t>​​</w:t>
            </w:r>
          </w:p>
        </w:tc>
        <w:tc>
          <w:tcPr>
            <w:tcW w:w="76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52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jc w:val="right"/>
              <w:spacing w:after="0" w:line="52" w:lineRule="exact"/>
              <w:rPr>
                <w:sz w:val="20"/>
                <w:szCs w:val="20"/>
                <w:color w:val="auto"/>
              </w:rPr>
            </w:pPr>
            <w:r>
              <w:rPr>
                <w:rFonts w:ascii="Times New Roman" w:cs="Times New Roman" w:eastAsia="Times New Roman" w:hAnsi="Times New Roman"/>
                <w:sz w:val="5"/>
                <w:szCs w:val="5"/>
                <w:color w:val="auto"/>
              </w:rPr>
              <w:t>​​</w:t>
            </w:r>
          </w:p>
        </w:tc>
        <w:tc>
          <w:tcPr>
            <w:tcW w:w="260" w:type="dxa"/>
            <w:vAlign w:val="bottom"/>
            <w:tcBorders>
              <w:left w:val="single" w:sz="8" w:color="CCEEFF"/>
            </w:tcBorders>
            <w:shd w:val="clear" w:color="auto" w:fill="CCEEFF"/>
          </w:tcPr>
          <w:p>
            <w:pPr>
              <w:ind w:left="20"/>
              <w:spacing w:after="0" w:line="52" w:lineRule="exact"/>
              <w:rPr>
                <w:sz w:val="20"/>
                <w:szCs w:val="20"/>
                <w:color w:val="auto"/>
              </w:rPr>
            </w:pPr>
            <w:r>
              <w:rPr>
                <w:rFonts w:ascii="Times New Roman" w:cs="Times New Roman" w:eastAsia="Times New Roman" w:hAnsi="Times New Roman"/>
                <w:sz w:val="5"/>
                <w:szCs w:val="5"/>
                <w:color w:val="auto"/>
              </w:rPr>
              <w:t>​​</w:t>
            </w:r>
          </w:p>
        </w:tc>
        <w:tc>
          <w:tcPr>
            <w:tcW w:w="7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5420360</wp:posOffset>
            </wp:positionH>
            <wp:positionV relativeFrom="paragraph">
              <wp:posOffset>-488315</wp:posOffset>
            </wp:positionV>
            <wp:extent cx="130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-488315</wp:posOffset>
            </wp:positionV>
            <wp:extent cx="4799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9996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138430</wp:posOffset>
            </wp:positionV>
            <wp:extent cx="1173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336" w:lineRule="exact"/>
        <w:rPr>
          <w:sz w:val="24"/>
          <w:szCs w:val="24"/>
          <w:color w:val="auto"/>
        </w:rPr>
      </w:pPr>
    </w:p>
    <w:p>
      <w:pPr>
        <w:ind w:left="800" w:hanging="347"/>
        <w:spacing w:after="0"/>
        <w:tabs>
          <w:tab w:leader="none" w:pos="8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Plus accrued interest from July 3, 2024, if delivery occurs after that date.</w:t>
      </w:r>
    </w:p>
    <w:p>
      <w:pPr>
        <w:spacing w:after="0" w:line="86"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notes will not be listed on any securities exchange. Currently, there is no public market for the notes.</w:t>
      </w:r>
    </w:p>
    <w:p>
      <w:pPr>
        <w:spacing w:after="0" w:line="87" w:lineRule="exact"/>
        <w:rPr>
          <w:sz w:val="24"/>
          <w:szCs w:val="24"/>
          <w:color w:val="auto"/>
        </w:rPr>
      </w:pPr>
    </w:p>
    <w:p>
      <w:pPr>
        <w:ind w:left="460" w:right="240" w:firstLine="342"/>
        <w:spacing w:after="0" w:line="260" w:lineRule="auto"/>
        <w:rPr>
          <w:sz w:val="20"/>
          <w:szCs w:val="20"/>
          <w:color w:val="auto"/>
        </w:rPr>
      </w:pPr>
      <w:r>
        <w:rPr>
          <w:rFonts w:ascii="Times New Roman" w:cs="Times New Roman" w:eastAsia="Times New Roman" w:hAnsi="Times New Roman"/>
          <w:sz w:val="17"/>
          <w:szCs w:val="17"/>
          <w:color w:val="auto"/>
        </w:rPr>
        <w:t>The underwriters expect to deliver the notes to investors on or about July 3, 2024 only in book-entry form through the facilities of The Depository Trust Company and its participants, including Clearstream Banking S.A. and Euroclear Bank SA/​ NV, as operator of the Euroclear System.</w:t>
      </w:r>
    </w:p>
    <w:p>
      <w:pPr>
        <w:spacing w:after="0" w:line="41"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20" w:type="dxa"/>
            <w:vAlign w:val="bottom"/>
            <w:gridSpan w:val="3"/>
          </w:tcPr>
          <w:p>
            <w:pPr>
              <w:jc w:val="center"/>
              <w:ind w:left="81"/>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67"/>
        </w:trPr>
        <w:tc>
          <w:tcPr>
            <w:tcW w:w="216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​BNP PARIBAS  ​</w:t>
            </w:r>
          </w:p>
        </w:tc>
        <w:tc>
          <w:tcPr>
            <w:tcW w:w="260" w:type="dxa"/>
            <w:vAlign w:val="bottom"/>
          </w:tcPr>
          <w:p>
            <w:pPr>
              <w:ind w:left="40"/>
              <w:spacing w:after="0"/>
              <w:rPr>
                <w:sz w:val="20"/>
                <w:szCs w:val="20"/>
                <w:color w:val="auto"/>
              </w:rPr>
            </w:pPr>
            <w:r>
              <w:rPr>
                <w:rFonts w:ascii="Times New Roman" w:cs="Times New Roman" w:eastAsia="Times New Roman" w:hAnsi="Times New Roman"/>
                <w:sz w:val="24"/>
                <w:szCs w:val="24"/>
                <w:b w:val="1"/>
                <w:bCs w:val="1"/>
                <w:color w:val="auto"/>
              </w:rPr>
              <w:t>​</w:t>
            </w:r>
          </w:p>
        </w:tc>
        <w:tc>
          <w:tcPr>
            <w:tcW w:w="184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SMBC Nikko  ​</w:t>
            </w: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24"/>
                <w:szCs w:val="24"/>
                <w:b w:val="1"/>
                <w:bCs w:val="1"/>
                <w:color w:val="auto"/>
              </w:rPr>
              <w:t>​ Truist Securities  ​</w:t>
            </w: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24"/>
                <w:szCs w:val="24"/>
                <w:b w:val="1"/>
                <w:bCs w:val="1"/>
                <w:color w:val="auto"/>
              </w:rPr>
              <w:t>​  Wells Fargo Securities​</w:t>
            </w:r>
          </w:p>
        </w:tc>
      </w:tr>
      <w:tr>
        <w:trPr>
          <w:trHeight w:val="359"/>
        </w:trPr>
        <w:tc>
          <w:tcPr>
            <w:tcW w:w="108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MUFG</w:t>
            </w:r>
          </w:p>
        </w:tc>
        <w:tc>
          <w:tcPr>
            <w:tcW w:w="3180" w:type="dxa"/>
            <w:vAlign w:val="bottom"/>
            <w:gridSpan w:val="3"/>
          </w:tcPr>
          <w:p>
            <w:pPr>
              <w:ind w:left="380"/>
              <w:spacing w:after="0"/>
              <w:rPr>
                <w:sz w:val="20"/>
                <w:szCs w:val="20"/>
                <w:color w:val="auto"/>
              </w:rPr>
            </w:pPr>
            <w:r>
              <w:rPr>
                <w:rFonts w:ascii="Times New Roman" w:cs="Times New Roman" w:eastAsia="Times New Roman" w:hAnsi="Times New Roman"/>
                <w:sz w:val="24"/>
                <w:szCs w:val="24"/>
                <w:b w:val="1"/>
                <w:bCs w:val="1"/>
                <w:color w:val="auto"/>
                <w:w w:val="99"/>
              </w:rPr>
              <w:t>PNC Capital Markets LLC</w:t>
            </w:r>
          </w:p>
        </w:tc>
        <w:tc>
          <w:tcPr>
            <w:tcW w:w="2840" w:type="dxa"/>
            <w:vAlign w:val="bottom"/>
            <w:gridSpan w:val="3"/>
          </w:tcPr>
          <w:p>
            <w:pPr>
              <w:ind w:left="640"/>
              <w:spacing w:after="0"/>
              <w:rPr>
                <w:sz w:val="20"/>
                <w:szCs w:val="20"/>
                <w:color w:val="auto"/>
              </w:rPr>
            </w:pPr>
            <w:r>
              <w:rPr>
                <w:rFonts w:ascii="Times New Roman" w:cs="Times New Roman" w:eastAsia="Times New Roman" w:hAnsi="Times New Roman"/>
                <w:sz w:val="24"/>
                <w:szCs w:val="24"/>
                <w:b w:val="1"/>
                <w:bCs w:val="1"/>
                <w:color w:val="auto"/>
                <w:w w:val="96"/>
              </w:rPr>
              <w:t>RBC Capital Markets</w:t>
            </w:r>
          </w:p>
        </w:tc>
        <w:tc>
          <w:tcPr>
            <w:tcW w:w="6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US Bancorp</w:t>
            </w:r>
          </w:p>
        </w:tc>
      </w:tr>
      <w:tr>
        <w:trPr>
          <w:trHeight w:val="275"/>
        </w:trPr>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740" w:type="dxa"/>
            <w:vAlign w:val="bottom"/>
            <w:gridSpan w:val="2"/>
          </w:tcPr>
          <w:p>
            <w:pPr>
              <w:jc w:val="center"/>
              <w:ind w:left="1581"/>
              <w:spacing w:after="0"/>
              <w:rPr>
                <w:sz w:val="20"/>
                <w:szCs w:val="20"/>
                <w:color w:val="auto"/>
              </w:rPr>
            </w:pPr>
            <w:r>
              <w:rPr>
                <w:rFonts w:ascii="Times New Roman" w:cs="Times New Roman" w:eastAsia="Times New Roman" w:hAnsi="Times New Roman"/>
                <w:sz w:val="17"/>
                <w:szCs w:val="17"/>
                <w:i w:val="1"/>
                <w:iCs w:val="1"/>
                <w:color w:val="auto"/>
              </w:rPr>
              <w:t>Co-Managers</w:t>
            </w:r>
          </w:p>
        </w:tc>
        <w:tc>
          <w:tcPr>
            <w:tcW w:w="1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69"/>
        </w:trPr>
        <w:tc>
          <w:tcPr>
            <w:tcW w:w="21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w w:val="94"/>
              </w:rPr>
              <w:t>​Deutsche Bank Securities</w:t>
            </w:r>
          </w:p>
        </w:tc>
        <w:tc>
          <w:tcPr>
            <w:tcW w:w="26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w:t>
            </w:r>
          </w:p>
        </w:tc>
        <w:tc>
          <w:tcPr>
            <w:tcW w:w="2740" w:type="dxa"/>
            <w:vAlign w:val="bottom"/>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 Goldman Sachs &amp; Co. LLC ​</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rPr>
              <w:t>​ Academy Securities ​</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 Loop Capital Markets​</w:t>
            </w:r>
          </w:p>
        </w:tc>
      </w:tr>
      <w:tr>
        <w:trPr>
          <w:trHeight w:val="515"/>
        </w:trPr>
        <w:tc>
          <w:tcPr>
            <w:tcW w:w="10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w:t>
            </w:r>
          </w:p>
        </w:tc>
        <w:tc>
          <w:tcPr>
            <w:tcW w:w="10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 ​</w:t>
            </w:r>
          </w:p>
        </w:tc>
        <w:tc>
          <w:tcPr>
            <w:tcW w:w="2740" w:type="dxa"/>
            <w:vAlign w:val="bottom"/>
            <w:gridSpan w:val="2"/>
          </w:tcPr>
          <w:p>
            <w:pPr>
              <w:ind w:left="320"/>
              <w:spacing w:after="0"/>
              <w:rPr>
                <w:sz w:val="20"/>
                <w:szCs w:val="20"/>
                <w:color w:val="auto"/>
              </w:rPr>
            </w:pPr>
            <w:r>
              <w:rPr>
                <w:rFonts w:ascii="Times New Roman" w:cs="Times New Roman" w:eastAsia="Times New Roman" w:hAnsi="Times New Roman"/>
                <w:sz w:val="21"/>
                <w:szCs w:val="21"/>
                <w:b w:val="1"/>
                <w:bCs w:val="1"/>
                <w:color w:val="auto"/>
              </w:rPr>
              <w:t xml:space="preserve">Siebert Williams Shank  </w:t>
            </w:r>
            <w:r>
              <w:rPr>
                <w:rFonts w:ascii="Times New Roman" w:cs="Times New Roman" w:eastAsia="Times New Roman" w:hAnsi="Times New Roman"/>
                <w:sz w:val="41"/>
                <w:szCs w:val="41"/>
                <w:b w:val="1"/>
                <w:bCs w:val="1"/>
                <w:color w:val="auto"/>
                <w:vertAlign w:val="superscript"/>
              </w:rPr>
              <w:t>​ ​</w:t>
            </w:r>
          </w:p>
        </w:tc>
        <w:tc>
          <w:tcPr>
            <w:tcW w:w="1480" w:type="dxa"/>
            <w:vAlign w:val="bottom"/>
          </w:tcPr>
          <w:p>
            <w:pPr>
              <w:jc w:val="center"/>
              <w:ind w:left="317"/>
              <w:spacing w:after="0"/>
              <w:rPr>
                <w:sz w:val="20"/>
                <w:szCs w:val="20"/>
                <w:color w:val="auto"/>
              </w:rPr>
            </w:pPr>
            <w:r>
              <w:rPr>
                <w:rFonts w:ascii="Times New Roman" w:cs="Times New Roman" w:eastAsia="Times New Roman" w:hAnsi="Times New Roman"/>
                <w:sz w:val="21"/>
                <w:szCs w:val="21"/>
                <w:b w:val="1"/>
                <w:bCs w:val="1"/>
                <w:color w:val="auto"/>
                <w:w w:val="93"/>
              </w:rPr>
              <w:t>Stern</w:t>
            </w:r>
          </w:p>
        </w:tc>
        <w:tc>
          <w:tcPr>
            <w:tcW w:w="460" w:type="dxa"/>
            <w:vAlign w:val="bottom"/>
          </w:tcPr>
          <w:p>
            <w:pPr>
              <w:ind w:left="300"/>
              <w:spacing w:after="0"/>
              <w:rPr>
                <w:sz w:val="20"/>
                <w:szCs w:val="20"/>
                <w:color w:val="auto"/>
              </w:rPr>
            </w:pPr>
            <w:r>
              <w:rPr>
                <w:rFonts w:ascii="Times New Roman" w:cs="Times New Roman" w:eastAsia="Times New Roman" w:hAnsi="Times New Roman"/>
                <w:sz w:val="21"/>
                <w:szCs w:val="21"/>
                <w:b w:val="1"/>
                <w:bCs w:val="1"/>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r>
    </w:tbl>
    <w:p>
      <w:pPr>
        <w:jc w:val="center"/>
        <w:ind w:right="-399"/>
        <w:spacing w:after="0"/>
        <w:rPr>
          <w:sz w:val="20"/>
          <w:szCs w:val="20"/>
          <w:color w:val="auto"/>
        </w:rPr>
      </w:pPr>
      <w:r>
        <w:rPr>
          <w:rFonts w:ascii="Times New Roman" w:cs="Times New Roman" w:eastAsia="Times New Roman" w:hAnsi="Times New Roman"/>
          <w:sz w:val="17"/>
          <w:szCs w:val="17"/>
          <w:color w:val="auto"/>
        </w:rPr>
        <w:t>June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220980</wp:posOffset>
            </wp:positionV>
            <wp:extent cx="649605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760"/>
          </w:cols>
          <w:pgMar w:left="860" w:top="195" w:right="1279" w:bottom="1440" w:gutter="0" w:footer="0" w:header="0"/>
        </w:sectPr>
      </w:pPr>
    </w:p>
    <w:bookmarkStart w:id="1" w:name="page2"/>
    <w:bookmarkEnd w:id="1"/>
    <w:p>
      <w:pPr>
        <w:ind w:left="20"/>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0" w:right="1200" w:firstLine="342"/>
        <w:spacing w:after="0" w:line="255" w:lineRule="auto"/>
        <w:rPr>
          <w:sz w:val="20"/>
          <w:szCs w:val="20"/>
          <w:color w:val="auto"/>
        </w:rPr>
      </w:pPr>
      <w:r>
        <w:rPr>
          <w:rFonts w:ascii="Times New Roman" w:cs="Times New Roman" w:eastAsia="Times New Roman" w:hAnsi="Times New Roman"/>
          <w:sz w:val="17"/>
          <w:szCs w:val="17"/>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158115</wp:posOffset>
            </wp:positionV>
            <wp:extent cx="1124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ectPr>
          <w:pgSz w:w="11900" w:h="16838" w:orient="portrait"/>
          <w:cols w:equalWidth="0" w:num="1">
            <w:col w:w="10200"/>
          </w:cols>
          <w:pgMar w:left="840" w:top="92" w:right="859" w:bottom="1440" w:gutter="0" w:footer="0" w:header="0"/>
        </w:sectPr>
      </w:pPr>
    </w:p>
    <w:p>
      <w:pPr>
        <w:spacing w:after="0" w:line="2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10795</wp:posOffset>
            </wp:positionV>
            <wp:extent cx="495490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4905" cy="163195"/>
                    </a:xfrm>
                    <a:prstGeom prst="rect">
                      <a:avLst/>
                    </a:prstGeom>
                    <a:noFill/>
                  </pic:spPr>
                </pic:pic>
              </a:graphicData>
            </a:graphic>
          </wp:anchor>
        </w:drawing>
      </w:r>
    </w:p>
    <w:p>
      <w:pPr>
        <w:spacing w:after="0" w:line="4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SUMMARY</w:t>
      </w: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8255</wp:posOffset>
            </wp:positionV>
            <wp:extent cx="4954905" cy="154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54905" cy="154940"/>
                    </a:xfrm>
                    <a:prstGeom prst="rect">
                      <a:avLst/>
                    </a:prstGeom>
                    <a:noFill/>
                  </pic:spPr>
                </pic:pic>
              </a:graphicData>
            </a:graphic>
          </wp:anchor>
        </w:drawing>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USE OF PROCEEDS</w:t>
      </w:r>
    </w:p>
    <w:p>
      <w:pPr>
        <w:spacing w:after="0" w:line="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8255</wp:posOffset>
            </wp:positionV>
            <wp:extent cx="4954905" cy="154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4905" cy="154940"/>
                    </a:xfrm>
                    <a:prstGeom prst="rect">
                      <a:avLst/>
                    </a:prstGeom>
                    <a:noFill/>
                  </pic:spPr>
                </pic:pic>
              </a:graphicData>
            </a:graphic>
          </wp:anchor>
        </w:drawing>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DESCRIPTION OF NOTES</w:t>
      </w:r>
    </w:p>
    <w:p>
      <w:pPr>
        <w:spacing w:after="0" w:line="48" w:lineRule="exact"/>
        <w:rPr>
          <w:sz w:val="20"/>
          <w:szCs w:val="20"/>
          <w:color w:val="auto"/>
        </w:rPr>
      </w:pPr>
    </w:p>
    <w:p>
      <w:pPr>
        <w:ind w:left="1200" w:right="580"/>
        <w:spacing w:after="0" w:line="341" w:lineRule="auto"/>
        <w:rPr>
          <w:sz w:val="20"/>
          <w:szCs w:val="20"/>
          <w:color w:val="auto"/>
        </w:rPr>
      </w:pPr>
      <w:r>
        <w:rPr>
          <w:rFonts w:ascii="Times New Roman" w:cs="Times New Roman" w:eastAsia="Times New Roman" w:hAnsi="Times New Roman"/>
          <w:sz w:val="17"/>
          <w:szCs w:val="17"/>
          <w:u w:val="single" w:color="auto"/>
          <w:color w:val="0000EE"/>
        </w:rPr>
        <w:t>CERTAIN U.S. FEDERAL TAX CONSIDERATIONS FOR NON-U.S. HOLDERS UNDERWRITING (CONFLICTS OF INTEREST)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-219710</wp:posOffset>
            </wp:positionV>
            <wp:extent cx="4954905" cy="154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54905" cy="15494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89535</wp:posOffset>
            </wp:positionV>
            <wp:extent cx="4954905" cy="154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4905" cy="154940"/>
                    </a:xfrm>
                    <a:prstGeom prst="rect">
                      <a:avLst/>
                    </a:prstGeom>
                    <a:noFill/>
                  </pic:spPr>
                </pic:pic>
              </a:graphicData>
            </a:graphic>
          </wp:anchor>
        </w:drawing>
      </w:r>
    </w:p>
    <w:p>
      <w:pPr>
        <w:spacing w:after="0" w:line="15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u w:val="single" w:color="auto"/>
          <w:color w:val="0000EE"/>
        </w:rPr>
        <w:t>EXPERTS</w:t>
      </w:r>
    </w:p>
    <w:p>
      <w:pPr>
        <w:spacing w:after="0" w:line="48" w:lineRule="exact"/>
        <w:rPr>
          <w:sz w:val="20"/>
          <w:szCs w:val="20"/>
          <w:color w:val="auto"/>
        </w:rPr>
      </w:pPr>
    </w:p>
    <w:p>
      <w:pPr>
        <w:ind w:left="1200" w:right="840"/>
        <w:spacing w:after="0" w:line="332" w:lineRule="auto"/>
        <w:rPr>
          <w:sz w:val="20"/>
          <w:szCs w:val="20"/>
          <w:color w:val="auto"/>
        </w:rPr>
      </w:pPr>
      <w:r>
        <w:rPr>
          <w:rFonts w:ascii="Times New Roman" w:cs="Times New Roman" w:eastAsia="Times New Roman" w:hAnsi="Times New Roman"/>
          <w:sz w:val="17"/>
          <w:szCs w:val="17"/>
          <w:u w:val="single" w:color="auto"/>
          <w:color w:val="0000EE"/>
        </w:rPr>
        <w:t>CAUTIONARY NOTE REGARDING FORWARD-LOOKING STATEMENTS 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-210185</wp:posOffset>
            </wp:positionV>
            <wp:extent cx="4954905" cy="154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54905" cy="154940"/>
                    </a:xfrm>
                    <a:prstGeom prst="rect">
                      <a:avLst/>
                    </a:prstGeom>
                    <a:noFill/>
                  </pic:spPr>
                </pic:pic>
              </a:graphicData>
            </a:graphic>
          </wp:anchor>
        </w:drawing>
      </w:r>
    </w:p>
    <w:p>
      <w:pPr>
        <w:spacing w:after="0" w:line="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7"/>
          <w:szCs w:val="27"/>
          <w:b w:val="1"/>
          <w:bCs w:val="1"/>
          <w:color w:val="auto"/>
          <w:vertAlign w:val="subscript"/>
        </w:rPr>
        <w:t>​</w:t>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S-1</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S-6</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S-10</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S-11</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S-13</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S-24</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S-29</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S-36</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S-36</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S-37</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u w:val="single" w:color="auto"/>
          <w:color w:val="0000EE"/>
        </w:rPr>
        <w:t>S-38</w:t>
      </w:r>
      <w:r>
        <w:rPr>
          <w:rFonts w:ascii="Times New Roman" w:cs="Times New Roman" w:eastAsia="Times New Roman" w:hAnsi="Times New Roman"/>
          <w:sz w:val="17"/>
          <w:szCs w:val="17"/>
          <w:color w:val="auto"/>
        </w:rPr>
        <w:t>​</w:t>
      </w:r>
    </w:p>
    <w:p>
      <w:pPr>
        <w:spacing w:after="0" w:line="424" w:lineRule="exact"/>
        <w:rPr>
          <w:sz w:val="20"/>
          <w:szCs w:val="20"/>
          <w:color w:val="auto"/>
        </w:rPr>
      </w:pPr>
    </w:p>
    <w:p>
      <w:pPr>
        <w:sectPr>
          <w:pgSz w:w="11900" w:h="16838" w:orient="portrait"/>
          <w:cols w:equalWidth="0" w:num="2">
            <w:col w:w="7720" w:space="720"/>
            <w:col w:w="1760"/>
          </w:cols>
          <w:pgMar w:left="840" w:top="92" w:right="859" w:bottom="1440" w:gutter="0" w:footer="0" w:header="0"/>
          <w:type w:val="continuous"/>
        </w:sectPr>
      </w:pPr>
    </w:p>
    <w:tbl>
      <w:tblPr>
        <w:tblLayout w:type="fixed"/>
        <w:tblInd w:w="0" w:type="dxa"/>
        <w:tblCellMar>
          <w:top w:w="0" w:type="dxa"/>
          <w:left w:w="0" w:type="dxa"/>
          <w:bottom w:w="0" w:type="dxa"/>
          <w:right w:w="0" w:type="dxa"/>
        </w:tblCellMar>
      </w:tblPr>
      <w:tr>
        <w:trPr>
          <w:trHeight w:val="359"/>
        </w:trPr>
        <w:tc>
          <w:tcPr>
            <w:tcW w:w="120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20" w:type="dxa"/>
            <w:vAlign w:val="bottom"/>
            <w:gridSpan w:val="4"/>
          </w:tcPr>
          <w:p>
            <w:pPr>
              <w:jc w:val="center"/>
              <w:ind w:left="1076"/>
              <w:spacing w:after="0"/>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7"/>
                <w:szCs w:val="27"/>
                <w:b w:val="1"/>
                <w:bCs w:val="1"/>
                <w:color w:val="auto"/>
                <w:vertAlign w:val="subscript"/>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5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Borders>
              <w:left w:val="single" w:sz="8" w:color="auto"/>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28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FORWARD-LOOKING STATEMENTS</w:t>
            </w:r>
          </w:p>
        </w:tc>
        <w:tc>
          <w:tcPr>
            <w:tcW w:w="2160" w:type="dxa"/>
            <w:vAlign w:val="bottom"/>
            <w:tcBorders>
              <w:left w:val="single" w:sz="8" w:color="CCEEFF"/>
            </w:tcBorders>
            <w:gridSpan w:val="4"/>
            <w:shd w:val="clear" w:color="auto" w:fill="CCEEFF"/>
          </w:tcPr>
          <w:p>
            <w:pPr>
              <w:spacing w:after="0"/>
              <w:rPr>
                <w:sz w:val="19"/>
                <w:szCs w:val="19"/>
                <w:color w:val="auto"/>
              </w:rPr>
            </w:pP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1</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Borders>
              <w:left w:val="single" w:sz="8" w:color="CCEEFF"/>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620" w:type="dxa"/>
            <w:vAlign w:val="bottom"/>
            <w:gridSpan w:val="3"/>
          </w:tcPr>
          <w:p>
            <w:pPr>
              <w:spacing w:after="0"/>
              <w:rPr>
                <w:sz w:val="19"/>
                <w:szCs w:val="19"/>
                <w:color w:val="auto"/>
              </w:rPr>
            </w:pPr>
          </w:p>
        </w:tc>
        <w:tc>
          <w:tcPr>
            <w:tcW w:w="2160" w:type="dxa"/>
            <w:vAlign w:val="bottom"/>
            <w:gridSpan w:val="4"/>
          </w:tcPr>
          <w:p>
            <w:pPr>
              <w:spacing w:after="0"/>
              <w:rPr>
                <w:sz w:val="19"/>
                <w:szCs w:val="19"/>
                <w:color w:val="auto"/>
              </w:rPr>
            </w:pPr>
          </w:p>
        </w:tc>
        <w:tc>
          <w:tcPr>
            <w:tcW w:w="4020" w:type="dxa"/>
            <w:vAlign w:val="bottom"/>
            <w:gridSpan w:val="4"/>
          </w:tcPr>
          <w:p>
            <w:pPr>
              <w:jc w:val="right"/>
              <w:ind w:right="1074"/>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49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INCORPORATION OF CERTAIN DOCUMENTS BY REFERENCE</w:t>
            </w: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6</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Borders>
              <w:left w:val="single" w:sz="8" w:color="CCEEFF"/>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4020" w:type="dxa"/>
            <w:vAlign w:val="bottom"/>
            <w:gridSpan w:val="4"/>
          </w:tcPr>
          <w:p>
            <w:pPr>
              <w:jc w:val="right"/>
              <w:ind w:right="1074"/>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THE COMPANY</w:t>
            </w:r>
          </w:p>
        </w:tc>
        <w:tc>
          <w:tcPr>
            <w:tcW w:w="2500" w:type="dxa"/>
            <w:vAlign w:val="bottom"/>
            <w:tcBorders>
              <w:left w:val="single" w:sz="8" w:color="CCEEFF"/>
            </w:tcBorders>
            <w:gridSpan w:val="10"/>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8</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Borders>
              <w:left w:val="single" w:sz="8" w:color="CCEEFF"/>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740" w:type="dxa"/>
            <w:vAlign w:val="bottom"/>
            <w:gridSpan w:val="11"/>
          </w:tcPr>
          <w:p>
            <w:pPr>
              <w:spacing w:after="0"/>
              <w:rPr>
                <w:sz w:val="19"/>
                <w:szCs w:val="19"/>
                <w:color w:val="auto"/>
              </w:rPr>
            </w:pPr>
          </w:p>
        </w:tc>
        <w:tc>
          <w:tcPr>
            <w:tcW w:w="4020" w:type="dxa"/>
            <w:vAlign w:val="bottom"/>
            <w:gridSpan w:val="4"/>
          </w:tcPr>
          <w:p>
            <w:pPr>
              <w:jc w:val="right"/>
              <w:ind w:right="1074"/>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1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3420" w:type="dxa"/>
            <w:vAlign w:val="bottom"/>
            <w:gridSpan w:val="9"/>
            <w:shd w:val="clear" w:color="auto" w:fill="CCEEFF"/>
          </w:tcPr>
          <w:p>
            <w:pPr>
              <w:spacing w:after="0"/>
              <w:rPr>
                <w:sz w:val="19"/>
                <w:szCs w:val="19"/>
                <w:color w:val="auto"/>
              </w:rPr>
            </w:pP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9</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Borders>
              <w:left w:val="single" w:sz="8" w:color="CCEEFF"/>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DESCRIPTION OF THE DEBT SECURITIES</w:t>
            </w:r>
          </w:p>
        </w:tc>
        <w:tc>
          <w:tcPr>
            <w:tcW w:w="4020" w:type="dxa"/>
            <w:vAlign w:val="bottom"/>
            <w:gridSpan w:val="4"/>
          </w:tcPr>
          <w:p>
            <w:pPr>
              <w:jc w:val="right"/>
              <w:ind w:right="1074"/>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33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GUARANTEES</w:t>
            </w:r>
          </w:p>
        </w:tc>
        <w:tc>
          <w:tcPr>
            <w:tcW w:w="1620" w:type="dxa"/>
            <w:vAlign w:val="bottom"/>
            <w:gridSpan w:val="2"/>
            <w:shd w:val="clear" w:color="auto" w:fill="CCEEFF"/>
          </w:tcPr>
          <w:p>
            <w:pPr>
              <w:spacing w:after="0"/>
              <w:rPr>
                <w:sz w:val="19"/>
                <w:szCs w:val="19"/>
                <w:color w:val="auto"/>
              </w:rPr>
            </w:pP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18</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Borders>
              <w:left w:val="single" w:sz="8" w:color="CCEEFF"/>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4020" w:type="dxa"/>
            <w:vAlign w:val="bottom"/>
            <w:gridSpan w:val="4"/>
          </w:tcPr>
          <w:p>
            <w:pPr>
              <w:jc w:val="right"/>
              <w:ind w:right="1074"/>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49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OTHER SECURITIES</w:t>
            </w: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22</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Borders>
              <w:left w:val="single" w:sz="8" w:color="CCEEFF"/>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1080" w:type="dxa"/>
            <w:vAlign w:val="bottom"/>
            <w:gridSpan w:val="5"/>
          </w:tcPr>
          <w:p>
            <w:pPr>
              <w:spacing w:after="0"/>
              <w:rPr>
                <w:sz w:val="19"/>
                <w:szCs w:val="19"/>
                <w:color w:val="auto"/>
              </w:rPr>
            </w:pPr>
          </w:p>
        </w:tc>
        <w:tc>
          <w:tcPr>
            <w:tcW w:w="1880" w:type="dxa"/>
            <w:vAlign w:val="bottom"/>
            <w:gridSpan w:val="3"/>
          </w:tcPr>
          <w:p>
            <w:pPr>
              <w:spacing w:after="0"/>
              <w:rPr>
                <w:sz w:val="19"/>
                <w:szCs w:val="19"/>
                <w:color w:val="auto"/>
              </w:rPr>
            </w:pPr>
          </w:p>
        </w:tc>
        <w:tc>
          <w:tcPr>
            <w:tcW w:w="4020" w:type="dxa"/>
            <w:vAlign w:val="bottom"/>
            <w:gridSpan w:val="4"/>
          </w:tcPr>
          <w:p>
            <w:pPr>
              <w:jc w:val="right"/>
              <w:ind w:right="1074"/>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24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SELLING SECURITYHOLDERS</w:t>
            </w:r>
          </w:p>
        </w:tc>
        <w:tc>
          <w:tcPr>
            <w:tcW w:w="2520" w:type="dxa"/>
            <w:vAlign w:val="bottom"/>
            <w:gridSpan w:val="6"/>
            <w:shd w:val="clear" w:color="auto" w:fill="CCEEFF"/>
          </w:tcPr>
          <w:p>
            <w:pPr>
              <w:spacing w:after="0"/>
              <w:rPr>
                <w:sz w:val="19"/>
                <w:szCs w:val="19"/>
                <w:color w:val="auto"/>
              </w:rPr>
            </w:pP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25</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5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Borders>
              <w:left w:val="single" w:sz="8" w:color="CCEEFF"/>
            </w:tcBorders>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24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2520" w:type="dxa"/>
            <w:vAlign w:val="bottom"/>
            <w:gridSpan w:val="6"/>
          </w:tcPr>
          <w:p>
            <w:pPr>
              <w:spacing w:after="0"/>
              <w:rPr>
                <w:sz w:val="19"/>
                <w:szCs w:val="19"/>
                <w:color w:val="auto"/>
              </w:rPr>
            </w:pPr>
          </w:p>
        </w:tc>
        <w:tc>
          <w:tcPr>
            <w:tcW w:w="4020" w:type="dxa"/>
            <w:vAlign w:val="bottom"/>
            <w:gridSpan w:val="4"/>
          </w:tcPr>
          <w:p>
            <w:pPr>
              <w:jc w:val="right"/>
              <w:ind w:right="1074"/>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0"/>
        </w:trPr>
        <w:tc>
          <w:tcPr>
            <w:tcW w:w="1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4"/>
        </w:trPr>
        <w:tc>
          <w:tcPr>
            <w:tcW w:w="1200" w:type="dxa"/>
            <w:vAlign w:val="bottom"/>
          </w:tcPr>
          <w:p>
            <w:pPr>
              <w:spacing w:after="0"/>
              <w:rPr>
                <w:sz w:val="19"/>
                <w:szCs w:val="19"/>
                <w:color w:val="auto"/>
              </w:rPr>
            </w:pP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3560" w:type="dxa"/>
            <w:vAlign w:val="bottom"/>
            <w:gridSpan w:val="10"/>
            <w:shd w:val="clear" w:color="auto" w:fill="CCEEFF"/>
          </w:tcPr>
          <w:p>
            <w:pPr>
              <w:spacing w:after="0"/>
              <w:rPr>
                <w:sz w:val="19"/>
                <w:szCs w:val="19"/>
                <w:color w:val="auto"/>
              </w:rPr>
            </w:pPr>
          </w:p>
        </w:tc>
        <w:tc>
          <w:tcPr>
            <w:tcW w:w="2760" w:type="dxa"/>
            <w:vAlign w:val="bottom"/>
            <w:gridSpan w:val="3"/>
            <w:shd w:val="clear" w:color="auto" w:fill="CCEEFF"/>
          </w:tcPr>
          <w:p>
            <w:pPr>
              <w:jc w:val="center"/>
              <w:ind w:left="2276"/>
              <w:spacing w:after="0"/>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0000EE"/>
              </w:rPr>
              <w:t>26</w:t>
            </w:r>
          </w:p>
        </w:tc>
        <w:tc>
          <w:tcPr>
            <w:tcW w:w="1260" w:type="dxa"/>
            <w:vAlign w:val="bottom"/>
            <w:tcBorders>
              <w:left w:val="single" w:sz="8" w:color="CCEEFF"/>
            </w:tcBorders>
          </w:tcPr>
          <w:p>
            <w:pPr>
              <w:jc w:val="right"/>
              <w:ind w:right="10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571"/>
        </w:trPr>
        <w:tc>
          <w:tcPr>
            <w:tcW w:w="12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S-i</w:t>
            </w:r>
          </w:p>
        </w:tc>
        <w:tc>
          <w:tcPr>
            <w:tcW w:w="25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377"/>
        </w:trPr>
        <w:tc>
          <w:tcPr>
            <w:tcW w:w="1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-2949575</wp:posOffset>
            </wp:positionV>
            <wp:extent cx="4759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59325" cy="8255"/>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200"/>
          </w:cols>
          <w:pgMar w:left="840" w:top="92" w:right="85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310515</wp:posOffset>
            </wp:positionV>
            <wp:extent cx="5244465" cy="7567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44465" cy="756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51" w:lineRule="exact"/>
        <w:rPr>
          <w:sz w:val="20"/>
          <w:szCs w:val="20"/>
          <w:color w:val="auto"/>
        </w:rPr>
      </w:pPr>
    </w:p>
    <w:p>
      <w:pPr>
        <w:ind w:left="1200" w:right="659" w:firstLine="342"/>
        <w:spacing w:after="0" w:line="247"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06" w:lineRule="exact"/>
        <w:rPr>
          <w:sz w:val="20"/>
          <w:szCs w:val="20"/>
          <w:color w:val="auto"/>
        </w:rPr>
      </w:pPr>
    </w:p>
    <w:p>
      <w:pPr>
        <w:ind w:left="1200" w:right="619" w:firstLine="342"/>
        <w:spacing w:after="0" w:line="263" w:lineRule="auto"/>
        <w:rPr>
          <w:sz w:val="20"/>
          <w:szCs w:val="20"/>
          <w:color w:val="auto"/>
        </w:rPr>
      </w:pPr>
      <w:r>
        <w:rPr>
          <w:rFonts w:ascii="Times New Roman" w:cs="Times New Roman" w:eastAsia="Times New Roman" w:hAnsi="Times New Roman"/>
          <w:sz w:val="17"/>
          <w:szCs w:val="17"/>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5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155" w:lineRule="exact"/>
        <w:rPr>
          <w:sz w:val="20"/>
          <w:szCs w:val="20"/>
          <w:color w:val="auto"/>
        </w:rPr>
      </w:pPr>
    </w:p>
    <w:p>
      <w:pPr>
        <w:ind w:left="1200" w:right="619" w:firstLine="342"/>
        <w:spacing w:after="0" w:line="244" w:lineRule="auto"/>
        <w:rPr>
          <w:sz w:val="20"/>
          <w:szCs w:val="20"/>
          <w:color w:val="auto"/>
        </w:rPr>
      </w:pPr>
      <w:r>
        <w:rPr>
          <w:rFonts w:ascii="Times New Roman" w:cs="Times New Roman" w:eastAsia="Times New Roman" w:hAnsi="Times New Roman"/>
          <w:sz w:val="17"/>
          <w:szCs w:val="17"/>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business, we are also a leading developer, operator and owner of landfill gas-to -energy facilities in the U.S. and Canada that produce renewable electricity and renewable natural gas, which is a significant source of fuel that we allocate to our natural gas fleet.</w:t>
      </w:r>
    </w:p>
    <w:p>
      <w:pPr>
        <w:spacing w:after="0" w:line="111" w:lineRule="exact"/>
        <w:rPr>
          <w:sz w:val="20"/>
          <w:szCs w:val="20"/>
          <w:color w:val="auto"/>
        </w:rPr>
      </w:pPr>
    </w:p>
    <w:p>
      <w:pPr>
        <w:ind w:left="1200" w:right="639" w:firstLine="342"/>
        <w:spacing w:after="0" w:line="247"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7"/>
          <w:szCs w:val="17"/>
          <w:i w:val="1"/>
          <w:iCs w:val="1"/>
          <w:color w:val="auto"/>
        </w:rPr>
        <w:t>www.wm.com</w:t>
      </w:r>
      <w:r>
        <w:rPr>
          <w:rFonts w:ascii="Times New Roman" w:cs="Times New Roman" w:eastAsia="Times New Roman" w:hAnsi="Times New Roman"/>
          <w:sz w:val="17"/>
          <w:szCs w:val="17"/>
          <w:color w:val="auto"/>
        </w:rPr>
        <w:t>. Our annual reports on Form 10-K, quarterly reports on Form 10-Q and current reports on Form 8 -K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Waste Management Holdings, Inc.</w:t>
      </w:r>
    </w:p>
    <w:p>
      <w:pPr>
        <w:spacing w:after="0" w:line="14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Waste Management Holdings, Inc., which we refer to in this prospectus supplement as “WM</w:t>
      </w:r>
    </w:p>
    <w:p>
      <w:pPr>
        <w:spacing w:after="0" w:line="27" w:lineRule="exact"/>
        <w:rPr>
          <w:sz w:val="20"/>
          <w:szCs w:val="20"/>
          <w:color w:val="auto"/>
        </w:rPr>
      </w:pPr>
    </w:p>
    <w:p>
      <w:pPr>
        <w:ind w:left="1200" w:right="1059"/>
        <w:spacing w:after="0" w:line="248" w:lineRule="auto"/>
        <w:rPr>
          <w:sz w:val="20"/>
          <w:szCs w:val="20"/>
          <w:color w:val="auto"/>
        </w:rPr>
      </w:pPr>
      <w:r>
        <w:rPr>
          <w:rFonts w:ascii="Times New Roman" w:cs="Times New Roman" w:eastAsia="Times New Roman" w:hAnsi="Times New Roman"/>
          <w:sz w:val="17"/>
          <w:szCs w:val="17"/>
          <w:color w:val="auto"/>
        </w:rPr>
        <w:t>Holdings,” is a direct wholly owned subsidiary of Waste Management, Inc. WM Holdings is a holding company and all operations are conducted by subsidiaries.</w:t>
      </w:r>
    </w:p>
    <w:p>
      <w:pPr>
        <w:spacing w:after="0" w:line="1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Pending Acquisition of Stericycle</w:t>
      </w:r>
    </w:p>
    <w:p>
      <w:pPr>
        <w:spacing w:after="0" w:line="155" w:lineRule="exact"/>
        <w:rPr>
          <w:sz w:val="20"/>
          <w:szCs w:val="20"/>
          <w:color w:val="auto"/>
        </w:rPr>
      </w:pPr>
    </w:p>
    <w:p>
      <w:pPr>
        <w:ind w:left="1200" w:right="839" w:firstLine="342"/>
        <w:spacing w:after="0" w:line="248" w:lineRule="auto"/>
        <w:rPr>
          <w:sz w:val="20"/>
          <w:szCs w:val="20"/>
          <w:color w:val="auto"/>
        </w:rPr>
      </w:pPr>
      <w:r>
        <w:rPr>
          <w:rFonts w:ascii="Times New Roman" w:cs="Times New Roman" w:eastAsia="Times New Roman" w:hAnsi="Times New Roman"/>
          <w:sz w:val="17"/>
          <w:szCs w:val="17"/>
          <w:color w:val="auto"/>
        </w:rPr>
        <w:t>On June 3, 2024, we entered into an Agreement and Plan of Merger (the “Merger Agreement”) with Stericycle, Inc. (“Stericycle”) and Stag Merger Sub Inc. (“Merger Sub”), our indirect wholly owned subsidiary. The Merger Agreement provides that, upon the terms and subject to the conditions set forth therein, Merger Sub will merge with and into Stericycle (the “Merger”), with Stericycle continuing as the surviving corporation and as our indirect wholly owned subsidiary.</w:t>
      </w:r>
    </w:p>
    <w:p>
      <w:pPr>
        <w:spacing w:after="0" w:line="107" w:lineRule="exact"/>
        <w:rPr>
          <w:sz w:val="20"/>
          <w:szCs w:val="20"/>
          <w:color w:val="auto"/>
        </w:rPr>
      </w:pPr>
    </w:p>
    <w:p>
      <w:pPr>
        <w:ind w:left="1200" w:right="619" w:firstLine="342"/>
        <w:spacing w:after="0" w:line="252" w:lineRule="auto"/>
        <w:rPr>
          <w:sz w:val="20"/>
          <w:szCs w:val="20"/>
          <w:color w:val="auto"/>
        </w:rPr>
      </w:pPr>
      <w:r>
        <w:rPr>
          <w:rFonts w:ascii="Times New Roman" w:cs="Times New Roman" w:eastAsia="Times New Roman" w:hAnsi="Times New Roman"/>
          <w:sz w:val="17"/>
          <w:szCs w:val="17"/>
          <w:color w:val="auto"/>
        </w:rPr>
        <w:t>Stericycle is a U.S. based business-to-business services company and a leading provider of compliance-based solutions that protect people and brands, promote health and well-being and safeguard the environment. Stericycle serves customers in North America and Europe with solutions for regulated waste and compliance services and secure information destruction.</w:t>
      </w:r>
    </w:p>
    <w:p>
      <w:pPr>
        <w:spacing w:after="0" w:line="103" w:lineRule="exact"/>
        <w:rPr>
          <w:sz w:val="20"/>
          <w:szCs w:val="20"/>
          <w:color w:val="auto"/>
        </w:rPr>
      </w:pPr>
    </w:p>
    <w:p>
      <w:pPr>
        <w:ind w:left="1200" w:right="619" w:firstLine="342"/>
        <w:spacing w:after="0" w:line="252" w:lineRule="auto"/>
        <w:rPr>
          <w:sz w:val="20"/>
          <w:szCs w:val="20"/>
          <w:color w:val="auto"/>
        </w:rPr>
      </w:pPr>
      <w:r>
        <w:rPr>
          <w:rFonts w:ascii="Times New Roman" w:cs="Times New Roman" w:eastAsia="Times New Roman" w:hAnsi="Times New Roman"/>
          <w:sz w:val="17"/>
          <w:szCs w:val="17"/>
          <w:color w:val="auto"/>
        </w:rPr>
        <w:t>At the effective time of the Merger (the “Effective Time”), each share of Stericycle common stock, par value $0.01 per share (“Stericycle Common Stock”), issued and outstanding immediately prior to the Effective Time (other than shares (i) owned by us, Merger Sub or Stericycle or any of our or their respective subsidiaries or (ii) for which appraisal rights have been demanded properly in accordance with Section 262</w:t>
      </w:r>
    </w:p>
    <w:p>
      <w:pPr>
        <w:spacing w:after="0" w:line="200" w:lineRule="exact"/>
        <w:rPr>
          <w:sz w:val="20"/>
          <w:szCs w:val="20"/>
          <w:color w:val="auto"/>
        </w:rPr>
      </w:pPr>
    </w:p>
    <w:p>
      <w:pPr>
        <w:spacing w:after="0" w:line="23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248285</wp:posOffset>
            </wp:positionV>
            <wp:extent cx="649605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310515</wp:posOffset>
            </wp:positionV>
            <wp:extent cx="5244465" cy="7567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44465" cy="756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0" w:right="679"/>
        <w:spacing w:after="0" w:line="268" w:lineRule="auto"/>
        <w:rPr>
          <w:sz w:val="20"/>
          <w:szCs w:val="20"/>
          <w:color w:val="auto"/>
        </w:rPr>
      </w:pPr>
      <w:r>
        <w:rPr>
          <w:rFonts w:ascii="Times New Roman" w:cs="Times New Roman" w:eastAsia="Times New Roman" w:hAnsi="Times New Roman"/>
          <w:sz w:val="17"/>
          <w:szCs w:val="17"/>
          <w:color w:val="auto"/>
        </w:rPr>
        <w:t>of the Delaware General Corporation Law (“DGCL”)) will be converted into the right to receive $62.00 per share in cash, without interest, representing a total enterprise value of approximately $7.2 billion when including approximately $1.4 billion of Stericycle’s net debt.</w:t>
      </w:r>
    </w:p>
    <w:p>
      <w:pPr>
        <w:spacing w:after="0" w:line="102" w:lineRule="exact"/>
        <w:rPr>
          <w:sz w:val="20"/>
          <w:szCs w:val="20"/>
          <w:color w:val="auto"/>
        </w:rPr>
      </w:pPr>
    </w:p>
    <w:p>
      <w:pPr>
        <w:ind w:left="1200" w:right="779" w:firstLine="342"/>
        <w:spacing w:after="0" w:line="263" w:lineRule="auto"/>
        <w:rPr>
          <w:sz w:val="20"/>
          <w:szCs w:val="20"/>
          <w:color w:val="auto"/>
        </w:rPr>
      </w:pPr>
      <w:r>
        <w:rPr>
          <w:rFonts w:ascii="Times New Roman" w:cs="Times New Roman" w:eastAsia="Times New Roman" w:hAnsi="Times New Roman"/>
          <w:sz w:val="17"/>
          <w:szCs w:val="17"/>
          <w:color w:val="auto"/>
        </w:rPr>
        <w:t>We expect the Merger to close as early as the fourth quarter of 2024, and we intend to finance the Merger through a combination of bank debt and proceeds from senior notes (not including the notes being offered hereby). We cannot assure you that we will complete the Merger on the terms contemplated in this prospectus supplement or at all.</w:t>
      </w:r>
    </w:p>
    <w:p>
      <w:pPr>
        <w:spacing w:after="0" w:line="1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Amendment to Charter</w:t>
      </w:r>
    </w:p>
    <w:p>
      <w:pPr>
        <w:spacing w:after="0" w:line="155" w:lineRule="exact"/>
        <w:rPr>
          <w:sz w:val="20"/>
          <w:szCs w:val="20"/>
          <w:color w:val="auto"/>
        </w:rPr>
      </w:pPr>
    </w:p>
    <w:p>
      <w:pPr>
        <w:ind w:left="1200" w:right="679" w:firstLine="342"/>
        <w:spacing w:after="0" w:line="255" w:lineRule="auto"/>
        <w:rPr>
          <w:sz w:val="20"/>
          <w:szCs w:val="20"/>
          <w:color w:val="auto"/>
        </w:rPr>
      </w:pPr>
      <w:r>
        <w:rPr>
          <w:rFonts w:ascii="Times New Roman" w:cs="Times New Roman" w:eastAsia="Times New Roman" w:hAnsi="Times New Roman"/>
          <w:sz w:val="17"/>
          <w:szCs w:val="17"/>
          <w:color w:val="auto"/>
        </w:rPr>
        <w:t>At our Annual Meeting of Stockholders held on May 14, 2024, our stockholders approved an amendment to our Third Restated Certificate of Incorporation (the “Certificate”) to eliminate or limit the personal liability of certain officers for monetary damages associated with claims of breach of the duty of care in certain instances (referred to as “exculpation”) as permitted by the DGCL and also simplify the existing exculpation provision related to our directors set forth in the Certificate by referring to the DGCL as the same exists or may hereafter be amended instead of specifying each instance where exculpation for directors is currently not available under the DGCL (the “Charter Amendment”). As a result of the Charter Amendment, if the DGCL is further amended to eliminate or limit the liability of officers or directors, the liability of such officers and directors will be limited or eliminated to the fullest extent permitted by law, as so amended.</w:t>
      </w:r>
    </w:p>
    <w:p>
      <w:pPr>
        <w:spacing w:after="0" w:line="3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i w:val="1"/>
          <w:iCs w:val="1"/>
          <w:color w:val="auto"/>
        </w:rPr>
        <w:t>Extension of Credit Facility</w:t>
      </w:r>
    </w:p>
    <w:p>
      <w:pPr>
        <w:spacing w:after="0" w:line="142" w:lineRule="exact"/>
        <w:rPr>
          <w:sz w:val="20"/>
          <w:szCs w:val="20"/>
          <w:color w:val="auto"/>
        </w:rPr>
      </w:pPr>
    </w:p>
    <w:p>
      <w:pPr>
        <w:ind w:left="1200" w:right="719" w:firstLine="342"/>
        <w:spacing w:after="0" w:line="263" w:lineRule="auto"/>
        <w:rPr>
          <w:sz w:val="20"/>
          <w:szCs w:val="20"/>
          <w:color w:val="auto"/>
        </w:rPr>
      </w:pPr>
      <w:r>
        <w:rPr>
          <w:rFonts w:ascii="Times New Roman" w:cs="Times New Roman" w:eastAsia="Times New Roman" w:hAnsi="Times New Roman"/>
          <w:sz w:val="17"/>
          <w:szCs w:val="17"/>
          <w:color w:val="auto"/>
        </w:rPr>
        <w:t>On May 8, 2024, we amended and restated our existing revolving credit agreement with a syndicate of banks signatory thereto and Bank of America, N.A., as administrative agent, primarily to extend the term from May 27, 2027, to May 8, 2029, and maintain available revolving credit to serve our and our subsidiaries’ U.S. and Canadian needs (the “Credit Agreement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 w:name="page5"/>
    <w:bookmarkEnd w:id="4"/>
    <w:p>
      <w:pPr>
        <w:ind w:left="20"/>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310515</wp:posOffset>
            </wp:positionV>
            <wp:extent cx="5244465" cy="7567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44465" cy="756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51" w:lineRule="exact"/>
        <w:rPr>
          <w:sz w:val="20"/>
          <w:szCs w:val="20"/>
          <w:color w:val="auto"/>
        </w:rPr>
      </w:pPr>
    </w:p>
    <w:p>
      <w:pPr>
        <w:ind w:left="1220" w:right="1280" w:firstLine="342"/>
        <w:spacing w:after="0" w:line="254" w:lineRule="auto"/>
        <w:rPr>
          <w:sz w:val="20"/>
          <w:szCs w:val="20"/>
          <w:color w:val="auto"/>
        </w:rPr>
      </w:pPr>
      <w:r>
        <w:rPr>
          <w:rFonts w:ascii="Times New Roman" w:cs="Times New Roman" w:eastAsia="Times New Roman" w:hAnsi="Times New Roman"/>
          <w:sz w:val="17"/>
          <w:szCs w:val="17"/>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spacing w:after="0"/>
              <w:rPr>
                <w:sz w:val="19"/>
                <w:szCs w:val="19"/>
                <w:color w:val="auto"/>
              </w:rPr>
            </w:pPr>
          </w:p>
        </w:tc>
        <w:tc>
          <w:tcPr>
            <w:tcW w:w="2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Issuer</w:t>
            </w: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Waste Management, Inc.</w:t>
            </w:r>
          </w:p>
        </w:tc>
        <w:tc>
          <w:tcPr>
            <w:tcW w:w="940" w:type="dxa"/>
            <w:vAlign w:val="bottom"/>
          </w:tcPr>
          <w:p>
            <w:pPr>
              <w:spacing w:after="0"/>
              <w:rPr>
                <w:sz w:val="19"/>
                <w:szCs w:val="19"/>
                <w:color w:val="auto"/>
              </w:rPr>
            </w:pPr>
          </w:p>
        </w:tc>
      </w:tr>
      <w:tr>
        <w:trPr>
          <w:trHeight w:val="291"/>
        </w:trPr>
        <w:tc>
          <w:tcPr>
            <w:tcW w:w="1000" w:type="dxa"/>
            <w:vAlign w:val="bottom"/>
          </w:tcPr>
          <w:p>
            <w:pPr>
              <w:spacing w:after="0"/>
              <w:rPr>
                <w:sz w:val="24"/>
                <w:szCs w:val="24"/>
                <w:color w:val="auto"/>
              </w:rPr>
            </w:pPr>
          </w:p>
        </w:tc>
        <w:tc>
          <w:tcPr>
            <w:tcW w:w="2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Securities Offered</w:t>
            </w: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$1,500,000,000 aggregate principal amount of notes,</w:t>
            </w:r>
          </w:p>
        </w:tc>
        <w:tc>
          <w:tcPr>
            <w:tcW w:w="94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consisting of the following series:</w:t>
            </w:r>
          </w:p>
        </w:tc>
        <w:tc>
          <w:tcPr>
            <w:tcW w:w="940" w:type="dxa"/>
            <w:vAlign w:val="bottom"/>
          </w:tcPr>
          <w:p>
            <w:pPr>
              <w:spacing w:after="0"/>
              <w:rPr>
                <w:sz w:val="19"/>
                <w:szCs w:val="19"/>
                <w:color w:val="auto"/>
              </w:rPr>
            </w:pPr>
          </w:p>
        </w:tc>
      </w:tr>
      <w:tr>
        <w:trPr>
          <w:trHeight w:val="317"/>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$750,000,000 aggregate principal amount of 4.950% Senior</w:t>
            </w:r>
          </w:p>
        </w:tc>
        <w:tc>
          <w:tcPr>
            <w:tcW w:w="94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Notes due 2027</w:t>
            </w:r>
          </w:p>
        </w:tc>
        <w:tc>
          <w:tcPr>
            <w:tcW w:w="940" w:type="dxa"/>
            <w:vAlign w:val="bottom"/>
          </w:tcPr>
          <w:p>
            <w:pPr>
              <w:spacing w:after="0"/>
              <w:rPr>
                <w:sz w:val="19"/>
                <w:szCs w:val="19"/>
                <w:color w:val="auto"/>
              </w:rPr>
            </w:pPr>
          </w:p>
        </w:tc>
      </w:tr>
      <w:tr>
        <w:trPr>
          <w:trHeight w:val="317"/>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$750,000,000 aggregate principal amount of 4.950% Senior</w:t>
            </w:r>
          </w:p>
        </w:tc>
        <w:tc>
          <w:tcPr>
            <w:tcW w:w="94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Notes due 2031</w:t>
            </w:r>
          </w:p>
        </w:tc>
        <w:tc>
          <w:tcPr>
            <w:tcW w:w="940" w:type="dxa"/>
            <w:vAlign w:val="bottom"/>
          </w:tcPr>
          <w:p>
            <w:pPr>
              <w:spacing w:after="0"/>
              <w:rPr>
                <w:sz w:val="19"/>
                <w:szCs w:val="19"/>
                <w:color w:val="auto"/>
              </w:rPr>
            </w:pPr>
          </w:p>
        </w:tc>
      </w:tr>
      <w:tr>
        <w:trPr>
          <w:trHeight w:val="278"/>
        </w:trPr>
        <w:tc>
          <w:tcPr>
            <w:tcW w:w="1000" w:type="dxa"/>
            <w:vAlign w:val="bottom"/>
          </w:tcPr>
          <w:p>
            <w:pPr>
              <w:spacing w:after="0"/>
              <w:rPr>
                <w:sz w:val="24"/>
                <w:szCs w:val="24"/>
                <w:color w:val="auto"/>
              </w:rPr>
            </w:pPr>
          </w:p>
        </w:tc>
        <w:tc>
          <w:tcPr>
            <w:tcW w:w="2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Subsidiary Guarantees</w:t>
            </w: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WM Holdings will fully and unconditionally guarantee, on</w:t>
            </w:r>
          </w:p>
        </w:tc>
        <w:tc>
          <w:tcPr>
            <w:tcW w:w="940" w:type="dxa"/>
            <w:vAlign w:val="bottom"/>
          </w:tcPr>
          <w:p>
            <w:pPr>
              <w:spacing w:after="0"/>
              <w:rPr>
                <w:sz w:val="24"/>
                <w:szCs w:val="24"/>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a senior unsecured basis, the full and prompt payment of</w:t>
            </w:r>
          </w:p>
        </w:tc>
        <w:tc>
          <w:tcPr>
            <w:tcW w:w="940" w:type="dxa"/>
            <w:vAlign w:val="bottom"/>
          </w:tcPr>
          <w:p>
            <w:pPr>
              <w:spacing w:after="0"/>
              <w:rPr>
                <w:sz w:val="17"/>
                <w:szCs w:val="17"/>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the principal and any premium and interest on the notes of</w:t>
            </w:r>
          </w:p>
        </w:tc>
        <w:tc>
          <w:tcPr>
            <w:tcW w:w="940" w:type="dxa"/>
            <w:vAlign w:val="bottom"/>
          </w:tcPr>
          <w:p>
            <w:pPr>
              <w:spacing w:after="0"/>
              <w:rPr>
                <w:sz w:val="17"/>
                <w:szCs w:val="17"/>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each series, when and as they become due and payable,</w:t>
            </w:r>
          </w:p>
        </w:tc>
        <w:tc>
          <w:tcPr>
            <w:tcW w:w="94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whether at maturity or otherwise.</w:t>
            </w:r>
          </w:p>
        </w:tc>
        <w:tc>
          <w:tcPr>
            <w:tcW w:w="940" w:type="dxa"/>
            <w:vAlign w:val="bottom"/>
          </w:tcPr>
          <w:p>
            <w:pPr>
              <w:spacing w:after="0"/>
              <w:rPr>
                <w:sz w:val="19"/>
                <w:szCs w:val="19"/>
                <w:color w:val="auto"/>
              </w:rPr>
            </w:pPr>
          </w:p>
        </w:tc>
      </w:tr>
      <w:tr>
        <w:trPr>
          <w:trHeight w:val="308"/>
        </w:trPr>
        <w:tc>
          <w:tcPr>
            <w:tcW w:w="1000" w:type="dxa"/>
            <w:vAlign w:val="bottom"/>
          </w:tcPr>
          <w:p>
            <w:pPr>
              <w:spacing w:after="0"/>
              <w:rPr>
                <w:sz w:val="24"/>
                <w:szCs w:val="24"/>
                <w:color w:val="auto"/>
              </w:rPr>
            </w:pPr>
          </w:p>
        </w:tc>
        <w:tc>
          <w:tcPr>
            <w:tcW w:w="2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Maturity Date</w:t>
            </w: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2027 notes — July 3, 2027</w:t>
            </w:r>
          </w:p>
        </w:tc>
        <w:tc>
          <w:tcPr>
            <w:tcW w:w="940" w:type="dxa"/>
            <w:vAlign w:val="bottom"/>
          </w:tcPr>
          <w:p>
            <w:pPr>
              <w:spacing w:after="0"/>
              <w:rPr>
                <w:sz w:val="24"/>
                <w:szCs w:val="24"/>
                <w:color w:val="auto"/>
              </w:rPr>
            </w:pPr>
          </w:p>
        </w:tc>
      </w:tr>
      <w:tr>
        <w:trPr>
          <w:trHeight w:val="347"/>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2031 notes — July 3, 2031</w:t>
            </w:r>
          </w:p>
        </w:tc>
        <w:tc>
          <w:tcPr>
            <w:tcW w:w="940" w:type="dxa"/>
            <w:vAlign w:val="bottom"/>
          </w:tcPr>
          <w:p>
            <w:pPr>
              <w:spacing w:after="0"/>
              <w:rPr>
                <w:sz w:val="24"/>
                <w:szCs w:val="24"/>
                <w:color w:val="auto"/>
              </w:rPr>
            </w:pPr>
          </w:p>
        </w:tc>
      </w:tr>
      <w:tr>
        <w:trPr>
          <w:trHeight w:val="308"/>
        </w:trPr>
        <w:tc>
          <w:tcPr>
            <w:tcW w:w="1000" w:type="dxa"/>
            <w:vAlign w:val="bottom"/>
          </w:tcPr>
          <w:p>
            <w:pPr>
              <w:spacing w:after="0"/>
              <w:rPr>
                <w:sz w:val="24"/>
                <w:szCs w:val="24"/>
                <w:color w:val="auto"/>
              </w:rPr>
            </w:pPr>
          </w:p>
        </w:tc>
        <w:tc>
          <w:tcPr>
            <w:tcW w:w="2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Rate</w:t>
            </w: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2027 notes — 4.950% per year</w:t>
            </w:r>
          </w:p>
        </w:tc>
        <w:tc>
          <w:tcPr>
            <w:tcW w:w="940" w:type="dxa"/>
            <w:vAlign w:val="bottom"/>
          </w:tcPr>
          <w:p>
            <w:pPr>
              <w:spacing w:after="0"/>
              <w:rPr>
                <w:sz w:val="24"/>
                <w:szCs w:val="24"/>
                <w:color w:val="auto"/>
              </w:rPr>
            </w:pPr>
          </w:p>
        </w:tc>
      </w:tr>
      <w:tr>
        <w:trPr>
          <w:trHeight w:val="334"/>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2031 notes — 4.950% per year</w:t>
            </w:r>
          </w:p>
        </w:tc>
        <w:tc>
          <w:tcPr>
            <w:tcW w:w="940" w:type="dxa"/>
            <w:vAlign w:val="bottom"/>
          </w:tcPr>
          <w:p>
            <w:pPr>
              <w:spacing w:after="0"/>
              <w:rPr>
                <w:sz w:val="24"/>
                <w:szCs w:val="24"/>
                <w:color w:val="auto"/>
              </w:rPr>
            </w:pPr>
          </w:p>
        </w:tc>
      </w:tr>
      <w:tr>
        <w:trPr>
          <w:trHeight w:val="291"/>
        </w:trPr>
        <w:tc>
          <w:tcPr>
            <w:tcW w:w="1000" w:type="dxa"/>
            <w:vAlign w:val="bottom"/>
          </w:tcPr>
          <w:p>
            <w:pPr>
              <w:spacing w:after="0"/>
              <w:rPr>
                <w:sz w:val="24"/>
                <w:szCs w:val="24"/>
                <w:color w:val="auto"/>
              </w:rPr>
            </w:pPr>
          </w:p>
        </w:tc>
        <w:tc>
          <w:tcPr>
            <w:tcW w:w="2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Payment Dates</w:t>
            </w: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January 3 and July 3 of each year, beginning January 3,</w:t>
            </w:r>
          </w:p>
        </w:tc>
        <w:tc>
          <w:tcPr>
            <w:tcW w:w="94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2025.</w:t>
            </w:r>
          </w:p>
        </w:tc>
        <w:tc>
          <w:tcPr>
            <w:tcW w:w="940" w:type="dxa"/>
            <w:vAlign w:val="bottom"/>
          </w:tcPr>
          <w:p>
            <w:pPr>
              <w:spacing w:after="0"/>
              <w:rPr>
                <w:sz w:val="19"/>
                <w:szCs w:val="19"/>
                <w:color w:val="auto"/>
              </w:rPr>
            </w:pPr>
          </w:p>
        </w:tc>
      </w:tr>
      <w:tr>
        <w:trPr>
          <w:trHeight w:val="291"/>
        </w:trPr>
        <w:tc>
          <w:tcPr>
            <w:tcW w:w="1000" w:type="dxa"/>
            <w:vAlign w:val="bottom"/>
          </w:tcPr>
          <w:p>
            <w:pPr>
              <w:spacing w:after="0"/>
              <w:rPr>
                <w:sz w:val="24"/>
                <w:szCs w:val="24"/>
                <w:color w:val="auto"/>
              </w:rPr>
            </w:pPr>
          </w:p>
        </w:tc>
        <w:tc>
          <w:tcPr>
            <w:tcW w:w="2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Optional Redemption</w:t>
            </w: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We may elect to redeem and repay any or all of the notes at</w:t>
            </w:r>
          </w:p>
        </w:tc>
        <w:tc>
          <w:tcPr>
            <w:tcW w:w="940" w:type="dxa"/>
            <w:vAlign w:val="bottom"/>
          </w:tcPr>
          <w:p>
            <w:pPr>
              <w:spacing w:after="0"/>
              <w:rPr>
                <w:sz w:val="24"/>
                <w:szCs w:val="24"/>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any time and from time to time in minimum principal</w:t>
            </w:r>
          </w:p>
        </w:tc>
        <w:tc>
          <w:tcPr>
            <w:tcW w:w="940" w:type="dxa"/>
            <w:vAlign w:val="bottom"/>
          </w:tcPr>
          <w:p>
            <w:pPr>
              <w:spacing w:after="0"/>
              <w:rPr>
                <w:sz w:val="17"/>
                <w:szCs w:val="17"/>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amounts of $2,000 or any integral multiple of $1,000 in</w:t>
            </w:r>
          </w:p>
        </w:tc>
        <w:tc>
          <w:tcPr>
            <w:tcW w:w="940" w:type="dxa"/>
            <w:vAlign w:val="bottom"/>
          </w:tcPr>
          <w:p>
            <w:pPr>
              <w:spacing w:after="0"/>
              <w:rPr>
                <w:sz w:val="17"/>
                <w:szCs w:val="17"/>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excess thereof.</w:t>
            </w:r>
          </w:p>
        </w:tc>
        <w:tc>
          <w:tcPr>
            <w:tcW w:w="940" w:type="dxa"/>
            <w:vAlign w:val="bottom"/>
          </w:tcPr>
          <w:p>
            <w:pPr>
              <w:spacing w:after="0"/>
              <w:rPr>
                <w:sz w:val="19"/>
                <w:szCs w:val="19"/>
                <w:color w:val="auto"/>
              </w:rPr>
            </w:pPr>
          </w:p>
        </w:tc>
      </w:tr>
      <w:tr>
        <w:trPr>
          <w:trHeight w:val="317"/>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2027 notes — Prior to June 3, 2027, we may redeem the</w:t>
            </w:r>
          </w:p>
        </w:tc>
        <w:tc>
          <w:tcPr>
            <w:tcW w:w="940" w:type="dxa"/>
            <w:vAlign w:val="bottom"/>
          </w:tcPr>
          <w:p>
            <w:pPr>
              <w:spacing w:after="0"/>
              <w:rPr>
                <w:sz w:val="24"/>
                <w:szCs w:val="24"/>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2027 notes at our option, in whole or in part, at any time</w:t>
            </w:r>
          </w:p>
        </w:tc>
        <w:tc>
          <w:tcPr>
            <w:tcW w:w="940" w:type="dxa"/>
            <w:vAlign w:val="bottom"/>
          </w:tcPr>
          <w:p>
            <w:pPr>
              <w:spacing w:after="0"/>
              <w:rPr>
                <w:sz w:val="17"/>
                <w:szCs w:val="17"/>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and from time to time, at a redemption price equal to the</w:t>
            </w:r>
          </w:p>
        </w:tc>
        <w:tc>
          <w:tcPr>
            <w:tcW w:w="940" w:type="dxa"/>
            <w:vAlign w:val="bottom"/>
          </w:tcPr>
          <w:p>
            <w:pPr>
              <w:spacing w:after="0"/>
              <w:rPr>
                <w:sz w:val="16"/>
                <w:szCs w:val="16"/>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greater of: (1) (a) the sum of the present values of the</w:t>
            </w:r>
          </w:p>
        </w:tc>
        <w:tc>
          <w:tcPr>
            <w:tcW w:w="940" w:type="dxa"/>
            <w:vAlign w:val="bottom"/>
          </w:tcPr>
          <w:p>
            <w:pPr>
              <w:spacing w:after="0"/>
              <w:rPr>
                <w:sz w:val="16"/>
                <w:szCs w:val="16"/>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remaining scheduled payments of principal and interest</w:t>
            </w:r>
          </w:p>
        </w:tc>
        <w:tc>
          <w:tcPr>
            <w:tcW w:w="940" w:type="dxa"/>
            <w:vAlign w:val="bottom"/>
          </w:tcPr>
          <w:p>
            <w:pPr>
              <w:spacing w:after="0"/>
              <w:rPr>
                <w:sz w:val="17"/>
                <w:szCs w:val="17"/>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thereon discounted to the redemption date (assuming the</w:t>
            </w:r>
          </w:p>
        </w:tc>
        <w:tc>
          <w:tcPr>
            <w:tcW w:w="940" w:type="dxa"/>
            <w:vAlign w:val="bottom"/>
          </w:tcPr>
          <w:p>
            <w:pPr>
              <w:spacing w:after="0"/>
              <w:rPr>
                <w:sz w:val="16"/>
                <w:szCs w:val="16"/>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2027 notes matured on the applicable Par Call Date (as</w:t>
            </w:r>
          </w:p>
        </w:tc>
        <w:tc>
          <w:tcPr>
            <w:tcW w:w="940" w:type="dxa"/>
            <w:vAlign w:val="bottom"/>
          </w:tcPr>
          <w:p>
            <w:pPr>
              <w:spacing w:after="0"/>
              <w:rPr>
                <w:sz w:val="16"/>
                <w:szCs w:val="16"/>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defined under “Description of Notes — Optional</w:t>
            </w:r>
          </w:p>
        </w:tc>
        <w:tc>
          <w:tcPr>
            <w:tcW w:w="940" w:type="dxa"/>
            <w:vAlign w:val="bottom"/>
          </w:tcPr>
          <w:p>
            <w:pPr>
              <w:spacing w:after="0"/>
              <w:rPr>
                <w:sz w:val="17"/>
                <w:szCs w:val="17"/>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Redemption”)) on a semi-annual basis (assuming a 360-day</w:t>
            </w:r>
          </w:p>
        </w:tc>
        <w:tc>
          <w:tcPr>
            <w:tcW w:w="940" w:type="dxa"/>
            <w:vAlign w:val="bottom"/>
          </w:tcPr>
          <w:p>
            <w:pPr>
              <w:spacing w:after="0"/>
              <w:rPr>
                <w:sz w:val="16"/>
                <w:szCs w:val="16"/>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year consisting of twelve 30-day months) at the Treasury</w:t>
            </w:r>
          </w:p>
        </w:tc>
        <w:tc>
          <w:tcPr>
            <w:tcW w:w="940" w:type="dxa"/>
            <w:vAlign w:val="bottom"/>
          </w:tcPr>
          <w:p>
            <w:pPr>
              <w:spacing w:after="0"/>
              <w:rPr>
                <w:sz w:val="16"/>
                <w:szCs w:val="16"/>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Rate (as defined under “Description of Notes — Optional</w:t>
            </w:r>
          </w:p>
        </w:tc>
        <w:tc>
          <w:tcPr>
            <w:tcW w:w="940" w:type="dxa"/>
            <w:vAlign w:val="bottom"/>
          </w:tcPr>
          <w:p>
            <w:pPr>
              <w:spacing w:after="0"/>
              <w:rPr>
                <w:sz w:val="17"/>
                <w:szCs w:val="17"/>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Redemption”) plus 10 basis points, less (b) interest accrued</w:t>
            </w:r>
          </w:p>
        </w:tc>
        <w:tc>
          <w:tcPr>
            <w:tcW w:w="940" w:type="dxa"/>
            <w:vAlign w:val="bottom"/>
          </w:tcPr>
          <w:p>
            <w:pPr>
              <w:spacing w:after="0"/>
              <w:rPr>
                <w:sz w:val="16"/>
                <w:szCs w:val="16"/>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to the redemption date, and (2) 100% of the principal</w:t>
            </w:r>
          </w:p>
        </w:tc>
        <w:tc>
          <w:tcPr>
            <w:tcW w:w="940" w:type="dxa"/>
            <w:vAlign w:val="bottom"/>
          </w:tcPr>
          <w:p>
            <w:pPr>
              <w:spacing w:after="0"/>
              <w:rPr>
                <w:sz w:val="16"/>
                <w:szCs w:val="16"/>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amount of the 2027 notes to be redeemed, plus, in either</w:t>
            </w:r>
          </w:p>
        </w:tc>
        <w:tc>
          <w:tcPr>
            <w:tcW w:w="940" w:type="dxa"/>
            <w:vAlign w:val="bottom"/>
          </w:tcPr>
          <w:p>
            <w:pPr>
              <w:spacing w:after="0"/>
              <w:rPr>
                <w:sz w:val="17"/>
                <w:szCs w:val="17"/>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case, accrued and unpaid interest thereon to the redemption</w:t>
            </w:r>
          </w:p>
        </w:tc>
        <w:tc>
          <w:tcPr>
            <w:tcW w:w="940" w:type="dxa"/>
            <w:vAlign w:val="bottom"/>
          </w:tcPr>
          <w:p>
            <w:pPr>
              <w:spacing w:after="0"/>
              <w:rPr>
                <w:sz w:val="16"/>
                <w:szCs w:val="16"/>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date.</w:t>
            </w:r>
          </w:p>
        </w:tc>
        <w:tc>
          <w:tcPr>
            <w:tcW w:w="940" w:type="dxa"/>
            <w:vAlign w:val="bottom"/>
          </w:tcPr>
          <w:p>
            <w:pPr>
              <w:spacing w:after="0"/>
              <w:rPr>
                <w:sz w:val="19"/>
                <w:szCs w:val="19"/>
                <w:color w:val="auto"/>
              </w:rPr>
            </w:pPr>
          </w:p>
        </w:tc>
      </w:tr>
      <w:tr>
        <w:trPr>
          <w:trHeight w:val="304"/>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On or after June 3, 2027, we may redeem the 2027 notes at</w:t>
            </w:r>
          </w:p>
        </w:tc>
        <w:tc>
          <w:tcPr>
            <w:tcW w:w="940" w:type="dxa"/>
            <w:vAlign w:val="bottom"/>
          </w:tcPr>
          <w:p>
            <w:pPr>
              <w:spacing w:after="0"/>
              <w:rPr>
                <w:sz w:val="24"/>
                <w:szCs w:val="24"/>
                <w:color w:val="auto"/>
              </w:rPr>
            </w:pPr>
          </w:p>
        </w:tc>
      </w:tr>
      <w:tr>
        <w:trPr>
          <w:trHeight w:val="205"/>
        </w:trPr>
        <w:tc>
          <w:tcPr>
            <w:tcW w:w="10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our option, in whole or in part, at any time and from time to</w:t>
            </w:r>
          </w:p>
        </w:tc>
        <w:tc>
          <w:tcPr>
            <w:tcW w:w="940" w:type="dxa"/>
            <w:vAlign w:val="bottom"/>
          </w:tcPr>
          <w:p>
            <w:pPr>
              <w:spacing w:after="0"/>
              <w:rPr>
                <w:sz w:val="17"/>
                <w:szCs w:val="17"/>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time, at a redemption price equal to 100% of the principal</w:t>
            </w:r>
          </w:p>
        </w:tc>
        <w:tc>
          <w:tcPr>
            <w:tcW w:w="940" w:type="dxa"/>
            <w:vAlign w:val="bottom"/>
          </w:tcPr>
          <w:p>
            <w:pPr>
              <w:spacing w:after="0"/>
              <w:rPr>
                <w:sz w:val="16"/>
                <w:szCs w:val="16"/>
                <w:color w:val="auto"/>
              </w:rPr>
            </w:pPr>
          </w:p>
        </w:tc>
      </w:tr>
      <w:tr>
        <w:trPr>
          <w:trHeight w:val="193"/>
        </w:trPr>
        <w:tc>
          <w:tcPr>
            <w:tcW w:w="10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460" w:type="dxa"/>
            <w:vAlign w:val="bottom"/>
          </w:tcPr>
          <w:p>
            <w:pPr>
              <w:ind w:left="920"/>
              <w:spacing w:after="0" w:line="193" w:lineRule="exact"/>
              <w:rPr>
                <w:sz w:val="20"/>
                <w:szCs w:val="20"/>
                <w:color w:val="auto"/>
              </w:rPr>
            </w:pPr>
            <w:r>
              <w:rPr>
                <w:rFonts w:ascii="Times New Roman" w:cs="Times New Roman" w:eastAsia="Times New Roman" w:hAnsi="Times New Roman"/>
                <w:sz w:val="17"/>
                <w:szCs w:val="17"/>
                <w:color w:val="auto"/>
              </w:rPr>
              <w:t>amount of the 2027 notes to be redeemed, plus accrued and</w:t>
            </w:r>
          </w:p>
        </w:tc>
        <w:tc>
          <w:tcPr>
            <w:tcW w:w="940" w:type="dxa"/>
            <w:vAlign w:val="bottom"/>
          </w:tcPr>
          <w:p>
            <w:pPr>
              <w:spacing w:after="0"/>
              <w:rPr>
                <w:sz w:val="16"/>
                <w:szCs w:val="16"/>
                <w:color w:val="auto"/>
              </w:rPr>
            </w:pPr>
          </w:p>
        </w:tc>
      </w:tr>
      <w:tr>
        <w:trPr>
          <w:trHeight w:val="222"/>
        </w:trPr>
        <w:tc>
          <w:tcPr>
            <w:tcW w:w="1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unpaid interest thereon to the redemption date.</w:t>
            </w:r>
          </w:p>
        </w:tc>
        <w:tc>
          <w:tcPr>
            <w:tcW w:w="940" w:type="dxa"/>
            <w:vAlign w:val="bottom"/>
          </w:tcPr>
          <w:p>
            <w:pPr>
              <w:spacing w:after="0"/>
              <w:rPr>
                <w:sz w:val="19"/>
                <w:szCs w:val="19"/>
                <w:color w:val="auto"/>
              </w:rPr>
            </w:pPr>
          </w:p>
        </w:tc>
      </w:tr>
      <w:tr>
        <w:trPr>
          <w:trHeight w:val="291"/>
        </w:trPr>
        <w:tc>
          <w:tcPr>
            <w:tcW w:w="10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r>
        <w:trPr>
          <w:trHeight w:val="279"/>
        </w:trPr>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Pr>
          <w:p>
            <w:pPr>
              <w:spacing w:after="0"/>
              <w:rPr>
                <w:sz w:val="24"/>
                <w:szCs w:val="24"/>
                <w:color w:val="auto"/>
              </w:rPr>
            </w:pPr>
          </w:p>
        </w:tc>
      </w:tr>
      <w:tr>
        <w:trPr>
          <w:trHeight w:val="390"/>
        </w:trPr>
        <w:tc>
          <w:tcPr>
            <w:tcW w:w="10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6455410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200"/>
          </w:cols>
          <w:pgMar w:left="840" w:top="92" w:right="85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310515</wp:posOffset>
            </wp:positionV>
            <wp:extent cx="5244465" cy="756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44465" cy="756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20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2031 notes — Prior to May 3, 2031, we may redeem the</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2031 notes at our option, in whole or in part, at any time</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and from time to time, at a redemption price equal to the</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greater of: (1) (a) the sum of the present values of the</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remaining scheduled payments of principal and interest</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thereon discounted to the redemption date (assuming the</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2031 notes matured on the applicable Par Call Date) on a</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semi-annual basis (assuming a 360-day year consisting of</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twelve 30-day months) at the Treasury Rate plus 15 basis</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points, less (b) interest accrued to the redemption date, and</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(2) 100% of the principal amount of the 2031 notes to be</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redeemed, plus, in either case, accrued and unpaid interest</w:t>
            </w:r>
          </w:p>
        </w:tc>
      </w:tr>
      <w:tr>
        <w:trPr>
          <w:trHeight w:val="222"/>
        </w:trPr>
        <w:tc>
          <w:tcPr>
            <w:tcW w:w="2620" w:type="dxa"/>
            <w:vAlign w:val="bottom"/>
          </w:tcPr>
          <w:p>
            <w:pPr>
              <w:spacing w:after="0"/>
              <w:rPr>
                <w:sz w:val="19"/>
                <w:szCs w:val="19"/>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thereon to the redemption date.</w:t>
            </w:r>
          </w:p>
        </w:tc>
      </w:tr>
      <w:tr>
        <w:trPr>
          <w:trHeight w:val="329"/>
        </w:trPr>
        <w:tc>
          <w:tcPr>
            <w:tcW w:w="2620" w:type="dxa"/>
            <w:vAlign w:val="bottom"/>
          </w:tcPr>
          <w:p>
            <w:pPr>
              <w:spacing w:after="0"/>
              <w:rPr>
                <w:sz w:val="24"/>
                <w:szCs w:val="24"/>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On or after May 3, 2031, we may redeem the 2031 notes at</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our option, in whole or in part, at any time and from time to</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time, at a redemption price equal to 100% of the principal</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amount of the 2031 notes to be redeemed, plus accrued and</w:t>
            </w:r>
          </w:p>
        </w:tc>
      </w:tr>
      <w:tr>
        <w:trPr>
          <w:trHeight w:val="222"/>
        </w:trPr>
        <w:tc>
          <w:tcPr>
            <w:tcW w:w="2620" w:type="dxa"/>
            <w:vAlign w:val="bottom"/>
          </w:tcPr>
          <w:p>
            <w:pPr>
              <w:spacing w:after="0"/>
              <w:rPr>
                <w:sz w:val="19"/>
                <w:szCs w:val="19"/>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unpaid interest thereon to the redemption date.</w:t>
            </w:r>
          </w:p>
        </w:tc>
      </w:tr>
      <w:tr>
        <w:trPr>
          <w:trHeight w:val="329"/>
        </w:trPr>
        <w:tc>
          <w:tcPr>
            <w:tcW w:w="2620" w:type="dxa"/>
            <w:vAlign w:val="bottom"/>
          </w:tcPr>
          <w:p>
            <w:pPr>
              <w:spacing w:after="0"/>
              <w:rPr>
                <w:sz w:val="24"/>
                <w:szCs w:val="24"/>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See “Description of Notes — Optional Redemption” in this</w:t>
            </w:r>
          </w:p>
        </w:tc>
      </w:tr>
      <w:tr>
        <w:trPr>
          <w:trHeight w:val="222"/>
        </w:trPr>
        <w:tc>
          <w:tcPr>
            <w:tcW w:w="2620" w:type="dxa"/>
            <w:vAlign w:val="bottom"/>
          </w:tcPr>
          <w:p>
            <w:pPr>
              <w:spacing w:after="0"/>
              <w:rPr>
                <w:sz w:val="19"/>
                <w:szCs w:val="19"/>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prospectus supplement.</w:t>
            </w:r>
          </w:p>
        </w:tc>
      </w:tr>
      <w:tr>
        <w:trPr>
          <w:trHeight w:val="291"/>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Change of Control Offer</w:t>
            </w: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If a change of control triggering event occurs, holders of</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the notes of each series may require us to purchase all or a</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portion of such holders’ notes at a price equal to 101% of</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the principal amount, plus accrued interest, if any, to the</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date of purchase. See “Description of Notes — Change of</w:t>
            </w:r>
          </w:p>
        </w:tc>
      </w:tr>
      <w:tr>
        <w:trPr>
          <w:trHeight w:val="222"/>
        </w:trPr>
        <w:tc>
          <w:tcPr>
            <w:tcW w:w="2620" w:type="dxa"/>
            <w:vAlign w:val="bottom"/>
          </w:tcPr>
          <w:p>
            <w:pPr>
              <w:spacing w:after="0"/>
              <w:rPr>
                <w:sz w:val="19"/>
                <w:szCs w:val="19"/>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Control Offer” in this prospectus supplement.</w:t>
            </w:r>
          </w:p>
        </w:tc>
      </w:tr>
      <w:tr>
        <w:trPr>
          <w:trHeight w:val="291"/>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Ranking</w:t>
            </w: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The notes and the guarantees will constitute the senior</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unsecured debt of Waste Management, Inc. and WM</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Holdings, respectively, and will rank equally with all of our</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and its other existing and future senior obligations from</w:t>
            </w:r>
          </w:p>
        </w:tc>
      </w:tr>
      <w:tr>
        <w:trPr>
          <w:trHeight w:val="222"/>
        </w:trPr>
        <w:tc>
          <w:tcPr>
            <w:tcW w:w="2620" w:type="dxa"/>
            <w:vAlign w:val="bottom"/>
          </w:tcPr>
          <w:p>
            <w:pPr>
              <w:spacing w:after="0"/>
              <w:rPr>
                <w:sz w:val="19"/>
                <w:szCs w:val="19"/>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time to time outstanding.</w:t>
            </w:r>
          </w:p>
        </w:tc>
      </w:tr>
      <w:tr>
        <w:trPr>
          <w:trHeight w:val="291"/>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Covenants</w:t>
            </w: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We will issue the notes under an indenture containing</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covenants for your benefit. These covenants restrict our</w:t>
            </w:r>
          </w:p>
        </w:tc>
      </w:tr>
      <w:tr>
        <w:trPr>
          <w:trHeight w:val="222"/>
        </w:trPr>
        <w:tc>
          <w:tcPr>
            <w:tcW w:w="2620" w:type="dxa"/>
            <w:vAlign w:val="bottom"/>
          </w:tcPr>
          <w:p>
            <w:pPr>
              <w:spacing w:after="0"/>
              <w:rPr>
                <w:sz w:val="19"/>
                <w:szCs w:val="19"/>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ability, with certain exceptions, to:</w:t>
            </w:r>
          </w:p>
        </w:tc>
      </w:tr>
      <w:tr>
        <w:trPr>
          <w:trHeight w:val="334"/>
        </w:trPr>
        <w:tc>
          <w:tcPr>
            <w:tcW w:w="2620" w:type="dxa"/>
            <w:vAlign w:val="bottom"/>
          </w:tcPr>
          <w:p>
            <w:pPr>
              <w:spacing w:after="0"/>
              <w:rPr>
                <w:sz w:val="24"/>
                <w:szCs w:val="24"/>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create, incur or assume debt secured by liens;</w:t>
            </w:r>
          </w:p>
        </w:tc>
      </w:tr>
      <w:tr>
        <w:trPr>
          <w:trHeight w:val="347"/>
        </w:trPr>
        <w:tc>
          <w:tcPr>
            <w:tcW w:w="2620" w:type="dxa"/>
            <w:vAlign w:val="bottom"/>
          </w:tcPr>
          <w:p>
            <w:pPr>
              <w:spacing w:after="0"/>
              <w:rPr>
                <w:sz w:val="24"/>
                <w:szCs w:val="24"/>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engage in sale and leaseback transactions; and</w:t>
            </w:r>
          </w:p>
        </w:tc>
      </w:tr>
      <w:tr>
        <w:trPr>
          <w:trHeight w:val="329"/>
        </w:trPr>
        <w:tc>
          <w:tcPr>
            <w:tcW w:w="2620" w:type="dxa"/>
            <w:vAlign w:val="bottom"/>
          </w:tcPr>
          <w:p>
            <w:pPr>
              <w:spacing w:after="0"/>
              <w:rPr>
                <w:sz w:val="24"/>
                <w:szCs w:val="24"/>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merge, consolidate or transfer all or substantially all of</w:t>
            </w:r>
          </w:p>
        </w:tc>
      </w:tr>
      <w:tr>
        <w:trPr>
          <w:trHeight w:val="222"/>
        </w:trPr>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our assets.</w:t>
            </w:r>
          </w:p>
        </w:tc>
      </w:tr>
      <w:tr>
        <w:trPr>
          <w:trHeight w:val="291"/>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We expect the net proceeds from the offering of the notes to</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be $1.486 billion, after deducting the underwriting</w:t>
            </w:r>
          </w:p>
        </w:tc>
      </w:tr>
      <w:tr>
        <w:trPr>
          <w:trHeight w:val="205"/>
        </w:trPr>
        <w:tc>
          <w:tcPr>
            <w:tcW w:w="2620" w:type="dxa"/>
            <w:vAlign w:val="bottom"/>
          </w:tcPr>
          <w:p>
            <w:pPr>
              <w:spacing w:after="0"/>
              <w:rPr>
                <w:sz w:val="17"/>
                <w:szCs w:val="17"/>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discounts and estimated expenses of the offering that we</w:t>
            </w:r>
          </w:p>
        </w:tc>
      </w:tr>
      <w:tr>
        <w:trPr>
          <w:trHeight w:val="222"/>
        </w:trPr>
        <w:tc>
          <w:tcPr>
            <w:tcW w:w="2620" w:type="dxa"/>
            <w:vAlign w:val="bottom"/>
          </w:tcPr>
          <w:p>
            <w:pPr>
              <w:spacing w:after="0"/>
              <w:rPr>
                <w:sz w:val="19"/>
                <w:szCs w:val="19"/>
                <w:color w:val="auto"/>
              </w:rPr>
            </w:pPr>
          </w:p>
        </w:tc>
        <w:tc>
          <w:tcPr>
            <w:tcW w:w="51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will pay.</w:t>
            </w:r>
          </w:p>
        </w:tc>
      </w:tr>
    </w:tbl>
    <w:p>
      <w:pPr>
        <w:spacing w:after="0" w:line="1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We intend to use the net proceeds from the offering of the</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notes to repay borrowings under our commercial paper</w:t>
      </w:r>
    </w:p>
    <w:p>
      <w:pPr>
        <w:spacing w:after="0" w:line="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program used for working capital, which is fully supported</w:t>
      </w:r>
    </w:p>
    <w:p>
      <w:pPr>
        <w:spacing w:after="0" w:line="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by our $3.5 billion revolving credit facility, and the</w:t>
      </w:r>
    </w:p>
    <w:p>
      <w:pPr>
        <w:spacing w:after="0" w:line="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remainder, if any, for general corporate purposes.</w:t>
      </w:r>
    </w:p>
    <w:p>
      <w:pPr>
        <w:spacing w:after="0" w:line="1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See “Use of Proceeds” in this prospectus supplement.</w:t>
      </w:r>
    </w:p>
    <w:p>
      <w:pPr>
        <w:spacing w:after="0" w:line="200" w:lineRule="exact"/>
        <w:rPr>
          <w:sz w:val="20"/>
          <w:szCs w:val="20"/>
          <w:color w:val="auto"/>
        </w:rPr>
      </w:pPr>
    </w:p>
    <w:p>
      <w:pPr>
        <w:spacing w:after="0" w:line="25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248285</wp:posOffset>
            </wp:positionV>
            <wp:extent cx="649605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313690</wp:posOffset>
            </wp:positionV>
            <wp:extent cx="5244465" cy="7567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44465" cy="7567295"/>
                    </a:xfrm>
                    <a:prstGeom prst="rect">
                      <a:avLst/>
                    </a:prstGeom>
                    <a:noFill/>
                  </pic:spPr>
                </pic:pic>
              </a:graphicData>
            </a:graphic>
          </wp:anchor>
        </w:drawing>
      </w:r>
    </w:p>
    <w:p>
      <w:pPr>
        <w:sectPr>
          <w:pgSz w:w="11900" w:h="16838" w:orient="portrait"/>
          <w:cols w:equalWidth="0" w:num="1">
            <w:col w:w="9599"/>
          </w:cols>
          <w:pgMar w:left="86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Conflicts 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19"/>
        <w:spacing w:after="0" w:line="253" w:lineRule="auto"/>
        <w:rPr>
          <w:sz w:val="20"/>
          <w:szCs w:val="20"/>
          <w:color w:val="auto"/>
        </w:rPr>
      </w:pPr>
      <w:r>
        <w:rPr>
          <w:rFonts w:ascii="Times New Roman" w:cs="Times New Roman" w:eastAsia="Times New Roman" w:hAnsi="Times New Roman"/>
          <w:sz w:val="17"/>
          <w:szCs w:val="17"/>
          <w:color w:val="auto"/>
        </w:rPr>
        <w:t>Certain underwriters or their respective affiliates in this offering are dealers under our commercial paper program and may receive 5% or more of the net proceeds of this offering by reason of the repayment of amounts outstanding under our commercial paper program, which is fully supported by our $3.5 billion revolving credit facility. Accordingly, such underwriters are deemed to have a “conflict of interest” within the meaning of Rule 5121 of the Financial Industry Regulatory Authority, Inc.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200" w:lineRule="exact"/>
        <w:rPr>
          <w:sz w:val="20"/>
          <w:szCs w:val="20"/>
          <w:color w:val="auto"/>
        </w:rPr>
      </w:pPr>
    </w:p>
    <w:p>
      <w:pPr>
        <w:sectPr>
          <w:pgSz w:w="11900" w:h="16838" w:orient="portrait"/>
          <w:cols w:equalWidth="0" w:num="2">
            <w:col w:w="3980" w:space="720"/>
            <w:col w:w="4899"/>
          </w:cols>
          <w:pgMar w:left="860" w:top="100" w:right="1440" w:bottom="1440" w:gutter="0" w:footer="0" w:header="0"/>
          <w:type w:val="continuous"/>
        </w:sectPr>
      </w:pPr>
    </w:p>
    <w:p>
      <w:pPr>
        <w:spacing w:after="0" w:line="9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Trustee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Bank of New York Mellon Trust Company, N.A.</w:t>
      </w:r>
    </w:p>
    <w:p>
      <w:pPr>
        <w:spacing w:after="0" w:line="113" w:lineRule="exact"/>
        <w:rPr>
          <w:sz w:val="20"/>
          <w:szCs w:val="20"/>
          <w:color w:val="auto"/>
        </w:rPr>
      </w:pPr>
    </w:p>
    <w:p>
      <w:pPr>
        <w:sectPr>
          <w:pgSz w:w="11900" w:h="16838" w:orient="portrait"/>
          <w:cols w:equalWidth="0" w:num="2">
            <w:col w:w="3980" w:space="720"/>
            <w:col w:w="4899"/>
          </w:cols>
          <w:pgMar w:left="860" w:top="100"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Further Issuances</w:t>
      </w:r>
    </w:p>
    <w:p>
      <w:pPr>
        <w:spacing w:after="0" w:line="20" w:lineRule="exact"/>
        <w:rPr>
          <w:sz w:val="20"/>
          <w:szCs w:val="20"/>
          <w:color w:val="auto"/>
        </w:rPr>
      </w:pPr>
      <w:r>
        <w:rPr>
          <w:sz w:val="20"/>
          <w:szCs w:val="20"/>
          <w:color w:val="auto"/>
        </w:rPr>
        <w:br w:type="column"/>
      </w:r>
    </w:p>
    <w:p>
      <w:pPr>
        <w:ind w:right="659"/>
        <w:spacing w:after="0" w:line="278" w:lineRule="auto"/>
        <w:rPr>
          <w:sz w:val="20"/>
          <w:szCs w:val="20"/>
          <w:color w:val="auto"/>
        </w:rPr>
      </w:pPr>
      <w:r>
        <w:rPr>
          <w:rFonts w:ascii="Times New Roman" w:cs="Times New Roman" w:eastAsia="Times New Roman" w:hAnsi="Times New Roman"/>
          <w:sz w:val="17"/>
          <w:szCs w:val="17"/>
          <w:color w:val="auto"/>
        </w:rPr>
        <w:t>We may create and issue additional notes of each series ranking equally and ratably with the notes of such series offered by this prospectus supplement in all respects, so that such additional notes will be consolidated and form a single series with the notes of such series offered by this prospectus supplement and will have the same terms, as to the initial interest payment date, if applicable, and the payment of interest accruing prior to the issue date of such additional notes; provided, however, that a separate CUSIP or ISIN will be issued for the additional notes unless the notes and the additional notes are fungible for U.S. federal income tax purposes.</w:t>
      </w:r>
    </w:p>
    <w:p>
      <w:pPr>
        <w:spacing w:after="0" w:line="55" w:lineRule="exact"/>
        <w:rPr>
          <w:sz w:val="20"/>
          <w:szCs w:val="20"/>
          <w:color w:val="auto"/>
        </w:rPr>
      </w:pPr>
    </w:p>
    <w:p>
      <w:pPr>
        <w:sectPr>
          <w:pgSz w:w="11900" w:h="16838" w:orient="portrait"/>
          <w:cols w:equalWidth="0" w:num="2">
            <w:col w:w="3980" w:space="720"/>
            <w:col w:w="4899"/>
          </w:cols>
          <w:pgMar w:left="860" w:top="100"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779"/>
        <w:spacing w:after="0" w:line="268" w:lineRule="auto"/>
        <w:rPr>
          <w:sz w:val="20"/>
          <w:szCs w:val="20"/>
          <w:color w:val="auto"/>
        </w:rPr>
      </w:pPr>
      <w:r>
        <w:rPr>
          <w:rFonts w:ascii="Times New Roman" w:cs="Times New Roman" w:eastAsia="Times New Roman" w:hAnsi="Times New Roman"/>
          <w:sz w:val="17"/>
          <w:szCs w:val="17"/>
          <w:color w:val="auto"/>
        </w:rPr>
        <w:t>See page S-6 of this prospectus supplement and page 8 of the accompanying prospectus for a discussion of the risks you should consider before investing in the notes.</w:t>
      </w:r>
    </w:p>
    <w:p>
      <w:pPr>
        <w:spacing w:after="0" w:line="200" w:lineRule="exact"/>
        <w:rPr>
          <w:sz w:val="20"/>
          <w:szCs w:val="20"/>
          <w:color w:val="auto"/>
        </w:rPr>
      </w:pPr>
    </w:p>
    <w:p>
      <w:pPr>
        <w:sectPr>
          <w:pgSz w:w="11900" w:h="16838" w:orient="portrait"/>
          <w:cols w:equalWidth="0" w:num="2">
            <w:col w:w="3980" w:space="720"/>
            <w:col w:w="4899"/>
          </w:cols>
          <w:pgMar w:left="860" w:top="10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100"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51" w:lineRule="exact"/>
        <w:rPr>
          <w:sz w:val="20"/>
          <w:szCs w:val="20"/>
          <w:color w:val="auto"/>
        </w:rPr>
      </w:pPr>
    </w:p>
    <w:p>
      <w:pPr>
        <w:ind w:left="1180" w:right="719" w:firstLine="342"/>
        <w:spacing w:after="0" w:line="255" w:lineRule="auto"/>
        <w:rPr>
          <w:sz w:val="20"/>
          <w:szCs w:val="20"/>
          <w:color w:val="auto"/>
        </w:rPr>
      </w:pPr>
      <w:r>
        <w:rPr>
          <w:rFonts w:ascii="Times New Roman" w:cs="Times New Roman" w:eastAsia="Times New Roman" w:hAnsi="Times New Roman"/>
          <w:sz w:val="17"/>
          <w:szCs w:val="17"/>
          <w:i w:val="1"/>
          <w:iCs w:val="1"/>
          <w:color w:val="auto"/>
        </w:rPr>
        <w:t>You should carefully consider the risk factors identified in Part I, Item 1A., “Risk Factors,” of our Annual Report on Form 10-K for the year ended December 31, 2023 and the risks identified in our other 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Risks Related to the Notes</w:t>
      </w:r>
    </w:p>
    <w:p>
      <w:pPr>
        <w:spacing w:after="0" w:line="213" w:lineRule="exact"/>
        <w:rPr>
          <w:sz w:val="20"/>
          <w:szCs w:val="20"/>
          <w:color w:val="auto"/>
        </w:rPr>
      </w:pPr>
    </w:p>
    <w:p>
      <w:pPr>
        <w:ind w:left="1180" w:right="959"/>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substantial indebtedness could impair our financial condition and our ability to fulfill our debt obligations, including our obligations under the notes.</w:t>
      </w:r>
    </w:p>
    <w:p>
      <w:pPr>
        <w:spacing w:after="0" w:line="82" w:lineRule="exact"/>
        <w:rPr>
          <w:sz w:val="20"/>
          <w:szCs w:val="20"/>
          <w:color w:val="auto"/>
        </w:rPr>
      </w:pPr>
    </w:p>
    <w:p>
      <w:pPr>
        <w:ind w:left="1180" w:right="659" w:firstLine="342"/>
        <w:spacing w:after="0" w:line="254" w:lineRule="auto"/>
        <w:rPr>
          <w:sz w:val="20"/>
          <w:szCs w:val="20"/>
          <w:color w:val="auto"/>
        </w:rPr>
      </w:pPr>
      <w:r>
        <w:rPr>
          <w:rFonts w:ascii="Times New Roman" w:cs="Times New Roman" w:eastAsia="Times New Roman" w:hAnsi="Times New Roman"/>
          <w:sz w:val="17"/>
          <w:szCs w:val="17"/>
          <w:color w:val="auto"/>
        </w:rPr>
        <w:t>We have substantial indebtedness. At March 31, 2024, our ratio of total debt to total capitalization was 69.5%, and we had $16.1 billion of total debt. In addition, as of March 31, 2024, we had approximately $1.0 billion of total letters of credit outstanding under our various facilities and certain bi-lateral agreements, including $181 million of such outstanding letters of credit that were issued under and supported by our $3.5 billion revolving credit facility. Our indebtedness that bears interest at a floating rate makes us vulnerable to changes in interest rates. As of March 31, 2024, we had approximately $3.1 billion of debt maturing within the next 12 months, including: (i) $750 million of short-term borrowings under our commercial paper program (net of related discount on issuance); (ii) $1.6 billion of tax-exempt bonds with term interest rate periods that expire within the next 12 months, which is prior to their scheduled maturities;</w:t>
      </w:r>
    </w:p>
    <w:p>
      <w:pPr>
        <w:spacing w:after="0" w:line="3" w:lineRule="exact"/>
        <w:rPr>
          <w:sz w:val="20"/>
          <w:szCs w:val="20"/>
          <w:color w:val="auto"/>
        </w:rPr>
      </w:pPr>
    </w:p>
    <w:p>
      <w:pPr>
        <w:ind w:left="1180" w:right="739" w:firstLine="3"/>
        <w:spacing w:after="0" w:line="256" w:lineRule="auto"/>
        <w:tabs>
          <w:tab w:leader="none" w:pos="15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$156 million of 3.5% senior notes that matured in May 2024; (iv) $422 million of 3.125% senior notes that mature in March 2025; and (v) $180 million of other debt with scheduled maturities within the next 12 months, including $60 million of tax-exempt bonds. Our level of indebtedness and the covenants contained in the agreements governing our debt could have important consequences, including:</w:t>
      </w:r>
    </w:p>
    <w:p>
      <w:pPr>
        <w:spacing w:after="0" w:line="72" w:lineRule="exact"/>
        <w:rPr>
          <w:rFonts w:ascii="Times New Roman" w:cs="Times New Roman" w:eastAsia="Times New Roman" w:hAnsi="Times New Roman"/>
          <w:sz w:val="17"/>
          <w:szCs w:val="17"/>
          <w:color w:val="auto"/>
        </w:rPr>
      </w:pPr>
    </w:p>
    <w:p>
      <w:pPr>
        <w:ind w:left="1700" w:right="1019" w:hanging="175"/>
        <w:spacing w:after="0" w:line="268" w:lineRule="auto"/>
        <w:tabs>
          <w:tab w:leader="none" w:pos="17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us to satisfy our obligations with respect to the notes and our other indebtedness, which could in turn result in an event of default on such other indebtedness or the notes;</w:t>
      </w:r>
    </w:p>
    <w:p>
      <w:pPr>
        <w:spacing w:after="0" w:line="63" w:lineRule="exact"/>
        <w:rPr>
          <w:rFonts w:ascii="Times New Roman" w:cs="Times New Roman" w:eastAsia="Times New Roman" w:hAnsi="Times New Roman"/>
          <w:sz w:val="17"/>
          <w:szCs w:val="17"/>
          <w:color w:val="auto"/>
        </w:rPr>
      </w:pPr>
    </w:p>
    <w:p>
      <w:pPr>
        <w:ind w:left="1700" w:right="1339" w:hanging="175"/>
        <w:spacing w:after="0" w:line="285" w:lineRule="auto"/>
        <w:tabs>
          <w:tab w:leader="none" w:pos="17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impairing our ability to obtain additional financing in the future for working capital, capital expenditures, acquisitions, general corporate purposes or other purposes;</w:t>
      </w:r>
    </w:p>
    <w:p>
      <w:pPr>
        <w:spacing w:after="0" w:line="49" w:lineRule="exact"/>
        <w:rPr>
          <w:rFonts w:ascii="Times New Roman" w:cs="Times New Roman" w:eastAsia="Times New Roman" w:hAnsi="Times New Roman"/>
          <w:sz w:val="17"/>
          <w:szCs w:val="17"/>
          <w:color w:val="auto"/>
        </w:rPr>
      </w:pPr>
    </w:p>
    <w:p>
      <w:pPr>
        <w:jc w:val="both"/>
        <w:ind w:left="1700" w:right="1219" w:hanging="175"/>
        <w:spacing w:after="0" w:line="268" w:lineRule="auto"/>
        <w:tabs>
          <w:tab w:leader="none" w:pos="17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76" w:lineRule="exact"/>
        <w:rPr>
          <w:rFonts w:ascii="Times New Roman" w:cs="Times New Roman" w:eastAsia="Times New Roman" w:hAnsi="Times New Roman"/>
          <w:sz w:val="17"/>
          <w:szCs w:val="17"/>
          <w:color w:val="auto"/>
        </w:rPr>
      </w:pPr>
    </w:p>
    <w:p>
      <w:pPr>
        <w:ind w:left="1700" w:right="959" w:hanging="175"/>
        <w:spacing w:after="0" w:line="285" w:lineRule="auto"/>
        <w:tabs>
          <w:tab w:leader="none" w:pos="17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or reacting to, changes in our business and the industry in which we operate; and</w:t>
      </w:r>
    </w:p>
    <w:p>
      <w:pPr>
        <w:spacing w:after="0" w:line="49" w:lineRule="exact"/>
        <w:rPr>
          <w:rFonts w:ascii="Times New Roman" w:cs="Times New Roman" w:eastAsia="Times New Roman" w:hAnsi="Times New Roman"/>
          <w:sz w:val="17"/>
          <w:szCs w:val="17"/>
          <w:color w:val="auto"/>
        </w:rPr>
      </w:pPr>
    </w:p>
    <w:p>
      <w:pPr>
        <w:ind w:left="1700" w:right="719" w:hanging="175"/>
        <w:spacing w:after="0" w:line="285" w:lineRule="auto"/>
        <w:tabs>
          <w:tab w:leader="none" w:pos="17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competitive disadvantage compared to our competitors that have proportionately less debt.</w:t>
      </w:r>
    </w:p>
    <w:p>
      <w:pPr>
        <w:spacing w:after="0" w:line="88" w:lineRule="exact"/>
        <w:rPr>
          <w:sz w:val="20"/>
          <w:szCs w:val="20"/>
          <w:color w:val="auto"/>
        </w:rPr>
      </w:pPr>
    </w:p>
    <w:p>
      <w:pPr>
        <w:ind w:left="1180" w:right="679" w:firstLine="342"/>
        <w:spacing w:after="0" w:line="256" w:lineRule="auto"/>
        <w:rPr>
          <w:sz w:val="20"/>
          <w:szCs w:val="20"/>
          <w:color w:val="auto"/>
        </w:rPr>
      </w:pPr>
      <w:r>
        <w:rPr>
          <w:rFonts w:ascii="Times New Roman" w:cs="Times New Roman" w:eastAsia="Times New Roman" w:hAnsi="Times New Roman"/>
          <w:sz w:val="17"/>
          <w:szCs w:val="17"/>
          <w:color w:val="auto"/>
        </w:rPr>
        <w:t>We are not prohibited under the indenture governing the notes from incurring additional indebtedness. We expect the Merger to close as early as the fourth quarter of 2024, and we intend to finance the Merger through a combination of bank debt and proceeds from senior notes (not including the notes being offered hereby). Although our $3.5 billion revolving credit facility requires us to maintain a specified ratio of Total Debt to EBITDA (as defined in our $3.5 billion revolving credit facility), following this offering of notes and the use of proceeds contemplated hereby, we expect to have the ability to incur additional indebtedness, including indebtedness related to the Merger, while remaining in compliance with this covenant. Our incurrence of additional indebtedness would exacerbate the negative consequences mentioned above, and could adversely affect our ability to service and repay the notes.</w:t>
      </w:r>
    </w:p>
    <w:p>
      <w:pPr>
        <w:spacing w:after="0" w:line="3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We are a holding company and we depend upon cash distributions from our subsidiaries to service our debt.</w:t>
      </w:r>
    </w:p>
    <w:p>
      <w:pPr>
        <w:spacing w:after="0" w:line="157" w:lineRule="exact"/>
        <w:rPr>
          <w:sz w:val="20"/>
          <w:szCs w:val="20"/>
          <w:color w:val="auto"/>
        </w:rPr>
      </w:pPr>
    </w:p>
    <w:p>
      <w:pPr>
        <w:ind w:left="1180" w:right="659" w:firstLine="342"/>
        <w:spacing w:after="0" w:line="245" w:lineRule="auto"/>
        <w:rPr>
          <w:sz w:val="20"/>
          <w:szCs w:val="20"/>
          <w:color w:val="auto"/>
        </w:rPr>
      </w:pPr>
      <w:r>
        <w:rPr>
          <w:rFonts w:ascii="Times New Roman" w:cs="Times New Roman" w:eastAsia="Times New Roman" w:hAnsi="Times New Roman"/>
          <w:sz w:val="17"/>
          <w:szCs w:val="17"/>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3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b w:val="1"/>
          <w:bCs w:val="1"/>
          <w:i w:val="1"/>
          <w:iCs w:val="1"/>
          <w:color w:val="auto"/>
        </w:rPr>
        <w:t>Downgrades in our credit ratings or changes in the debt markets may adversely affect the market price of the notes.</w:t>
      </w:r>
    </w:p>
    <w:p>
      <w:pPr>
        <w:spacing w:after="0" w:line="15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market price for the notes will depend on a number of factors, including:</w:t>
      </w:r>
    </w:p>
    <w:p>
      <w:pPr>
        <w:spacing w:after="0" w:line="113" w:lineRule="exact"/>
        <w:rPr>
          <w:sz w:val="20"/>
          <w:szCs w:val="20"/>
          <w:color w:val="auto"/>
        </w:rPr>
      </w:pPr>
    </w:p>
    <w:p>
      <w:pPr>
        <w:ind w:left="1700" w:hanging="175"/>
        <w:spacing w:after="0"/>
        <w:tabs>
          <w:tab w:leader="none" w:pos="1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credit ratings with major credit rating agencies;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prevailing interest rates being paid by other companies similar to us;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condition, operating performance and future prospects; and</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condition of the financial markets and global and domestic economies.</w:t>
      </w:r>
    </w:p>
    <w:p>
      <w:pPr>
        <w:spacing w:after="0" w:line="138" w:lineRule="exact"/>
        <w:rPr>
          <w:sz w:val="20"/>
          <w:szCs w:val="20"/>
          <w:color w:val="auto"/>
        </w:rPr>
      </w:pPr>
    </w:p>
    <w:p>
      <w:pPr>
        <w:ind w:left="1180" w:right="639" w:firstLine="342"/>
        <w:spacing w:after="0" w:line="249" w:lineRule="auto"/>
        <w:rPr>
          <w:sz w:val="20"/>
          <w:szCs w:val="20"/>
          <w:color w:val="auto"/>
        </w:rPr>
      </w:pPr>
      <w:r>
        <w:rPr>
          <w:rFonts w:ascii="Times New Roman" w:cs="Times New Roman" w:eastAsia="Times New Roman" w:hAnsi="Times New Roman"/>
          <w:sz w:val="17"/>
          <w:szCs w:val="17"/>
          <w:color w:val="auto"/>
        </w:rPr>
        <w:t>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The notes will be effectively subordinated to certain of our subsidiaries’ debt and our secured debt.</w:t>
      </w:r>
    </w:p>
    <w:p>
      <w:pPr>
        <w:spacing w:after="0" w:line="157" w:lineRule="exact"/>
        <w:rPr>
          <w:sz w:val="20"/>
          <w:szCs w:val="20"/>
          <w:color w:val="auto"/>
        </w:rPr>
      </w:pPr>
    </w:p>
    <w:p>
      <w:pPr>
        <w:ind w:left="1180" w:right="619" w:firstLine="342"/>
        <w:spacing w:after="0" w:line="243" w:lineRule="auto"/>
        <w:rPr>
          <w:sz w:val="20"/>
          <w:szCs w:val="20"/>
          <w:color w:val="auto"/>
        </w:rPr>
      </w:pPr>
      <w:r>
        <w:rPr>
          <w:rFonts w:ascii="Times New Roman" w:cs="Times New Roman" w:eastAsia="Times New Roman" w:hAnsi="Times New Roman"/>
          <w:sz w:val="17"/>
          <w:szCs w:val="17"/>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March 31, 2024 was $ 395 million. As of March 31, 2024, our operating subsidiaries had $2.2 billion of indebtedness and WM Holdings had $223 million of long-term debt (excluding guarantees of $11.2 billion of our senior debt), in each case excluding intercompany loans. For a description of the ranking of the notes, see “Description of Notes — Ranking” in this prospectus supplement.</w:t>
      </w:r>
    </w:p>
    <w:p>
      <w:pPr>
        <w:spacing w:after="0" w:line="3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Fraudulent transfer statutes may limit your rights under the guarantees of the notes.</w:t>
      </w:r>
    </w:p>
    <w:p>
      <w:pPr>
        <w:spacing w:after="0" w:line="157" w:lineRule="exact"/>
        <w:rPr>
          <w:sz w:val="20"/>
          <w:szCs w:val="20"/>
          <w:color w:val="auto"/>
        </w:rPr>
      </w:pPr>
    </w:p>
    <w:p>
      <w:pPr>
        <w:ind w:left="1180" w:right="619" w:firstLine="342"/>
        <w:spacing w:after="0" w:line="247" w:lineRule="auto"/>
        <w:rPr>
          <w:sz w:val="20"/>
          <w:szCs w:val="20"/>
          <w:color w:val="auto"/>
        </w:rPr>
      </w:pPr>
      <w:r>
        <w:rPr>
          <w:rFonts w:ascii="Times New Roman" w:cs="Times New Roman" w:eastAsia="Times New Roman" w:hAnsi="Times New Roman"/>
          <w:sz w:val="17"/>
          <w:szCs w:val="17"/>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w:t>
      </w:r>
    </w:p>
    <w:p>
      <w:pPr>
        <w:spacing w:after="0" w:line="3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39"/>
        <w:spacing w:after="0" w:line="252" w:lineRule="auto"/>
        <w:rPr>
          <w:sz w:val="20"/>
          <w:szCs w:val="20"/>
          <w:color w:val="auto"/>
        </w:rPr>
      </w:pPr>
      <w:r>
        <w:rPr>
          <w:rFonts w:ascii="Times New Roman" w:cs="Times New Roman" w:eastAsia="Times New Roman" w:hAnsi="Times New Roman"/>
          <w:sz w:val="17"/>
          <w:szCs w:val="17"/>
          <w:color w:val="auto"/>
        </w:rPr>
        <w:t>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61" w:lineRule="exact"/>
        <w:rPr>
          <w:sz w:val="20"/>
          <w:szCs w:val="20"/>
          <w:color w:val="auto"/>
        </w:rPr>
      </w:pPr>
    </w:p>
    <w:p>
      <w:pPr>
        <w:ind w:left="118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funds to purchase the notes upon a change of control triggering event, and this covenant provides limited protection to investors.</w:t>
      </w:r>
    </w:p>
    <w:p>
      <w:pPr>
        <w:spacing w:after="0" w:line="83" w:lineRule="exact"/>
        <w:rPr>
          <w:sz w:val="20"/>
          <w:szCs w:val="20"/>
          <w:color w:val="auto"/>
        </w:rPr>
      </w:pPr>
    </w:p>
    <w:p>
      <w:pPr>
        <w:ind w:left="1180" w:right="679" w:firstLine="342"/>
        <w:spacing w:after="0" w:line="252" w:lineRule="auto"/>
        <w:rPr>
          <w:sz w:val="20"/>
          <w:szCs w:val="20"/>
          <w:color w:val="auto"/>
        </w:rPr>
      </w:pPr>
      <w:r>
        <w:rPr>
          <w:rFonts w:ascii="Times New Roman" w:cs="Times New Roman" w:eastAsia="Times New Roman" w:hAnsi="Times New Roman"/>
          <w:sz w:val="17"/>
          <w:szCs w:val="17"/>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103" w:lineRule="exact"/>
        <w:rPr>
          <w:sz w:val="20"/>
          <w:szCs w:val="20"/>
          <w:color w:val="auto"/>
        </w:rPr>
      </w:pPr>
    </w:p>
    <w:p>
      <w:pPr>
        <w:ind w:left="1180" w:right="639" w:firstLine="342"/>
        <w:spacing w:after="0" w:line="247" w:lineRule="auto"/>
        <w:rPr>
          <w:sz w:val="20"/>
          <w:szCs w:val="20"/>
          <w:color w:val="auto"/>
        </w:rPr>
      </w:pPr>
      <w:r>
        <w:rPr>
          <w:rFonts w:ascii="Times New Roman" w:cs="Times New Roman" w:eastAsia="Times New Roman" w:hAnsi="Times New Roman"/>
          <w:sz w:val="17"/>
          <w:szCs w:val="17"/>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3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You may not be able to sell the notes for a profit or at all.</w:t>
      </w:r>
    </w:p>
    <w:p>
      <w:pPr>
        <w:spacing w:after="0" w:line="157" w:lineRule="exact"/>
        <w:rPr>
          <w:sz w:val="20"/>
          <w:szCs w:val="20"/>
          <w:color w:val="auto"/>
        </w:rPr>
      </w:pPr>
    </w:p>
    <w:p>
      <w:pPr>
        <w:ind w:left="1180" w:right="619" w:firstLine="342"/>
        <w:spacing w:after="0" w:line="245" w:lineRule="auto"/>
        <w:rPr>
          <w:sz w:val="20"/>
          <w:szCs w:val="20"/>
          <w:color w:val="auto"/>
        </w:rPr>
      </w:pPr>
      <w:r>
        <w:rPr>
          <w:rFonts w:ascii="Times New Roman" w:cs="Times New Roman" w:eastAsia="Times New Roman" w:hAnsi="Times New Roman"/>
          <w:sz w:val="17"/>
          <w:szCs w:val="17"/>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37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Risks Related to the Merger</w:t>
      </w:r>
    </w:p>
    <w:p>
      <w:pPr>
        <w:spacing w:after="0" w:line="213" w:lineRule="exact"/>
        <w:rPr>
          <w:sz w:val="20"/>
          <w:szCs w:val="20"/>
          <w:color w:val="auto"/>
        </w:rPr>
      </w:pPr>
    </w:p>
    <w:p>
      <w:pPr>
        <w:jc w:val="both"/>
        <w:ind w:left="1180" w:right="63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Our planned acquisition of Stericycle may not occur at all, may not occur in the expected time frame or may involve remedies required by regulatory authorities, which may negatively affect the trading price of our common stock and our future business and financial results.</w:t>
      </w:r>
    </w:p>
    <w:p>
      <w:pPr>
        <w:spacing w:after="0" w:line="92" w:lineRule="exact"/>
        <w:rPr>
          <w:sz w:val="20"/>
          <w:szCs w:val="20"/>
          <w:color w:val="auto"/>
        </w:rPr>
      </w:pPr>
    </w:p>
    <w:p>
      <w:pPr>
        <w:ind w:left="1180" w:right="719" w:firstLine="342"/>
        <w:spacing w:after="0" w:line="245" w:lineRule="auto"/>
        <w:rPr>
          <w:sz w:val="20"/>
          <w:szCs w:val="20"/>
          <w:color w:val="auto"/>
        </w:rPr>
      </w:pPr>
      <w:r>
        <w:rPr>
          <w:rFonts w:ascii="Times New Roman" w:cs="Times New Roman" w:eastAsia="Times New Roman" w:hAnsi="Times New Roman"/>
          <w:sz w:val="17"/>
          <w:szCs w:val="17"/>
          <w:color w:val="auto"/>
        </w:rPr>
        <w:t>If the Merger is completed, Stericycle will become our indirect wholly owned subsidiary. The consummation of the acquisition is not assured and is subject to certain conditions, including, among other things, (i) the affirmative vote of the holders of a majority of the voting power represented by the shares of Stericycle Common Stock that are outstanding and entitled to vote at the meeting of stockholders of Stericycle, (ii) customary regulatory approval, including pursuant to the Hart-Scott-Rodino Antitrust Improvements Act of 1976, as amended, and the rules and regulations promulgated thereunder, and certain foreign competition laws and foreign investment laws, and (iii) the absence of any law or order restraining, enjoining or otherwise prohibiting the Merger, as well as other customary closing conditions.</w:t>
      </w:r>
    </w:p>
    <w:p>
      <w:pPr>
        <w:spacing w:after="0" w:line="11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planned acquisition of Stericycle is subject to a number of risks and uncertainties, including</w:t>
      </w:r>
    </w:p>
    <w:p>
      <w:pPr>
        <w:spacing w:after="0" w:line="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general economic and capital markets conditions; the effects that the announcement or pendency of the</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Merger may have on us, Stericycle and our respective businesses; inability to obtain required regulatory or</w:t>
      </w:r>
    </w:p>
    <w:p>
      <w:pPr>
        <w:ind w:left="1180"/>
        <w:spacing w:after="0" w:line="236" w:lineRule="auto"/>
        <w:rPr>
          <w:sz w:val="20"/>
          <w:szCs w:val="20"/>
          <w:color w:val="auto"/>
        </w:rPr>
      </w:pPr>
      <w:r>
        <w:rPr>
          <w:rFonts w:ascii="Times New Roman" w:cs="Times New Roman" w:eastAsia="Times New Roman" w:hAnsi="Times New Roman"/>
          <w:sz w:val="17"/>
          <w:szCs w:val="17"/>
          <w:color w:val="auto"/>
        </w:rPr>
        <w:t>government approvals or to obtain such approvals on satisfactory conditions; inability of Stericycle to</w:t>
      </w:r>
    </w:p>
    <w:p>
      <w:pPr>
        <w:ind w:left="1180"/>
        <w:spacing w:after="0"/>
        <w:rPr>
          <w:sz w:val="20"/>
          <w:szCs w:val="20"/>
          <w:color w:val="auto"/>
        </w:rPr>
      </w:pPr>
      <w:r>
        <w:rPr>
          <w:rFonts w:ascii="Times New Roman" w:cs="Times New Roman" w:eastAsia="Times New Roman" w:hAnsi="Times New Roman"/>
          <w:sz w:val="17"/>
          <w:szCs w:val="17"/>
          <w:color w:val="auto"/>
        </w:rPr>
        <w:t>obtain stockholder approval or satisfy other closing conditions; our inability to obtain financing on</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acceptable terms; the occurrence of any event, change or other circumstance that could give rise to the</w:t>
      </w:r>
    </w:p>
    <w:p>
      <w:pPr>
        <w:ind w:left="1180"/>
        <w:spacing w:after="0" w:line="236" w:lineRule="auto"/>
        <w:rPr>
          <w:sz w:val="20"/>
          <w:szCs w:val="20"/>
          <w:color w:val="auto"/>
        </w:rPr>
      </w:pPr>
      <w:r>
        <w:rPr>
          <w:rFonts w:ascii="Times New Roman" w:cs="Times New Roman" w:eastAsia="Times New Roman" w:hAnsi="Times New Roman"/>
          <w:sz w:val="17"/>
          <w:szCs w:val="17"/>
          <w:color w:val="auto"/>
        </w:rPr>
        <w:t>termination of the Merger Agreement, several of which could require us to pay a termination fee of</w:t>
      </w:r>
    </w:p>
    <w:p>
      <w:pPr>
        <w:ind w:left="1180"/>
        <w:spacing w:after="0"/>
        <w:rPr>
          <w:sz w:val="20"/>
          <w:szCs w:val="20"/>
          <w:color w:val="auto"/>
        </w:rPr>
      </w:pPr>
      <w:r>
        <w:rPr>
          <w:rFonts w:ascii="Times New Roman" w:cs="Times New Roman" w:eastAsia="Times New Roman" w:hAnsi="Times New Roman"/>
          <w:sz w:val="17"/>
          <w:szCs w:val="17"/>
          <w:color w:val="auto"/>
        </w:rPr>
        <w:t>$262.5 million to Stericycle; legal proceedings that may be instituted related to the proposed acquisition and</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the legal expenses and diversion of management’s attention that may be associated therewith; and</w:t>
      </w:r>
    </w:p>
    <w:p>
      <w:pPr>
        <w:ind w:left="1180"/>
        <w:spacing w:after="0"/>
        <w:rPr>
          <w:sz w:val="20"/>
          <w:szCs w:val="20"/>
          <w:color w:val="auto"/>
        </w:rPr>
      </w:pPr>
      <w:r>
        <w:rPr>
          <w:rFonts w:ascii="Times New Roman" w:cs="Times New Roman" w:eastAsia="Times New Roman" w:hAnsi="Times New Roman"/>
          <w:sz w:val="17"/>
          <w:szCs w:val="17"/>
          <w:color w:val="auto"/>
        </w:rPr>
        <w:t>unexpected costs,</w:t>
      </w:r>
    </w:p>
    <w:p>
      <w:pPr>
        <w:spacing w:after="0" w:line="36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39"/>
        <w:spacing w:after="0" w:line="263" w:lineRule="auto"/>
        <w:rPr>
          <w:sz w:val="20"/>
          <w:szCs w:val="20"/>
          <w:color w:val="auto"/>
        </w:rPr>
      </w:pPr>
      <w:r>
        <w:rPr>
          <w:rFonts w:ascii="Times New Roman" w:cs="Times New Roman" w:eastAsia="Times New Roman" w:hAnsi="Times New Roman"/>
          <w:sz w:val="17"/>
          <w:szCs w:val="17"/>
          <w:color w:val="auto"/>
        </w:rPr>
        <w:t>charges or expenses. If the planned acquisition of Stericycle is not completed, if there are significant delays in completing the planned acquisition or if the planned acquisition involves an unexpected amount of remedies required by regulatory authorities, it could negatively affect the trading price of our common stock and our future business and financial results.</w:t>
      </w:r>
    </w:p>
    <w:p>
      <w:pPr>
        <w:spacing w:after="0" w:line="164" w:lineRule="exact"/>
        <w:rPr>
          <w:sz w:val="20"/>
          <w:szCs w:val="20"/>
          <w:color w:val="auto"/>
        </w:rPr>
      </w:pPr>
    </w:p>
    <w:p>
      <w:pPr>
        <w:ind w:left="1180" w:right="959"/>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realize the strategic benefits and cost synergies that are anticipated from the planned acquisition of Stericycle.</w:t>
      </w:r>
    </w:p>
    <w:p>
      <w:pPr>
        <w:spacing w:after="0" w:line="82" w:lineRule="exact"/>
        <w:rPr>
          <w:sz w:val="20"/>
          <w:szCs w:val="20"/>
          <w:color w:val="auto"/>
        </w:rPr>
      </w:pPr>
    </w:p>
    <w:p>
      <w:pPr>
        <w:ind w:left="1180" w:right="679" w:firstLine="342"/>
        <w:spacing w:after="0" w:line="255" w:lineRule="auto"/>
        <w:rPr>
          <w:sz w:val="20"/>
          <w:szCs w:val="20"/>
          <w:color w:val="auto"/>
        </w:rPr>
      </w:pPr>
      <w:r>
        <w:rPr>
          <w:rFonts w:ascii="Times New Roman" w:cs="Times New Roman" w:eastAsia="Times New Roman" w:hAnsi="Times New Roman"/>
          <w:sz w:val="17"/>
          <w:szCs w:val="17"/>
          <w:color w:val="auto"/>
        </w:rPr>
        <w:t>The benefits that are expected to result from the planned acquisition of Stericycle will depend, in part, on our ability to realize anticipated cost synergies. Our success in realizing these benefits and cost synergies, and the timing of this realization, depends on the successful integration of Stericycle. There is a significant degree of difficulty and management distraction inherent in the process of integrating an acquisition. The process of integrating operations could cause business interruption and distraction. Some members of our management may be required to devote considerable time to this integration process, which will decrease the time they will have to manage the Company,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w:t>
      </w:r>
    </w:p>
    <w:p>
      <w:pPr>
        <w:spacing w:after="0" w:line="118" w:lineRule="exact"/>
        <w:rPr>
          <w:sz w:val="20"/>
          <w:szCs w:val="20"/>
          <w:color w:val="auto"/>
        </w:rPr>
      </w:pPr>
    </w:p>
    <w:p>
      <w:pPr>
        <w:jc w:val="both"/>
        <w:ind w:left="1180" w:right="939" w:firstLine="342"/>
        <w:spacing w:after="0" w:line="263" w:lineRule="auto"/>
        <w:rPr>
          <w:sz w:val="20"/>
          <w:szCs w:val="20"/>
          <w:color w:val="auto"/>
        </w:rPr>
      </w:pPr>
      <w:r>
        <w:rPr>
          <w:rFonts w:ascii="Times New Roman" w:cs="Times New Roman" w:eastAsia="Times New Roman" w:hAnsi="Times New Roman"/>
          <w:sz w:val="17"/>
          <w:szCs w:val="17"/>
          <w:color w:val="auto"/>
        </w:rPr>
        <w:t>The acquisition of Stericycle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Stericycle, which may exceed expectations and offset certain benefits.</w:t>
      </w:r>
    </w:p>
    <w:p>
      <w:pPr>
        <w:spacing w:after="0" w:line="164" w:lineRule="exact"/>
        <w:rPr>
          <w:sz w:val="20"/>
          <w:szCs w:val="20"/>
          <w:color w:val="auto"/>
        </w:rPr>
      </w:pPr>
    </w:p>
    <w:p>
      <w:pPr>
        <w:ind w:left="1180" w:right="73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Our indebtedness following the consummation of the Merger will be greater than our existing indebtedness. Therefore, following the consummation of the Merger, it may be more difficult for us to pay or refinance our debts or take other actions, and we may need to divert cash flow from operations to debt service payments.</w:t>
      </w:r>
    </w:p>
    <w:p>
      <w:pPr>
        <w:spacing w:after="0" w:line="86" w:lineRule="exact"/>
        <w:rPr>
          <w:sz w:val="20"/>
          <w:szCs w:val="20"/>
          <w:color w:val="auto"/>
        </w:rPr>
      </w:pPr>
    </w:p>
    <w:p>
      <w:pPr>
        <w:ind w:left="1180" w:right="779" w:firstLine="342"/>
        <w:spacing w:after="0" w:line="257" w:lineRule="auto"/>
        <w:rPr>
          <w:sz w:val="20"/>
          <w:szCs w:val="20"/>
          <w:color w:val="auto"/>
        </w:rPr>
      </w:pPr>
      <w:r>
        <w:rPr>
          <w:rFonts w:ascii="Times New Roman" w:cs="Times New Roman" w:eastAsia="Times New Roman" w:hAnsi="Times New Roman"/>
          <w:sz w:val="17"/>
          <w:szCs w:val="17"/>
          <w:color w:val="auto"/>
        </w:rPr>
        <w:t>In connection with the Merger, we intend to incur additional debt in the future to pay a portion of the consideration for the Merger and transaction expenses, which will result in our indebtedness following the consummation of the Merger being greater than our current indebtedness. We may also incur additional unsecured debt under our $3.5 billion revolving credit facility and under our commercial paper program, which is fully supported by such credit facility. Following consummation of the Merger, our debt service obligations with respect to our increased indebtedness may require diversion of some cash flows from operations to debt service payments.</w:t>
      </w:r>
    </w:p>
    <w:p>
      <w:pPr>
        <w:spacing w:after="0" w:line="113" w:lineRule="exact"/>
        <w:rPr>
          <w:sz w:val="20"/>
          <w:szCs w:val="20"/>
          <w:color w:val="auto"/>
        </w:rPr>
      </w:pPr>
    </w:p>
    <w:p>
      <w:pPr>
        <w:ind w:left="1180" w:right="719" w:firstLine="342"/>
        <w:spacing w:after="0" w:line="260" w:lineRule="auto"/>
        <w:rPr>
          <w:sz w:val="20"/>
          <w:szCs w:val="20"/>
          <w:color w:val="auto"/>
        </w:rPr>
      </w:pPr>
      <w:r>
        <w:rPr>
          <w:rFonts w:ascii="Times New Roman" w:cs="Times New Roman" w:eastAsia="Times New Roman" w:hAnsi="Times New Roman"/>
          <w:sz w:val="17"/>
          <w:szCs w:val="17"/>
          <w:color w:val="auto"/>
        </w:rPr>
        <w:t>Based upon current levels of operations, we expect that following the consummation of the Merger we would be able to generate sufficient cash on a consolidated basis to make all of the principal and interest payments when such payments are due under our $3.5 billion revolving credit facility, indentures and other instruments governing our outstanding indebtedness, but there can be no assurance that we will be able to repay or refinance such borrowings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55" w:lineRule="exact"/>
        <w:rPr>
          <w:sz w:val="20"/>
          <w:szCs w:val="20"/>
          <w:color w:val="auto"/>
        </w:rPr>
      </w:pPr>
    </w:p>
    <w:p>
      <w:pPr>
        <w:ind w:left="1180" w:right="1059" w:firstLine="342"/>
        <w:spacing w:after="0" w:line="285" w:lineRule="auto"/>
        <w:rPr>
          <w:sz w:val="20"/>
          <w:szCs w:val="20"/>
          <w:color w:val="auto"/>
        </w:rPr>
      </w:pPr>
      <w:r>
        <w:rPr>
          <w:rFonts w:ascii="Times New Roman" w:cs="Times New Roman" w:eastAsia="Times New Roman" w:hAnsi="Times New Roman"/>
          <w:sz w:val="17"/>
          <w:szCs w:val="17"/>
          <w:color w:val="auto"/>
        </w:rPr>
        <w:t>We expect the net proceeds from the offering of the notes to be $1.486 billion, after deducting the underwriting discounts and estimated expenses of the offering that we will pay.</w:t>
      </w:r>
    </w:p>
    <w:p>
      <w:pPr>
        <w:spacing w:after="0" w:line="88" w:lineRule="exact"/>
        <w:rPr>
          <w:sz w:val="20"/>
          <w:szCs w:val="20"/>
          <w:color w:val="auto"/>
        </w:rPr>
      </w:pPr>
    </w:p>
    <w:p>
      <w:pPr>
        <w:ind w:left="1180" w:right="739" w:firstLine="342"/>
        <w:spacing w:after="0" w:line="268" w:lineRule="auto"/>
        <w:rPr>
          <w:sz w:val="20"/>
          <w:szCs w:val="20"/>
          <w:color w:val="auto"/>
        </w:rPr>
      </w:pPr>
      <w:r>
        <w:rPr>
          <w:rFonts w:ascii="Times New Roman" w:cs="Times New Roman" w:eastAsia="Times New Roman" w:hAnsi="Times New Roman"/>
          <w:sz w:val="17"/>
          <w:szCs w:val="17"/>
          <w:color w:val="auto"/>
        </w:rPr>
        <w:t>We intend to use the net proceeds from the offering of the notes to repay borrowings under our commercial paper program used for working capital, which is fully supported by our $3.5 billion revolving credit facility, and the remainder, if any, for general corporate purposes.</w:t>
      </w:r>
    </w:p>
    <w:p>
      <w:pPr>
        <w:spacing w:after="0" w:line="90" w:lineRule="exact"/>
        <w:rPr>
          <w:sz w:val="20"/>
          <w:szCs w:val="20"/>
          <w:color w:val="auto"/>
        </w:rPr>
      </w:pPr>
    </w:p>
    <w:p>
      <w:pPr>
        <w:ind w:left="1180" w:right="739" w:firstLine="342"/>
        <w:spacing w:after="0" w:line="256" w:lineRule="auto"/>
        <w:rPr>
          <w:sz w:val="20"/>
          <w:szCs w:val="20"/>
          <w:color w:val="auto"/>
        </w:rPr>
      </w:pPr>
      <w:r>
        <w:rPr>
          <w:rFonts w:ascii="Times New Roman" w:cs="Times New Roman" w:eastAsia="Times New Roman" w:hAnsi="Times New Roman"/>
          <w:sz w:val="17"/>
          <w:szCs w:val="17"/>
          <w:color w:val="auto"/>
        </w:rPr>
        <w:t>Certain underwriters or their respective affiliates in this offering are dealers under our commercial paper program and may receive 5% or more of the net proceeds of this offering by reason of the repayment of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w:t>
      </w:r>
    </w:p>
    <w:p>
      <w:pPr>
        <w:spacing w:after="0" w:line="1" w:lineRule="exact"/>
        <w:rPr>
          <w:sz w:val="20"/>
          <w:szCs w:val="20"/>
          <w:color w:val="auto"/>
        </w:rPr>
      </w:pPr>
    </w:p>
    <w:p>
      <w:pPr>
        <w:ind w:left="1180" w:right="859"/>
        <w:spacing w:after="0" w:line="255" w:lineRule="auto"/>
        <w:rPr>
          <w:sz w:val="20"/>
          <w:szCs w:val="20"/>
          <w:color w:val="auto"/>
        </w:rPr>
      </w:pPr>
      <w:r>
        <w:rPr>
          <w:rFonts w:ascii="Times New Roman" w:cs="Times New Roman" w:eastAsia="Times New Roman" w:hAnsi="Times New Roman"/>
          <w:sz w:val="17"/>
          <w:szCs w:val="17"/>
          <w:color w:val="auto"/>
        </w:rPr>
        <w:t>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112" w:lineRule="exact"/>
        <w:rPr>
          <w:sz w:val="20"/>
          <w:szCs w:val="20"/>
          <w:color w:val="auto"/>
        </w:rPr>
      </w:pPr>
    </w:p>
    <w:p>
      <w:pPr>
        <w:jc w:val="both"/>
        <w:ind w:left="1180" w:right="879" w:firstLine="342"/>
        <w:spacing w:after="0" w:line="268" w:lineRule="auto"/>
        <w:rPr>
          <w:sz w:val="20"/>
          <w:szCs w:val="20"/>
          <w:color w:val="auto"/>
        </w:rPr>
      </w:pPr>
      <w:r>
        <w:rPr>
          <w:rFonts w:ascii="Times New Roman" w:cs="Times New Roman" w:eastAsia="Times New Roman" w:hAnsi="Times New Roman"/>
          <w:sz w:val="17"/>
          <w:szCs w:val="17"/>
          <w:color w:val="auto"/>
        </w:rPr>
        <w:t>We expect the sales of the 2027 notes and the 2031 notes will take place concurrently. However, the sales of the 2027 notes and the 2031 notes are not conditioned upon each other, and we may consummate the sale of one series and not the other or consummate the sales at different times.</w:t>
      </w:r>
    </w:p>
    <w:p>
      <w:pPr>
        <w:spacing w:after="0" w:line="1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Commercial Paper Program</w:t>
      </w:r>
    </w:p>
    <w:p>
      <w:pPr>
        <w:spacing w:after="0" w:line="155" w:lineRule="exact"/>
        <w:rPr>
          <w:sz w:val="20"/>
          <w:szCs w:val="20"/>
          <w:color w:val="auto"/>
        </w:rPr>
      </w:pPr>
    </w:p>
    <w:p>
      <w:pPr>
        <w:ind w:left="1180" w:right="619" w:firstLine="342"/>
        <w:spacing w:after="0" w:line="259" w:lineRule="auto"/>
        <w:rPr>
          <w:sz w:val="20"/>
          <w:szCs w:val="20"/>
          <w:color w:val="auto"/>
        </w:rPr>
      </w:pPr>
      <w:r>
        <w:rPr>
          <w:rFonts w:ascii="Times New Roman" w:cs="Times New Roman" w:eastAsia="Times New Roman" w:hAnsi="Times New Roman"/>
          <w:sz w:val="17"/>
          <w:szCs w:val="17"/>
          <w:color w:val="auto"/>
        </w:rPr>
        <w:t>Our commercial paper program enables us to borrow up to $3.5 billion, which capacity is reduced by the aggregate amount of borrowings outstanding under our $3.5 billion revolving credit facility, for up to 397 days at competitive interest rates. As of June 21, 2024, we had $1.655 billion of outstanding borrowings under our commercial paper program with a weighted average interest rate of 5.5178% and a weighted average maturity of 31.92 days. The proceeds of our commercial paper program were used for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142" w:lineRule="exact"/>
        <w:rPr>
          <w:sz w:val="20"/>
          <w:szCs w:val="20"/>
          <w:color w:val="auto"/>
        </w:rPr>
      </w:pPr>
    </w:p>
    <w:p>
      <w:pPr>
        <w:ind w:left="1180" w:right="719" w:firstLine="342"/>
        <w:spacing w:after="0"/>
        <w:rPr>
          <w:sz w:val="20"/>
          <w:szCs w:val="20"/>
          <w:color w:val="auto"/>
        </w:rPr>
      </w:pPr>
      <w:r>
        <w:rPr>
          <w:rFonts w:ascii="Times New Roman" w:cs="Times New Roman" w:eastAsia="Times New Roman" w:hAnsi="Times New Roman"/>
          <w:sz w:val="17"/>
          <w:szCs w:val="17"/>
          <w:color w:val="auto"/>
        </w:rPr>
        <w:t>The following table sets forth our consolidated cash and cash equivalents and consolidated capitalization as of March 31, 2024 on an actual basis and as adjusted to give effect to the offering of the notes and the application of the net proceeds thereof to repay borrowings under our commercial paper program used for working capital, which is fully supported by our $3.5 billion revolving credit facility, and the remainder, if any, for general corporate purposes.</w:t>
      </w:r>
    </w:p>
    <w:p>
      <w:pPr>
        <w:spacing w:after="0" w:line="101" w:lineRule="exact"/>
        <w:rPr>
          <w:sz w:val="20"/>
          <w:szCs w:val="20"/>
          <w:color w:val="auto"/>
        </w:rPr>
      </w:pPr>
    </w:p>
    <w:p>
      <w:pPr>
        <w:jc w:val="both"/>
        <w:ind w:left="1180" w:right="619" w:firstLine="342"/>
        <w:spacing w:after="0" w:line="242" w:lineRule="auto"/>
        <w:rPr>
          <w:sz w:val="20"/>
          <w:szCs w:val="20"/>
          <w:color w:val="auto"/>
        </w:rPr>
      </w:pPr>
      <w:r>
        <w:rPr>
          <w:rFonts w:ascii="Times New Roman" w:cs="Times New Roman" w:eastAsia="Times New Roman" w:hAnsi="Times New Roman"/>
          <w:sz w:val="17"/>
          <w:szCs w:val="17"/>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28" w:lineRule="exact"/>
        <w:rPr>
          <w:sz w:val="20"/>
          <w:szCs w:val="20"/>
          <w:color w:val="auto"/>
        </w:rPr>
      </w:pPr>
    </w:p>
    <w:tbl>
      <w:tblPr>
        <w:tblLayout w:type="fixed"/>
        <w:tblInd w:w="1180" w:type="dxa"/>
        <w:tblCellMar>
          <w:top w:w="0" w:type="dxa"/>
          <w:left w:w="0" w:type="dxa"/>
          <w:bottom w:w="0" w:type="dxa"/>
          <w:right w:w="0" w:type="dxa"/>
        </w:tblCellMar>
      </w:tblPr>
      <w:tr>
        <w:trPr>
          <w:trHeight w:val="217"/>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4"/>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40" w:type="dxa"/>
            <w:vAlign w:val="bottom"/>
            <w:tcBorders>
              <w:bottom w:val="single" w:sz="8" w:color="auto"/>
            </w:tcBorders>
          </w:tcPr>
          <w:p>
            <w:pPr>
              <w:ind w:left="1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As 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64"/>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Pr>
          <w:p>
            <w:pPr>
              <w:ind w:left="2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4"/>
                <w:szCs w:val="14"/>
                <w:b w:val="1"/>
                <w:bCs w:val="1"/>
                <w:color w:val="auto"/>
                <w:w w:val="96"/>
              </w:rPr>
              <w:t xml:space="preserve">(Unaudited, Dollars in millions) </w:t>
            </w:r>
            <w:r>
              <w:rPr>
                <w:rFonts w:ascii="Times New Roman" w:cs="Times New Roman" w:eastAsia="Times New Roman" w:hAnsi="Times New Roman"/>
                <w:sz w:val="27"/>
                <w:szCs w:val="27"/>
                <w:b w:val="1"/>
                <w:bCs w:val="1"/>
                <w:color w:val="auto"/>
                <w:w w:val="96"/>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-24765</wp:posOffset>
            </wp:positionV>
            <wp:extent cx="49549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54905" cy="171450"/>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-179705</wp:posOffset>
            </wp:positionV>
            <wp:extent cx="130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p>
      <w:pPr>
        <w:ind w:left="118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19050</wp:posOffset>
            </wp:positionV>
            <wp:extent cx="49549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4905" cy="171450"/>
                    </a:xfrm>
                    <a:prstGeom prst="rect">
                      <a:avLst/>
                    </a:prstGeom>
                    <a:noFill/>
                  </pic:spPr>
                </pic:pic>
              </a:graphicData>
            </a:graphic>
          </wp:anchor>
        </w:drawing>
      </w:r>
    </w:p>
    <w:p>
      <w:pPr>
        <w:spacing w:after="0" w:line="1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Commercial paper program</w:t>
      </w:r>
      <w:r>
        <w:rPr>
          <w:rFonts w:ascii="Times New Roman" w:cs="Times New Roman" w:eastAsia="Times New Roman" w:hAnsi="Times New Roman"/>
          <w:sz w:val="22"/>
          <w:szCs w:val="22"/>
          <w:color w:val="auto"/>
          <w:vertAlign w:val="superscript"/>
        </w:rPr>
        <w:t>(a)</w:t>
      </w:r>
    </w:p>
    <w:p>
      <w:pPr>
        <w:spacing w:after="0" w:line="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$3.5 billion revolving credit facility</w:t>
      </w:r>
      <w:r>
        <w:rPr>
          <w:rFonts w:ascii="Times New Roman" w:cs="Times New Roman" w:eastAsia="Times New Roman" w:hAnsi="Times New Roman"/>
          <w:sz w:val="22"/>
          <w:szCs w:val="22"/>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0</wp:posOffset>
            </wp:positionV>
            <wp:extent cx="49549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4905" cy="17145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7"/>
          <w:szCs w:val="17"/>
          <w:color w:val="auto"/>
        </w:rPr>
        <w:t>Senior notes, maturing through 2050</w:t>
      </w:r>
      <w:r>
        <w:rPr>
          <w:rFonts w:ascii="Times New Roman" w:cs="Times New Roman" w:eastAsia="Times New Roman" w:hAnsi="Times New Roman"/>
          <w:sz w:val="22"/>
          <w:szCs w:val="22"/>
          <w:color w:val="auto"/>
          <w:vertAlign w:val="superscript"/>
        </w:rPr>
        <w:t>(b)</w:t>
      </w:r>
    </w:p>
    <w:p>
      <w:pPr>
        <w:spacing w:after="0" w:line="27" w:lineRule="exact"/>
        <w:rPr>
          <w:sz w:val="20"/>
          <w:szCs w:val="20"/>
          <w:color w:val="auto"/>
        </w:rPr>
      </w:pPr>
    </w:p>
    <w:p>
      <w:pPr>
        <w:ind w:left="1520" w:hanging="170"/>
        <w:spacing w:after="0" w:line="263" w:lineRule="auto"/>
        <w:rPr>
          <w:sz w:val="20"/>
          <w:szCs w:val="20"/>
          <w:color w:val="auto"/>
        </w:rPr>
      </w:pPr>
      <w:r>
        <w:rPr>
          <w:rFonts w:ascii="Times New Roman" w:cs="Times New Roman" w:eastAsia="Times New Roman" w:hAnsi="Times New Roman"/>
          <w:sz w:val="17"/>
          <w:szCs w:val="17"/>
          <w:color w:val="auto"/>
        </w:rPr>
        <w:t>4.950% Senior Notes due 2027 offered hereby (including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-3175</wp:posOffset>
            </wp:positionV>
            <wp:extent cx="4954905" cy="285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54905" cy="285115"/>
                    </a:xfrm>
                    <a:prstGeom prst="rect">
                      <a:avLst/>
                    </a:prstGeom>
                    <a:noFill/>
                  </pic:spPr>
                </pic:pic>
              </a:graphicData>
            </a:graphic>
          </wp:anchor>
        </w:drawing>
      </w:r>
    </w:p>
    <w:p>
      <w:pPr>
        <w:ind w:left="1520" w:hanging="170"/>
        <w:spacing w:after="0" w:line="272" w:lineRule="auto"/>
        <w:rPr>
          <w:sz w:val="20"/>
          <w:szCs w:val="20"/>
          <w:color w:val="auto"/>
        </w:rPr>
      </w:pPr>
      <w:r>
        <w:rPr>
          <w:rFonts w:ascii="Times New Roman" w:cs="Times New Roman" w:eastAsia="Times New Roman" w:hAnsi="Times New Roman"/>
          <w:sz w:val="17"/>
          <w:szCs w:val="17"/>
          <w:color w:val="auto"/>
        </w:rPr>
        <w:t>4.950% Senior Notes due 2031 offered hereby (including unamortized discount)</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Canadian senior notes, C$500 million maturing September 2026</w:t>
      </w:r>
      <w:r>
        <w:rPr>
          <w:rFonts w:ascii="Times New Roman" w:cs="Times New Roman" w:eastAsia="Times New Roman" w:hAnsi="Times New Roman"/>
          <w:sz w:val="22"/>
          <w:szCs w:val="22"/>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7620</wp:posOffset>
            </wp:positionV>
            <wp:extent cx="495490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54905" cy="171450"/>
                    </a:xfrm>
                    <a:prstGeom prst="rect">
                      <a:avLst/>
                    </a:prstGeom>
                    <a:noFill/>
                  </pic:spPr>
                </pic:pic>
              </a:graphicData>
            </a:graphic>
          </wp:anchor>
        </w:drawing>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Tax-exempt bonds, maturing through 2053</w:t>
      </w:r>
      <w:r>
        <w:rPr>
          <w:rFonts w:ascii="Times New Roman" w:cs="Times New Roman" w:eastAsia="Times New Roman" w:hAnsi="Times New Roman"/>
          <w:sz w:val="22"/>
          <w:szCs w:val="22"/>
          <w:color w:val="auto"/>
          <w:vertAlign w:val="superscript"/>
        </w:rPr>
        <w:t>(d)</w:t>
      </w:r>
    </w:p>
    <w:p>
      <w:pPr>
        <w:spacing w:after="0" w:line="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Financing leases and other, maturing through 2082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line="21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280" w:type="dxa"/>
            <w:vAlign w:val="bottom"/>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 ​ ​</w:t>
            </w:r>
          </w:p>
        </w:tc>
        <w:tc>
          <w:tcPr>
            <w:tcW w:w="44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 ​​ ​</w:t>
            </w:r>
          </w:p>
        </w:tc>
        <w:tc>
          <w:tcPr>
            <w:tcW w:w="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r>
      <w:tr>
        <w:trPr>
          <w:trHeight w:val="270"/>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0"/>
        </w:trPr>
        <w:tc>
          <w:tcPr>
            <w:tcW w:w="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 ​ ​</w:t>
            </w:r>
          </w:p>
        </w:tc>
        <w:tc>
          <w:tcPr>
            <w:tcW w:w="8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 ​​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r>
      <w:tr>
        <w:trPr>
          <w:trHeight w:val="270"/>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 11,376</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 11,376</w:t>
            </w:r>
          </w:p>
        </w:tc>
        <w:tc>
          <w:tcPr>
            <w:tcW w:w="10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424"/>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449"/>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95"/>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5"/>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0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0"/>
        </w:trPr>
        <w:tc>
          <w:tcPr>
            <w:tcW w:w="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1" w:lineRule="exact"/>
        <w:rPr>
          <w:sz w:val="20"/>
          <w:szCs w:val="20"/>
          <w:color w:val="auto"/>
        </w:rPr>
      </w:pPr>
    </w:p>
    <w:p>
      <w:pPr>
        <w:sectPr>
          <w:pgSz w:w="11900" w:h="16838" w:orient="portrait"/>
          <w:cols w:equalWidth="0" w:num="2">
            <w:col w:w="6400" w:space="540"/>
            <w:col w:w="2659"/>
          </w:cols>
          <w:pgMar w:left="860" w:top="92"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84"/>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Debt issuance costs, discounts and other</w:t>
            </w:r>
            <w:r>
              <w:rPr>
                <w:rFonts w:ascii="Times New Roman" w:cs="Times New Roman" w:eastAsia="Times New Roman" w:hAnsi="Times New Roman"/>
                <w:sz w:val="22"/>
                <w:szCs w:val="22"/>
                <w:color w:val="auto"/>
                <w:vertAlign w:val="superscript"/>
              </w:rPr>
              <w:t>(e)</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 xml:space="preserve"> ​</w:t>
            </w:r>
          </w:p>
        </w:tc>
        <w:tc>
          <w:tcPr>
            <w:tcW w:w="800" w:type="dxa"/>
            <w:vAlign w:val="bottom"/>
            <w:tcBorders>
              <w:right w:val="single" w:sz="8" w:color="CCEEFF"/>
            </w:tcBorders>
            <w:gridSpan w:val="2"/>
            <w:shd w:val="clear" w:color="auto" w:fill="CCEEFF"/>
          </w:tcPr>
          <w:p>
            <w:pPr>
              <w:jc w:val="right"/>
              <w:ind w:right="34"/>
              <w:spacing w:after="0" w:line="284" w:lineRule="exact"/>
              <w:rPr>
                <w:sz w:val="20"/>
                <w:szCs w:val="20"/>
                <w:color w:val="auto"/>
              </w:rPr>
            </w:pPr>
            <w:r>
              <w:rPr>
                <w:rFonts w:ascii="Times New Roman" w:cs="Times New Roman" w:eastAsia="Times New Roman" w:hAnsi="Times New Roman"/>
                <w:sz w:val="16"/>
                <w:szCs w:val="16"/>
                <w:color w:val="auto"/>
              </w:rPr>
              <w:t>(118)</w:t>
            </w:r>
            <w:r>
              <w:rPr>
                <w:rFonts w:ascii="Times New Roman" w:cs="Times New Roman" w:eastAsia="Times New Roman" w:hAnsi="Times New Roman"/>
                <w:sz w:val="32"/>
                <w:szCs w:val="32"/>
                <w:color w:val="auto"/>
                <w:vertAlign w:val="subscript"/>
              </w:rPr>
              <w:t>​​ ​</w:t>
            </w:r>
          </w:p>
        </w:tc>
        <w:tc>
          <w:tcPr>
            <w:tcW w:w="22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 xml:space="preserve">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debt</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3"/>
          </w:tcPr>
          <w:p>
            <w:pPr>
              <w:jc w:val="right"/>
              <w:ind w:right="34"/>
              <w:spacing w:after="0" w:line="249"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16,098 </w:t>
            </w:r>
            <w:r>
              <w:rPr>
                <w:rFonts w:ascii="Times New Roman" w:cs="Times New Roman" w:eastAsia="Times New Roman" w:hAnsi="Times New Roman"/>
                <w:sz w:val="28"/>
                <w:szCs w:val="28"/>
                <w:color w:val="auto"/>
                <w:vertAlign w:val="subscript"/>
              </w:rPr>
              <w:t>​​ ​</w:t>
            </w:r>
          </w:p>
        </w:tc>
        <w:tc>
          <w:tcPr>
            <w:tcW w:w="740" w:type="dxa"/>
            <w:vAlign w:val="bottom"/>
            <w:gridSpan w:val="3"/>
          </w:tcPr>
          <w:p>
            <w:pPr>
              <w:spacing w:after="0" w:line="249"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16,848</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vMerge w:val="continue"/>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0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 ​​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w:t>
            </w:r>
          </w:p>
        </w:tc>
        <w:tc>
          <w:tcPr>
            <w:tcW w:w="4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-162560</wp:posOffset>
            </wp:positionV>
            <wp:extent cx="49549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Waste Management, Inc.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16510</wp:posOffset>
            </wp:positionV>
            <wp:extent cx="4954905" cy="285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54905" cy="285115"/>
                    </a:xfrm>
                    <a:prstGeom prst="rect">
                      <a:avLst/>
                    </a:prstGeom>
                    <a:noFill/>
                  </pic:spPr>
                </pic:pic>
              </a:graphicData>
            </a:graphic>
          </wp:anchor>
        </w:drawing>
      </w:r>
    </w:p>
    <w:p>
      <w:pPr>
        <w:spacing w:after="0" w:line="16" w:lineRule="exact"/>
        <w:rPr>
          <w:sz w:val="20"/>
          <w:szCs w:val="20"/>
          <w:color w:val="auto"/>
        </w:rPr>
      </w:pPr>
    </w:p>
    <w:p>
      <w:pPr>
        <w:ind w:left="1520" w:right="120" w:hanging="170"/>
        <w:spacing w:after="0" w:line="283" w:lineRule="auto"/>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16510</wp:posOffset>
            </wp:positionV>
            <wp:extent cx="4954905" cy="154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4905" cy="154940"/>
                    </a:xfrm>
                    <a:prstGeom prst="rect">
                      <a:avLst/>
                    </a:prstGeom>
                    <a:noFill/>
                  </pic:spPr>
                </pic:pic>
              </a:graphicData>
            </a:graphic>
          </wp:anchor>
        </w:drawing>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Retained earnings</w:t>
      </w:r>
    </w:p>
    <w:p>
      <w:pPr>
        <w:spacing w:after="0" w:line="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16510</wp:posOffset>
            </wp:positionV>
            <wp:extent cx="495490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4905" cy="171450"/>
                    </a:xfrm>
                    <a:prstGeom prst="rect">
                      <a:avLst/>
                    </a:prstGeom>
                    <a:noFill/>
                  </pic:spPr>
                </pic:pic>
              </a:graphicData>
            </a:graphic>
          </wp:anchor>
        </w:drawing>
      </w:r>
    </w:p>
    <w:p>
      <w:pPr>
        <w:spacing w:after="0" w:line="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Treasury stock at cost, 228,979,512 shares</w:t>
      </w:r>
    </w:p>
    <w:p>
      <w:pPr>
        <w:spacing w:after="0" w:line="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 ​</w:t>
            </w:r>
          </w:p>
        </w:tc>
        <w:tc>
          <w:tcPr>
            <w:tcW w:w="500" w:type="dxa"/>
            <w:vAlign w:val="bottom"/>
          </w:tcPr>
          <w:p>
            <w:pPr>
              <w:spacing w:after="0"/>
              <w:rPr>
                <w:sz w:val="19"/>
                <w:szCs w:val="19"/>
                <w:color w:val="auto"/>
              </w:rPr>
            </w:pP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424"/>
        </w:trPr>
        <w:tc>
          <w:tcPr>
            <w:tcW w:w="4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 ​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5"/>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5,352</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5,352</w:t>
            </w:r>
          </w:p>
        </w:tc>
        <w:tc>
          <w:tcPr>
            <w:tcW w:w="10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4"/>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 14,738</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 ​ 14,738</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4"/>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(60) </w:t>
            </w:r>
            <w:r>
              <w:rPr>
                <w:rFonts w:ascii="Times New Roman" w:cs="Times New Roman" w:eastAsia="Times New Roman" w:hAnsi="Times New Roman"/>
                <w:sz w:val="17"/>
                <w:szCs w:val="17"/>
                <w:b w:val="1"/>
                <w:bCs w:val="1"/>
                <w:color w:val="auto"/>
              </w:rPr>
              <w:t>​</w:t>
            </w:r>
          </w:p>
        </w:tc>
      </w:tr>
      <w:tr>
        <w:trPr>
          <w:trHeight w:val="235"/>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3"/>
          </w:tcPr>
          <w:p>
            <w:pPr>
              <w:jc w:val="right"/>
              <w:ind w:right="34"/>
              <w:spacing w:after="0" w:line="235"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​(12,954)</w:t>
            </w:r>
            <w:r>
              <w:rPr>
                <w:rFonts w:ascii="Times New Roman" w:cs="Times New Roman" w:eastAsia="Times New Roman" w:hAnsi="Times New Roman"/>
                <w:sz w:val="27"/>
                <w:szCs w:val="27"/>
                <w:color w:val="auto"/>
                <w:vertAlign w:val="subscript"/>
              </w:rPr>
              <w:t>​​ ​</w:t>
            </w:r>
          </w:p>
        </w:tc>
        <w:tc>
          <w:tcPr>
            <w:tcW w:w="78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​(12,954) </w:t>
            </w:r>
            <w:r>
              <w:rPr>
                <w:rFonts w:ascii="Times New Roman" w:cs="Times New Roman" w:eastAsia="Times New Roman" w:hAnsi="Times New Roman"/>
                <w:sz w:val="27"/>
                <w:szCs w:val="27"/>
                <w:b w:val="1"/>
                <w:bCs w:val="1"/>
                <w:color w:val="auto"/>
                <w:vertAlign w:val="subscript"/>
              </w:rPr>
              <w:t>​</w:t>
            </w:r>
          </w:p>
        </w:tc>
      </w:tr>
      <w:tr>
        <w:trPr>
          <w:trHeight w:val="20"/>
        </w:trPr>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7,082</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7,082</w:t>
            </w:r>
          </w:p>
        </w:tc>
        <w:tc>
          <w:tcPr>
            <w:tcW w:w="1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1" w:lineRule="exact"/>
        <w:rPr>
          <w:sz w:val="20"/>
          <w:szCs w:val="20"/>
          <w:color w:val="auto"/>
        </w:rPr>
      </w:pPr>
    </w:p>
    <w:p>
      <w:pPr>
        <w:sectPr>
          <w:pgSz w:w="11900" w:h="16838" w:orient="portrait"/>
          <w:cols w:equalWidth="0" w:num="2">
            <w:col w:w="6220" w:space="720"/>
            <w:col w:w="2659"/>
          </w:cols>
          <w:pgMar w:left="860" w:top="92" w:right="1440" w:bottom="1440" w:gutter="0" w:footer="0" w:header="0"/>
          <w:type w:val="continuous"/>
        </w:sectPr>
      </w:pPr>
    </w:p>
    <w:tbl>
      <w:tblPr>
        <w:tblLayout w:type="fixed"/>
        <w:tblInd w:w="1180" w:type="dxa"/>
        <w:tblCellMar>
          <w:top w:w="0" w:type="dxa"/>
          <w:left w:w="0" w:type="dxa"/>
          <w:bottom w:w="0" w:type="dxa"/>
          <w:right w:w="0" w:type="dxa"/>
        </w:tblCellMar>
      </w:tblPr>
      <w:tr>
        <w:trPr>
          <w:trHeight w:val="25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line="25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perscript"/>
              </w:rPr>
              <w:t>​</w:t>
            </w:r>
          </w:p>
        </w:tc>
        <w:tc>
          <w:tcPr>
            <w:tcW w:w="840" w:type="dxa"/>
            <w:vAlign w:val="bottom"/>
            <w:tcBorders>
              <w:right w:val="single" w:sz="8" w:color="CCEEFF"/>
            </w:tcBorders>
            <w:gridSpan w:val="2"/>
            <w:shd w:val="clear" w:color="auto" w:fill="CCEEFF"/>
          </w:tcPr>
          <w:p>
            <w:pPr>
              <w:jc w:val="right"/>
              <w:ind w:right="34"/>
              <w:spacing w:after="0" w:line="259" w:lineRule="exact"/>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line="25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9"/>
                <w:szCs w:val="29"/>
                <w:color w:val="auto"/>
                <w:vertAlign w:val="superscript"/>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8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equity</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line="24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7,078</w:t>
            </w:r>
          </w:p>
        </w:tc>
        <w:tc>
          <w:tcPr>
            <w:tcW w:w="3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line="24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7,078</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8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debt and equity</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right w:val="single" w:sz="8" w:color="CCEEFF"/>
            </w:tcBorders>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$ 23,176</w:t>
            </w:r>
          </w:p>
        </w:tc>
        <w:tc>
          <w:tcPr>
            <w:tcW w:w="36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tcBorders>
              <w:right w:val="single" w:sz="8" w:color="CCEEFF"/>
            </w:tcBorders>
            <w:gridSpan w:val="2"/>
            <w:shd w:val="clear" w:color="auto" w:fill="CCEEFF"/>
          </w:tcPr>
          <w:p>
            <w:pPr>
              <w:jc w:val="right"/>
              <w:ind w:right="14"/>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$ 23,926</w:t>
            </w:r>
          </w:p>
        </w:tc>
        <w:tc>
          <w:tcPr>
            <w:tcW w:w="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1"/>
        </w:trPr>
        <w:tc>
          <w:tcPr>
            <w:tcW w:w="1860" w:type="dxa"/>
            <w:vAlign w:val="bottom"/>
            <w:tcBorders>
              <w:bottom w:val="single" w:sz="8" w:color="auto"/>
            </w:tcBorders>
          </w:tcPr>
          <w:p>
            <w:pPr>
              <w:spacing w:after="0"/>
              <w:rPr>
                <w:sz w:val="5"/>
                <w:szCs w:val="5"/>
                <w:color w:val="auto"/>
              </w:rPr>
            </w:pPr>
          </w:p>
        </w:tc>
        <w:tc>
          <w:tcPr>
            <w:tcW w:w="3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-268605</wp:posOffset>
            </wp:positionV>
            <wp:extent cx="49549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92" w:lineRule="exact"/>
        <w:rPr>
          <w:sz w:val="20"/>
          <w:szCs w:val="20"/>
          <w:color w:val="auto"/>
        </w:rPr>
      </w:pPr>
    </w:p>
    <w:p>
      <w:pPr>
        <w:ind w:left="1520" w:right="639" w:hanging="337"/>
        <w:spacing w:after="0" w:line="260" w:lineRule="auto"/>
        <w:tabs>
          <w:tab w:leader="none" w:pos="1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Credit Agreement Amendment, our $3.5 billion revolving credit facility expires in May 2029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 December 2027.</w:t>
      </w:r>
    </w:p>
    <w:p>
      <w:pPr>
        <w:spacing w:after="0" w:line="6" w:lineRule="exact"/>
        <w:rPr>
          <w:rFonts w:ascii="Times New Roman" w:cs="Times New Roman" w:eastAsia="Times New Roman" w:hAnsi="Times New Roman"/>
          <w:sz w:val="17"/>
          <w:szCs w:val="17"/>
          <w:color w:val="auto"/>
        </w:rPr>
      </w:pPr>
    </w:p>
    <w:p>
      <w:pPr>
        <w:jc w:val="both"/>
        <w:ind w:left="1520" w:right="1079"/>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we pay on outstanding U.S. or Canadian loans are based on a secured overnight financing rate administered by the Federal Reserve Bank of New York (“SOFR”) or the Canadian</w:t>
      </w:r>
    </w:p>
    <w:p>
      <w:pPr>
        <w:spacing w:after="0" w:line="3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520" w:right="619"/>
        <w:spacing w:after="0" w:line="258" w:lineRule="auto"/>
        <w:rPr>
          <w:sz w:val="20"/>
          <w:szCs w:val="20"/>
          <w:color w:val="auto"/>
        </w:rPr>
      </w:pPr>
      <w:r>
        <w:rPr>
          <w:rFonts w:ascii="Times New Roman" w:cs="Times New Roman" w:eastAsia="Times New Roman" w:hAnsi="Times New Roman"/>
          <w:sz w:val="17"/>
          <w:szCs w:val="17"/>
          <w:color w:val="auto"/>
        </w:rPr>
        <w:t>Overnight Repo Rate Average, as administered by the Bank of Canada (“CORRA”), respectively, plus a spread depending on our senior public debt rating assigned by Moody’s Investors Service, Inc. and Standard and Poor’s Global Ratings. The spread above SOFR or CORRA can range from 0.585% to 1.025% per annum, plus a credit adjustment spread of 0.10% per annum on SOFR-based rates to account for the transition from the use of LIBOR to SOFR in such rate calculations. WM Holdings guarantees all of the obligations under our $3.5 billion revolving credit facility.</w:t>
      </w:r>
    </w:p>
    <w:p>
      <w:pPr>
        <w:spacing w:after="0" w:line="10" w:lineRule="exact"/>
        <w:rPr>
          <w:sz w:val="20"/>
          <w:szCs w:val="20"/>
          <w:color w:val="auto"/>
        </w:rPr>
      </w:pPr>
    </w:p>
    <w:p>
      <w:pPr>
        <w:ind w:left="1520" w:right="879"/>
        <w:spacing w:after="0" w:line="256" w:lineRule="auto"/>
        <w:rPr>
          <w:sz w:val="20"/>
          <w:szCs w:val="20"/>
          <w:color w:val="auto"/>
        </w:rPr>
      </w:pPr>
      <w:r>
        <w:rPr>
          <w:rFonts w:ascii="Times New Roman" w:cs="Times New Roman" w:eastAsia="Times New Roman" w:hAnsi="Times New Roman"/>
          <w:sz w:val="17"/>
          <w:szCs w:val="17"/>
          <w:color w:val="auto"/>
        </w:rPr>
        <w:t>As of March 31, 2024, we had $750 million of outstanding borrowings under our commercial paper program (net of related discount on issuance), which is fully supported by our $3.5 billion revolving credit facility. Additionally, as of June 21, 2024, we had $1.655 billion of outstanding borrowings under our commercial paper program. As of June 21, 2024, we had no borrowings under, and $180 million of letters of credit issued under and supported by, our $3.5 billion revolving credit facility, leaving unused and available credit capacity under this facility of $1.665 billion. The increase in borrowings since March 31, 2024 was attributable to (i) a temporary increase associated with the repurchase of various issues of our tax-exempt bonds that were subject to mandatory scheduled remarketings on May 1, 2024 and June 3, 2024 and (ii) for working capital.</w:t>
      </w:r>
    </w:p>
    <w:p>
      <w:pPr>
        <w:spacing w:after="0" w:line="36" w:lineRule="exact"/>
        <w:rPr>
          <w:sz w:val="20"/>
          <w:szCs w:val="20"/>
          <w:color w:val="auto"/>
        </w:rPr>
      </w:pPr>
    </w:p>
    <w:p>
      <w:pPr>
        <w:ind w:left="1520" w:hanging="337"/>
        <w:spacing w:after="0"/>
        <w:tabs>
          <w:tab w:leader="none" w:pos="1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2024, we repaid $156 million of our 3.5% senior notes at maturity.</w:t>
      </w:r>
    </w:p>
    <w:p>
      <w:pPr>
        <w:spacing w:after="0" w:line="86" w:lineRule="exact"/>
        <w:rPr>
          <w:rFonts w:ascii="Times New Roman" w:cs="Times New Roman" w:eastAsia="Times New Roman" w:hAnsi="Times New Roman"/>
          <w:sz w:val="17"/>
          <w:szCs w:val="17"/>
          <w:color w:val="auto"/>
        </w:rPr>
      </w:pPr>
    </w:p>
    <w:p>
      <w:pPr>
        <w:ind w:left="1520" w:right="739" w:hanging="337"/>
        <w:spacing w:after="0" w:line="263" w:lineRule="auto"/>
        <w:tabs>
          <w:tab w:leader="none" w:pos="1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2019, Waste Management of Canada Corporation, our indirect wholly owned subsidiary, issued C$500 million, or $369 million based on the conversion rate as of March 31, 2024, of 2.6% senior notes due 2026, all of which are fully and unconditionally guaranteed on a senior unsecured basis by us and WM Holdings.</w:t>
      </w:r>
    </w:p>
    <w:p>
      <w:pPr>
        <w:spacing w:after="0" w:line="28" w:lineRule="exact"/>
        <w:rPr>
          <w:rFonts w:ascii="Times New Roman" w:cs="Times New Roman" w:eastAsia="Times New Roman" w:hAnsi="Times New Roman"/>
          <w:sz w:val="17"/>
          <w:szCs w:val="17"/>
          <w:color w:val="auto"/>
        </w:rPr>
      </w:pPr>
    </w:p>
    <w:p>
      <w:pPr>
        <w:ind w:left="1520" w:right="679" w:hanging="337"/>
        <w:spacing w:after="0" w:line="263" w:lineRule="auto"/>
        <w:tabs>
          <w:tab w:leader="none" w:pos="1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28" w:lineRule="exact"/>
        <w:rPr>
          <w:rFonts w:ascii="Times New Roman" w:cs="Times New Roman" w:eastAsia="Times New Roman" w:hAnsi="Times New Roman"/>
          <w:sz w:val="17"/>
          <w:szCs w:val="17"/>
          <w:color w:val="auto"/>
        </w:rPr>
      </w:pPr>
    </w:p>
    <w:p>
      <w:pPr>
        <w:ind w:left="1520" w:right="1059" w:hanging="337"/>
        <w:spacing w:after="0" w:line="285" w:lineRule="auto"/>
        <w:tabs>
          <w:tab w:leader="none" w:pos="1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 Adjusted column with respect to this line item does not include any debt issuance costs or unamortized discounts associated with the 2027 notes or the 2031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DESCRIPTION OF NOTES</w:t>
      </w:r>
    </w:p>
    <w:p>
      <w:pPr>
        <w:spacing w:after="0" w:line="151" w:lineRule="exact"/>
        <w:rPr>
          <w:sz w:val="20"/>
          <w:szCs w:val="20"/>
          <w:color w:val="auto"/>
        </w:rPr>
      </w:pPr>
    </w:p>
    <w:p>
      <w:pPr>
        <w:ind w:left="1180" w:right="719" w:firstLine="342"/>
        <w:spacing w:after="0" w:line="261" w:lineRule="auto"/>
        <w:rPr>
          <w:sz w:val="20"/>
          <w:szCs w:val="20"/>
          <w:color w:val="auto"/>
        </w:rPr>
      </w:pPr>
      <w:r>
        <w:rPr>
          <w:rFonts w:ascii="Times New Roman" w:cs="Times New Roman" w:eastAsia="Times New Roman" w:hAnsi="Times New Roman"/>
          <w:sz w:val="17"/>
          <w:szCs w:val="17"/>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6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55" w:lineRule="exact"/>
        <w:rPr>
          <w:sz w:val="20"/>
          <w:szCs w:val="20"/>
          <w:color w:val="auto"/>
        </w:rPr>
      </w:pPr>
    </w:p>
    <w:p>
      <w:pPr>
        <w:ind w:left="1180" w:right="639" w:firstLine="342"/>
        <w:spacing w:after="0" w:line="257" w:lineRule="auto"/>
        <w:rPr>
          <w:sz w:val="20"/>
          <w:szCs w:val="20"/>
          <w:color w:val="auto"/>
        </w:rPr>
      </w:pPr>
      <w:r>
        <w:rPr>
          <w:rFonts w:ascii="Times New Roman" w:cs="Times New Roman" w:eastAsia="Times New Roman" w:hAnsi="Times New Roman"/>
          <w:sz w:val="17"/>
          <w:szCs w:val="17"/>
          <w:color w:val="auto"/>
        </w:rPr>
        <w:t>We are offering $1,500,000,000 of our senior notes, consisting of $750,000,000 of our 4.950% senior notes due 2027 and $750,000,000 of our 4.950% senior notes due 2031.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2027 notes and the 2031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302" w:lineRule="exact"/>
        <w:rPr>
          <w:sz w:val="20"/>
          <w:szCs w:val="20"/>
          <w:color w:val="auto"/>
        </w:rPr>
      </w:pPr>
    </w:p>
    <w:p>
      <w:pPr>
        <w:ind w:left="1520"/>
        <w:spacing w:after="0"/>
        <w:tabs>
          <w:tab w:leader="none" w:pos="2400" w:val="left"/>
        </w:tabs>
        <w:rPr>
          <w:sz w:val="20"/>
          <w:szCs w:val="20"/>
          <w:color w:val="auto"/>
        </w:rPr>
      </w:pPr>
      <w:r>
        <w:rPr>
          <w:rFonts w:ascii="Times New Roman" w:cs="Times New Roman" w:eastAsia="Times New Roman" w:hAnsi="Times New Roman"/>
          <w:sz w:val="17"/>
          <w:szCs w:val="17"/>
          <w:i w:val="1"/>
          <w:iCs w:val="1"/>
          <w:color w:val="auto"/>
        </w:rPr>
        <w:t>The Notes.</w:t>
      </w:r>
      <w:r>
        <w:rPr>
          <w:sz w:val="20"/>
          <w:szCs w:val="20"/>
          <w:color w:val="auto"/>
        </w:rPr>
        <w:tab/>
      </w:r>
      <w:r>
        <w:rPr>
          <w:rFonts w:ascii="Times New Roman" w:cs="Times New Roman" w:eastAsia="Times New Roman" w:hAnsi="Times New Roman"/>
          <w:sz w:val="17"/>
          <w:szCs w:val="17"/>
          <w:color w:val="auto"/>
        </w:rPr>
        <w:t>Each series of the notes will:</w:t>
      </w:r>
    </w:p>
    <w:p>
      <w:pPr>
        <w:spacing w:after="0" w:line="117" w:lineRule="exact"/>
        <w:rPr>
          <w:sz w:val="20"/>
          <w:szCs w:val="20"/>
          <w:color w:val="auto"/>
        </w:rPr>
      </w:pPr>
    </w:p>
    <w:p>
      <w:pPr>
        <w:ind w:left="1700" w:hanging="175"/>
        <w:spacing w:after="0"/>
        <w:tabs>
          <w:tab w:leader="none" w:pos="1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our general unsecured, senior obligations;</w:t>
      </w:r>
    </w:p>
    <w:p>
      <w:pPr>
        <w:spacing w:after="0" w:line="112" w:lineRule="exact"/>
        <w:rPr>
          <w:rFonts w:ascii="Times New Roman" w:cs="Times New Roman" w:eastAsia="Times New Roman" w:hAnsi="Times New Roman"/>
          <w:sz w:val="17"/>
          <w:szCs w:val="17"/>
          <w:color w:val="auto"/>
        </w:rPr>
      </w:pPr>
    </w:p>
    <w:p>
      <w:pPr>
        <w:ind w:left="1700" w:right="679" w:hanging="175"/>
        <w:spacing w:after="0" w:line="268" w:lineRule="auto"/>
        <w:tabs>
          <w:tab w:leader="none" w:pos="1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 a new and separate series of debt securities issued under the Indenture and will be initially limited to an aggregate principal amount as follows: $750,000,000 in the case of the 2027 notes and $750,000,000 in the case of the 2031 notes;</w:t>
      </w:r>
    </w:p>
    <w:p>
      <w:pPr>
        <w:spacing w:after="0" w:line="63"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mature on July 3, 2027, in the case of the 2027 notes, and July 3, 2031, in the case of the 2031 notes;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unconditionally guaranteed by our wholly owned subsidiary WM Holdings;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 entitled to the benefit of any sinking fund;</w:t>
      </w:r>
    </w:p>
    <w:p>
      <w:pPr>
        <w:spacing w:after="0" w:line="112" w:lineRule="exact"/>
        <w:rPr>
          <w:rFonts w:ascii="Times New Roman" w:cs="Times New Roman" w:eastAsia="Times New Roman" w:hAnsi="Times New Roman"/>
          <w:sz w:val="17"/>
          <w:szCs w:val="17"/>
          <w:color w:val="auto"/>
        </w:rPr>
      </w:pPr>
    </w:p>
    <w:p>
      <w:pPr>
        <w:ind w:left="1700" w:right="839" w:hanging="175"/>
        <w:spacing w:after="0" w:line="262" w:lineRule="auto"/>
        <w:tabs>
          <w:tab w:leader="none" w:pos="1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issued in minimum denominations of $2,000 and integral multiples of $1,000 in excess thereof; and</w:t>
      </w:r>
    </w:p>
    <w:p>
      <w:pPr>
        <w:spacing w:after="0" w:line="299" w:lineRule="exact"/>
        <w:rPr>
          <w:rFonts w:ascii="Times New Roman" w:cs="Times New Roman" w:eastAsia="Times New Roman" w:hAnsi="Times New Roman"/>
          <w:sz w:val="17"/>
          <w:szCs w:val="17"/>
          <w:color w:val="auto"/>
        </w:rPr>
      </w:pPr>
    </w:p>
    <w:p>
      <w:pPr>
        <w:ind w:left="1700" w:right="679" w:hanging="175"/>
        <w:spacing w:after="0" w:line="266" w:lineRule="auto"/>
        <w:tabs>
          <w:tab w:leader="none" w:pos="1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309" w:lineRule="exact"/>
        <w:rPr>
          <w:sz w:val="20"/>
          <w:szCs w:val="20"/>
          <w:color w:val="auto"/>
        </w:rPr>
      </w:pPr>
    </w:p>
    <w:p>
      <w:pPr>
        <w:ind w:left="1520"/>
        <w:spacing w:after="0"/>
        <w:tabs>
          <w:tab w:leader="none" w:pos="2240" w:val="left"/>
        </w:tabs>
        <w:rPr>
          <w:sz w:val="20"/>
          <w:szCs w:val="20"/>
          <w:color w:val="auto"/>
        </w:rPr>
      </w:pPr>
      <w:r>
        <w:rPr>
          <w:rFonts w:ascii="Times New Roman" w:cs="Times New Roman" w:eastAsia="Times New Roman" w:hAnsi="Times New Roman"/>
          <w:sz w:val="17"/>
          <w:szCs w:val="17"/>
          <w:i w:val="1"/>
          <w:iCs w:val="1"/>
          <w:color w:val="auto"/>
        </w:rPr>
        <w:t>Interest.</w:t>
      </w:r>
      <w:r>
        <w:rPr>
          <w:sz w:val="20"/>
          <w:szCs w:val="20"/>
          <w:color w:val="auto"/>
        </w:rPr>
        <w:tab/>
      </w:r>
      <w:r>
        <w:rPr>
          <w:rFonts w:ascii="Times New Roman" w:cs="Times New Roman" w:eastAsia="Times New Roman" w:hAnsi="Times New Roman"/>
          <w:sz w:val="17"/>
          <w:szCs w:val="17"/>
          <w:color w:val="auto"/>
        </w:rPr>
        <w:t>Interest will:</w:t>
      </w:r>
    </w:p>
    <w:p>
      <w:pPr>
        <w:spacing w:after="0" w:line="117" w:lineRule="exact"/>
        <w:rPr>
          <w:sz w:val="20"/>
          <w:szCs w:val="20"/>
          <w:color w:val="auto"/>
        </w:rPr>
      </w:pPr>
    </w:p>
    <w:p>
      <w:pPr>
        <w:ind w:left="1700" w:right="679" w:hanging="175"/>
        <w:spacing w:after="0" w:line="285" w:lineRule="auto"/>
        <w:tabs>
          <w:tab w:leader="none" w:pos="1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 on the 2027 notes at the rate of 4.950% per annum and accrue on the 2031 notes at the rate of 4.950% per annum;</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 from July 3, 2024 or the most recent interest payment date;</w:t>
      </w:r>
    </w:p>
    <w:p>
      <w:pPr>
        <w:spacing w:after="0" w:line="112" w:lineRule="exact"/>
        <w:rPr>
          <w:rFonts w:ascii="Times New Roman" w:cs="Times New Roman" w:eastAsia="Times New Roman" w:hAnsi="Times New Roman"/>
          <w:sz w:val="17"/>
          <w:szCs w:val="17"/>
          <w:color w:val="auto"/>
        </w:rPr>
      </w:pPr>
    </w:p>
    <w:p>
      <w:pPr>
        <w:ind w:left="1700" w:right="1119" w:hanging="175"/>
        <w:spacing w:after="0" w:line="285" w:lineRule="auto"/>
        <w:tabs>
          <w:tab w:leader="none" w:pos="1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payable in cash semi-annually in arrears on January 3 and July 3 of each year, beginning on January 3, 2025;</w:t>
      </w:r>
    </w:p>
    <w:p>
      <w:pPr>
        <w:spacing w:after="0" w:line="49" w:lineRule="exact"/>
        <w:rPr>
          <w:rFonts w:ascii="Times New Roman" w:cs="Times New Roman" w:eastAsia="Times New Roman" w:hAnsi="Times New Roman"/>
          <w:sz w:val="17"/>
          <w:szCs w:val="17"/>
          <w:color w:val="auto"/>
        </w:rPr>
      </w:pPr>
    </w:p>
    <w:p>
      <w:pPr>
        <w:ind w:left="1700" w:right="799" w:hanging="175"/>
        <w:spacing w:after="0" w:line="285" w:lineRule="auto"/>
        <w:tabs>
          <w:tab w:leader="none" w:pos="1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payable to holders of record on the December 15 and June 15 immediately preceding the related interest payment dates; and</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computed on the basis of a 360-day year consisting of twelve 30-day months.</w:t>
      </w:r>
    </w:p>
    <w:p>
      <w:pPr>
        <w:spacing w:after="0" w:line="21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Payment and Transfer</w:t>
      </w:r>
    </w:p>
    <w:p>
      <w:pPr>
        <w:spacing w:after="0" w:line="155" w:lineRule="exact"/>
        <w:rPr>
          <w:sz w:val="20"/>
          <w:szCs w:val="20"/>
          <w:color w:val="auto"/>
        </w:rPr>
      </w:pPr>
    </w:p>
    <w:p>
      <w:pPr>
        <w:ind w:left="1180" w:right="759" w:firstLine="342"/>
        <w:spacing w:after="0" w:line="260" w:lineRule="auto"/>
        <w:rPr>
          <w:sz w:val="20"/>
          <w:szCs w:val="20"/>
          <w:color w:val="auto"/>
        </w:rPr>
      </w:pPr>
      <w:r>
        <w:rPr>
          <w:rFonts w:ascii="Times New Roman" w:cs="Times New Roman" w:eastAsia="Times New Roman" w:hAnsi="Times New Roman"/>
          <w:sz w:val="17"/>
          <w:szCs w:val="17"/>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34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39" w:firstLine="342"/>
        <w:spacing w:after="0" w:line="249" w:lineRule="auto"/>
        <w:rPr>
          <w:sz w:val="20"/>
          <w:szCs w:val="20"/>
          <w:color w:val="auto"/>
        </w:rPr>
      </w:pPr>
      <w:r>
        <w:rPr>
          <w:rFonts w:ascii="Times New Roman" w:cs="Times New Roman" w:eastAsia="Times New Roman" w:hAnsi="Times New Roman"/>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05" w:lineRule="exact"/>
        <w:rPr>
          <w:sz w:val="20"/>
          <w:szCs w:val="20"/>
          <w:color w:val="auto"/>
        </w:rPr>
      </w:pPr>
    </w:p>
    <w:p>
      <w:pPr>
        <w:ind w:left="1180" w:right="779" w:firstLine="342"/>
        <w:spacing w:after="0" w:line="249" w:lineRule="auto"/>
        <w:rPr>
          <w:sz w:val="20"/>
          <w:szCs w:val="20"/>
          <w:color w:val="auto"/>
        </w:rPr>
      </w:pPr>
      <w:r>
        <w:rPr>
          <w:rFonts w:ascii="Times New Roman" w:cs="Times New Roman" w:eastAsia="Times New Roman" w:hAnsi="Times New Roman"/>
          <w:sz w:val="17"/>
          <w:szCs w:val="17"/>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3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registered holder of a note will be treated as the owner of it for all purposes.</w:t>
      </w:r>
    </w:p>
    <w:p>
      <w:pPr>
        <w:spacing w:after="0" w:line="21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Optional Redemption</w:t>
      </w:r>
    </w:p>
    <w:p>
      <w:pPr>
        <w:spacing w:after="0" w:line="155" w:lineRule="exact"/>
        <w:rPr>
          <w:sz w:val="20"/>
          <w:szCs w:val="20"/>
          <w:color w:val="auto"/>
        </w:rPr>
      </w:pPr>
    </w:p>
    <w:p>
      <w:pPr>
        <w:ind w:left="1180" w:right="659" w:firstLine="342"/>
        <w:spacing w:after="0" w:line="254" w:lineRule="auto"/>
        <w:rPr>
          <w:sz w:val="20"/>
          <w:szCs w:val="20"/>
          <w:color w:val="auto"/>
        </w:rPr>
      </w:pPr>
      <w:r>
        <w:rPr>
          <w:rFonts w:ascii="Times New Roman" w:cs="Times New Roman" w:eastAsia="Times New Roman" w:hAnsi="Times New Roman"/>
          <w:sz w:val="17"/>
          <w:szCs w:val="17"/>
          <w:color w:val="auto"/>
        </w:rPr>
        <w:t>Prior to the applicable Par Call Date for each series of notes, we may redeem the notes of such series at our option, in whole or in part, at any time and from time to time, at a redemption price (expressed as</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 percentage of principal amount and rounded to three decimal places) equal to the greater of:</w:t>
      </w:r>
    </w:p>
    <w:p>
      <w:pPr>
        <w:spacing w:after="0" w:line="121" w:lineRule="exact"/>
        <w:rPr>
          <w:sz w:val="20"/>
          <w:szCs w:val="20"/>
          <w:color w:val="auto"/>
        </w:rPr>
      </w:pPr>
    </w:p>
    <w:p>
      <w:pPr>
        <w:ind w:left="1520" w:right="699" w:firstLine="347"/>
        <w:spacing w:after="0" w:line="246" w:lineRule="auto"/>
        <w:tabs>
          <w:tab w:leader="none" w:pos="221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10 basis points for the 2027 notes and 15 basis points for the 2031 notes, less (b) interest accrued to the redemption date, and</w:t>
      </w:r>
    </w:p>
    <w:p>
      <w:pPr>
        <w:spacing w:after="0" w:line="307" w:lineRule="exact"/>
        <w:rPr>
          <w:rFonts w:ascii="Times New Roman" w:cs="Times New Roman" w:eastAsia="Times New Roman" w:hAnsi="Times New Roman"/>
          <w:sz w:val="17"/>
          <w:szCs w:val="17"/>
          <w:color w:val="auto"/>
        </w:rPr>
      </w:pPr>
    </w:p>
    <w:p>
      <w:pPr>
        <w:ind w:left="2220" w:hanging="353"/>
        <w:spacing w:after="0"/>
        <w:tabs>
          <w:tab w:leader="none" w:pos="2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principal amount of the notes of the applicable series to be redeemed,</w:t>
      </w:r>
    </w:p>
    <w:p>
      <w:pPr>
        <w:spacing w:after="0" w:line="1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plus, in either case, accrued and unpaid interest thereon to the redemption date.</w:t>
      </w:r>
    </w:p>
    <w:p>
      <w:pPr>
        <w:spacing w:after="0" w:line="138" w:lineRule="exact"/>
        <w:rPr>
          <w:sz w:val="20"/>
          <w:szCs w:val="20"/>
          <w:color w:val="auto"/>
        </w:rPr>
      </w:pPr>
    </w:p>
    <w:p>
      <w:pPr>
        <w:ind w:left="1180" w:right="719" w:firstLine="342"/>
        <w:spacing w:after="0" w:line="252" w:lineRule="auto"/>
        <w:rPr>
          <w:sz w:val="20"/>
          <w:szCs w:val="20"/>
          <w:color w:val="auto"/>
        </w:rPr>
      </w:pPr>
      <w:r>
        <w:rPr>
          <w:rFonts w:ascii="Times New Roman" w:cs="Times New Roman" w:eastAsia="Times New Roman" w:hAnsi="Times New Roman"/>
          <w:sz w:val="17"/>
          <w:szCs w:val="17"/>
          <w:color w:val="auto"/>
        </w:rPr>
        <w:t>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w:t>
      </w:r>
    </w:p>
    <w:p>
      <w:pPr>
        <w:spacing w:after="0" w:line="99" w:lineRule="exact"/>
        <w:rPr>
          <w:sz w:val="20"/>
          <w:szCs w:val="20"/>
          <w:color w:val="auto"/>
        </w:rPr>
      </w:pPr>
    </w:p>
    <w:p>
      <w:pPr>
        <w:ind w:left="1180" w:right="739" w:firstLine="342"/>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Par Call Date</w:t>
      </w:r>
      <w:r>
        <w:rPr>
          <w:rFonts w:ascii="Times New Roman" w:cs="Times New Roman" w:eastAsia="Times New Roman" w:hAnsi="Times New Roman"/>
          <w:sz w:val="17"/>
          <w:szCs w:val="17"/>
          <w:color w:val="auto"/>
        </w:rPr>
        <w:t>” means (i) June 3, 2027 (one month prior to the maturity date), in the case of the 2027 notes, and (ii) May 3, 2031 (two months prior to the maturity date), in the case of the 2031 notes.</w:t>
      </w:r>
    </w:p>
    <w:p>
      <w:pPr>
        <w:spacing w:after="0" w:line="67" w:lineRule="exact"/>
        <w:rPr>
          <w:sz w:val="20"/>
          <w:szCs w:val="20"/>
          <w:color w:val="auto"/>
        </w:rPr>
      </w:pPr>
    </w:p>
    <w:p>
      <w:pPr>
        <w:ind w:left="1180" w:right="719" w:firstLine="342"/>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Treasury Rate</w:t>
      </w:r>
      <w:r>
        <w:rPr>
          <w:rFonts w:ascii="Times New Roman" w:cs="Times New Roman" w:eastAsia="Times New Roman" w:hAnsi="Times New Roman"/>
          <w:sz w:val="17"/>
          <w:szCs w:val="17"/>
          <w:color w:val="auto"/>
        </w:rPr>
        <w:t>” means, with respect to any redemption date, the yield determined by us in accordance with the following two paragraphs.</w:t>
      </w:r>
    </w:p>
    <w:p>
      <w:pPr>
        <w:spacing w:after="0" w:line="84" w:lineRule="exact"/>
        <w:rPr>
          <w:sz w:val="20"/>
          <w:szCs w:val="20"/>
          <w:color w:val="auto"/>
        </w:rPr>
      </w:pPr>
    </w:p>
    <w:p>
      <w:pPr>
        <w:ind w:left="1180" w:right="619" w:firstLine="342"/>
        <w:spacing w:after="0" w:line="254" w:lineRule="auto"/>
        <w:rPr>
          <w:sz w:val="20"/>
          <w:szCs w:val="20"/>
          <w:color w:val="auto"/>
        </w:rPr>
      </w:pPr>
      <w:r>
        <w:rPr>
          <w:rFonts w:ascii="Times New Roman" w:cs="Times New Roman" w:eastAsia="Times New Roman" w:hAnsi="Times New Roman"/>
          <w:sz w:val="17"/>
          <w:szCs w:val="17"/>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w:t>
      </w:r>
    </w:p>
    <w:p>
      <w:pPr>
        <w:spacing w:after="0" w:line="200" w:lineRule="exact"/>
        <w:rPr>
          <w:sz w:val="20"/>
          <w:szCs w:val="20"/>
          <w:color w:val="auto"/>
        </w:rPr>
      </w:pPr>
    </w:p>
    <w:p>
      <w:pPr>
        <w:spacing w:after="0" w:line="3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248285</wp:posOffset>
            </wp:positionV>
            <wp:extent cx="649605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1019"/>
        <w:spacing w:after="0" w:line="285" w:lineRule="auto"/>
        <w:rPr>
          <w:sz w:val="20"/>
          <w:szCs w:val="20"/>
          <w:color w:val="auto"/>
        </w:rPr>
      </w:pPr>
      <w:r>
        <w:rPr>
          <w:rFonts w:ascii="Times New Roman" w:cs="Times New Roman" w:eastAsia="Times New Roman" w:hAnsi="Times New Roman"/>
          <w:sz w:val="17"/>
          <w:szCs w:val="17"/>
          <w:color w:val="auto"/>
        </w:rPr>
        <w:t>maturity date equal to the relevant number of months or years, as applicable, of such Treasury constant maturity from the redemption date.</w:t>
      </w:r>
    </w:p>
    <w:p>
      <w:pPr>
        <w:spacing w:after="0" w:line="88" w:lineRule="exact"/>
        <w:rPr>
          <w:sz w:val="20"/>
          <w:szCs w:val="20"/>
          <w:color w:val="auto"/>
        </w:rPr>
      </w:pPr>
    </w:p>
    <w:p>
      <w:pPr>
        <w:ind w:left="1180" w:right="639" w:firstLine="342"/>
        <w:spacing w:after="0" w:line="254" w:lineRule="auto"/>
        <w:rPr>
          <w:sz w:val="20"/>
          <w:szCs w:val="20"/>
          <w:color w:val="auto"/>
        </w:rPr>
      </w:pPr>
      <w:r>
        <w:rPr>
          <w:rFonts w:ascii="Times New Roman" w:cs="Times New Roman" w:eastAsia="Times New Roman" w:hAnsi="Times New Roman"/>
          <w:sz w:val="17"/>
          <w:szCs w:val="17"/>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15" w:lineRule="exact"/>
        <w:rPr>
          <w:sz w:val="20"/>
          <w:szCs w:val="20"/>
          <w:color w:val="auto"/>
        </w:rPr>
      </w:pPr>
    </w:p>
    <w:p>
      <w:pPr>
        <w:ind w:left="1180" w:right="639" w:firstLine="342"/>
        <w:spacing w:after="0" w:line="263" w:lineRule="auto"/>
        <w:rPr>
          <w:sz w:val="20"/>
          <w:szCs w:val="20"/>
          <w:color w:val="auto"/>
        </w:rPr>
      </w:pPr>
      <w:r>
        <w:rPr>
          <w:rFonts w:ascii="Times New Roman" w:cs="Times New Roman" w:eastAsia="Times New Roman" w:hAnsi="Times New Roman"/>
          <w:sz w:val="17"/>
          <w:szCs w:val="17"/>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93" w:lineRule="exact"/>
        <w:rPr>
          <w:sz w:val="20"/>
          <w:szCs w:val="20"/>
          <w:color w:val="auto"/>
        </w:rPr>
      </w:pPr>
    </w:p>
    <w:p>
      <w:pPr>
        <w:ind w:left="1180" w:right="619" w:firstLine="342"/>
        <w:spacing w:after="0" w:line="254" w:lineRule="auto"/>
        <w:rPr>
          <w:sz w:val="20"/>
          <w:szCs w:val="20"/>
          <w:color w:val="auto"/>
        </w:rPr>
      </w:pPr>
      <w:r>
        <w:rPr>
          <w:rFonts w:ascii="Times New Roman" w:cs="Times New Roman" w:eastAsia="Times New Roman" w:hAnsi="Times New Roman"/>
          <w:sz w:val="17"/>
          <w:szCs w:val="17"/>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38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Defeasance</w:t>
      </w:r>
    </w:p>
    <w:p>
      <w:pPr>
        <w:spacing w:after="0" w:line="155" w:lineRule="exact"/>
        <w:rPr>
          <w:sz w:val="20"/>
          <w:szCs w:val="20"/>
          <w:color w:val="auto"/>
        </w:rPr>
      </w:pPr>
    </w:p>
    <w:p>
      <w:pPr>
        <w:ind w:left="1180" w:right="799" w:firstLine="342"/>
        <w:spacing w:after="0" w:line="268" w:lineRule="auto"/>
        <w:rPr>
          <w:sz w:val="20"/>
          <w:szCs w:val="20"/>
          <w:color w:val="auto"/>
        </w:rPr>
      </w:pPr>
      <w:r>
        <w:rPr>
          <w:rFonts w:ascii="Times New Roman" w:cs="Times New Roman" w:eastAsia="Times New Roman" w:hAnsi="Times New Roman"/>
          <w:sz w:val="17"/>
          <w:szCs w:val="17"/>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1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Satisfaction and Discharge</w:t>
      </w:r>
    </w:p>
    <w:p>
      <w:pPr>
        <w:spacing w:after="0" w:line="155" w:lineRule="exact"/>
        <w:rPr>
          <w:sz w:val="20"/>
          <w:szCs w:val="20"/>
          <w:color w:val="auto"/>
        </w:rPr>
      </w:pPr>
    </w:p>
    <w:p>
      <w:pPr>
        <w:ind w:left="1180" w:right="659" w:firstLine="342"/>
        <w:spacing w:after="0" w:line="268" w:lineRule="auto"/>
        <w:rPr>
          <w:sz w:val="20"/>
          <w:szCs w:val="20"/>
          <w:color w:val="auto"/>
        </w:rPr>
      </w:pPr>
      <w:r>
        <w:rPr>
          <w:rFonts w:ascii="Times New Roman" w:cs="Times New Roman" w:eastAsia="Times New Roman" w:hAnsi="Times New Roman"/>
          <w:sz w:val="17"/>
          <w:szCs w:val="17"/>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90" w:lineRule="exact"/>
        <w:rPr>
          <w:sz w:val="20"/>
          <w:szCs w:val="20"/>
          <w:color w:val="auto"/>
        </w:rPr>
      </w:pPr>
    </w:p>
    <w:p>
      <w:pPr>
        <w:ind w:left="2220" w:hanging="353"/>
        <w:spacing w:after="0"/>
        <w:tabs>
          <w:tab w:leader="none" w:pos="2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w:t>
      </w:r>
    </w:p>
    <w:p>
      <w:pPr>
        <w:spacing w:after="0" w:line="151" w:lineRule="exact"/>
        <w:rPr>
          <w:rFonts w:ascii="Times New Roman" w:cs="Times New Roman" w:eastAsia="Times New Roman" w:hAnsi="Times New Roman"/>
          <w:sz w:val="17"/>
          <w:szCs w:val="17"/>
          <w:color w:val="auto"/>
        </w:rPr>
      </w:pPr>
    </w:p>
    <w:p>
      <w:pPr>
        <w:ind w:left="1860" w:right="759" w:firstLine="349"/>
        <w:spacing w:after="0" w:line="285" w:lineRule="auto"/>
        <w:tabs>
          <w:tab w:leader="none" w:pos="2541"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the notes of that series theretofore authenticated and delivered (except lost, stolen or destroyed notes which have been replaced or paid and notes for whose payment money has</w:t>
      </w:r>
    </w:p>
    <w:p>
      <w:pPr>
        <w:spacing w:after="0" w:line="3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860" w:right="699"/>
        <w:spacing w:after="0" w:line="285" w:lineRule="auto"/>
        <w:rPr>
          <w:sz w:val="20"/>
          <w:szCs w:val="20"/>
          <w:color w:val="auto"/>
        </w:rPr>
      </w:pPr>
      <w:r>
        <w:rPr>
          <w:rFonts w:ascii="Times New Roman" w:cs="Times New Roman" w:eastAsia="Times New Roman" w:hAnsi="Times New Roman"/>
          <w:sz w:val="17"/>
          <w:szCs w:val="17"/>
          <w:color w:val="auto"/>
        </w:rPr>
        <w:t>theretofore been deposited in trust or segregated and held in trust by us and thereafter repaid to us or discharged from such trust) have been delivered to the Trustee for cancellation; or</w:t>
      </w:r>
    </w:p>
    <w:p>
      <w:pPr>
        <w:spacing w:after="0" w:line="75" w:lineRule="exact"/>
        <w:rPr>
          <w:sz w:val="20"/>
          <w:szCs w:val="20"/>
          <w:color w:val="auto"/>
        </w:rPr>
      </w:pPr>
    </w:p>
    <w:p>
      <w:pPr>
        <w:ind w:left="1860" w:right="619" w:firstLine="349"/>
        <w:spacing w:after="0" w:line="243" w:lineRule="auto"/>
        <w:tabs>
          <w:tab w:leader="none" w:pos="25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312" w:lineRule="exact"/>
        <w:rPr>
          <w:rFonts w:ascii="Times New Roman" w:cs="Times New Roman" w:eastAsia="Times New Roman" w:hAnsi="Times New Roman"/>
          <w:sz w:val="17"/>
          <w:szCs w:val="17"/>
          <w:color w:val="auto"/>
        </w:rPr>
      </w:pPr>
    </w:p>
    <w:p>
      <w:pPr>
        <w:ind w:left="1520" w:right="919" w:firstLine="347"/>
        <w:spacing w:after="0" w:line="285" w:lineRule="auto"/>
        <w:tabs>
          <w:tab w:leader="none" w:pos="221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all other sums payable under the Indenture by us with respect to the notes of that series; and</w:t>
      </w:r>
    </w:p>
    <w:p>
      <w:pPr>
        <w:spacing w:after="0" w:line="74" w:lineRule="exact"/>
        <w:rPr>
          <w:rFonts w:ascii="Times New Roman" w:cs="Times New Roman" w:eastAsia="Times New Roman" w:hAnsi="Times New Roman"/>
          <w:sz w:val="17"/>
          <w:szCs w:val="17"/>
          <w:color w:val="auto"/>
        </w:rPr>
      </w:pPr>
    </w:p>
    <w:p>
      <w:pPr>
        <w:ind w:left="1520" w:right="679" w:firstLine="347"/>
        <w:spacing w:after="0" w:line="252" w:lineRule="auto"/>
        <w:tabs>
          <w:tab w:leader="none" w:pos="221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7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Ranking</w:t>
      </w:r>
    </w:p>
    <w:p>
      <w:pPr>
        <w:spacing w:after="0" w:line="142" w:lineRule="exact"/>
        <w:rPr>
          <w:sz w:val="20"/>
          <w:szCs w:val="20"/>
          <w:color w:val="auto"/>
        </w:rPr>
      </w:pPr>
    </w:p>
    <w:p>
      <w:pPr>
        <w:ind w:left="1180" w:right="659" w:firstLine="342"/>
        <w:spacing w:after="0" w:line="260" w:lineRule="auto"/>
        <w:rPr>
          <w:sz w:val="20"/>
          <w:szCs w:val="20"/>
          <w:color w:val="auto"/>
        </w:rPr>
      </w:pPr>
      <w:r>
        <w:rPr>
          <w:rFonts w:ascii="Times New Roman" w:cs="Times New Roman" w:eastAsia="Times New Roman" w:hAnsi="Times New Roman"/>
          <w:sz w:val="17"/>
          <w:szCs w:val="17"/>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96" w:lineRule="exact"/>
        <w:rPr>
          <w:sz w:val="20"/>
          <w:szCs w:val="20"/>
          <w:color w:val="auto"/>
        </w:rPr>
      </w:pPr>
    </w:p>
    <w:p>
      <w:pPr>
        <w:ind w:left="1180" w:right="639" w:firstLine="342"/>
        <w:spacing w:after="0" w:line="246"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307" w:lineRule="exact"/>
        <w:rPr>
          <w:sz w:val="20"/>
          <w:szCs w:val="20"/>
          <w:color w:val="auto"/>
        </w:rPr>
      </w:pPr>
    </w:p>
    <w:p>
      <w:pPr>
        <w:ind w:left="1180" w:right="619" w:firstLine="342"/>
        <w:spacing w:after="0" w:line="244" w:lineRule="auto"/>
        <w:rPr>
          <w:sz w:val="20"/>
          <w:szCs w:val="20"/>
          <w:color w:val="auto"/>
        </w:rPr>
      </w:pPr>
      <w:r>
        <w:rPr>
          <w:rFonts w:ascii="Times New Roman" w:cs="Times New Roman" w:eastAsia="Times New Roman" w:hAnsi="Times New Roman"/>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311" w:lineRule="exact"/>
        <w:rPr>
          <w:sz w:val="20"/>
          <w:szCs w:val="20"/>
          <w:color w:val="auto"/>
        </w:rPr>
      </w:pPr>
    </w:p>
    <w:p>
      <w:pPr>
        <w:jc w:val="both"/>
        <w:ind w:left="1180" w:right="779" w:firstLine="342"/>
        <w:spacing w:after="0" w:line="260" w:lineRule="auto"/>
        <w:rPr>
          <w:sz w:val="20"/>
          <w:szCs w:val="20"/>
          <w:color w:val="auto"/>
        </w:rPr>
      </w:pPr>
      <w:r>
        <w:rPr>
          <w:rFonts w:ascii="Times New Roman" w:cs="Times New Roman" w:eastAsia="Times New Roman" w:hAnsi="Times New Roman"/>
          <w:sz w:val="17"/>
          <w:szCs w:val="17"/>
          <w:color w:val="auto"/>
        </w:rPr>
        <w:t>As of March 31, 2024, our operating subsidiaries had $2.2 billion of indebtedness and WM Holdings had $223 million of long-term debt (excluding guarantees of $11.2 billion of our senior debt), in each case excluding intercompany loans.</w:t>
      </w:r>
    </w:p>
    <w:p>
      <w:pPr>
        <w:spacing w:after="0" w:line="15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Guarantees</w:t>
      </w:r>
    </w:p>
    <w:p>
      <w:pPr>
        <w:spacing w:after="0" w:line="155" w:lineRule="exact"/>
        <w:rPr>
          <w:sz w:val="20"/>
          <w:szCs w:val="20"/>
          <w:color w:val="auto"/>
        </w:rPr>
      </w:pPr>
    </w:p>
    <w:p>
      <w:pPr>
        <w:ind w:left="1180" w:right="1039" w:firstLine="342"/>
        <w:spacing w:after="0" w:line="269" w:lineRule="auto"/>
        <w:rPr>
          <w:sz w:val="20"/>
          <w:szCs w:val="20"/>
          <w:color w:val="auto"/>
        </w:rPr>
      </w:pPr>
      <w:r>
        <w:rPr>
          <w:rFonts w:ascii="Times New Roman" w:cs="Times New Roman" w:eastAsia="Times New Roman" w:hAnsi="Times New Roman"/>
          <w:sz w:val="17"/>
          <w:szCs w:val="17"/>
          <w:color w:val="auto"/>
        </w:rPr>
        <w:t>WM Holdings will unconditionally guarantee our obligations under the notes of each series. Each guarantee will be a general, unsecured obligation of WM Holdings and will rank equally in contractual</w:t>
      </w:r>
    </w:p>
    <w:p>
      <w:pPr>
        <w:spacing w:after="0" w:line="3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939"/>
        <w:spacing w:after="0" w:line="252" w:lineRule="auto"/>
        <w:rPr>
          <w:sz w:val="20"/>
          <w:szCs w:val="20"/>
          <w:color w:val="auto"/>
        </w:rPr>
      </w:pPr>
      <w:r>
        <w:rPr>
          <w:rFonts w:ascii="Times New Roman" w:cs="Times New Roman" w:eastAsia="Times New Roman" w:hAnsi="Times New Roman"/>
          <w:sz w:val="17"/>
          <w:szCs w:val="17"/>
          <w:color w:val="auto"/>
        </w:rPr>
        <w:t>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03" w:lineRule="exact"/>
        <w:rPr>
          <w:sz w:val="20"/>
          <w:szCs w:val="20"/>
          <w:color w:val="auto"/>
        </w:rPr>
      </w:pPr>
    </w:p>
    <w:p>
      <w:pPr>
        <w:jc w:val="both"/>
        <w:ind w:left="1180" w:right="939" w:firstLine="342"/>
        <w:spacing w:after="0" w:line="260" w:lineRule="auto"/>
        <w:rPr>
          <w:sz w:val="20"/>
          <w:szCs w:val="20"/>
          <w:color w:val="auto"/>
        </w:rPr>
      </w:pPr>
      <w:r>
        <w:rPr>
          <w:rFonts w:ascii="Times New Roman" w:cs="Times New Roman" w:eastAsia="Times New Roman" w:hAnsi="Times New Roman"/>
          <w:sz w:val="17"/>
          <w:szCs w:val="17"/>
          <w:color w:val="auto"/>
        </w:rPr>
        <w:t>The guarantees of the notes shall be binding on WM Holdings, its successors and assigns, and shall continue in full force and effect for the benefit of holders of the notes of each series until the earliest to occur of:</w:t>
      </w:r>
    </w:p>
    <w:p>
      <w:pPr>
        <w:spacing w:after="0" w:line="58" w:lineRule="exact"/>
        <w:rPr>
          <w:sz w:val="20"/>
          <w:szCs w:val="20"/>
          <w:color w:val="auto"/>
        </w:rPr>
      </w:pPr>
    </w:p>
    <w:p>
      <w:pPr>
        <w:ind w:left="1700" w:hanging="175"/>
        <w:spacing w:after="0"/>
        <w:tabs>
          <w:tab w:leader="none" w:pos="1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consolidation or merger of WM Holdings into Waste Management, Inc. or its successor;</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consolidation or merger of Waste Management, Inc. or its successor into WM Holdings;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in full of all interest and principal due on the notes of that series; or</w:t>
      </w:r>
    </w:p>
    <w:p>
      <w:pPr>
        <w:spacing w:after="0" w:line="112" w:lineRule="exact"/>
        <w:rPr>
          <w:rFonts w:ascii="Times New Roman" w:cs="Times New Roman" w:eastAsia="Times New Roman" w:hAnsi="Times New Roman"/>
          <w:sz w:val="17"/>
          <w:szCs w:val="17"/>
          <w:color w:val="auto"/>
        </w:rPr>
      </w:pPr>
    </w:p>
    <w:p>
      <w:pPr>
        <w:ind w:left="1700" w:right="699" w:hanging="175"/>
        <w:spacing w:after="0" w:line="263" w:lineRule="auto"/>
        <w:tabs>
          <w:tab w:leader="none" w:pos="1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release of the guarantees by WM Holdings of obligations of Waste Management, Inc. under each of its $3.5 billion revolving credit facility (or any replacement or new principal credit facility). Our $3.5 billion revolving credit facility each currently state that WM Holdings’ guarantees under such facility can only be released with the written consent of each of the lenders that is a party thereto.</w:t>
      </w:r>
    </w:p>
    <w:p>
      <w:pPr>
        <w:spacing w:after="0" w:line="16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Change of Control Offer</w:t>
      </w:r>
    </w:p>
    <w:p>
      <w:pPr>
        <w:spacing w:after="0" w:line="142" w:lineRule="exact"/>
        <w:rPr>
          <w:sz w:val="20"/>
          <w:szCs w:val="20"/>
          <w:color w:val="auto"/>
        </w:rPr>
      </w:pPr>
    </w:p>
    <w:p>
      <w:pPr>
        <w:ind w:left="1180" w:right="639" w:firstLine="342"/>
        <w:spacing w:after="0" w:line="256" w:lineRule="auto"/>
        <w:rPr>
          <w:sz w:val="20"/>
          <w:szCs w:val="20"/>
          <w:color w:val="auto"/>
        </w:rPr>
      </w:pPr>
      <w:r>
        <w:rPr>
          <w:rFonts w:ascii="Times New Roman" w:cs="Times New Roman" w:eastAsia="Times New Roman" w:hAnsi="Times New Roman"/>
          <w:sz w:val="17"/>
          <w:szCs w:val="17"/>
          <w:color w:val="auto"/>
        </w:rPr>
        <w:t>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16" w:lineRule="exact"/>
        <w:rPr>
          <w:sz w:val="20"/>
          <w:szCs w:val="20"/>
          <w:color w:val="auto"/>
        </w:rPr>
      </w:pPr>
    </w:p>
    <w:p>
      <w:pPr>
        <w:ind w:left="1180" w:right="699" w:firstLine="342"/>
        <w:spacing w:after="0" w:line="256" w:lineRule="auto"/>
        <w:rPr>
          <w:sz w:val="20"/>
          <w:szCs w:val="20"/>
          <w:color w:val="auto"/>
        </w:rPr>
      </w:pPr>
      <w:r>
        <w:rPr>
          <w:rFonts w:ascii="Times New Roman" w:cs="Times New Roman" w:eastAsia="Times New Roman" w:hAnsi="Times New Roman"/>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Upon the change of control payment date, we will, to the extent lawful:</w:t>
      </w:r>
    </w:p>
    <w:p>
      <w:pPr>
        <w:spacing w:after="0" w:line="113" w:lineRule="exact"/>
        <w:rPr>
          <w:sz w:val="20"/>
          <w:szCs w:val="20"/>
          <w:color w:val="auto"/>
        </w:rPr>
      </w:pPr>
    </w:p>
    <w:p>
      <w:pPr>
        <w:ind w:left="1700" w:right="879" w:hanging="175"/>
        <w:spacing w:after="0" w:line="285" w:lineRule="auto"/>
        <w:tabs>
          <w:tab w:leader="none" w:pos="17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for payment all notes or portions of notes properly tendered and not withdrawn pursuant to the change of control offer;</w:t>
      </w:r>
    </w:p>
    <w:p>
      <w:pPr>
        <w:spacing w:after="0" w:line="49" w:lineRule="exact"/>
        <w:rPr>
          <w:rFonts w:ascii="Times New Roman" w:cs="Times New Roman" w:eastAsia="Times New Roman" w:hAnsi="Times New Roman"/>
          <w:sz w:val="17"/>
          <w:szCs w:val="17"/>
          <w:color w:val="auto"/>
        </w:rPr>
      </w:pPr>
    </w:p>
    <w:p>
      <w:pPr>
        <w:ind w:left="1700" w:right="999" w:hanging="175"/>
        <w:spacing w:after="0" w:line="285" w:lineRule="auto"/>
        <w:tabs>
          <w:tab w:leader="none" w:pos="17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with the paying agent an amount equal to the change of control payment in respect of all notes or portions of notes properly tendered; and</w:t>
      </w:r>
    </w:p>
    <w:p>
      <w:pPr>
        <w:spacing w:after="0" w:line="49" w:lineRule="exact"/>
        <w:rPr>
          <w:rFonts w:ascii="Times New Roman" w:cs="Times New Roman" w:eastAsia="Times New Roman" w:hAnsi="Times New Roman"/>
          <w:sz w:val="17"/>
          <w:szCs w:val="17"/>
          <w:color w:val="auto"/>
        </w:rPr>
      </w:pPr>
    </w:p>
    <w:p>
      <w:pPr>
        <w:ind w:left="1700" w:right="739" w:hanging="175"/>
        <w:spacing w:after="0" w:line="285" w:lineRule="auto"/>
        <w:tabs>
          <w:tab w:leader="none" w:pos="17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Trustee the notes properly accepted together with an officers’ certificate stating the aggregate principal amount of notes or portions of notes being repurchased.</w:t>
      </w:r>
    </w:p>
    <w:p>
      <w:pPr>
        <w:spacing w:after="0" w:line="75" w:lineRule="exact"/>
        <w:rPr>
          <w:sz w:val="20"/>
          <w:szCs w:val="20"/>
          <w:color w:val="auto"/>
        </w:rPr>
      </w:pPr>
    </w:p>
    <w:p>
      <w:pPr>
        <w:ind w:left="1180" w:right="659" w:firstLine="342"/>
        <w:spacing w:after="0" w:line="257" w:lineRule="auto"/>
        <w:rPr>
          <w:sz w:val="20"/>
          <w:szCs w:val="20"/>
          <w:color w:val="auto"/>
        </w:rPr>
      </w:pPr>
      <w:r>
        <w:rPr>
          <w:rFonts w:ascii="Times New Roman" w:cs="Times New Roman" w:eastAsia="Times New Roman" w:hAnsi="Times New Roman"/>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13" w:lineRule="exact"/>
        <w:rPr>
          <w:sz w:val="20"/>
          <w:szCs w:val="20"/>
          <w:color w:val="auto"/>
        </w:rPr>
      </w:pPr>
    </w:p>
    <w:p>
      <w:pPr>
        <w:ind w:left="1180" w:right="799" w:firstLine="342"/>
        <w:spacing w:after="0" w:line="285" w:lineRule="auto"/>
        <w:rPr>
          <w:sz w:val="20"/>
          <w:szCs w:val="20"/>
          <w:color w:val="auto"/>
        </w:rPr>
      </w:pPr>
      <w:r>
        <w:rPr>
          <w:rFonts w:ascii="Times New Roman" w:cs="Times New Roman" w:eastAsia="Times New Roman" w:hAnsi="Times New Roman"/>
          <w:sz w:val="17"/>
          <w:szCs w:val="17"/>
          <w:color w:val="auto"/>
        </w:rPr>
        <w:t>We will comply with the applicable requirements of Rule 14e-1 under the Securities Exchange Act of 1934, as amended (the “Exchange Act”), and any other securities laws and regulations thereunder to the</w:t>
      </w:r>
    </w:p>
    <w:p>
      <w:pPr>
        <w:spacing w:after="0" w:line="3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79"/>
        <w:spacing w:after="0" w:line="252" w:lineRule="auto"/>
        <w:rPr>
          <w:sz w:val="20"/>
          <w:szCs w:val="20"/>
          <w:color w:val="auto"/>
        </w:rPr>
      </w:pPr>
      <w:r>
        <w:rPr>
          <w:rFonts w:ascii="Times New Roman" w:cs="Times New Roman" w:eastAsia="Times New Roman" w:hAnsi="Times New Roman"/>
          <w:sz w:val="17"/>
          <w:szCs w:val="17"/>
          <w:color w:val="auto"/>
        </w:rPr>
        <w:t>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03" w:lineRule="exact"/>
        <w:rPr>
          <w:sz w:val="20"/>
          <w:szCs w:val="20"/>
          <w:color w:val="auto"/>
        </w:rPr>
      </w:pPr>
    </w:p>
    <w:p>
      <w:pPr>
        <w:ind w:left="1180" w:right="1279" w:firstLine="342"/>
        <w:spacing w:after="0" w:line="269" w:lineRule="auto"/>
        <w:rPr>
          <w:sz w:val="20"/>
          <w:szCs w:val="20"/>
          <w:color w:val="auto"/>
        </w:rPr>
      </w:pPr>
      <w:r>
        <w:rPr>
          <w:rFonts w:ascii="Times New Roman" w:cs="Times New Roman" w:eastAsia="Times New Roman" w:hAnsi="Times New Roman"/>
          <w:sz w:val="17"/>
          <w:szCs w:val="17"/>
          <w:color w:val="auto"/>
        </w:rPr>
        <w:t>For purposes of the change of control offer provisions of the notes, the following terms will be applicable:</w:t>
      </w:r>
    </w:p>
    <w:p>
      <w:pPr>
        <w:spacing w:after="0" w:line="84" w:lineRule="exact"/>
        <w:rPr>
          <w:sz w:val="20"/>
          <w:szCs w:val="20"/>
          <w:color w:val="auto"/>
        </w:rPr>
      </w:pPr>
    </w:p>
    <w:p>
      <w:pPr>
        <w:ind w:left="1180" w:right="659" w:firstLine="342"/>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xml:space="preserve"> ”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308" w:lineRule="exact"/>
        <w:rPr>
          <w:sz w:val="20"/>
          <w:szCs w:val="20"/>
          <w:color w:val="auto"/>
        </w:rPr>
      </w:pPr>
    </w:p>
    <w:p>
      <w:pPr>
        <w:ind w:left="1180" w:right="799" w:firstLine="342"/>
        <w:spacing w:after="0" w:line="247" w:lineRule="auto"/>
        <w:rPr>
          <w:sz w:val="20"/>
          <w:szCs w:val="20"/>
          <w:color w:val="auto"/>
        </w:rPr>
      </w:pPr>
      <w:r>
        <w:rPr>
          <w:rFonts w:ascii="Times New Roman" w:cs="Times New Roman" w:eastAsia="Times New Roman" w:hAnsi="Times New Roman"/>
          <w:sz w:val="17"/>
          <w:szCs w:val="17"/>
          <w:color w:val="auto"/>
        </w:rPr>
        <w:t>Notwithstanding the preceding, a transaction will not be deemed to involve a change of control under clause (2) above if (i) we become a direct or indirect wholly owned subsidiary of a holding company and</w:t>
      </w:r>
    </w:p>
    <w:p>
      <w:pPr>
        <w:spacing w:after="0" w:line="1" w:lineRule="exact"/>
        <w:rPr>
          <w:sz w:val="20"/>
          <w:szCs w:val="20"/>
          <w:color w:val="auto"/>
        </w:rPr>
      </w:pPr>
    </w:p>
    <w:p>
      <w:pPr>
        <w:ind w:left="1180" w:right="639" w:firstLine="3"/>
        <w:spacing w:after="0" w:line="244" w:lineRule="auto"/>
        <w:tabs>
          <w:tab w:leader="none" w:pos="144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11" w:lineRule="exact"/>
        <w:rPr>
          <w:sz w:val="20"/>
          <w:szCs w:val="20"/>
          <w:color w:val="auto"/>
        </w:rPr>
      </w:pPr>
    </w:p>
    <w:p>
      <w:pPr>
        <w:ind w:left="1180" w:right="799" w:firstLine="342"/>
        <w:spacing w:after="0" w:line="247" w:lineRule="auto"/>
        <w:rPr>
          <w:sz w:val="20"/>
          <w:szCs w:val="20"/>
          <w:color w:val="auto"/>
        </w:rPr>
      </w:pPr>
      <w:r>
        <w:rPr>
          <w:rFonts w:ascii="Times New Roman" w:cs="Times New Roman" w:eastAsia="Times New Roman" w:hAnsi="Times New Roman"/>
          <w:sz w:val="17"/>
          <w:szCs w:val="17"/>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02" w:lineRule="exact"/>
        <w:rPr>
          <w:sz w:val="20"/>
          <w:szCs w:val="20"/>
          <w:color w:val="auto"/>
        </w:rPr>
      </w:pPr>
    </w:p>
    <w:p>
      <w:pPr>
        <w:ind w:left="1180" w:right="979" w:firstLine="342"/>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 triggering event</w:t>
      </w:r>
      <w:r>
        <w:rPr>
          <w:rFonts w:ascii="Times New Roman" w:cs="Times New Roman" w:eastAsia="Times New Roman" w:hAnsi="Times New Roman"/>
          <w:sz w:val="17"/>
          <w:szCs w:val="17"/>
          <w:color w:val="auto"/>
        </w:rPr>
        <w:t>” means the occurrence of both a change of control and a rating event.</w:t>
      </w:r>
    </w:p>
    <w:p>
      <w:pPr>
        <w:spacing w:after="0" w:line="8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Fitch</w:t>
      </w:r>
      <w:r>
        <w:rPr>
          <w:rFonts w:ascii="Times New Roman" w:cs="Times New Roman" w:eastAsia="Times New Roman" w:hAnsi="Times New Roman"/>
          <w:sz w:val="17"/>
          <w:szCs w:val="17"/>
          <w:color w:val="auto"/>
        </w:rPr>
        <w:t>” means Fitch Inc. and its successors.</w:t>
      </w:r>
    </w:p>
    <w:p>
      <w:pPr>
        <w:spacing w:after="0" w:line="151" w:lineRule="exact"/>
        <w:rPr>
          <w:sz w:val="20"/>
          <w:szCs w:val="20"/>
          <w:color w:val="auto"/>
        </w:rPr>
      </w:pPr>
    </w:p>
    <w:p>
      <w:pPr>
        <w:ind w:left="1180" w:right="759" w:firstLine="342"/>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investment grade rating</w:t>
      </w:r>
      <w:r>
        <w:rPr>
          <w:rFonts w:ascii="Times New Roman" w:cs="Times New Roman" w:eastAsia="Times New Roman" w:hAnsi="Times New Roman"/>
          <w:sz w:val="17"/>
          <w:szCs w:val="17"/>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Moody’s</w:t>
      </w:r>
      <w:r>
        <w:rPr>
          <w:rFonts w:ascii="Times New Roman" w:cs="Times New Roman" w:eastAsia="Times New Roman" w:hAnsi="Times New Roman"/>
          <w:sz w:val="17"/>
          <w:szCs w:val="17"/>
          <w:color w:val="auto"/>
        </w:rPr>
        <w:t>” means Moody’s Investors Service, Inc. and its successors.</w:t>
      </w:r>
    </w:p>
    <w:p>
      <w:pPr>
        <w:spacing w:after="0" w:line="138" w:lineRule="exact"/>
        <w:rPr>
          <w:sz w:val="20"/>
          <w:szCs w:val="20"/>
          <w:color w:val="auto"/>
        </w:rPr>
      </w:pPr>
    </w:p>
    <w:p>
      <w:pPr>
        <w:ind w:left="1180" w:right="739" w:firstLine="342"/>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rating agencies</w:t>
      </w:r>
      <w:r>
        <w:rPr>
          <w:rFonts w:ascii="Times New Roman" w:cs="Times New Roman" w:eastAsia="Times New Roman" w:hAnsi="Times New Roman"/>
          <w:sz w:val="17"/>
          <w:szCs w:val="17"/>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33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80" w:right="619" w:firstLine="342"/>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rating event</w:t>
      </w:r>
      <w:r>
        <w:rPr>
          <w:rFonts w:ascii="Times New Roman" w:cs="Times New Roman" w:eastAsia="Times New Roman" w:hAnsi="Times New Roman"/>
          <w:sz w:val="17"/>
          <w:szCs w:val="17"/>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3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S&amp;P</w:t>
      </w:r>
      <w:r>
        <w:rPr>
          <w:rFonts w:ascii="Times New Roman" w:cs="Times New Roman" w:eastAsia="Times New Roman" w:hAnsi="Times New Roman"/>
          <w:sz w:val="17"/>
          <w:szCs w:val="17"/>
          <w:color w:val="auto"/>
        </w:rPr>
        <w:t>” means S&amp;P Global Ratings, a division of S&amp;P Global Inc., and its successors.</w:t>
      </w:r>
    </w:p>
    <w:p>
      <w:pPr>
        <w:spacing w:after="0" w:line="151" w:lineRule="exact"/>
        <w:rPr>
          <w:sz w:val="20"/>
          <w:szCs w:val="20"/>
          <w:color w:val="auto"/>
        </w:rPr>
      </w:pPr>
    </w:p>
    <w:p>
      <w:pPr>
        <w:ind w:left="1180" w:right="639" w:firstLine="342"/>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voting stock</w:t>
      </w:r>
      <w:r>
        <w:rPr>
          <w:rFonts w:ascii="Times New Roman" w:cs="Times New Roman" w:eastAsia="Times New Roman" w:hAnsi="Times New Roman"/>
          <w:sz w:val="17"/>
          <w:szCs w:val="17"/>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Certain Covenants</w:t>
      </w:r>
    </w:p>
    <w:p>
      <w:pPr>
        <w:spacing w:after="0" w:line="14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Certain covenants in the Indenture limit our ability and the ability of our subsidiaries to:</w:t>
      </w:r>
    </w:p>
    <w:p>
      <w:pPr>
        <w:spacing w:after="0" w:line="125" w:lineRule="exact"/>
        <w:rPr>
          <w:sz w:val="20"/>
          <w:szCs w:val="20"/>
          <w:color w:val="auto"/>
        </w:rPr>
      </w:pPr>
    </w:p>
    <w:p>
      <w:pPr>
        <w:ind w:left="1700" w:hanging="175"/>
        <w:spacing w:after="0"/>
        <w:tabs>
          <w:tab w:leader="none" w:pos="1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incur or assume debt secured by liens;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 and leaseback transactions; and</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consolidate or transfer all or substantially all of our assets.</w:t>
      </w:r>
    </w:p>
    <w:p>
      <w:pPr>
        <w:spacing w:after="0" w:line="151" w:lineRule="exact"/>
        <w:rPr>
          <w:sz w:val="20"/>
          <w:szCs w:val="20"/>
          <w:color w:val="auto"/>
        </w:rPr>
      </w:pPr>
    </w:p>
    <w:p>
      <w:pPr>
        <w:ind w:left="1180" w:right="759" w:firstLine="342"/>
        <w:spacing w:after="0" w:line="268" w:lineRule="auto"/>
        <w:rPr>
          <w:sz w:val="20"/>
          <w:szCs w:val="20"/>
          <w:color w:val="auto"/>
        </w:rPr>
      </w:pPr>
      <w:r>
        <w:rPr>
          <w:rFonts w:ascii="Times New Roman" w:cs="Times New Roman" w:eastAsia="Times New Roman" w:hAnsi="Times New Roman"/>
          <w:sz w:val="17"/>
          <w:szCs w:val="17"/>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Further Issuances</w:t>
      </w:r>
    </w:p>
    <w:p>
      <w:pPr>
        <w:spacing w:after="0" w:line="142" w:lineRule="exact"/>
        <w:rPr>
          <w:sz w:val="20"/>
          <w:szCs w:val="20"/>
          <w:color w:val="auto"/>
        </w:rPr>
      </w:pPr>
    </w:p>
    <w:p>
      <w:pPr>
        <w:ind w:left="1180" w:right="659" w:firstLine="342"/>
        <w:spacing w:after="0" w:line="258" w:lineRule="auto"/>
        <w:rPr>
          <w:sz w:val="20"/>
          <w:szCs w:val="20"/>
          <w:color w:val="auto"/>
        </w:rPr>
      </w:pPr>
      <w:r>
        <w:rPr>
          <w:rFonts w:ascii="Times New Roman" w:cs="Times New Roman" w:eastAsia="Times New Roman" w:hAnsi="Times New Roman"/>
          <w:sz w:val="17"/>
          <w:szCs w:val="17"/>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37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Book-Entry Systems</w:t>
      </w:r>
    </w:p>
    <w:p>
      <w:pPr>
        <w:spacing w:after="0" w:line="155" w:lineRule="exact"/>
        <w:rPr>
          <w:sz w:val="20"/>
          <w:szCs w:val="20"/>
          <w:color w:val="auto"/>
        </w:rPr>
      </w:pPr>
    </w:p>
    <w:p>
      <w:pPr>
        <w:ind w:left="1180" w:right="739" w:firstLine="342"/>
        <w:spacing w:after="0" w:line="258" w:lineRule="auto"/>
        <w:rPr>
          <w:sz w:val="20"/>
          <w:szCs w:val="20"/>
          <w:color w:val="auto"/>
        </w:rPr>
      </w:pPr>
      <w:r>
        <w:rPr>
          <w:rFonts w:ascii="Times New Roman" w:cs="Times New Roman" w:eastAsia="Times New Roman" w:hAnsi="Times New Roman"/>
          <w:sz w:val="17"/>
          <w:szCs w:val="17"/>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12" w:lineRule="exact"/>
        <w:rPr>
          <w:sz w:val="20"/>
          <w:szCs w:val="20"/>
          <w:color w:val="auto"/>
        </w:rPr>
      </w:pPr>
    </w:p>
    <w:p>
      <w:pPr>
        <w:ind w:left="1180" w:right="679" w:firstLine="342"/>
        <w:spacing w:after="0" w:line="263" w:lineRule="auto"/>
        <w:rPr>
          <w:sz w:val="20"/>
          <w:szCs w:val="20"/>
          <w:color w:val="auto"/>
        </w:rPr>
      </w:pPr>
      <w:r>
        <w:rPr>
          <w:rFonts w:ascii="Times New Roman" w:cs="Times New Roman" w:eastAsia="Times New Roman" w:hAnsi="Times New Roman"/>
          <w:sz w:val="17"/>
          <w:szCs w:val="17"/>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93" w:lineRule="exact"/>
        <w:rPr>
          <w:sz w:val="20"/>
          <w:szCs w:val="20"/>
          <w:color w:val="auto"/>
        </w:rPr>
      </w:pPr>
    </w:p>
    <w:p>
      <w:pPr>
        <w:ind w:left="1180" w:right="659" w:firstLine="342"/>
        <w:spacing w:after="0" w:line="257" w:lineRule="auto"/>
        <w:rPr>
          <w:sz w:val="20"/>
          <w:szCs w:val="20"/>
          <w:color w:val="auto"/>
        </w:rPr>
      </w:pPr>
      <w:r>
        <w:rPr>
          <w:rFonts w:ascii="Times New Roman" w:cs="Times New Roman" w:eastAsia="Times New Roman" w:hAnsi="Times New Roman"/>
          <w:sz w:val="17"/>
          <w:szCs w:val="17"/>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35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While the following information concerning DTC, Euroclear and Clearstream and their respective</w:t>
      </w:r>
    </w:p>
    <w:p>
      <w:pPr>
        <w:spacing w:after="0" w:line="27" w:lineRule="exact"/>
        <w:rPr>
          <w:sz w:val="20"/>
          <w:szCs w:val="20"/>
          <w:color w:val="auto"/>
        </w:rPr>
      </w:pPr>
    </w:p>
    <w:p>
      <w:pPr>
        <w:ind w:left="1180" w:right="699"/>
        <w:spacing w:after="0" w:line="248" w:lineRule="auto"/>
        <w:rPr>
          <w:sz w:val="20"/>
          <w:szCs w:val="20"/>
          <w:color w:val="auto"/>
        </w:rPr>
      </w:pPr>
      <w:r>
        <w:rPr>
          <w:rFonts w:ascii="Times New Roman" w:cs="Times New Roman" w:eastAsia="Times New Roman" w:hAnsi="Times New Roman"/>
          <w:sz w:val="17"/>
          <w:szCs w:val="17"/>
          <w:color w:val="auto"/>
        </w:rPr>
        <w:t>book-entry systems has been obtained from sources that we believe to be reliable, we take no responsibility for the accuracy of that information.</w:t>
      </w:r>
    </w:p>
    <w:p>
      <w:pPr>
        <w:spacing w:after="0" w:line="16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7"/>
          <w:szCs w:val="17"/>
          <w:b w:val="1"/>
          <w:bCs w:val="1"/>
          <w:color w:val="auto"/>
        </w:rPr>
        <w:t>DTC</w:t>
      </w:r>
    </w:p>
    <w:p>
      <w:pPr>
        <w:spacing w:after="0" w:line="155"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17"/>
          <w:szCs w:val="17"/>
          <w:color w:val="auto"/>
        </w:rPr>
        <w:t>DTC has advised us and the underwriters as follows:</w:t>
      </w:r>
    </w:p>
    <w:p>
      <w:pPr>
        <w:spacing w:after="0" w:line="113" w:lineRule="exact"/>
        <w:rPr>
          <w:sz w:val="20"/>
          <w:szCs w:val="20"/>
          <w:color w:val="auto"/>
        </w:rPr>
      </w:pPr>
    </w:p>
    <w:p>
      <w:pPr>
        <w:ind w:left="1700" w:right="799" w:hanging="175"/>
        <w:spacing w:after="0" w:line="263" w:lineRule="auto"/>
        <w:tabs>
          <w:tab w:leader="none" w:pos="1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54" w:lineRule="exact"/>
        <w:rPr>
          <w:rFonts w:ascii="Times New Roman" w:cs="Times New Roman" w:eastAsia="Times New Roman" w:hAnsi="Times New Roman"/>
          <w:sz w:val="17"/>
          <w:szCs w:val="17"/>
          <w:color w:val="auto"/>
        </w:rPr>
      </w:pPr>
    </w:p>
    <w:p>
      <w:pPr>
        <w:ind w:left="1700" w:right="639" w:hanging="175"/>
        <w:spacing w:after="0" w:line="263" w:lineRule="auto"/>
        <w:tabs>
          <w:tab w:leader="none" w:pos="1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67" w:lineRule="exact"/>
        <w:rPr>
          <w:rFonts w:ascii="Times New Roman" w:cs="Times New Roman" w:eastAsia="Times New Roman" w:hAnsi="Times New Roman"/>
          <w:sz w:val="17"/>
          <w:szCs w:val="17"/>
          <w:color w:val="auto"/>
        </w:rPr>
      </w:pPr>
    </w:p>
    <w:p>
      <w:pPr>
        <w:ind w:left="1700" w:right="699" w:hanging="175"/>
        <w:spacing w:after="0" w:line="260" w:lineRule="auto"/>
        <w:tabs>
          <w:tab w:leader="none" w:pos="1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70"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applicable to DTC and its direct and indirect participants are on file with the SEC.</w:t>
      </w:r>
    </w:p>
    <w:p>
      <w:pPr>
        <w:spacing w:after="0" w:line="138" w:lineRule="exact"/>
        <w:rPr>
          <w:sz w:val="20"/>
          <w:szCs w:val="20"/>
          <w:color w:val="auto"/>
        </w:rPr>
      </w:pPr>
    </w:p>
    <w:p>
      <w:pPr>
        <w:ind w:left="1180" w:right="619" w:firstLine="342"/>
        <w:spacing w:after="0" w:line="245" w:lineRule="auto"/>
        <w:rPr>
          <w:sz w:val="20"/>
          <w:szCs w:val="20"/>
          <w:color w:val="auto"/>
        </w:rPr>
      </w:pPr>
      <w:r>
        <w:rPr>
          <w:rFonts w:ascii="Times New Roman" w:cs="Times New Roman" w:eastAsia="Times New Roman" w:hAnsi="Times New Roman"/>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09" w:lineRule="exact"/>
        <w:rPr>
          <w:sz w:val="20"/>
          <w:szCs w:val="20"/>
          <w:color w:val="auto"/>
        </w:rPr>
      </w:pPr>
    </w:p>
    <w:p>
      <w:pPr>
        <w:ind w:left="1180" w:right="679" w:firstLine="342"/>
        <w:spacing w:after="0" w:line="247" w:lineRule="auto"/>
        <w:rPr>
          <w:sz w:val="20"/>
          <w:szCs w:val="20"/>
          <w:color w:val="auto"/>
        </w:rPr>
      </w:pPr>
      <w:r>
        <w:rPr>
          <w:rFonts w:ascii="Times New Roman" w:cs="Times New Roman" w:eastAsia="Times New Roman" w:hAnsi="Times New Roman"/>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311" w:lineRule="exact"/>
        <w:rPr>
          <w:sz w:val="20"/>
          <w:szCs w:val="20"/>
          <w:color w:val="auto"/>
        </w:rPr>
      </w:pPr>
    </w:p>
    <w:p>
      <w:pPr>
        <w:ind w:left="1180" w:right="839" w:firstLine="342"/>
        <w:spacing w:after="0" w:line="252" w:lineRule="auto"/>
        <w:rPr>
          <w:sz w:val="20"/>
          <w:szCs w:val="20"/>
          <w:color w:val="auto"/>
        </w:rPr>
      </w:pPr>
      <w:r>
        <w:rPr>
          <w:rFonts w:ascii="Times New Roman" w:cs="Times New Roman" w:eastAsia="Times New Roman" w:hAnsi="Times New Roman"/>
          <w:sz w:val="17"/>
          <w:szCs w:val="17"/>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03" w:lineRule="exact"/>
        <w:rPr>
          <w:sz w:val="20"/>
          <w:szCs w:val="20"/>
          <w:color w:val="auto"/>
        </w:rPr>
      </w:pPr>
    </w:p>
    <w:p>
      <w:pPr>
        <w:ind w:left="1180" w:right="979" w:firstLine="342"/>
        <w:spacing w:after="0" w:line="252" w:lineRule="auto"/>
        <w:rPr>
          <w:sz w:val="20"/>
          <w:szCs w:val="20"/>
          <w:color w:val="auto"/>
        </w:rPr>
      </w:pPr>
      <w:r>
        <w:rPr>
          <w:rFonts w:ascii="Times New Roman" w:cs="Times New Roman" w:eastAsia="Times New Roman" w:hAnsi="Times New Roman"/>
          <w:sz w:val="17"/>
          <w:szCs w:val="17"/>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03" w:lineRule="exact"/>
        <w:rPr>
          <w:sz w:val="20"/>
          <w:szCs w:val="20"/>
          <w:color w:val="auto"/>
        </w:rPr>
      </w:pPr>
    </w:p>
    <w:p>
      <w:pPr>
        <w:ind w:left="1180" w:right="859" w:firstLine="342"/>
        <w:spacing w:after="0" w:line="252" w:lineRule="auto"/>
        <w:rPr>
          <w:sz w:val="20"/>
          <w:szCs w:val="20"/>
          <w:color w:val="auto"/>
        </w:rPr>
      </w:pPr>
      <w:r>
        <w:rPr>
          <w:rFonts w:ascii="Times New Roman" w:cs="Times New Roman" w:eastAsia="Times New Roman" w:hAnsi="Times New Roman"/>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33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839" w:firstLine="342"/>
        <w:spacing w:after="0" w:line="253" w:lineRule="auto"/>
        <w:rPr>
          <w:sz w:val="20"/>
          <w:szCs w:val="20"/>
          <w:color w:val="auto"/>
        </w:rPr>
      </w:pPr>
      <w:r>
        <w:rPr>
          <w:rFonts w:ascii="Times New Roman" w:cs="Times New Roman" w:eastAsia="Times New Roman" w:hAnsi="Times New Roman"/>
          <w:sz w:val="17"/>
          <w:szCs w:val="17"/>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305" w:lineRule="exact"/>
        <w:rPr>
          <w:sz w:val="20"/>
          <w:szCs w:val="20"/>
          <w:color w:val="auto"/>
        </w:rPr>
      </w:pPr>
    </w:p>
    <w:p>
      <w:pPr>
        <w:ind w:left="1180" w:right="659" w:firstLine="342"/>
        <w:spacing w:after="0" w:line="243" w:lineRule="auto"/>
        <w:rPr>
          <w:sz w:val="20"/>
          <w:szCs w:val="20"/>
          <w:color w:val="auto"/>
        </w:rPr>
      </w:pPr>
      <w:r>
        <w:rPr>
          <w:rFonts w:ascii="Times New Roman" w:cs="Times New Roman" w:eastAsia="Times New Roman" w:hAnsi="Times New Roman"/>
          <w:sz w:val="17"/>
          <w:szCs w:val="17"/>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313" w:lineRule="exact"/>
        <w:rPr>
          <w:sz w:val="20"/>
          <w:szCs w:val="20"/>
          <w:color w:val="auto"/>
        </w:rPr>
      </w:pPr>
    </w:p>
    <w:p>
      <w:pPr>
        <w:ind w:left="1180" w:right="819" w:firstLine="342"/>
        <w:spacing w:after="0" w:line="249" w:lineRule="auto"/>
        <w:rPr>
          <w:sz w:val="20"/>
          <w:szCs w:val="20"/>
          <w:color w:val="auto"/>
        </w:rPr>
      </w:pPr>
      <w:r>
        <w:rPr>
          <w:rFonts w:ascii="Times New Roman" w:cs="Times New Roman" w:eastAsia="Times New Roman" w:hAnsi="Times New Roman"/>
          <w:sz w:val="17"/>
          <w:szCs w:val="17"/>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05" w:lineRule="exact"/>
        <w:rPr>
          <w:sz w:val="20"/>
          <w:szCs w:val="20"/>
          <w:color w:val="auto"/>
        </w:rPr>
      </w:pPr>
    </w:p>
    <w:p>
      <w:pPr>
        <w:ind w:left="1180" w:right="879" w:firstLine="342"/>
        <w:spacing w:after="0" w:line="252" w:lineRule="auto"/>
        <w:rPr>
          <w:sz w:val="20"/>
          <w:szCs w:val="20"/>
          <w:color w:val="auto"/>
        </w:rPr>
      </w:pPr>
      <w:r>
        <w:rPr>
          <w:rFonts w:ascii="Times New Roman" w:cs="Times New Roman" w:eastAsia="Times New Roman" w:hAnsi="Times New Roman"/>
          <w:sz w:val="17"/>
          <w:szCs w:val="17"/>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03" w:lineRule="exact"/>
        <w:rPr>
          <w:sz w:val="20"/>
          <w:szCs w:val="20"/>
          <w:color w:val="auto"/>
        </w:rPr>
      </w:pPr>
    </w:p>
    <w:p>
      <w:pPr>
        <w:ind w:left="1180" w:right="919" w:firstLine="342"/>
        <w:spacing w:after="0" w:line="252" w:lineRule="auto"/>
        <w:rPr>
          <w:sz w:val="20"/>
          <w:szCs w:val="20"/>
          <w:color w:val="auto"/>
        </w:rPr>
      </w:pPr>
      <w:r>
        <w:rPr>
          <w:rFonts w:ascii="Times New Roman" w:cs="Times New Roman" w:eastAsia="Times New Roman" w:hAnsi="Times New Roman"/>
          <w:sz w:val="17"/>
          <w:szCs w:val="17"/>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7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Euroclear</w:t>
      </w:r>
    </w:p>
    <w:p>
      <w:pPr>
        <w:spacing w:after="0" w:line="142" w:lineRule="exact"/>
        <w:rPr>
          <w:sz w:val="20"/>
          <w:szCs w:val="20"/>
          <w:color w:val="auto"/>
        </w:rPr>
      </w:pPr>
    </w:p>
    <w:p>
      <w:pPr>
        <w:ind w:left="1180" w:right="639" w:firstLine="342"/>
        <w:spacing w:after="0" w:line="249" w:lineRule="auto"/>
        <w:rPr>
          <w:sz w:val="20"/>
          <w:szCs w:val="20"/>
          <w:color w:val="auto"/>
        </w:rPr>
      </w:pPr>
      <w:r>
        <w:rPr>
          <w:rFonts w:ascii="Times New Roman" w:cs="Times New Roman" w:eastAsia="Times New Roman" w:hAnsi="Times New Roman"/>
          <w:sz w:val="17"/>
          <w:szCs w:val="17"/>
          <w:color w:val="auto"/>
        </w:rPr>
        <w:t>Euroclear was created in 1968 to hold securities for participants of Euroclear and to clear and settle transactions between Euroclear participants through simultaneous electronic book -entry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05" w:lineRule="exact"/>
        <w:rPr>
          <w:sz w:val="20"/>
          <w:szCs w:val="20"/>
          <w:color w:val="auto"/>
        </w:rPr>
      </w:pPr>
    </w:p>
    <w:p>
      <w:pPr>
        <w:ind w:left="1180" w:right="659" w:firstLine="342"/>
        <w:spacing w:after="0" w:line="246" w:lineRule="auto"/>
        <w:rPr>
          <w:sz w:val="20"/>
          <w:szCs w:val="20"/>
          <w:color w:val="auto"/>
        </w:rPr>
      </w:pPr>
      <w:r>
        <w:rPr>
          <w:rFonts w:ascii="Times New Roman" w:cs="Times New Roman" w:eastAsia="Times New Roman" w:hAnsi="Times New Roman"/>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09" w:lineRule="exact"/>
        <w:rPr>
          <w:sz w:val="20"/>
          <w:szCs w:val="20"/>
          <w:color w:val="auto"/>
        </w:rPr>
      </w:pPr>
    </w:p>
    <w:p>
      <w:pPr>
        <w:ind w:left="1180" w:right="899" w:firstLine="342"/>
        <w:spacing w:after="0" w:line="269" w:lineRule="auto"/>
        <w:rPr>
          <w:sz w:val="20"/>
          <w:szCs w:val="20"/>
          <w:color w:val="auto"/>
        </w:rPr>
      </w:pPr>
      <w:r>
        <w:rPr>
          <w:rFonts w:ascii="Times New Roman" w:cs="Times New Roman" w:eastAsia="Times New Roman" w:hAnsi="Times New Roman"/>
          <w:sz w:val="17"/>
          <w:szCs w:val="17"/>
          <w:color w:val="auto"/>
        </w:rPr>
        <w:t>The Euroclear Operator is a Belgian bank, which is regulated and examined by the Belgian Banking Commission and the National Bank of Belgium.</w:t>
      </w:r>
    </w:p>
    <w:p>
      <w:pPr>
        <w:spacing w:after="0" w:line="88" w:lineRule="exact"/>
        <w:rPr>
          <w:sz w:val="20"/>
          <w:szCs w:val="20"/>
          <w:color w:val="auto"/>
        </w:rPr>
      </w:pPr>
    </w:p>
    <w:p>
      <w:pPr>
        <w:ind w:left="1180" w:right="739" w:firstLine="342"/>
        <w:spacing w:after="0" w:line="269" w:lineRule="auto"/>
        <w:rPr>
          <w:sz w:val="20"/>
          <w:szCs w:val="20"/>
          <w:color w:val="auto"/>
        </w:rPr>
      </w:pPr>
      <w:r>
        <w:rPr>
          <w:rFonts w:ascii="Times New Roman" w:cs="Times New Roman" w:eastAsia="Times New Roman" w:hAnsi="Times New Roman"/>
          <w:sz w:val="17"/>
          <w:szCs w:val="17"/>
          <w:color w:val="auto"/>
        </w:rPr>
        <w:t>The Terms and Conditions Governing Use of Euroclear, the related Operating Procedures of Euroclear and applicable Belgian law govern securities clearance accounts and cash accounts with the Euroclear</w:t>
      </w:r>
    </w:p>
    <w:p>
      <w:pPr>
        <w:spacing w:after="0" w:line="3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779"/>
        <w:spacing w:after="0" w:line="260" w:lineRule="auto"/>
        <w:rPr>
          <w:sz w:val="20"/>
          <w:szCs w:val="20"/>
          <w:color w:val="auto"/>
        </w:rPr>
      </w:pPr>
      <w:r>
        <w:rPr>
          <w:rFonts w:ascii="Times New Roman" w:cs="Times New Roman" w:eastAsia="Times New Roman" w:hAnsi="Times New Roman"/>
          <w:sz w:val="17"/>
          <w:szCs w:val="17"/>
          <w:color w:val="auto"/>
        </w:rPr>
        <w:t>Operator. Specifically, these terms and conditions govern transfers of securities and cash within Euroclear, withdrawal of securities and cash from Euroclear and receipts of payments with respect to securities in Euroclear.</w:t>
      </w:r>
    </w:p>
    <w:p>
      <w:pPr>
        <w:spacing w:after="0" w:line="96" w:lineRule="exact"/>
        <w:rPr>
          <w:sz w:val="20"/>
          <w:szCs w:val="20"/>
          <w:color w:val="auto"/>
        </w:rPr>
      </w:pPr>
    </w:p>
    <w:p>
      <w:pPr>
        <w:ind w:left="1180" w:right="679" w:firstLine="342"/>
        <w:spacing w:after="0" w:line="252" w:lineRule="auto"/>
        <w:rPr>
          <w:sz w:val="20"/>
          <w:szCs w:val="20"/>
          <w:color w:val="auto"/>
        </w:rPr>
      </w:pPr>
      <w:r>
        <w:rPr>
          <w:rFonts w:ascii="Times New Roman" w:cs="Times New Roman" w:eastAsia="Times New Roman" w:hAnsi="Times New Roman"/>
          <w:sz w:val="17"/>
          <w:szCs w:val="17"/>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03" w:lineRule="exact"/>
        <w:rPr>
          <w:sz w:val="20"/>
          <w:szCs w:val="20"/>
          <w:color w:val="auto"/>
        </w:rPr>
      </w:pPr>
    </w:p>
    <w:p>
      <w:pPr>
        <w:ind w:left="1180" w:right="779" w:firstLine="342"/>
        <w:spacing w:after="0" w:line="260" w:lineRule="auto"/>
        <w:rPr>
          <w:sz w:val="20"/>
          <w:szCs w:val="20"/>
          <w:color w:val="auto"/>
        </w:rPr>
      </w:pPr>
      <w:r>
        <w:rPr>
          <w:rFonts w:ascii="Times New Roman" w:cs="Times New Roman" w:eastAsia="Times New Roman" w:hAnsi="Times New Roman"/>
          <w:sz w:val="17"/>
          <w:szCs w:val="17"/>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96" w:lineRule="exact"/>
        <w:rPr>
          <w:sz w:val="20"/>
          <w:szCs w:val="20"/>
          <w:color w:val="auto"/>
        </w:rPr>
      </w:pPr>
    </w:p>
    <w:p>
      <w:pPr>
        <w:ind w:left="1180" w:right="719" w:firstLine="342"/>
        <w:spacing w:after="0" w:line="247" w:lineRule="auto"/>
        <w:rPr>
          <w:sz w:val="20"/>
          <w:szCs w:val="20"/>
          <w:color w:val="auto"/>
        </w:rPr>
      </w:pPr>
      <w:r>
        <w:rPr>
          <w:rFonts w:ascii="Times New Roman" w:cs="Times New Roman" w:eastAsia="Times New Roman" w:hAnsi="Times New Roman"/>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06" w:lineRule="exact"/>
        <w:rPr>
          <w:sz w:val="20"/>
          <w:szCs w:val="20"/>
          <w:color w:val="auto"/>
        </w:rPr>
      </w:pPr>
    </w:p>
    <w:p>
      <w:pPr>
        <w:ind w:left="1180" w:right="739" w:firstLine="342"/>
        <w:spacing w:after="0" w:line="248" w:lineRule="auto"/>
        <w:rPr>
          <w:sz w:val="20"/>
          <w:szCs w:val="20"/>
          <w:color w:val="auto"/>
        </w:rPr>
      </w:pPr>
      <w:r>
        <w:rPr>
          <w:rFonts w:ascii="Times New Roman" w:cs="Times New Roman" w:eastAsia="Times New Roman" w:hAnsi="Times New Roman"/>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07" w:lineRule="exact"/>
        <w:rPr>
          <w:sz w:val="20"/>
          <w:szCs w:val="20"/>
          <w:color w:val="auto"/>
        </w:rPr>
      </w:pPr>
    </w:p>
    <w:p>
      <w:pPr>
        <w:ind w:left="1180" w:right="679" w:firstLine="342"/>
        <w:spacing w:after="0" w:line="247" w:lineRule="auto"/>
        <w:rPr>
          <w:sz w:val="20"/>
          <w:szCs w:val="20"/>
          <w:color w:val="auto"/>
        </w:rPr>
      </w:pPr>
      <w:r>
        <w:rPr>
          <w:rFonts w:ascii="Times New Roman" w:cs="Times New Roman" w:eastAsia="Times New Roman" w:hAnsi="Times New Roman"/>
          <w:sz w:val="17"/>
          <w:szCs w:val="17"/>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06" w:lineRule="exact"/>
        <w:rPr>
          <w:sz w:val="20"/>
          <w:szCs w:val="20"/>
          <w:color w:val="auto"/>
        </w:rPr>
      </w:pPr>
    </w:p>
    <w:p>
      <w:pPr>
        <w:ind w:left="1180" w:right="919" w:firstLine="342"/>
        <w:spacing w:after="0" w:line="248" w:lineRule="auto"/>
        <w:rPr>
          <w:sz w:val="20"/>
          <w:szCs w:val="20"/>
          <w:color w:val="auto"/>
        </w:rPr>
      </w:pPr>
      <w:r>
        <w:rPr>
          <w:rFonts w:ascii="Times New Roman" w:cs="Times New Roman" w:eastAsia="Times New Roman" w:hAnsi="Times New Roman"/>
          <w:sz w:val="17"/>
          <w:szCs w:val="17"/>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Clearstream</w:t>
      </w:r>
    </w:p>
    <w:p>
      <w:pPr>
        <w:spacing w:after="0" w:line="155" w:lineRule="exact"/>
        <w:rPr>
          <w:sz w:val="20"/>
          <w:szCs w:val="20"/>
          <w:color w:val="auto"/>
        </w:rPr>
      </w:pPr>
    </w:p>
    <w:p>
      <w:pPr>
        <w:ind w:left="1180" w:right="679" w:firstLine="342"/>
        <w:spacing w:after="0" w:line="245" w:lineRule="auto"/>
        <w:rPr>
          <w:sz w:val="20"/>
          <w:szCs w:val="20"/>
          <w:color w:val="auto"/>
        </w:rPr>
      </w:pPr>
      <w:r>
        <w:rPr>
          <w:rFonts w:ascii="Times New Roman" w:cs="Times New Roman" w:eastAsia="Times New Roman" w:hAnsi="Times New Roman"/>
          <w:sz w:val="17"/>
          <w:szCs w:val="17"/>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09" w:lineRule="exact"/>
        <w:rPr>
          <w:sz w:val="20"/>
          <w:szCs w:val="20"/>
          <w:color w:val="auto"/>
        </w:rPr>
      </w:pPr>
    </w:p>
    <w:p>
      <w:pPr>
        <w:ind w:left="1180" w:right="619" w:firstLine="342"/>
        <w:spacing w:after="0" w:line="248" w:lineRule="auto"/>
        <w:rPr>
          <w:sz w:val="20"/>
          <w:szCs w:val="20"/>
          <w:color w:val="auto"/>
        </w:rPr>
      </w:pPr>
      <w:r>
        <w:rPr>
          <w:rFonts w:ascii="Times New Roman" w:cs="Times New Roman" w:eastAsia="Times New Roman" w:hAnsi="Times New Roman"/>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w:t>
      </w:r>
    </w:p>
    <w:p>
      <w:pPr>
        <w:spacing w:after="0" w:line="35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99"/>
        <w:spacing w:after="0" w:line="278" w:lineRule="auto"/>
        <w:rPr>
          <w:sz w:val="20"/>
          <w:szCs w:val="20"/>
          <w:color w:val="auto"/>
        </w:rPr>
      </w:pPr>
      <w:r>
        <w:rPr>
          <w:rFonts w:ascii="Times New Roman" w:cs="Times New Roman" w:eastAsia="Times New Roman" w:hAnsi="Times New Roman"/>
          <w:sz w:val="17"/>
          <w:szCs w:val="17"/>
          <w:color w:val="auto"/>
        </w:rPr>
        <w:t>supplement or one or more of their affiliates. Other institutions that maintain a custodial relationship with a Clearstream participant may obtain indirect access to Clearstream. Clearstream is an indirect DTC participant.</w:t>
      </w:r>
    </w:p>
    <w:p>
      <w:pPr>
        <w:spacing w:after="0" w:line="304" w:lineRule="exact"/>
        <w:rPr>
          <w:sz w:val="20"/>
          <w:szCs w:val="20"/>
          <w:color w:val="auto"/>
        </w:rPr>
      </w:pPr>
    </w:p>
    <w:p>
      <w:pPr>
        <w:jc w:val="both"/>
        <w:ind w:left="1180" w:right="799" w:firstLine="342"/>
        <w:spacing w:after="0" w:line="268" w:lineRule="auto"/>
        <w:rPr>
          <w:sz w:val="20"/>
          <w:szCs w:val="20"/>
          <w:color w:val="auto"/>
        </w:rPr>
      </w:pPr>
      <w:r>
        <w:rPr>
          <w:rFonts w:ascii="Times New Roman" w:cs="Times New Roman" w:eastAsia="Times New Roman" w:hAnsi="Times New Roman"/>
          <w:sz w:val="17"/>
          <w:szCs w:val="17"/>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02" w:lineRule="exact"/>
        <w:rPr>
          <w:sz w:val="20"/>
          <w:szCs w:val="20"/>
          <w:color w:val="auto"/>
        </w:rPr>
      </w:pPr>
    </w:p>
    <w:p>
      <w:pPr>
        <w:ind w:left="1180" w:right="639" w:firstLine="342"/>
        <w:spacing w:after="0" w:line="257" w:lineRule="auto"/>
        <w:rPr>
          <w:sz w:val="20"/>
          <w:szCs w:val="20"/>
          <w:color w:val="auto"/>
        </w:rPr>
      </w:pPr>
      <w:r>
        <w:rPr>
          <w:rFonts w:ascii="Times New Roman" w:cs="Times New Roman" w:eastAsia="Times New Roman" w:hAnsi="Times New Roman"/>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00" w:lineRule="exact"/>
        <w:rPr>
          <w:sz w:val="20"/>
          <w:szCs w:val="20"/>
          <w:color w:val="auto"/>
        </w:rPr>
      </w:pPr>
    </w:p>
    <w:p>
      <w:pPr>
        <w:ind w:left="1180" w:right="719" w:firstLine="342"/>
        <w:spacing w:after="0" w:line="260" w:lineRule="auto"/>
        <w:rPr>
          <w:sz w:val="20"/>
          <w:szCs w:val="20"/>
          <w:color w:val="auto"/>
        </w:rPr>
      </w:pPr>
      <w:r>
        <w:rPr>
          <w:rFonts w:ascii="Times New Roman" w:cs="Times New Roman" w:eastAsia="Times New Roman" w:hAnsi="Times New Roman"/>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180" w:right="739" w:firstLine="342"/>
        <w:spacing w:after="0" w:line="257" w:lineRule="auto"/>
        <w:rPr>
          <w:sz w:val="20"/>
          <w:szCs w:val="20"/>
          <w:color w:val="auto"/>
        </w:rPr>
      </w:pPr>
      <w:r>
        <w:rPr>
          <w:rFonts w:ascii="Times New Roman" w:cs="Times New Roman" w:eastAsia="Times New Roman" w:hAnsi="Times New Roman"/>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319" w:lineRule="exact"/>
        <w:rPr>
          <w:sz w:val="20"/>
          <w:szCs w:val="20"/>
          <w:color w:val="auto"/>
        </w:rPr>
      </w:pPr>
    </w:p>
    <w:p>
      <w:pPr>
        <w:ind w:left="1180" w:right="759" w:firstLine="342"/>
        <w:spacing w:after="0" w:line="260" w:lineRule="auto"/>
        <w:rPr>
          <w:sz w:val="20"/>
          <w:szCs w:val="20"/>
          <w:color w:val="auto"/>
        </w:rPr>
      </w:pPr>
      <w:r>
        <w:rPr>
          <w:rFonts w:ascii="Times New Roman" w:cs="Times New Roman" w:eastAsia="Times New Roman" w:hAnsi="Times New Roman"/>
          <w:sz w:val="17"/>
          <w:szCs w:val="17"/>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CERTAIN U.S. FEDERAL TAX CONSIDERATIONS FOR NON-U.S. HOLDERS</w:t>
      </w:r>
    </w:p>
    <w:p>
      <w:pPr>
        <w:spacing w:after="0" w:line="21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Scope of Discussion</w:t>
      </w:r>
    </w:p>
    <w:p>
      <w:pPr>
        <w:spacing w:after="0" w:line="155" w:lineRule="exact"/>
        <w:rPr>
          <w:sz w:val="20"/>
          <w:szCs w:val="20"/>
          <w:color w:val="auto"/>
        </w:rPr>
      </w:pPr>
    </w:p>
    <w:p>
      <w:pPr>
        <w:ind w:left="1180" w:right="619" w:firstLine="342"/>
        <w:spacing w:after="0" w:line="255" w:lineRule="auto"/>
        <w:rPr>
          <w:sz w:val="20"/>
          <w:szCs w:val="20"/>
          <w:color w:val="auto"/>
        </w:rPr>
      </w:pPr>
      <w:r>
        <w:rPr>
          <w:rFonts w:ascii="Times New Roman" w:cs="Times New Roman" w:eastAsia="Times New Roman" w:hAnsi="Times New Roman"/>
          <w:sz w:val="17"/>
          <w:szCs w:val="17"/>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non-U.S. holders who purchase the notes at their “issue price”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18" w:lineRule="exact"/>
        <w:rPr>
          <w:sz w:val="20"/>
          <w:szCs w:val="20"/>
          <w:color w:val="auto"/>
        </w:rPr>
      </w:pPr>
    </w:p>
    <w:p>
      <w:pPr>
        <w:ind w:left="1180" w:right="619" w:firstLine="342"/>
        <w:spacing w:after="0" w:line="254" w:lineRule="auto"/>
        <w:rPr>
          <w:sz w:val="20"/>
          <w:szCs w:val="20"/>
          <w:color w:val="auto"/>
        </w:rPr>
      </w:pPr>
      <w:r>
        <w:rPr>
          <w:rFonts w:ascii="Times New Roman" w:cs="Times New Roman" w:eastAsia="Times New Roman" w:hAnsi="Times New Roman"/>
          <w:sz w:val="17"/>
          <w:szCs w:val="17"/>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307" w:lineRule="exact"/>
        <w:rPr>
          <w:sz w:val="20"/>
          <w:szCs w:val="20"/>
          <w:color w:val="auto"/>
        </w:rPr>
      </w:pPr>
    </w:p>
    <w:p>
      <w:pPr>
        <w:ind w:left="1180" w:right="679" w:firstLine="342"/>
        <w:spacing w:after="0" w:line="258" w:lineRule="auto"/>
        <w:rPr>
          <w:sz w:val="20"/>
          <w:szCs w:val="20"/>
          <w:color w:val="auto"/>
        </w:rPr>
      </w:pPr>
      <w:r>
        <w:rPr>
          <w:rFonts w:ascii="Times New Roman" w:cs="Times New Roman" w:eastAsia="Times New Roman" w:hAnsi="Times New Roman"/>
          <w:sz w:val="17"/>
          <w:szCs w:val="17"/>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12" w:lineRule="exact"/>
        <w:rPr>
          <w:sz w:val="20"/>
          <w:szCs w:val="20"/>
          <w:color w:val="auto"/>
        </w:rPr>
      </w:pPr>
    </w:p>
    <w:p>
      <w:pPr>
        <w:ind w:left="1180" w:right="759" w:firstLine="342"/>
        <w:spacing w:after="0" w:line="259" w:lineRule="auto"/>
        <w:rPr>
          <w:sz w:val="20"/>
          <w:szCs w:val="20"/>
          <w:color w:val="auto"/>
        </w:rPr>
      </w:pPr>
      <w:r>
        <w:rPr>
          <w:rFonts w:ascii="Times New Roman" w:cs="Times New Roman" w:eastAsia="Times New Roman" w:hAnsi="Times New Roman"/>
          <w:sz w:val="17"/>
          <w:szCs w:val="17"/>
          <w:color w:val="auto"/>
        </w:rPr>
        <w:t>THIS SUMMARY IS NOT A SUBSTITUTE FOR AN ANALYSIS OF THE TAX CONSEQUENCES RELATING TO THE PURCHASE, OWNERSHIP OR DISPOSITION OF THE NOTES IN LIGHT OF YOUR OWN SITUATION. WE URGE YOU TO CONSULT A TAX ADVISOR REGARDING THE PARTICULAR FEDERAL, STATE, LOCAL AND FOREIGN TAX CONSEQUENCES RELATING TO THE PURCHASE, OWNERSHIP OR DISPOSITION OF THE NOTES IN LIGHT OF YOUR OWN SITUATION.</w:t>
      </w:r>
    </w:p>
    <w:p>
      <w:pPr>
        <w:spacing w:after="0" w:line="318" w:lineRule="exact"/>
        <w:rPr>
          <w:sz w:val="20"/>
          <w:szCs w:val="20"/>
          <w:color w:val="auto"/>
        </w:rPr>
      </w:pPr>
    </w:p>
    <w:p>
      <w:pPr>
        <w:ind w:left="1180" w:right="779" w:firstLine="342"/>
        <w:spacing w:after="0" w:line="268" w:lineRule="auto"/>
        <w:rPr>
          <w:sz w:val="20"/>
          <w:szCs w:val="20"/>
          <w:color w:val="auto"/>
        </w:rPr>
      </w:pPr>
      <w:r>
        <w:rPr>
          <w:rFonts w:ascii="Times New Roman" w:cs="Times New Roman" w:eastAsia="Times New Roman" w:hAnsi="Times New Roman"/>
          <w:sz w:val="17"/>
          <w:szCs w:val="17"/>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64" w:lineRule="exact"/>
        <w:rPr>
          <w:sz w:val="20"/>
          <w:szCs w:val="20"/>
          <w:color w:val="auto"/>
        </w:rPr>
      </w:pPr>
    </w:p>
    <w:p>
      <w:pPr>
        <w:ind w:left="1700" w:right="919" w:hanging="175"/>
        <w:spacing w:after="0" w:line="268" w:lineRule="auto"/>
        <w:tabs>
          <w:tab w:leader="none" w:pos="1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63" w:lineRule="exact"/>
        <w:rPr>
          <w:rFonts w:ascii="Times New Roman" w:cs="Times New Roman" w:eastAsia="Times New Roman" w:hAnsi="Times New Roman"/>
          <w:sz w:val="17"/>
          <w:szCs w:val="17"/>
          <w:color w:val="auto"/>
        </w:rPr>
      </w:pPr>
    </w:p>
    <w:p>
      <w:pPr>
        <w:ind w:left="1700" w:right="719" w:hanging="175"/>
        <w:spacing w:after="0" w:line="268" w:lineRule="auto"/>
        <w:tabs>
          <w:tab w:leader="none" w:pos="1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that was created or organized in or under the laws of the United States, any state thereof or the District of Columbia;</w:t>
      </w:r>
    </w:p>
    <w:p>
      <w:pPr>
        <w:spacing w:after="0" w:line="33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hanging="175"/>
        <w:spacing w:after="0"/>
        <w:tabs>
          <w:tab w:leader="none" w:pos="1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whose income is subject to U.S. federal income taxation regardless of its source; or</w:t>
      </w:r>
    </w:p>
    <w:p>
      <w:pPr>
        <w:spacing w:after="0" w:line="112" w:lineRule="exact"/>
        <w:rPr>
          <w:rFonts w:ascii="Times New Roman" w:cs="Times New Roman" w:eastAsia="Times New Roman" w:hAnsi="Times New Roman"/>
          <w:sz w:val="17"/>
          <w:szCs w:val="17"/>
          <w:color w:val="auto"/>
        </w:rPr>
      </w:pPr>
    </w:p>
    <w:p>
      <w:pPr>
        <w:ind w:left="1700" w:right="779" w:hanging="175"/>
        <w:spacing w:after="0" w:line="263" w:lineRule="auto"/>
        <w:tabs>
          <w:tab w:leader="none" w:pos="1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6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Payments of Additional Amounts</w:t>
      </w:r>
    </w:p>
    <w:p>
      <w:pPr>
        <w:spacing w:after="0" w:line="155" w:lineRule="exact"/>
        <w:rPr>
          <w:sz w:val="20"/>
          <w:szCs w:val="20"/>
          <w:color w:val="auto"/>
        </w:rPr>
      </w:pPr>
    </w:p>
    <w:p>
      <w:pPr>
        <w:ind w:left="1180" w:right="659" w:firstLine="342"/>
        <w:spacing w:after="0" w:line="254" w:lineRule="auto"/>
        <w:rPr>
          <w:sz w:val="20"/>
          <w:szCs w:val="20"/>
          <w:color w:val="auto"/>
        </w:rPr>
      </w:pPr>
      <w:r>
        <w:rPr>
          <w:rFonts w:ascii="Times New Roman" w:cs="Times New Roman" w:eastAsia="Times New Roman" w:hAnsi="Times New Roman"/>
          <w:sz w:val="17"/>
          <w:szCs w:val="17"/>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w:t>
      </w:r>
    </w:p>
    <w:p>
      <w:pPr>
        <w:spacing w:after="0" w:line="3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Interest on the Notes</w:t>
      </w:r>
    </w:p>
    <w:p>
      <w:pPr>
        <w:spacing w:after="0" w:line="155" w:lineRule="exact"/>
        <w:rPr>
          <w:sz w:val="20"/>
          <w:szCs w:val="20"/>
          <w:color w:val="auto"/>
        </w:rPr>
      </w:pPr>
    </w:p>
    <w:p>
      <w:pPr>
        <w:ind w:left="1180" w:right="639" w:firstLine="342"/>
        <w:spacing w:after="0" w:line="263" w:lineRule="auto"/>
        <w:rPr>
          <w:sz w:val="20"/>
          <w:szCs w:val="20"/>
          <w:color w:val="auto"/>
        </w:rPr>
      </w:pPr>
      <w:r>
        <w:rPr>
          <w:rFonts w:ascii="Times New Roman" w:cs="Times New Roman" w:eastAsia="Times New Roman" w:hAnsi="Times New Roman"/>
          <w:sz w:val="17"/>
          <w:szCs w:val="17"/>
          <w:color w:val="auto"/>
        </w:rPr>
        <w:t>Subject to the discussion of backup withholding and FATCA (as defined herein) withholding requirements discussed below, payments of interest on the notes generally will not be subject to U.S. federal income tax and will be exempt from withholding of U.S. federal income tax under the “portfolio interest” exemption if you properly certify as to your foreign status as described below, and:</w:t>
      </w:r>
    </w:p>
    <w:p>
      <w:pPr>
        <w:spacing w:after="0" w:line="67" w:lineRule="exact"/>
        <w:rPr>
          <w:sz w:val="20"/>
          <w:szCs w:val="20"/>
          <w:color w:val="auto"/>
        </w:rPr>
      </w:pPr>
    </w:p>
    <w:p>
      <w:pPr>
        <w:ind w:left="1700" w:right="699" w:hanging="175"/>
        <w:spacing w:after="0" w:line="285" w:lineRule="auto"/>
        <w:tabs>
          <w:tab w:leader="none" w:pos="1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paid on the notes is not effectively connected with your conduct of a trade or business in the United States;</w:t>
      </w:r>
    </w:p>
    <w:p>
      <w:pPr>
        <w:spacing w:after="0" w:line="49" w:lineRule="exact"/>
        <w:rPr>
          <w:rFonts w:ascii="Times New Roman" w:cs="Times New Roman" w:eastAsia="Times New Roman" w:hAnsi="Times New Roman"/>
          <w:sz w:val="17"/>
          <w:szCs w:val="17"/>
          <w:color w:val="auto"/>
        </w:rPr>
      </w:pPr>
    </w:p>
    <w:p>
      <w:pPr>
        <w:ind w:left="1700" w:right="719" w:hanging="175"/>
        <w:spacing w:after="0" w:line="285" w:lineRule="auto"/>
        <w:tabs>
          <w:tab w:leader="none" w:pos="1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not a bank whose receipt of interest on the notes is in connection with an extension of credit made pursuant to a loan agreement entered into in the ordinary course of your trade or business;</w:t>
      </w:r>
    </w:p>
    <w:p>
      <w:pPr>
        <w:spacing w:after="0" w:line="49" w:lineRule="exact"/>
        <w:rPr>
          <w:rFonts w:ascii="Times New Roman" w:cs="Times New Roman" w:eastAsia="Times New Roman" w:hAnsi="Times New Roman"/>
          <w:sz w:val="17"/>
          <w:szCs w:val="17"/>
          <w:color w:val="auto"/>
        </w:rPr>
      </w:pPr>
    </w:p>
    <w:p>
      <w:pPr>
        <w:ind w:left="1700" w:right="859" w:hanging="175"/>
        <w:spacing w:after="0" w:line="285" w:lineRule="auto"/>
        <w:tabs>
          <w:tab w:leader="none" w:pos="1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do not own, actually or constructively, 10% or more of the total combined voting power of all classes of our stock entitled to vote; and</w:t>
      </w:r>
    </w:p>
    <w:p>
      <w:pPr>
        <w:spacing w:after="0" w:line="49" w:lineRule="exact"/>
        <w:rPr>
          <w:rFonts w:ascii="Times New Roman" w:cs="Times New Roman" w:eastAsia="Times New Roman" w:hAnsi="Times New Roman"/>
          <w:sz w:val="17"/>
          <w:szCs w:val="17"/>
          <w:color w:val="auto"/>
        </w:rPr>
      </w:pPr>
    </w:p>
    <w:p>
      <w:pPr>
        <w:ind w:left="1700" w:right="999" w:hanging="175"/>
        <w:spacing w:after="0" w:line="285" w:lineRule="auto"/>
        <w:tabs>
          <w:tab w:leader="none" w:pos="1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not a “controlled foreign corporation” that is related to us through actual or constructive stock ownership (as provided in the Code).</w:t>
      </w:r>
    </w:p>
    <w:p>
      <w:pPr>
        <w:spacing w:after="0" w:line="88" w:lineRule="exact"/>
        <w:rPr>
          <w:sz w:val="20"/>
          <w:szCs w:val="20"/>
          <w:color w:val="auto"/>
        </w:rPr>
      </w:pPr>
    </w:p>
    <w:p>
      <w:pPr>
        <w:ind w:left="1180" w:right="639" w:firstLine="342"/>
        <w:spacing w:after="0" w:line="256" w:lineRule="auto"/>
        <w:rPr>
          <w:sz w:val="20"/>
          <w:szCs w:val="20"/>
          <w:color w:val="auto"/>
        </w:rPr>
      </w:pPr>
      <w:r>
        <w:rPr>
          <w:rFonts w:ascii="Times New Roman" w:cs="Times New Roman" w:eastAsia="Times New Roman" w:hAnsi="Times New Roman"/>
          <w:sz w:val="17"/>
          <w:szCs w:val="17"/>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w:t>
      </w:r>
    </w:p>
    <w:p>
      <w:pPr>
        <w:spacing w:after="0" w:line="308" w:lineRule="exact"/>
        <w:rPr>
          <w:sz w:val="20"/>
          <w:szCs w:val="20"/>
          <w:color w:val="auto"/>
        </w:rPr>
      </w:pPr>
    </w:p>
    <w:p>
      <w:pPr>
        <w:ind w:left="1180" w:right="739" w:firstLine="342"/>
        <w:spacing w:after="0" w:line="261" w:lineRule="auto"/>
        <w:rPr>
          <w:sz w:val="20"/>
          <w:szCs w:val="20"/>
          <w:color w:val="auto"/>
        </w:rPr>
      </w:pPr>
      <w:r>
        <w:rPr>
          <w:rFonts w:ascii="Times New Roman" w:cs="Times New Roman" w:eastAsia="Times New Roman" w:hAnsi="Times New Roman"/>
          <w:sz w:val="17"/>
          <w:szCs w:val="17"/>
          <w:color w:val="auto"/>
        </w:rPr>
        <w:t>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w:t>
      </w:r>
    </w:p>
    <w:p>
      <w:pPr>
        <w:spacing w:after="0" w:line="200" w:lineRule="exact"/>
        <w:rPr>
          <w:sz w:val="20"/>
          <w:szCs w:val="20"/>
          <w:color w:val="auto"/>
        </w:rPr>
      </w:pPr>
    </w:p>
    <w:p>
      <w:pPr>
        <w:spacing w:after="0" w:line="36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99"/>
        <w:spacing w:after="0" w:line="263" w:lineRule="auto"/>
        <w:rPr>
          <w:sz w:val="20"/>
          <w:szCs w:val="20"/>
          <w:color w:val="auto"/>
        </w:rPr>
      </w:pPr>
      <w:r>
        <w:rPr>
          <w:rFonts w:ascii="Times New Roman" w:cs="Times New Roman" w:eastAsia="Times New Roman" w:hAnsi="Times New Roman"/>
          <w:sz w:val="17"/>
          <w:szCs w:val="17"/>
          <w:color w:val="auto"/>
        </w:rPr>
        <w:t>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106" w:lineRule="exact"/>
        <w:rPr>
          <w:sz w:val="20"/>
          <w:szCs w:val="20"/>
          <w:color w:val="auto"/>
        </w:rPr>
      </w:pPr>
    </w:p>
    <w:p>
      <w:pPr>
        <w:ind w:left="1180" w:right="1159" w:firstLine="342"/>
        <w:spacing w:after="0" w:line="285" w:lineRule="auto"/>
        <w:rPr>
          <w:sz w:val="20"/>
          <w:szCs w:val="20"/>
          <w:color w:val="auto"/>
        </w:rPr>
      </w:pPr>
      <w:r>
        <w:rPr>
          <w:rFonts w:ascii="Times New Roman" w:cs="Times New Roman" w:eastAsia="Times New Roman" w:hAnsi="Times New Roman"/>
          <w:sz w:val="17"/>
          <w:szCs w:val="17"/>
          <w:color w:val="auto"/>
        </w:rPr>
        <w:t>It is anticipated, and this discussion assumes, that the notes will not be issued with more than de minimis original issue discount for U.S. federal income tax purposes.</w:t>
      </w:r>
    </w:p>
    <w:p>
      <w:pPr>
        <w:spacing w:after="0" w:line="14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Sale, Redemption, Exchange, Retirement or Other Taxable Disposition of Notes</w:t>
      </w:r>
    </w:p>
    <w:p>
      <w:pPr>
        <w:spacing w:after="0" w:line="155" w:lineRule="exact"/>
        <w:rPr>
          <w:sz w:val="20"/>
          <w:szCs w:val="20"/>
          <w:color w:val="auto"/>
        </w:rPr>
      </w:pPr>
    </w:p>
    <w:p>
      <w:pPr>
        <w:ind w:left="1180" w:right="1119" w:firstLine="342"/>
        <w:spacing w:after="0" w:line="268" w:lineRule="auto"/>
        <w:rPr>
          <w:sz w:val="20"/>
          <w:szCs w:val="20"/>
          <w:color w:val="auto"/>
        </w:rPr>
      </w:pPr>
      <w:r>
        <w:rPr>
          <w:rFonts w:ascii="Times New Roman" w:cs="Times New Roman" w:eastAsia="Times New Roman" w:hAnsi="Times New Roman"/>
          <w:sz w:val="17"/>
          <w:szCs w:val="17"/>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64" w:lineRule="exact"/>
        <w:rPr>
          <w:sz w:val="20"/>
          <w:szCs w:val="20"/>
          <w:color w:val="auto"/>
        </w:rPr>
      </w:pPr>
    </w:p>
    <w:p>
      <w:pPr>
        <w:ind w:left="1700" w:right="639" w:hanging="175"/>
        <w:spacing w:after="0" w:line="285" w:lineRule="auto"/>
        <w:tabs>
          <w:tab w:leader="none" w:pos="17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your conduct of a U.S. trade or business (and, if required by an applicable tax treaty, is attributable to your permanent establishment in the United States); or</w:t>
      </w:r>
    </w:p>
    <w:p>
      <w:pPr>
        <w:spacing w:after="0" w:line="49" w:lineRule="exact"/>
        <w:rPr>
          <w:rFonts w:ascii="Times New Roman" w:cs="Times New Roman" w:eastAsia="Times New Roman" w:hAnsi="Times New Roman"/>
          <w:sz w:val="17"/>
          <w:szCs w:val="17"/>
          <w:color w:val="auto"/>
        </w:rPr>
      </w:pPr>
    </w:p>
    <w:p>
      <w:pPr>
        <w:ind w:left="1700" w:right="779" w:hanging="175"/>
        <w:spacing w:after="0" w:line="285" w:lineRule="auto"/>
        <w:tabs>
          <w:tab w:leader="none" w:pos="17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an individual who has been present in the United States for 183 days or more in the taxable year of disposition and certain other requirements are met.</w:t>
      </w:r>
    </w:p>
    <w:p>
      <w:pPr>
        <w:spacing w:after="0" w:line="75" w:lineRule="exact"/>
        <w:rPr>
          <w:sz w:val="20"/>
          <w:szCs w:val="20"/>
          <w:color w:val="auto"/>
        </w:rPr>
      </w:pPr>
    </w:p>
    <w:p>
      <w:pPr>
        <w:ind w:left="1180" w:right="659" w:firstLine="342"/>
        <w:spacing w:after="0" w:line="260" w:lineRule="auto"/>
        <w:rPr>
          <w:sz w:val="20"/>
          <w:szCs w:val="20"/>
          <w:color w:val="auto"/>
        </w:rPr>
      </w:pPr>
      <w:r>
        <w:rPr>
          <w:rFonts w:ascii="Times New Roman" w:cs="Times New Roman" w:eastAsia="Times New Roman" w:hAnsi="Times New Roman"/>
          <w:sz w:val="17"/>
          <w:szCs w:val="17"/>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09" w:lineRule="exact"/>
        <w:rPr>
          <w:sz w:val="20"/>
          <w:szCs w:val="20"/>
          <w:color w:val="auto"/>
        </w:rPr>
      </w:pPr>
    </w:p>
    <w:p>
      <w:pPr>
        <w:jc w:val="both"/>
        <w:ind w:left="1180" w:right="699" w:firstLine="342"/>
        <w:spacing w:after="0" w:line="268" w:lineRule="auto"/>
        <w:rPr>
          <w:sz w:val="20"/>
          <w:szCs w:val="20"/>
          <w:color w:val="auto"/>
        </w:rPr>
      </w:pPr>
      <w:r>
        <w:rPr>
          <w:rFonts w:ascii="Times New Roman" w:cs="Times New Roman" w:eastAsia="Times New Roman" w:hAnsi="Times New Roman"/>
          <w:sz w:val="17"/>
          <w:szCs w:val="17"/>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6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Income or Gain Effectively Connected with a U.S. Trade or Business</w:t>
      </w:r>
    </w:p>
    <w:p>
      <w:pPr>
        <w:spacing w:after="0" w:line="155" w:lineRule="exact"/>
        <w:rPr>
          <w:sz w:val="20"/>
          <w:szCs w:val="20"/>
          <w:color w:val="auto"/>
        </w:rPr>
      </w:pPr>
    </w:p>
    <w:p>
      <w:pPr>
        <w:ind w:left="1180" w:right="619" w:firstLine="342"/>
        <w:spacing w:after="0" w:line="254" w:lineRule="auto"/>
        <w:rPr>
          <w:sz w:val="20"/>
          <w:szCs w:val="20"/>
          <w:color w:val="auto"/>
        </w:rPr>
      </w:pPr>
      <w:r>
        <w:rPr>
          <w:rFonts w:ascii="Times New Roman" w:cs="Times New Roman" w:eastAsia="Times New Roman" w:hAnsi="Times New Roman"/>
          <w:sz w:val="17"/>
          <w:szCs w:val="17"/>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8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142" w:lineRule="exact"/>
        <w:rPr>
          <w:sz w:val="20"/>
          <w:szCs w:val="20"/>
          <w:color w:val="auto"/>
        </w:rPr>
      </w:pPr>
    </w:p>
    <w:p>
      <w:pPr>
        <w:ind w:left="1180" w:right="819" w:firstLine="342"/>
        <w:spacing w:after="0" w:line="263" w:lineRule="auto"/>
        <w:rPr>
          <w:sz w:val="20"/>
          <w:szCs w:val="20"/>
          <w:color w:val="auto"/>
        </w:rPr>
      </w:pPr>
      <w:r>
        <w:rPr>
          <w:rFonts w:ascii="Times New Roman" w:cs="Times New Roman" w:eastAsia="Times New Roman" w:hAnsi="Times New Roman"/>
          <w:sz w:val="17"/>
          <w:szCs w:val="17"/>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06" w:lineRule="exact"/>
        <w:rPr>
          <w:sz w:val="20"/>
          <w:szCs w:val="20"/>
          <w:color w:val="auto"/>
        </w:rPr>
      </w:pPr>
    </w:p>
    <w:p>
      <w:pPr>
        <w:ind w:left="1180" w:right="679" w:firstLine="342"/>
        <w:spacing w:after="0" w:line="261" w:lineRule="auto"/>
        <w:rPr>
          <w:sz w:val="20"/>
          <w:szCs w:val="20"/>
          <w:color w:val="auto"/>
        </w:rPr>
      </w:pPr>
      <w:r>
        <w:rPr>
          <w:rFonts w:ascii="Times New Roman" w:cs="Times New Roman" w:eastAsia="Times New Roman" w:hAnsi="Times New Roman"/>
          <w:sz w:val="17"/>
          <w:szCs w:val="17"/>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200" w:lineRule="exact"/>
        <w:rPr>
          <w:sz w:val="20"/>
          <w:szCs w:val="20"/>
          <w:color w:val="auto"/>
        </w:rPr>
      </w:pPr>
    </w:p>
    <w:p>
      <w:pPr>
        <w:spacing w:after="0" w:line="3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19" w:firstLine="342"/>
        <w:spacing w:after="0" w:line="255" w:lineRule="auto"/>
        <w:rPr>
          <w:sz w:val="20"/>
          <w:szCs w:val="20"/>
          <w:color w:val="auto"/>
        </w:rPr>
      </w:pPr>
      <w:r>
        <w:rPr>
          <w:rFonts w:ascii="Times New Roman" w:cs="Times New Roman" w:eastAsia="Times New Roman" w:hAnsi="Times New Roman"/>
          <w:sz w:val="17"/>
          <w:szCs w:val="17"/>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 is:</w:t>
      </w:r>
    </w:p>
    <w:p>
      <w:pPr>
        <w:spacing w:after="0" w:line="282" w:lineRule="exact"/>
        <w:rPr>
          <w:sz w:val="20"/>
          <w:szCs w:val="20"/>
          <w:color w:val="auto"/>
        </w:rPr>
      </w:pPr>
    </w:p>
    <w:p>
      <w:pPr>
        <w:ind w:left="1700" w:hanging="175"/>
        <w:spacing w:after="0"/>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United States person;</w:t>
      </w:r>
    </w:p>
    <w:p>
      <w:pPr>
        <w:spacing w:after="0" w:line="112" w:lineRule="exact"/>
        <w:rPr>
          <w:rFonts w:ascii="Times New Roman" w:cs="Times New Roman" w:eastAsia="Times New Roman" w:hAnsi="Times New Roman"/>
          <w:sz w:val="17"/>
          <w:szCs w:val="17"/>
          <w:color w:val="auto"/>
        </w:rPr>
      </w:pPr>
    </w:p>
    <w:p>
      <w:pPr>
        <w:ind w:left="1700" w:right="639" w:hanging="175"/>
        <w:spacing w:after="0" w:line="285"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foreign person that derives 50% or more of its gross income for certain periods from the conduct of a trade or business in the United States;</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controlled foreign corporation for U.S. federal income tax purposes; or</w:t>
      </w:r>
    </w:p>
    <w:p>
      <w:pPr>
        <w:spacing w:after="0" w:line="112" w:lineRule="exact"/>
        <w:rPr>
          <w:rFonts w:ascii="Times New Roman" w:cs="Times New Roman" w:eastAsia="Times New Roman" w:hAnsi="Times New Roman"/>
          <w:sz w:val="17"/>
          <w:szCs w:val="17"/>
          <w:color w:val="auto"/>
        </w:rPr>
      </w:pPr>
    </w:p>
    <w:p>
      <w:pPr>
        <w:ind w:left="1700" w:right="919" w:hanging="175"/>
        <w:spacing w:after="0" w:line="268" w:lineRule="auto"/>
        <w:tabs>
          <w:tab w:leader="none" w:pos="1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foreign partnership that, at any time during its taxable year, has more than 50% of its income or capital interests owned by United States persons or is engaged in the conduct of a U.S. trade or business.</w:t>
      </w:r>
    </w:p>
    <w:p>
      <w:pPr>
        <w:spacing w:after="0" w:line="102" w:lineRule="exact"/>
        <w:rPr>
          <w:sz w:val="20"/>
          <w:szCs w:val="20"/>
          <w:color w:val="auto"/>
        </w:rPr>
      </w:pPr>
    </w:p>
    <w:p>
      <w:pPr>
        <w:ind w:left="1180" w:right="699" w:firstLine="342"/>
        <w:spacing w:after="0" w:line="268" w:lineRule="auto"/>
        <w:rPr>
          <w:sz w:val="20"/>
          <w:szCs w:val="20"/>
          <w:color w:val="auto"/>
        </w:rPr>
      </w:pPr>
      <w:r>
        <w:rPr>
          <w:rFonts w:ascii="Times New Roman" w:cs="Times New Roman" w:eastAsia="Times New Roman" w:hAnsi="Times New Roman"/>
          <w:sz w:val="17"/>
          <w:szCs w:val="17"/>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02" w:lineRule="exact"/>
        <w:rPr>
          <w:sz w:val="20"/>
          <w:szCs w:val="20"/>
          <w:color w:val="auto"/>
        </w:rPr>
      </w:pPr>
    </w:p>
    <w:p>
      <w:pPr>
        <w:ind w:left="1180" w:right="999" w:firstLine="342"/>
        <w:spacing w:after="0" w:line="268" w:lineRule="auto"/>
        <w:rPr>
          <w:sz w:val="20"/>
          <w:szCs w:val="20"/>
          <w:color w:val="auto"/>
        </w:rPr>
      </w:pPr>
      <w:r>
        <w:rPr>
          <w:rFonts w:ascii="Times New Roman" w:cs="Times New Roman" w:eastAsia="Times New Roman" w:hAnsi="Times New Roman"/>
          <w:sz w:val="17"/>
          <w:szCs w:val="17"/>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6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Foreign Accounts Tax Compliance Act</w:t>
      </w:r>
    </w:p>
    <w:p>
      <w:pPr>
        <w:spacing w:after="0" w:line="142" w:lineRule="exact"/>
        <w:rPr>
          <w:sz w:val="20"/>
          <w:szCs w:val="20"/>
          <w:color w:val="auto"/>
        </w:rPr>
      </w:pPr>
    </w:p>
    <w:p>
      <w:pPr>
        <w:ind w:left="1180" w:right="639" w:firstLine="342"/>
        <w:spacing w:after="0" w:line="253" w:lineRule="auto"/>
        <w:rPr>
          <w:sz w:val="20"/>
          <w:szCs w:val="20"/>
          <w:color w:val="auto"/>
        </w:rPr>
      </w:pPr>
      <w:r>
        <w:rPr>
          <w:rFonts w:ascii="Times New Roman" w:cs="Times New Roman" w:eastAsia="Times New Roman" w:hAnsi="Times New Roman"/>
          <w:sz w:val="17"/>
          <w:szCs w:val="17"/>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8" w:lineRule="exact"/>
        <w:rPr>
          <w:sz w:val="20"/>
          <w:szCs w:val="20"/>
          <w:color w:val="auto"/>
        </w:rPr>
      </w:pPr>
    </w:p>
    <w:p>
      <w:pPr>
        <w:ind w:left="1180" w:right="659" w:firstLine="3"/>
        <w:spacing w:after="0" w:line="253" w:lineRule="auto"/>
        <w:tabs>
          <w:tab w:leader="none" w:pos="15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200" w:lineRule="exact"/>
        <w:rPr>
          <w:sz w:val="20"/>
          <w:szCs w:val="20"/>
          <w:color w:val="auto"/>
        </w:rPr>
      </w:pPr>
    </w:p>
    <w:p>
      <w:pPr>
        <w:spacing w:after="0" w:line="3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80" w:right="619" w:firstLine="342"/>
        <w:spacing w:after="0" w:line="261" w:lineRule="auto"/>
        <w:rPr>
          <w:sz w:val="20"/>
          <w:szCs w:val="20"/>
          <w:color w:val="auto"/>
        </w:rPr>
      </w:pPr>
      <w:r>
        <w:rPr>
          <w:rFonts w:ascii="Times New Roman" w:cs="Times New Roman" w:eastAsia="Times New Roman" w:hAnsi="Times New Roman"/>
          <w:sz w:val="17"/>
          <w:szCs w:val="17"/>
          <w:b w:val="1"/>
          <w:bCs w:val="1"/>
          <w:color w:val="auto"/>
        </w:rPr>
        <w:t>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UNDERWRITING (CONFLICTS OF INTEREST)</w:t>
      </w:r>
    </w:p>
    <w:p>
      <w:pPr>
        <w:spacing w:after="0" w:line="155" w:lineRule="exact"/>
        <w:rPr>
          <w:sz w:val="20"/>
          <w:szCs w:val="20"/>
          <w:color w:val="auto"/>
        </w:rPr>
      </w:pPr>
    </w:p>
    <w:p>
      <w:pPr>
        <w:ind w:left="1180" w:right="719" w:firstLine="342"/>
        <w:spacing w:after="0" w:line="260" w:lineRule="auto"/>
        <w:rPr>
          <w:sz w:val="20"/>
          <w:szCs w:val="20"/>
          <w:color w:val="auto"/>
        </w:rPr>
      </w:pPr>
      <w:r>
        <w:rPr>
          <w:rFonts w:ascii="Times New Roman" w:cs="Times New Roman" w:eastAsia="Times New Roman" w:hAnsi="Times New Roman"/>
          <w:sz w:val="17"/>
          <w:szCs w:val="17"/>
          <w:color w:val="auto"/>
        </w:rPr>
        <w:t>BNP Paribas Securities Corp., SMBC Nikko Securities America, Inc., Truist Securities, Inc. and Wells Fargo Securities, LLC are acting as joint book-running managers of the offering and as representatives of the underwriters named below.</w:t>
      </w:r>
    </w:p>
    <w:p>
      <w:pPr>
        <w:spacing w:after="0" w:line="96" w:lineRule="exact"/>
        <w:rPr>
          <w:sz w:val="20"/>
          <w:szCs w:val="20"/>
          <w:color w:val="auto"/>
        </w:rPr>
      </w:pPr>
    </w:p>
    <w:p>
      <w:pPr>
        <w:ind w:left="1180" w:right="839" w:firstLine="342"/>
        <w:spacing w:after="0" w:line="252" w:lineRule="auto"/>
        <w:rPr>
          <w:sz w:val="20"/>
          <w:szCs w:val="20"/>
          <w:color w:val="auto"/>
        </w:rPr>
      </w:pPr>
      <w:r>
        <w:rPr>
          <w:rFonts w:ascii="Times New Roman" w:cs="Times New Roman" w:eastAsia="Times New Roman" w:hAnsi="Times New Roman"/>
          <w:sz w:val="17"/>
          <w:szCs w:val="17"/>
          <w:color w:val="auto"/>
        </w:rPr>
        <w:t>Subject to the terms and conditions stated in the underwriting agreement dated the date of this prospectus supplement, the underwriters named below have severally, and not jointly, agreed to purchase, and we have agreed to sell to the underwriters, the principal amount of notes set forth opposite the respective underwriters’ names.</w:t>
      </w:r>
    </w:p>
    <w:p>
      <w:pPr>
        <w:spacing w:after="0" w:line="11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60" w:type="dxa"/>
            <w:vAlign w:val="bottom"/>
            <w:gridSpan w:val="2"/>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54"/>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860" w:type="dxa"/>
            <w:vAlign w:val="bottom"/>
            <w:gridSpan w:val="2"/>
          </w:tcPr>
          <w:p>
            <w:pPr>
              <w:jc w:val="right"/>
              <w:ind w:right="154"/>
              <w:spacing w:after="0" w:line="154" w:lineRule="exact"/>
              <w:rPr>
                <w:sz w:val="20"/>
                <w:szCs w:val="20"/>
                <w:color w:val="auto"/>
              </w:rPr>
            </w:pPr>
            <w:r>
              <w:rPr>
                <w:rFonts w:ascii="Times New Roman" w:cs="Times New Roman" w:eastAsia="Times New Roman" w:hAnsi="Times New Roman"/>
                <w:sz w:val="14"/>
                <w:szCs w:val="14"/>
                <w:b w:val="1"/>
                <w:bCs w:val="1"/>
                <w:color w:val="auto"/>
                <w:w w:val="93"/>
              </w:rPr>
              <w:t>Amount of</w:t>
            </w:r>
          </w:p>
        </w:tc>
      </w:tr>
      <w:tr>
        <w:trPr>
          <w:trHeight w:val="204"/>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7"/>
                <w:szCs w:val="17"/>
                <w:color w:val="auto"/>
              </w:rPr>
            </w:pPr>
          </w:p>
        </w:tc>
        <w:tc>
          <w:tcPr>
            <w:tcW w:w="1160" w:type="dxa"/>
            <w:vAlign w:val="bottom"/>
            <w:gridSpan w:val="3"/>
          </w:tcPr>
          <w:p>
            <w:pPr>
              <w:ind w:left="20"/>
              <w:spacing w:after="0" w:line="204" w:lineRule="exact"/>
              <w:rPr>
                <w:sz w:val="20"/>
                <w:szCs w:val="20"/>
                <w:color w:val="auto"/>
              </w:rPr>
            </w:pPr>
            <w:r>
              <w:rPr>
                <w:rFonts w:ascii="Times New Roman" w:cs="Times New Roman" w:eastAsia="Times New Roman" w:hAnsi="Times New Roman"/>
                <w:sz w:val="12"/>
                <w:szCs w:val="12"/>
                <w:b w:val="1"/>
                <w:bCs w:val="1"/>
                <w:color w:val="auto"/>
              </w:rPr>
              <w:t xml:space="preserve">2027 Notes   </w:t>
            </w:r>
            <w:r>
              <w:rPr>
                <w:rFonts w:ascii="Times New Roman" w:cs="Times New Roman" w:eastAsia="Times New Roman" w:hAnsi="Times New Roman"/>
                <w:sz w:val="23"/>
                <w:szCs w:val="23"/>
                <w:b w:val="1"/>
                <w:bCs w:val="1"/>
                <w:color w:val="auto"/>
                <w:vertAlign w:val="subscript"/>
              </w:rPr>
              <w:t>​ ​</w:t>
            </w:r>
          </w:p>
        </w:tc>
        <w:tc>
          <w:tcPr>
            <w:tcW w:w="86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2"/>
                <w:szCs w:val="12"/>
                <w:b w:val="1"/>
                <w:bCs w:val="1"/>
                <w:color w:val="auto"/>
              </w:rPr>
              <w:t xml:space="preserve">2031 Notes   </w:t>
            </w:r>
            <w:r>
              <w:rPr>
                <w:rFonts w:ascii="Times New Roman" w:cs="Times New Roman" w:eastAsia="Times New Roman" w:hAnsi="Times New Roman"/>
                <w:sz w:val="23"/>
                <w:szCs w:val="23"/>
                <w:b w:val="1"/>
                <w:bCs w:val="1"/>
                <w:color w:val="auto"/>
                <w:vertAlign w:val="subscript"/>
              </w:rPr>
              <w:t>​</w:t>
            </w:r>
          </w:p>
        </w:tc>
      </w:tr>
      <w:tr>
        <w:trPr>
          <w:trHeight w:val="20"/>
        </w:trPr>
        <w:tc>
          <w:tcPr>
            <w:tcW w:w="4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BNP Paribas Securities Corp.</w:t>
            </w:r>
          </w:p>
        </w:tc>
        <w:tc>
          <w:tcPr>
            <w:tcW w:w="2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​​$105,000,000​​ ​​$105,000,000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SMBC Nikko Securities America, Inc.</w:t>
            </w: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 ​105,000,000​​ ​​ ​105,000,000​</w:t>
            </w:r>
          </w:p>
        </w:tc>
      </w:tr>
      <w:tr>
        <w:trPr>
          <w:trHeight w:val="2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Truist Securities, Inc.</w:t>
            </w:r>
          </w:p>
        </w:tc>
        <w:tc>
          <w:tcPr>
            <w:tcW w:w="2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​105,000,000​​ ​​ ​105,000,000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Wells Fargo Securities, LLC</w:t>
            </w: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 ​105,000,000​​ ​​ ​105,000,000​</w:t>
            </w:r>
          </w:p>
        </w:tc>
      </w:tr>
      <w:tr>
        <w:trPr>
          <w:trHeight w:val="2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MUFG Securities Americas Inc.</w:t>
            </w:r>
          </w:p>
        </w:tc>
        <w:tc>
          <w:tcPr>
            <w:tcW w:w="2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 54,375,000​​ ​​ ​ 54,375,000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PNC Capital Markets LLC</w:t>
            </w: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 ​ 54,375,000​​ ​​ ​ 54,375,000​</w:t>
            </w:r>
          </w:p>
        </w:tc>
      </w:tr>
      <w:tr>
        <w:trPr>
          <w:trHeight w:val="2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RBC Capital Markets, LLC</w:t>
            </w:r>
          </w:p>
        </w:tc>
        <w:tc>
          <w:tcPr>
            <w:tcW w:w="2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 54,375,000​​ ​​ ​ 54,375,000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U.S. Bancorp Investments, Inc.</w:t>
            </w: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 ​ 54,375,000​​ ​​ ​ 54,375,000​</w:t>
            </w:r>
          </w:p>
        </w:tc>
      </w:tr>
      <w:tr>
        <w:trPr>
          <w:trHeight w:val="24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Deutsche Bank Securities Inc.</w:t>
            </w:r>
          </w:p>
        </w:tc>
        <w:tc>
          <w:tcPr>
            <w:tcW w:w="2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 33,750,000​​ ​​ ​ 33,750,000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Goldman Sachs &amp; Co. LLC</w:t>
            </w: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 ​ 33,750,000​​ ​​ ​ 33,750,000​</w:t>
            </w:r>
          </w:p>
        </w:tc>
      </w:tr>
      <w:tr>
        <w:trPr>
          <w:trHeight w:val="25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Academy Securities, Inc.</w:t>
            </w:r>
          </w:p>
        </w:tc>
        <w:tc>
          <w:tcPr>
            <w:tcW w:w="234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 15,000,000​​ ​​ ​ 15,000,000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Loop Capital Markets LLC</w:t>
            </w:r>
          </w:p>
        </w:tc>
        <w:tc>
          <w:tcPr>
            <w:tcW w:w="23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auto"/>
              </w:rPr>
              <w:t>​ ​​ ​ 15,000,000​​ ​​ ​ 15,000,000​</w:t>
            </w:r>
          </w:p>
        </w:tc>
      </w:tr>
      <w:tr>
        <w:trPr>
          <w:trHeight w:val="25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Siebert Williams Shank &amp; Co., LLC</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 ​</w:t>
            </w:r>
          </w:p>
        </w:tc>
        <w:tc>
          <w:tcPr>
            <w:tcW w:w="1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7,500,000​​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Stern Brothers &amp; Co.</w:t>
            </w:r>
          </w:p>
        </w:tc>
        <w:tc>
          <w:tcPr>
            <w:tcW w:w="36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1"/>
                <w:szCs w:val="31"/>
                <w:color w:val="auto"/>
                <w:vertAlign w:val="superscript"/>
              </w:rPr>
              <w:t>​</w:t>
            </w:r>
          </w:p>
        </w:tc>
        <w:tc>
          <w:tcPr>
            <w:tcW w:w="1160" w:type="dxa"/>
            <w:vAlign w:val="bottom"/>
            <w:gridSpan w:val="3"/>
          </w:tcPr>
          <w:p>
            <w:pPr>
              <w:ind w:left="120"/>
              <w:spacing w:after="0" w:line="269" w:lineRule="exact"/>
              <w:rPr>
                <w:sz w:val="20"/>
                <w:szCs w:val="20"/>
                <w:color w:val="auto"/>
              </w:rPr>
            </w:pPr>
            <w:r>
              <w:rPr>
                <w:rFonts w:ascii="Times New Roman" w:cs="Times New Roman" w:eastAsia="Times New Roman" w:hAnsi="Times New Roman"/>
                <w:sz w:val="16"/>
                <w:szCs w:val="16"/>
                <w:color w:val="auto"/>
              </w:rPr>
              <w:t>7,500,000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6"/>
                <w:szCs w:val="16"/>
                <w:color w:val="auto"/>
              </w:rPr>
              <w:t xml:space="preserve"> ​</w:t>
            </w:r>
          </w:p>
        </w:tc>
        <w:tc>
          <w:tcPr>
            <w:tcW w:w="8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6"/>
                <w:szCs w:val="16"/>
                <w:color w:val="auto"/>
              </w:rPr>
              <w:t>7,500,000</w:t>
            </w:r>
            <w:r>
              <w:rPr>
                <w:rFonts w:ascii="Times New Roman" w:cs="Times New Roman" w:eastAsia="Times New Roman" w:hAnsi="Times New Roman"/>
                <w:sz w:val="31"/>
                <w:szCs w:val="31"/>
                <w:color w:val="auto"/>
                <w:vertAlign w:val="subscript"/>
              </w:rPr>
              <w:t>​</w:t>
            </w:r>
          </w:p>
        </w:tc>
      </w:tr>
      <w:tr>
        <w:trPr>
          <w:trHeight w:val="20"/>
        </w:trPr>
        <w:tc>
          <w:tcPr>
            <w:tcW w:w="47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2"/>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340" w:type="dxa"/>
            <w:vAlign w:val="bottom"/>
            <w:gridSpan w:val="6"/>
            <w:shd w:val="clear" w:color="auto" w:fill="CCEEFF"/>
          </w:tcPr>
          <w:p>
            <w:pPr>
              <w:ind w:left="60"/>
              <w:spacing w:after="0" w:line="249"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750,000,000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750,000,000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-211455</wp:posOffset>
            </wp:positionV>
            <wp:extent cx="3911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11600" cy="8255"/>
                    </a:xfrm>
                    <a:prstGeom prst="rect">
                      <a:avLst/>
                    </a:prstGeom>
                    <a:noFill/>
                  </pic:spPr>
                </pic:pic>
              </a:graphicData>
            </a:graphic>
          </wp:anchor>
        </w:drawing>
        <w:drawing>
          <wp:anchor simplePos="0" relativeHeight="251657728" behindDoc="1" locked="0" layoutInCell="0" allowOverlap="1">
            <wp:simplePos x="0" y="0"/>
            <wp:positionH relativeFrom="column">
              <wp:posOffset>4744085</wp:posOffset>
            </wp:positionH>
            <wp:positionV relativeFrom="paragraph">
              <wp:posOffset>-2428240</wp:posOffset>
            </wp:positionV>
            <wp:extent cx="130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-2428240</wp:posOffset>
            </wp:positionV>
            <wp:extent cx="1301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175" cy="8255"/>
                    </a:xfrm>
                    <a:prstGeom prst="rect">
                      <a:avLst/>
                    </a:prstGeom>
                    <a:noFill/>
                  </pic:spPr>
                </pic:pic>
              </a:graphicData>
            </a:graphic>
          </wp:anchor>
        </w:drawing>
      </w:r>
    </w:p>
    <w:p>
      <w:pPr>
        <w:spacing w:after="0" w:line="156" w:lineRule="exact"/>
        <w:rPr>
          <w:sz w:val="20"/>
          <w:szCs w:val="20"/>
          <w:color w:val="auto"/>
        </w:rPr>
      </w:pPr>
    </w:p>
    <w:p>
      <w:pPr>
        <w:ind w:left="1180" w:right="759" w:firstLine="342"/>
        <w:spacing w:after="0" w:line="260"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w:t>
      </w:r>
    </w:p>
    <w:p>
      <w:pPr>
        <w:spacing w:after="0" w:line="96" w:lineRule="exact"/>
        <w:rPr>
          <w:sz w:val="20"/>
          <w:szCs w:val="20"/>
          <w:color w:val="auto"/>
        </w:rPr>
      </w:pPr>
    </w:p>
    <w:p>
      <w:pPr>
        <w:ind w:left="1180" w:right="739" w:firstLine="342"/>
        <w:spacing w:after="0" w:line="244" w:lineRule="auto"/>
        <w:rPr>
          <w:sz w:val="20"/>
          <w:szCs w:val="20"/>
          <w:color w:val="auto"/>
        </w:rPr>
      </w:pPr>
      <w:r>
        <w:rPr>
          <w:rFonts w:ascii="Times New Roman" w:cs="Times New Roman" w:eastAsia="Times New Roman" w:hAnsi="Times New Roman"/>
          <w:sz w:val="17"/>
          <w:szCs w:val="17"/>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0.15% of the principal amount of the 2027 notes and 0.25% of the principal amount of the 2031 notes. The underwriters may allow, and dealers may reallow, a concession not to exceed 0.10% of the principal amount of the 2027 notes and 0.15% of the principal amount of the 2031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11" w:lineRule="exact"/>
        <w:rPr>
          <w:sz w:val="20"/>
          <w:szCs w:val="20"/>
          <w:color w:val="auto"/>
        </w:rPr>
      </w:pPr>
    </w:p>
    <w:p>
      <w:pPr>
        <w:ind w:left="1180" w:right="679" w:firstLine="342"/>
        <w:spacing w:after="0" w:line="245" w:lineRule="auto"/>
        <w:rPr>
          <w:sz w:val="20"/>
          <w:szCs w:val="20"/>
          <w:color w:val="auto"/>
        </w:rPr>
      </w:pPr>
      <w:r>
        <w:rPr>
          <w:rFonts w:ascii="Times New Roman" w:cs="Times New Roman" w:eastAsia="Times New Roman" w:hAnsi="Times New Roman"/>
          <w:sz w:val="17"/>
          <w:szCs w:val="17"/>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The underwriters also may impose a penalty bid. Penalty bids permit the underwriters to reclaim a</w:t>
      </w:r>
    </w:p>
    <w:p>
      <w:pPr>
        <w:spacing w:after="0" w:line="27" w:lineRule="exact"/>
        <w:rPr>
          <w:sz w:val="20"/>
          <w:szCs w:val="20"/>
          <w:color w:val="auto"/>
        </w:rPr>
      </w:pPr>
    </w:p>
    <w:p>
      <w:pPr>
        <w:ind w:left="1180" w:right="699"/>
        <w:spacing w:after="0" w:line="248" w:lineRule="auto"/>
        <w:rPr>
          <w:sz w:val="20"/>
          <w:szCs w:val="20"/>
          <w:color w:val="auto"/>
        </w:rPr>
      </w:pPr>
      <w:r>
        <w:rPr>
          <w:rFonts w:ascii="Times New Roman" w:cs="Times New Roman" w:eastAsia="Times New Roman" w:hAnsi="Times New Roman"/>
          <w:sz w:val="17"/>
          <w:szCs w:val="17"/>
          <w:color w:val="auto"/>
        </w:rPr>
        <w:t>selling concession from a syndicate member when the representatives, in covering syndicate short positions or making stabilizing purchases, repurchase notes originally sold by that syndicate member.</w:t>
      </w:r>
    </w:p>
    <w:p>
      <w:pPr>
        <w:spacing w:after="0" w:line="3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19" w:firstLine="342"/>
        <w:spacing w:after="0" w:line="252" w:lineRule="auto"/>
        <w:rPr>
          <w:sz w:val="20"/>
          <w:szCs w:val="20"/>
          <w:color w:val="auto"/>
        </w:rPr>
      </w:pPr>
      <w:r>
        <w:rPr>
          <w:rFonts w:ascii="Times New Roman" w:cs="Times New Roman" w:eastAsia="Times New Roman" w:hAnsi="Times New Roman"/>
          <w:sz w:val="17"/>
          <w:szCs w:val="17"/>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3" w:lineRule="exact"/>
        <w:rPr>
          <w:sz w:val="20"/>
          <w:szCs w:val="20"/>
          <w:color w:val="auto"/>
        </w:rPr>
      </w:pPr>
    </w:p>
    <w:p>
      <w:pPr>
        <w:ind w:left="1180" w:right="739" w:firstLine="342"/>
        <w:spacing w:after="0" w:line="269" w:lineRule="auto"/>
        <w:rPr>
          <w:sz w:val="20"/>
          <w:szCs w:val="20"/>
          <w:color w:val="auto"/>
        </w:rPr>
      </w:pPr>
      <w:r>
        <w:rPr>
          <w:rFonts w:ascii="Times New Roman" w:cs="Times New Roman" w:eastAsia="Times New Roman" w:hAnsi="Times New Roman"/>
          <w:sz w:val="17"/>
          <w:szCs w:val="17"/>
          <w:color w:val="auto"/>
        </w:rPr>
        <w:t>We estimate that our total expenses (not including the underwriting discounts) for this offering will be approximately $3.9 million.</w:t>
      </w:r>
    </w:p>
    <w:p>
      <w:pPr>
        <w:spacing w:after="0" w:line="88" w:lineRule="exact"/>
        <w:rPr>
          <w:sz w:val="20"/>
          <w:szCs w:val="20"/>
          <w:color w:val="auto"/>
        </w:rPr>
      </w:pPr>
    </w:p>
    <w:p>
      <w:pPr>
        <w:ind w:left="1180" w:right="679" w:firstLine="342"/>
        <w:spacing w:after="0" w:line="260" w:lineRule="auto"/>
        <w:rPr>
          <w:sz w:val="20"/>
          <w:szCs w:val="20"/>
          <w:color w:val="auto"/>
        </w:rPr>
      </w:pPr>
      <w:r>
        <w:rPr>
          <w:rFonts w:ascii="Times New Roman" w:cs="Times New Roman" w:eastAsia="Times New Roman" w:hAnsi="Times New Roman"/>
          <w:sz w:val="17"/>
          <w:szCs w:val="17"/>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96" w:lineRule="exact"/>
        <w:rPr>
          <w:sz w:val="20"/>
          <w:szCs w:val="20"/>
          <w:color w:val="auto"/>
        </w:rPr>
      </w:pPr>
    </w:p>
    <w:p>
      <w:pPr>
        <w:jc w:val="both"/>
        <w:ind w:left="1180" w:right="719" w:firstLine="342"/>
        <w:spacing w:after="0" w:line="252" w:lineRule="auto"/>
        <w:rPr>
          <w:sz w:val="20"/>
          <w:szCs w:val="20"/>
          <w:color w:val="auto"/>
        </w:rPr>
      </w:pPr>
      <w:r>
        <w:rPr>
          <w:rFonts w:ascii="Times New Roman" w:cs="Times New Roman" w:eastAsia="Times New Roman" w:hAnsi="Times New Roman"/>
          <w:sz w:val="17"/>
          <w:szCs w:val="17"/>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3" w:lineRule="exact"/>
        <w:rPr>
          <w:sz w:val="20"/>
          <w:szCs w:val="20"/>
          <w:color w:val="auto"/>
        </w:rPr>
      </w:pPr>
    </w:p>
    <w:p>
      <w:pPr>
        <w:ind w:left="1180" w:right="699" w:firstLine="342"/>
        <w:spacing w:after="0" w:line="247" w:lineRule="auto"/>
        <w:rPr>
          <w:sz w:val="20"/>
          <w:szCs w:val="20"/>
          <w:color w:val="auto"/>
        </w:rPr>
      </w:pPr>
      <w:r>
        <w:rPr>
          <w:rFonts w:ascii="Times New Roman" w:cs="Times New Roman" w:eastAsia="Times New Roman" w:hAnsi="Times New Roman"/>
          <w:sz w:val="17"/>
          <w:szCs w:val="17"/>
          <w:color w:val="auto"/>
        </w:rPr>
        <w:t>We expect delivery of the notes will be made against payment therefor on or about July 3, 2024, which is the seventh business day following the date of pricing of the notes (such settlement being referred to as “T+7”). Under Rule 15c6 -1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T+7, to specify an alternate settlement cycle at the time of any such trade to prevent failed settlement and should consult their own advisers.</w:t>
      </w:r>
    </w:p>
    <w:p>
      <w:pPr>
        <w:spacing w:after="0" w:line="17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Relationships</w:t>
      </w:r>
    </w:p>
    <w:p>
      <w:pPr>
        <w:spacing w:after="0" w:line="1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Certain of the underwriters or one of their respective affiliates are lenders under our $3.5 billion</w:t>
      </w:r>
    </w:p>
    <w:p>
      <w:pPr>
        <w:spacing w:after="0" w:line="15" w:lineRule="exact"/>
        <w:rPr>
          <w:sz w:val="20"/>
          <w:szCs w:val="20"/>
          <w:color w:val="auto"/>
        </w:rPr>
      </w:pPr>
    </w:p>
    <w:p>
      <w:pPr>
        <w:ind w:left="1180" w:right="639"/>
        <w:spacing w:after="0" w:line="244" w:lineRule="auto"/>
        <w:rPr>
          <w:sz w:val="20"/>
          <w:szCs w:val="20"/>
          <w:color w:val="auto"/>
        </w:rPr>
      </w:pPr>
      <w:r>
        <w:rPr>
          <w:rFonts w:ascii="Times New Roman" w:cs="Times New Roman" w:eastAsia="Times New Roman" w:hAnsi="Times New Roman"/>
          <w:sz w:val="17"/>
          <w:szCs w:val="17"/>
          <w:color w:val="auto"/>
        </w:rPr>
        <w:t>revolving credit facility.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w:t>
      </w:r>
    </w:p>
    <w:p>
      <w:pPr>
        <w:spacing w:after="0" w:line="111" w:lineRule="exact"/>
        <w:rPr>
          <w:sz w:val="20"/>
          <w:szCs w:val="20"/>
          <w:color w:val="auto"/>
        </w:rPr>
      </w:pPr>
    </w:p>
    <w:p>
      <w:pPr>
        <w:ind w:left="1180" w:right="619" w:firstLine="342"/>
        <w:spacing w:after="0" w:line="254" w:lineRule="auto"/>
        <w:rPr>
          <w:sz w:val="20"/>
          <w:szCs w:val="20"/>
          <w:color w:val="auto"/>
        </w:rPr>
      </w:pPr>
      <w:r>
        <w:rPr>
          <w:rFonts w:ascii="Times New Roman" w:cs="Times New Roman" w:eastAsia="Times New Roman" w:hAnsi="Times New Roman"/>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38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155" w:lineRule="exact"/>
        <w:rPr>
          <w:sz w:val="20"/>
          <w:szCs w:val="20"/>
          <w:color w:val="auto"/>
        </w:rPr>
      </w:pPr>
    </w:p>
    <w:p>
      <w:pPr>
        <w:ind w:left="1180" w:right="739" w:firstLine="342"/>
        <w:spacing w:after="0" w:line="256" w:lineRule="auto"/>
        <w:rPr>
          <w:sz w:val="20"/>
          <w:szCs w:val="20"/>
          <w:color w:val="auto"/>
        </w:rPr>
      </w:pPr>
      <w:r>
        <w:rPr>
          <w:rFonts w:ascii="Times New Roman" w:cs="Times New Roman" w:eastAsia="Times New Roman" w:hAnsi="Times New Roman"/>
          <w:sz w:val="17"/>
          <w:szCs w:val="17"/>
          <w:color w:val="auto"/>
        </w:rPr>
        <w:t>Certain underwriters or their respective affiliates in this offering are dealers under our commercial paper program and may receive 5% or more of the net proceeds of this offering by reason of the repayment of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w:t>
      </w:r>
    </w:p>
    <w:p>
      <w:pPr>
        <w:spacing w:after="0" w:line="1" w:lineRule="exact"/>
        <w:rPr>
          <w:sz w:val="20"/>
          <w:szCs w:val="20"/>
          <w:color w:val="auto"/>
        </w:rPr>
      </w:pPr>
    </w:p>
    <w:p>
      <w:pPr>
        <w:ind w:left="1180" w:right="919"/>
        <w:spacing w:after="0" w:line="264" w:lineRule="auto"/>
        <w:rPr>
          <w:sz w:val="20"/>
          <w:szCs w:val="20"/>
          <w:color w:val="auto"/>
        </w:rPr>
      </w:pPr>
      <w:r>
        <w:rPr>
          <w:rFonts w:ascii="Times New Roman" w:cs="Times New Roman" w:eastAsia="Times New Roman" w:hAnsi="Times New Roman"/>
          <w:sz w:val="17"/>
          <w:szCs w:val="17"/>
          <w:color w:val="auto"/>
        </w:rPr>
        <w:t>Rule 5121, which requires prominent disclosure of the nature of the conflict of interest in the prospectus supplement.</w:t>
      </w:r>
    </w:p>
    <w:p>
      <w:pPr>
        <w:spacing w:after="0" w:line="3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939"/>
        <w:spacing w:after="0" w:line="260" w:lineRule="auto"/>
        <w:rPr>
          <w:sz w:val="20"/>
          <w:szCs w:val="20"/>
          <w:color w:val="auto"/>
        </w:rPr>
      </w:pPr>
      <w:r>
        <w:rPr>
          <w:rFonts w:ascii="Times New Roman" w:cs="Times New Roman" w:eastAsia="Times New Roman" w:hAnsi="Times New Roman"/>
          <w:sz w:val="17"/>
          <w:szCs w:val="17"/>
          <w:color w:val="auto"/>
        </w:rPr>
        <w:t>Pursuant to FINRA Rule 5121(a)(1)(C), the appointment of a “qualified independent underwriter” is not necessary in connection with this offering as the notes offered hereby are “investment grade rated” ​(as defined in FINRA Rule 5121).</w:t>
      </w:r>
    </w:p>
    <w:p>
      <w:pPr>
        <w:spacing w:after="0" w:line="1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2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Australia</w:t>
      </w:r>
    </w:p>
    <w:p>
      <w:pPr>
        <w:spacing w:after="0" w:line="155" w:lineRule="exact"/>
        <w:rPr>
          <w:sz w:val="20"/>
          <w:szCs w:val="20"/>
          <w:color w:val="auto"/>
        </w:rPr>
      </w:pPr>
    </w:p>
    <w:p>
      <w:pPr>
        <w:ind w:left="1180" w:right="619" w:firstLine="342"/>
        <w:spacing w:after="0" w:line="248" w:lineRule="auto"/>
        <w:rPr>
          <w:sz w:val="20"/>
          <w:szCs w:val="20"/>
          <w:color w:val="auto"/>
        </w:rPr>
      </w:pPr>
      <w:r>
        <w:rPr>
          <w:rFonts w:ascii="Times New Roman" w:cs="Times New Roman" w:eastAsia="Times New Roman" w:hAnsi="Times New Roman"/>
          <w:sz w:val="17"/>
          <w:szCs w:val="17"/>
          <w:color w:val="auto"/>
        </w:rPr>
        <w:t>No prospectus or other disclosure document (as defined in the Corporations Act 2001 (Cth) of Australia (the “Corporations Act”)) in relation to the notes has been, or will be, lodged with the Australian Securities and Investments Commission (“ASIC”), the Australian Securities Exchange operated by ASX Limited or any other regulatory body or agency in Australia. This document has not been lodged with ASIC and is only directed to certain categories of exempt persons. Accordingly, if you receive this document in Australia:</w:t>
      </w:r>
    </w:p>
    <w:p>
      <w:pPr>
        <w:spacing w:after="0" w:line="107" w:lineRule="exact"/>
        <w:rPr>
          <w:sz w:val="20"/>
          <w:szCs w:val="20"/>
          <w:color w:val="auto"/>
        </w:rPr>
      </w:pPr>
    </w:p>
    <w:p>
      <w:pPr>
        <w:ind w:left="1860" w:hanging="335"/>
        <w:spacing w:after="0"/>
        <w:tabs>
          <w:tab w:leader="none" w:pos="1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confirm and warrant that you are either:</w:t>
      </w:r>
    </w:p>
    <w:p>
      <w:pPr>
        <w:spacing w:after="0" w:line="138" w:lineRule="exact"/>
        <w:rPr>
          <w:rFonts w:ascii="Times New Roman" w:cs="Times New Roman" w:eastAsia="Times New Roman" w:hAnsi="Times New Roman"/>
          <w:sz w:val="17"/>
          <w:szCs w:val="17"/>
          <w:color w:val="auto"/>
        </w:rPr>
      </w:pPr>
    </w:p>
    <w:p>
      <w:pPr>
        <w:ind w:left="2200" w:hanging="333"/>
        <w:spacing w:after="0"/>
        <w:tabs>
          <w:tab w:leader="none" w:pos="22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“sophisticated investor” under section 708(8)(a) or (b) of the Corporations Act;</w:t>
      </w:r>
    </w:p>
    <w:p>
      <w:pPr>
        <w:spacing w:after="0" w:line="138" w:lineRule="exact"/>
        <w:rPr>
          <w:rFonts w:ascii="Times New Roman" w:cs="Times New Roman" w:eastAsia="Times New Roman" w:hAnsi="Times New Roman"/>
          <w:sz w:val="17"/>
          <w:szCs w:val="17"/>
          <w:color w:val="auto"/>
        </w:rPr>
      </w:pPr>
    </w:p>
    <w:p>
      <w:pPr>
        <w:ind w:left="2200" w:right="659" w:hanging="333"/>
        <w:spacing w:after="0" w:line="266" w:lineRule="auto"/>
        <w:tabs>
          <w:tab w:leader="none" w:pos="22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312" w:lineRule="exact"/>
        <w:rPr>
          <w:rFonts w:ascii="Times New Roman" w:cs="Times New Roman" w:eastAsia="Times New Roman" w:hAnsi="Times New Roman"/>
          <w:sz w:val="17"/>
          <w:szCs w:val="17"/>
          <w:color w:val="auto"/>
        </w:rPr>
      </w:pPr>
    </w:p>
    <w:p>
      <w:pPr>
        <w:ind w:left="2200" w:hanging="333"/>
        <w:spacing w:after="0"/>
        <w:tabs>
          <w:tab w:leader="none" w:pos="22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associated with the Company under section 708(12) of the Corporations Act; or</w:t>
      </w:r>
    </w:p>
    <w:p>
      <w:pPr>
        <w:spacing w:after="0" w:line="138" w:lineRule="exact"/>
        <w:rPr>
          <w:rFonts w:ascii="Times New Roman" w:cs="Times New Roman" w:eastAsia="Times New Roman" w:hAnsi="Times New Roman"/>
          <w:sz w:val="17"/>
          <w:szCs w:val="17"/>
          <w:color w:val="auto"/>
        </w:rPr>
      </w:pPr>
    </w:p>
    <w:p>
      <w:pPr>
        <w:ind w:left="2200" w:right="739" w:hanging="333"/>
        <w:spacing w:after="0" w:line="263" w:lineRule="auto"/>
        <w:tabs>
          <w:tab w:leader="none" w:pos="22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92" w:lineRule="exact"/>
        <w:rPr>
          <w:rFonts w:ascii="Times New Roman" w:cs="Times New Roman" w:eastAsia="Times New Roman" w:hAnsi="Times New Roman"/>
          <w:sz w:val="17"/>
          <w:szCs w:val="17"/>
          <w:color w:val="auto"/>
        </w:rPr>
      </w:pPr>
    </w:p>
    <w:p>
      <w:pPr>
        <w:ind w:left="1860" w:hanging="335"/>
        <w:spacing w:after="0"/>
        <w:tabs>
          <w:tab w:leader="none" w:pos="1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warrant and agree that you will not offer any of the notes for resale in Australia within</w:t>
      </w:r>
    </w:p>
    <w:p>
      <w:pPr>
        <w:spacing w:after="0" w:line="26" w:lineRule="exact"/>
        <w:rPr>
          <w:rFonts w:ascii="Times New Roman" w:cs="Times New Roman" w:eastAsia="Times New Roman" w:hAnsi="Times New Roman"/>
          <w:sz w:val="17"/>
          <w:szCs w:val="17"/>
          <w:color w:val="auto"/>
        </w:rPr>
      </w:pPr>
    </w:p>
    <w:p>
      <w:pPr>
        <w:ind w:left="1860" w:right="679"/>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months of those notes being issued unless any such resale offer is exempt from the requirement to issue a disclosure document under section 708 of the Corporations Act.</w:t>
      </w:r>
    </w:p>
    <w:p>
      <w:pPr>
        <w:spacing w:after="0" w:line="1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155" w:lineRule="exact"/>
        <w:rPr>
          <w:sz w:val="20"/>
          <w:szCs w:val="20"/>
          <w:color w:val="auto"/>
        </w:rPr>
      </w:pPr>
    </w:p>
    <w:p>
      <w:pPr>
        <w:ind w:left="1180" w:right="659" w:firstLine="342"/>
        <w:spacing w:after="0" w:line="246" w:lineRule="auto"/>
        <w:rPr>
          <w:sz w:val="20"/>
          <w:szCs w:val="20"/>
          <w:color w:val="auto"/>
        </w:rPr>
      </w:pPr>
      <w:r>
        <w:rPr>
          <w:rFonts w:ascii="Times New Roman" w:cs="Times New Roman" w:eastAsia="Times New Roman" w:hAnsi="Times New Roman"/>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07" w:lineRule="exact"/>
        <w:rPr>
          <w:sz w:val="20"/>
          <w:szCs w:val="20"/>
          <w:color w:val="auto"/>
        </w:rPr>
      </w:pPr>
    </w:p>
    <w:p>
      <w:pPr>
        <w:ind w:left="1180" w:right="739" w:firstLine="342"/>
        <w:spacing w:after="0" w:line="247"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07" w:lineRule="exact"/>
        <w:rPr>
          <w:sz w:val="20"/>
          <w:szCs w:val="20"/>
          <w:color w:val="auto"/>
        </w:rPr>
      </w:pPr>
    </w:p>
    <w:p>
      <w:pPr>
        <w:ind w:left="1180" w:right="1159" w:firstLine="342"/>
        <w:spacing w:after="0" w:line="260"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5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European Economic Area</w:t>
      </w:r>
    </w:p>
    <w:p>
      <w:pPr>
        <w:spacing w:after="0" w:line="155" w:lineRule="exact"/>
        <w:rPr>
          <w:sz w:val="20"/>
          <w:szCs w:val="20"/>
          <w:color w:val="auto"/>
        </w:rPr>
      </w:pPr>
    </w:p>
    <w:p>
      <w:pPr>
        <w:ind w:left="1180" w:right="659" w:firstLine="342"/>
        <w:spacing w:after="0" w:line="269"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w:t>
      </w:r>
    </w:p>
    <w:p>
      <w:pPr>
        <w:spacing w:after="0" w:line="3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739"/>
        <w:spacing w:after="0" w:line="249" w:lineRule="auto"/>
        <w:rPr>
          <w:sz w:val="20"/>
          <w:szCs w:val="20"/>
          <w:color w:val="auto"/>
        </w:rPr>
      </w:pPr>
      <w:r>
        <w:rPr>
          <w:rFonts w:ascii="Times New Roman" w:cs="Times New Roman" w:eastAsia="Times New Roman" w:hAnsi="Times New Roman"/>
          <w:sz w:val="17"/>
          <w:szCs w:val="17"/>
          <w:color w:val="auto"/>
        </w:rPr>
        <w:t>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w:t>
      </w:r>
    </w:p>
    <w:p>
      <w:pPr>
        <w:spacing w:after="0" w:line="2" w:lineRule="exact"/>
        <w:rPr>
          <w:sz w:val="20"/>
          <w:szCs w:val="20"/>
          <w:color w:val="auto"/>
        </w:rPr>
      </w:pPr>
    </w:p>
    <w:p>
      <w:pPr>
        <w:ind w:left="1180" w:right="619" w:firstLine="3"/>
        <w:spacing w:after="0" w:line="241" w:lineRule="auto"/>
        <w:tabs>
          <w:tab w:leader="none" w:pos="15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116" w:lineRule="exact"/>
        <w:rPr>
          <w:sz w:val="20"/>
          <w:szCs w:val="20"/>
          <w:color w:val="auto"/>
        </w:rPr>
      </w:pPr>
    </w:p>
    <w:p>
      <w:pPr>
        <w:ind w:left="1180" w:right="699" w:firstLine="342"/>
        <w:spacing w:after="0" w:line="260" w:lineRule="auto"/>
        <w:rPr>
          <w:sz w:val="20"/>
          <w:szCs w:val="20"/>
          <w:color w:val="auto"/>
        </w:rPr>
      </w:pPr>
      <w:r>
        <w:rPr>
          <w:rFonts w:ascii="Times New Roman" w:cs="Times New Roman" w:eastAsia="Times New Roman" w:hAnsi="Times New Roman"/>
          <w:sz w:val="17"/>
          <w:szCs w:val="17"/>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9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above selling restriction is in addition to any other selling restrictions set out below.</w:t>
      </w:r>
    </w:p>
    <w:p>
      <w:pPr>
        <w:spacing w:after="0" w:line="21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Hong Kong</w:t>
      </w:r>
    </w:p>
    <w:p>
      <w:pPr>
        <w:spacing w:after="0" w:line="155" w:lineRule="exact"/>
        <w:rPr>
          <w:sz w:val="20"/>
          <w:szCs w:val="20"/>
          <w:color w:val="auto"/>
        </w:rPr>
      </w:pPr>
    </w:p>
    <w:p>
      <w:pPr>
        <w:ind w:left="1180" w:right="659" w:firstLine="342"/>
        <w:spacing w:after="0" w:line="243" w:lineRule="auto"/>
        <w:rPr>
          <w:sz w:val="20"/>
          <w:szCs w:val="20"/>
          <w:color w:val="auto"/>
        </w:rPr>
      </w:pPr>
      <w:r>
        <w:rPr>
          <w:rFonts w:ascii="Times New Roman" w:cs="Times New Roman" w:eastAsia="Times New Roman" w:hAnsi="Times New Roman"/>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Japan</w:t>
      </w:r>
    </w:p>
    <w:p>
      <w:pPr>
        <w:spacing w:after="0" w:line="155" w:lineRule="exact"/>
        <w:rPr>
          <w:sz w:val="20"/>
          <w:szCs w:val="20"/>
          <w:color w:val="auto"/>
        </w:rPr>
      </w:pPr>
    </w:p>
    <w:p>
      <w:pPr>
        <w:ind w:left="1180" w:right="639" w:firstLine="342"/>
        <w:spacing w:after="0" w:line="245" w:lineRule="auto"/>
        <w:rPr>
          <w:sz w:val="20"/>
          <w:szCs w:val="20"/>
          <w:color w:val="auto"/>
        </w:rPr>
      </w:pPr>
      <w:r>
        <w:rPr>
          <w:rFonts w:ascii="Times New Roman" w:cs="Times New Roman" w:eastAsia="Times New Roman" w:hAnsi="Times New Roman"/>
          <w:sz w:val="17"/>
          <w:szCs w:val="17"/>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Singapore</w:t>
      </w:r>
    </w:p>
    <w:p>
      <w:pPr>
        <w:spacing w:after="0" w:line="142" w:lineRule="exact"/>
        <w:rPr>
          <w:sz w:val="20"/>
          <w:szCs w:val="20"/>
          <w:color w:val="auto"/>
        </w:rPr>
      </w:pPr>
    </w:p>
    <w:p>
      <w:pPr>
        <w:ind w:left="1180" w:right="699" w:firstLine="342"/>
        <w:spacing w:after="0" w:line="246"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have not been and will not be registered as a prospectus under the Securities and Futures Act, Chapter 289 of Singapore (the “SFA”) by the Monetary Authority of Singapore and the offer of the notes in Singapore is made primarily pursuant to the exemption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SFA (an “Institutional Investor”) pursuant to Section 274 of the SFA, (b) to an accredited investor as defined in Section 4A of the SFA (an “Accredited Investor”) or other relevant person as defined in Section 275(2) of the</w:t>
      </w:r>
    </w:p>
    <w:p>
      <w:pPr>
        <w:spacing w:after="0" w:line="200" w:lineRule="exact"/>
        <w:rPr>
          <w:sz w:val="20"/>
          <w:szCs w:val="20"/>
          <w:color w:val="auto"/>
        </w:rPr>
      </w:pPr>
    </w:p>
    <w:p>
      <w:pPr>
        <w:spacing w:after="0" w:line="3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99"/>
        <w:spacing w:after="0" w:line="263" w:lineRule="auto"/>
        <w:rPr>
          <w:sz w:val="20"/>
          <w:szCs w:val="20"/>
          <w:color w:val="auto"/>
        </w:rPr>
      </w:pPr>
      <w:r>
        <w:rPr>
          <w:rFonts w:ascii="Times New Roman" w:cs="Times New Roman" w:eastAsia="Times New Roman" w:hAnsi="Times New Roman"/>
          <w:sz w:val="17"/>
          <w:szCs w:val="17"/>
          <w:color w:val="auto"/>
        </w:rPr>
        <w:t>SFA (a “Relevant Person”) and pursuant to Section 275(1) of the SFA, or to any person pursuant to an offer referred to in Section 275 (1A) of the SFA, and in accordance with the conditions specified in Section 275 of the SFA, or (c) otherwise pursuant to, and in accordance with, the conditions of any other applicable exemption or provision of the SFA.</w:t>
      </w:r>
    </w:p>
    <w:p>
      <w:pPr>
        <w:spacing w:after="0" w:line="106" w:lineRule="exact"/>
        <w:rPr>
          <w:sz w:val="20"/>
          <w:szCs w:val="20"/>
          <w:color w:val="auto"/>
        </w:rPr>
      </w:pPr>
    </w:p>
    <w:p>
      <w:pPr>
        <w:ind w:left="1180" w:right="959" w:firstLine="342"/>
        <w:spacing w:after="0" w:line="285" w:lineRule="auto"/>
        <w:rPr>
          <w:sz w:val="20"/>
          <w:szCs w:val="20"/>
          <w:color w:val="auto"/>
        </w:rPr>
      </w:pPr>
      <w:r>
        <w:rPr>
          <w:rFonts w:ascii="Times New Roman" w:cs="Times New Roman" w:eastAsia="Times New Roman" w:hAnsi="Times New Roman"/>
          <w:sz w:val="17"/>
          <w:szCs w:val="17"/>
          <w:color w:val="auto"/>
        </w:rPr>
        <w:t>It is a condition of the offer that where the notes are subscribed for or acquired pursuant to an offer made in reliance on Section 275 of the SFA by a Relevant Person which is:</w:t>
      </w:r>
    </w:p>
    <w:p>
      <w:pPr>
        <w:spacing w:after="0" w:line="88" w:lineRule="exact"/>
        <w:rPr>
          <w:sz w:val="20"/>
          <w:szCs w:val="20"/>
          <w:color w:val="auto"/>
        </w:rPr>
      </w:pPr>
    </w:p>
    <w:p>
      <w:pPr>
        <w:ind w:left="1860" w:right="939" w:hanging="335"/>
        <w:spacing w:after="0" w:line="268" w:lineRule="auto"/>
        <w:tabs>
          <w:tab w:leader="none" w:pos="1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2" w:lineRule="exact"/>
        <w:rPr>
          <w:rFonts w:ascii="Times New Roman" w:cs="Times New Roman" w:eastAsia="Times New Roman" w:hAnsi="Times New Roman"/>
          <w:sz w:val="17"/>
          <w:szCs w:val="17"/>
          <w:color w:val="auto"/>
        </w:rPr>
      </w:pPr>
    </w:p>
    <w:p>
      <w:pPr>
        <w:ind w:left="1860" w:right="699" w:hanging="335"/>
        <w:spacing w:after="0" w:line="259" w:lineRule="auto"/>
        <w:tabs>
          <w:tab w:leader="none" w:pos="1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and the beneficiaries’ rights and interest (howsoever defined) in that trust shall not be transferred within six months after that corporation or that trust has subscribed for or acquired the notes except:</w:t>
      </w:r>
    </w:p>
    <w:p>
      <w:pPr>
        <w:spacing w:after="0" w:line="318" w:lineRule="exact"/>
        <w:rPr>
          <w:rFonts w:ascii="Times New Roman" w:cs="Times New Roman" w:eastAsia="Times New Roman" w:hAnsi="Times New Roman"/>
          <w:sz w:val="17"/>
          <w:szCs w:val="17"/>
          <w:color w:val="auto"/>
        </w:rPr>
      </w:pPr>
    </w:p>
    <w:p>
      <w:pPr>
        <w:ind w:left="2200" w:right="679" w:hanging="333"/>
        <w:spacing w:after="0" w:line="268" w:lineRule="auto"/>
        <w:tabs>
          <w:tab w:leader="none" w:pos="22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and Accredited Investor or other Relevant Person, or which arises from an offer referred to in Section 275(1A) of the SFA (in the case of that corporation) or Section 276(4)(i)(B) of the SFA (in the case of that trust);</w:t>
      </w:r>
    </w:p>
    <w:p>
      <w:pPr>
        <w:spacing w:after="0" w:line="102" w:lineRule="exact"/>
        <w:rPr>
          <w:rFonts w:ascii="Times New Roman" w:cs="Times New Roman" w:eastAsia="Times New Roman" w:hAnsi="Times New Roman"/>
          <w:sz w:val="17"/>
          <w:szCs w:val="17"/>
          <w:color w:val="auto"/>
        </w:rPr>
      </w:pPr>
    </w:p>
    <w:p>
      <w:pPr>
        <w:ind w:left="2200" w:hanging="333"/>
        <w:spacing w:after="0"/>
        <w:tabs>
          <w:tab w:leader="none" w:pos="22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no consideration is or will be given for the transfer;</w:t>
      </w:r>
    </w:p>
    <w:p>
      <w:pPr>
        <w:spacing w:after="0" w:line="151" w:lineRule="exact"/>
        <w:rPr>
          <w:rFonts w:ascii="Times New Roman" w:cs="Times New Roman" w:eastAsia="Times New Roman" w:hAnsi="Times New Roman"/>
          <w:sz w:val="17"/>
          <w:szCs w:val="17"/>
          <w:color w:val="auto"/>
        </w:rPr>
      </w:pPr>
    </w:p>
    <w:p>
      <w:pPr>
        <w:ind w:left="2200" w:hanging="333"/>
        <w:spacing w:after="0"/>
        <w:tabs>
          <w:tab w:leader="none" w:pos="22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transfer is by operation of law;</w:t>
      </w:r>
    </w:p>
    <w:p>
      <w:pPr>
        <w:spacing w:after="0" w:line="151" w:lineRule="exact"/>
        <w:rPr>
          <w:sz w:val="20"/>
          <w:szCs w:val="20"/>
          <w:color w:val="auto"/>
        </w:rPr>
      </w:pPr>
    </w:p>
    <w:p>
      <w:pPr>
        <w:ind w:left="2200" w:hanging="333"/>
        <w:spacing w:after="0"/>
        <w:tabs>
          <w:tab w:leader="none" w:pos="22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specified in Section 276(7) of the SFA; or</w:t>
      </w:r>
    </w:p>
    <w:p>
      <w:pPr>
        <w:spacing w:after="0" w:line="151" w:lineRule="exact"/>
        <w:rPr>
          <w:rFonts w:ascii="Times New Roman" w:cs="Times New Roman" w:eastAsia="Times New Roman" w:hAnsi="Times New Roman"/>
          <w:sz w:val="17"/>
          <w:szCs w:val="17"/>
          <w:color w:val="auto"/>
        </w:rPr>
      </w:pPr>
    </w:p>
    <w:p>
      <w:pPr>
        <w:ind w:left="2200" w:right="1119" w:hanging="333"/>
        <w:spacing w:after="0" w:line="285" w:lineRule="auto"/>
        <w:tabs>
          <w:tab w:leader="none" w:pos="22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specified in Regulation 37A of the Securities and Futures (Offers of Investments) (Securities and Securities-based Derivatives Contracts) Regulations 2018 of Singapore.</w:t>
      </w:r>
    </w:p>
    <w:p>
      <w:pPr>
        <w:spacing w:after="0" w:line="88" w:lineRule="exact"/>
        <w:rPr>
          <w:sz w:val="20"/>
          <w:szCs w:val="20"/>
          <w:color w:val="auto"/>
        </w:rPr>
      </w:pPr>
    </w:p>
    <w:p>
      <w:pPr>
        <w:ind w:left="1180" w:right="699" w:firstLine="342"/>
        <w:spacing w:after="0" w:line="258" w:lineRule="auto"/>
        <w:rPr>
          <w:sz w:val="20"/>
          <w:szCs w:val="20"/>
          <w:color w:val="auto"/>
        </w:rPr>
      </w:pPr>
      <w:r>
        <w:rPr>
          <w:rFonts w:ascii="Times New Roman" w:cs="Times New Roman" w:eastAsia="Times New Roman" w:hAnsi="Times New Roman"/>
          <w:sz w:val="17"/>
          <w:szCs w:val="17"/>
          <w:color w:val="auto"/>
        </w:rPr>
        <w:t>Notification under Section 309B(1)(c) of the SFA — 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South Korea</w:t>
      </w:r>
    </w:p>
    <w:p>
      <w:pPr>
        <w:spacing w:after="0" w:line="155" w:lineRule="exact"/>
        <w:rPr>
          <w:sz w:val="20"/>
          <w:szCs w:val="20"/>
          <w:color w:val="auto"/>
        </w:rPr>
      </w:pPr>
    </w:p>
    <w:p>
      <w:pPr>
        <w:ind w:left="1180" w:right="699" w:firstLine="342"/>
        <w:spacing w:after="0" w:line="255" w:lineRule="auto"/>
        <w:rPr>
          <w:sz w:val="20"/>
          <w:szCs w:val="20"/>
          <w:color w:val="auto"/>
        </w:rPr>
      </w:pPr>
      <w:r>
        <w:rPr>
          <w:rFonts w:ascii="Times New Roman" w:cs="Times New Roman" w:eastAsia="Times New Roman" w:hAnsi="Times New Roman"/>
          <w:sz w:val="17"/>
          <w:szCs w:val="17"/>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02" w:lineRule="exact"/>
        <w:rPr>
          <w:sz w:val="20"/>
          <w:szCs w:val="20"/>
          <w:color w:val="auto"/>
        </w:rPr>
      </w:pPr>
    </w:p>
    <w:p>
      <w:pPr>
        <w:ind w:left="1180" w:right="679" w:firstLine="342"/>
        <w:spacing w:after="0" w:line="258" w:lineRule="auto"/>
        <w:rPr>
          <w:sz w:val="20"/>
          <w:szCs w:val="20"/>
          <w:color w:val="auto"/>
        </w:rPr>
      </w:pPr>
      <w:r>
        <w:rPr>
          <w:rFonts w:ascii="Times New Roman" w:cs="Times New Roman" w:eastAsia="Times New Roman" w:hAnsi="Times New Roman"/>
          <w:sz w:val="17"/>
          <w:szCs w:val="17"/>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35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Taiwan</w:t>
      </w:r>
    </w:p>
    <w:p>
      <w:pPr>
        <w:spacing w:after="0" w:line="155" w:lineRule="exact"/>
        <w:rPr>
          <w:sz w:val="20"/>
          <w:szCs w:val="20"/>
          <w:color w:val="auto"/>
        </w:rPr>
      </w:pPr>
    </w:p>
    <w:p>
      <w:pPr>
        <w:ind w:left="1180" w:right="659" w:firstLine="342"/>
        <w:spacing w:after="0" w:line="245" w:lineRule="auto"/>
        <w:rPr>
          <w:sz w:val="20"/>
          <w:szCs w:val="20"/>
          <w:color w:val="auto"/>
        </w:rPr>
      </w:pPr>
      <w:r>
        <w:rPr>
          <w:rFonts w:ascii="Times New Roman" w:cs="Times New Roman" w:eastAsia="Times New Roman" w:hAnsi="Times New Roman"/>
          <w:sz w:val="17"/>
          <w:szCs w:val="17"/>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could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1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any retail investor in the</w:t>
      </w:r>
    </w:p>
    <w:p>
      <w:pPr>
        <w:spacing w:after="0" w:line="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United Kingdom (“UK”). For these purposes:</w:t>
      </w:r>
    </w:p>
    <w:p>
      <w:pPr>
        <w:spacing w:after="0" w:line="107" w:lineRule="exact"/>
        <w:rPr>
          <w:sz w:val="20"/>
          <w:szCs w:val="20"/>
          <w:color w:val="auto"/>
        </w:rPr>
      </w:pPr>
    </w:p>
    <w:p>
      <w:pPr>
        <w:ind w:left="1860" w:hanging="335"/>
        <w:spacing w:after="0"/>
        <w:tabs>
          <w:tab w:leader="none" w:pos="18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expression “retail investor” means a person who is one (or more) of the following:</w:t>
      </w:r>
    </w:p>
    <w:p>
      <w:pPr>
        <w:spacing w:after="0" w:line="125" w:lineRule="exact"/>
        <w:rPr>
          <w:rFonts w:ascii="Times New Roman" w:cs="Times New Roman" w:eastAsia="Times New Roman" w:hAnsi="Times New Roman"/>
          <w:sz w:val="17"/>
          <w:szCs w:val="17"/>
          <w:color w:val="auto"/>
        </w:rPr>
      </w:pPr>
    </w:p>
    <w:p>
      <w:pPr>
        <w:jc w:val="both"/>
        <w:ind w:left="2200" w:right="719" w:hanging="333"/>
        <w:spacing w:after="0" w:line="285" w:lineRule="auto"/>
        <w:tabs>
          <w:tab w:leader="none" w:pos="22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retail client as defined in point (8) of Article 2 of Regulation (EU) No 2017/565 as it forms part of domestic law by virtue of the European Union (Withdrawal) Act 2018 (“EUWA”); or</w:t>
      </w:r>
    </w:p>
    <w:p>
      <w:pPr>
        <w:spacing w:after="0" w:line="74" w:lineRule="exact"/>
        <w:rPr>
          <w:rFonts w:ascii="Times New Roman" w:cs="Times New Roman" w:eastAsia="Times New Roman" w:hAnsi="Times New Roman"/>
          <w:sz w:val="17"/>
          <w:szCs w:val="17"/>
          <w:color w:val="auto"/>
        </w:rPr>
      </w:pPr>
    </w:p>
    <w:p>
      <w:pPr>
        <w:ind w:left="2200" w:right="739" w:hanging="333"/>
        <w:spacing w:after="0" w:line="260" w:lineRule="auto"/>
        <w:tabs>
          <w:tab w:leader="none" w:pos="22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 of Regulation (EU) No 600/2014 as it forms part of domestic law by virtue of the EUWA; or</w:t>
      </w:r>
    </w:p>
    <w:p>
      <w:pPr>
        <w:spacing w:after="0" w:line="83" w:lineRule="exact"/>
        <w:rPr>
          <w:rFonts w:ascii="Times New Roman" w:cs="Times New Roman" w:eastAsia="Times New Roman" w:hAnsi="Times New Roman"/>
          <w:sz w:val="17"/>
          <w:szCs w:val="17"/>
          <w:color w:val="auto"/>
        </w:rPr>
      </w:pPr>
    </w:p>
    <w:p>
      <w:pPr>
        <w:ind w:left="2200" w:hanging="333"/>
        <w:spacing w:after="0"/>
        <w:tabs>
          <w:tab w:leader="none" w:pos="22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 qualified investor as defined in Article 2 of the UK Prospectus Regulation, and</w:t>
      </w:r>
    </w:p>
    <w:p>
      <w:pPr>
        <w:spacing w:after="0" w:line="125" w:lineRule="exact"/>
        <w:rPr>
          <w:rFonts w:ascii="Times New Roman" w:cs="Times New Roman" w:eastAsia="Times New Roman" w:hAnsi="Times New Roman"/>
          <w:sz w:val="17"/>
          <w:szCs w:val="17"/>
          <w:color w:val="auto"/>
        </w:rPr>
      </w:pPr>
    </w:p>
    <w:p>
      <w:pPr>
        <w:ind w:left="1860" w:right="739" w:hanging="335"/>
        <w:spacing w:after="0" w:line="263" w:lineRule="auto"/>
        <w:tabs>
          <w:tab w:leader="none" w:pos="18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expression “offer” includes the communication in any form and by any means of sufficient information on the terms of the offer and the notes to be offered so as to enable an investor to decide to purchase or subscribe for the notes, and “UK Prospectus Regulation” means Regulation (EU) 2017/1129 as it forms part of domestic law by virtue of the EUWA.</w:t>
      </w:r>
    </w:p>
    <w:p>
      <w:pPr>
        <w:spacing w:after="0" w:line="106" w:lineRule="exact"/>
        <w:rPr>
          <w:sz w:val="20"/>
          <w:szCs w:val="20"/>
          <w:color w:val="auto"/>
        </w:rPr>
      </w:pPr>
    </w:p>
    <w:p>
      <w:pPr>
        <w:ind w:left="1180" w:right="639" w:firstLine="342"/>
        <w:spacing w:after="0" w:line="249" w:lineRule="auto"/>
        <w:rPr>
          <w:sz w:val="20"/>
          <w:szCs w:val="20"/>
          <w:color w:val="auto"/>
        </w:rPr>
      </w:pPr>
      <w:r>
        <w:rPr>
          <w:rFonts w:ascii="Times New Roman" w:cs="Times New Roman" w:eastAsia="Times New Roman" w:hAnsi="Times New Roman"/>
          <w:sz w:val="17"/>
          <w:szCs w:val="17"/>
          <w:color w:val="auto"/>
        </w:rPr>
        <w:t>Consequently, no key information document required by Regulation (EU) No 1286/2014 as it forms part of domestic law by virtue of the EUWA (the “UK PRIIPs Regulation”) for offering or selling the notes or otherwise making it available to retail investors in the UK has been prepared and therefore offering or selling the notes or otherwise making it available to any retail investor in the UK may be unlawful under the UK PRIIPs Regulation.</w:t>
      </w:r>
    </w:p>
    <w:p>
      <w:pPr>
        <w:spacing w:after="0" w:line="305" w:lineRule="exact"/>
        <w:rPr>
          <w:sz w:val="20"/>
          <w:szCs w:val="20"/>
          <w:color w:val="auto"/>
        </w:rPr>
      </w:pPr>
    </w:p>
    <w:p>
      <w:pPr>
        <w:ind w:left="1180" w:right="619" w:firstLine="342"/>
        <w:spacing w:after="0" w:line="245"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are being distributed only to, and are directed only at, and any offer subsequently made may only be directed at persons who are “qualified investors” (as​ defined in the UK Prospectus Regulation), who also (i) have professional experience in matters relating to investments falling within Article 19(5) of the Financial Services and Markets Act 2000 (Financial Promotion) Order 2005, as amended (the “Order”) and/or (ii) are high net worth companies falling within Article 49(2)(a) to (d) of the Order or are persons to whom an invitation or inducement to engage in investment activity (within the meaning of Section 21 of the FSMA) in connection with the issue or sale of any securities may otherwise be lawfully communicated or caused to be communicated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and the accompanying prospectus relate is only available to, and will be engaged in with, relevant persons.</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Switzerland</w:t>
      </w:r>
    </w:p>
    <w:p>
      <w:pPr>
        <w:spacing w:after="0" w:line="155" w:lineRule="exact"/>
        <w:rPr>
          <w:sz w:val="20"/>
          <w:szCs w:val="20"/>
          <w:color w:val="auto"/>
        </w:rPr>
      </w:pPr>
    </w:p>
    <w:p>
      <w:pPr>
        <w:ind w:left="1180" w:right="679" w:firstLine="342"/>
        <w:spacing w:after="0" w:line="269"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are not intended to constitute an offer or solicitation to purchase or invest in the notes. The notes may not be publicly offered, directly or indirectly,</w:t>
      </w:r>
    </w:p>
    <w:p>
      <w:pPr>
        <w:spacing w:after="0" w:line="3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59"/>
        <w:spacing w:after="0" w:line="258" w:lineRule="auto"/>
        <w:rPr>
          <w:sz w:val="20"/>
          <w:szCs w:val="20"/>
          <w:color w:val="auto"/>
        </w:rPr>
      </w:pPr>
      <w:r>
        <w:rPr>
          <w:rFonts w:ascii="Times New Roman" w:cs="Times New Roman" w:eastAsia="Times New Roman" w:hAnsi="Times New Roman"/>
          <w:sz w:val="17"/>
          <w:szCs w:val="17"/>
          <w:color w:val="auto"/>
        </w:rPr>
        <w:t>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12" w:lineRule="exact"/>
        <w:rPr>
          <w:sz w:val="20"/>
          <w:szCs w:val="20"/>
          <w:color w:val="auto"/>
        </w:rPr>
      </w:pPr>
    </w:p>
    <w:p>
      <w:pPr>
        <w:jc w:val="both"/>
        <w:ind w:left="1180" w:right="899" w:firstLine="342"/>
        <w:spacing w:after="0" w:line="259" w:lineRule="auto"/>
        <w:rPr>
          <w:sz w:val="20"/>
          <w:szCs w:val="20"/>
          <w:color w:val="auto"/>
        </w:rPr>
      </w:pPr>
      <w:r>
        <w:rPr>
          <w:rFonts w:ascii="Times New Roman" w:cs="Times New Roman" w:eastAsia="Times New Roman" w:hAnsi="Times New Roman"/>
          <w:sz w:val="17"/>
          <w:szCs w:val="17"/>
          <w:color w:val="auto"/>
        </w:rPr>
        <w:t>In particular, this prospectus supplement will not be filed with, and the offer of the notes will not be supervised by, the Swiss Financial Market Supervisory Authority, and the offer of the notes has not been and will not be authorized under the Swiss Federal Act on Collective Investment Schemes (the “CISA”).</w:t>
      </w:r>
    </w:p>
    <w:p>
      <w:pPr>
        <w:ind w:left="1180" w:right="779"/>
        <w:spacing w:after="0" w:line="264" w:lineRule="auto"/>
        <w:rPr>
          <w:sz w:val="20"/>
          <w:szCs w:val="20"/>
          <w:color w:val="auto"/>
        </w:rPr>
      </w:pPr>
      <w:r>
        <w:rPr>
          <w:rFonts w:ascii="Times New Roman" w:cs="Times New Roman" w:eastAsia="Times New Roman" w:hAnsi="Times New Roman"/>
          <w:sz w:val="17"/>
          <w:szCs w:val="17"/>
          <w:color w:val="auto"/>
        </w:rPr>
        <w:t>The investor protection afforded to acquirers of interests in collective investment schemes under the CISA does not extend to acquirers of the notes.</w:t>
      </w:r>
    </w:p>
    <w:p>
      <w:pPr>
        <w:spacing w:after="0" w:line="1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Dubai International Financial Centre</w:t>
      </w:r>
    </w:p>
    <w:p>
      <w:pPr>
        <w:spacing w:after="0" w:line="155" w:lineRule="exact"/>
        <w:rPr>
          <w:sz w:val="20"/>
          <w:szCs w:val="20"/>
          <w:color w:val="auto"/>
        </w:rPr>
      </w:pPr>
    </w:p>
    <w:p>
      <w:pPr>
        <w:ind w:left="1180" w:right="659" w:firstLine="342"/>
        <w:spacing w:after="0" w:line="255" w:lineRule="auto"/>
        <w:rPr>
          <w:sz w:val="20"/>
          <w:szCs w:val="20"/>
          <w:color w:val="auto"/>
        </w:rPr>
      </w:pPr>
      <w:r>
        <w:rPr>
          <w:rFonts w:ascii="Times New Roman" w:cs="Times New Roman" w:eastAsia="Times New Roman" w:hAnsi="Times New Roman"/>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3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United Arab Emirates</w:t>
      </w:r>
    </w:p>
    <w:p>
      <w:pPr>
        <w:spacing w:after="0" w:line="142" w:lineRule="exact"/>
        <w:rPr>
          <w:sz w:val="20"/>
          <w:szCs w:val="20"/>
          <w:color w:val="auto"/>
        </w:rPr>
      </w:pPr>
    </w:p>
    <w:p>
      <w:pPr>
        <w:ind w:left="1180" w:right="639" w:firstLine="342"/>
        <w:spacing w:after="0" w:line="255" w:lineRule="auto"/>
        <w:rPr>
          <w:sz w:val="20"/>
          <w:szCs w:val="20"/>
          <w:color w:val="auto"/>
        </w:rPr>
      </w:pPr>
      <w:r>
        <w:rPr>
          <w:rFonts w:ascii="Times New Roman" w:cs="Times New Roman" w:eastAsia="Times New Roman" w:hAnsi="Times New Roman"/>
          <w:sz w:val="17"/>
          <w:szCs w:val="17"/>
          <w:color w:val="auto"/>
        </w:rPr>
        <w:t>The notes have not been, and are not being, publicly offered, sold, promoted or advertised in the United Arab Emirates (including the Abu Dhabi Global Market or the Dubai International Financial Centre) other than in compliance with the laws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The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55" w:lineRule="exact"/>
        <w:rPr>
          <w:sz w:val="20"/>
          <w:szCs w:val="20"/>
          <w:color w:val="auto"/>
        </w:rPr>
      </w:pPr>
    </w:p>
    <w:p>
      <w:pPr>
        <w:jc w:val="both"/>
        <w:ind w:left="1180" w:right="799" w:firstLine="342"/>
        <w:spacing w:after="0" w:line="285" w:lineRule="auto"/>
        <w:rPr>
          <w:sz w:val="20"/>
          <w:szCs w:val="20"/>
          <w:color w:val="auto"/>
        </w:rPr>
      </w:pPr>
      <w:r>
        <w:rPr>
          <w:rFonts w:ascii="Times New Roman" w:cs="Times New Roman" w:eastAsia="Times New Roman" w:hAnsi="Times New Roman"/>
          <w:sz w:val="17"/>
          <w:szCs w:val="17"/>
          <w:color w:val="auto"/>
        </w:rPr>
        <w:t>Certain legal matters in connection with the notes offered hereby will be passed upon for us by Baker Botts L.L.P., Houston, Texas, and for the underwriters by Gibson, Dunn &amp; Crutcher LLP, Houston, Texas.</w:t>
      </w:r>
    </w:p>
    <w:p>
      <w:pPr>
        <w:spacing w:after="0" w:line="14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5" w:lineRule="exact"/>
        <w:rPr>
          <w:sz w:val="20"/>
          <w:szCs w:val="20"/>
          <w:color w:val="auto"/>
        </w:rPr>
      </w:pPr>
    </w:p>
    <w:p>
      <w:pPr>
        <w:ind w:left="1180" w:right="659" w:firstLine="342"/>
        <w:spacing w:after="0" w:line="258" w:lineRule="auto"/>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auto"/>
          </w:rPr>
          <w:t xml:space="preserve">The consolidated financial statements of Waste Management, Inc. appearing in </w:t>
        </w:r>
        <w:r>
          <w:rPr>
            <w:rFonts w:ascii="Times New Roman" w:cs="Times New Roman" w:eastAsia="Times New Roman" w:hAnsi="Times New Roman"/>
            <w:sz w:val="17"/>
            <w:szCs w:val="17"/>
            <w:u w:val="single" w:color="auto"/>
            <w:color w:val="0000EE"/>
          </w:rPr>
          <w:t>Waste Management,</w:t>
        </w:r>
      </w:hyperlink>
      <w:r>
        <w:rPr>
          <w:rFonts w:ascii="Times New Roman" w:cs="Times New Roman" w:eastAsia="Times New Roman" w:hAnsi="Times New Roman"/>
          <w:sz w:val="17"/>
          <w:szCs w:val="17"/>
          <w:color w:val="auto"/>
        </w:rPr>
        <w:t xml:space="preserve"> </w:t>
      </w:r>
      <w:hyperlink r:id="rId81">
        <w:r>
          <w:rPr>
            <w:rFonts w:ascii="Times New Roman" w:cs="Times New Roman" w:eastAsia="Times New Roman" w:hAnsi="Times New Roman"/>
            <w:sz w:val="17"/>
            <w:szCs w:val="17"/>
            <w:u w:val="single" w:color="auto"/>
            <w:color w:val="0000EE"/>
          </w:rPr>
          <w:t>Inc.’s Annual Report (Form 10-K) for the year ended December 31, 2023</w:t>
        </w:r>
        <w:r>
          <w:rPr>
            <w:rFonts w:ascii="Times New Roman" w:cs="Times New Roman" w:eastAsia="Times New Roman" w:hAnsi="Times New Roman"/>
            <w:sz w:val="17"/>
            <w:szCs w:val="17"/>
            <w:color w:val="000000"/>
          </w:rPr>
          <w:t>, and the effectiveness of Waste</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Management,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5" w:lineRule="exact"/>
        <w:rPr>
          <w:sz w:val="20"/>
          <w:szCs w:val="20"/>
          <w:color w:val="auto"/>
        </w:rPr>
      </w:pPr>
    </w:p>
    <w:p>
      <w:pPr>
        <w:ind w:left="1180" w:right="619" w:firstLine="342"/>
        <w:spacing w:after="0" w:line="252" w:lineRule="auto"/>
        <w:rPr>
          <w:sz w:val="20"/>
          <w:szCs w:val="20"/>
          <w:color w:val="auto"/>
        </w:rPr>
      </w:pPr>
      <w:r>
        <w:rPr>
          <w:rFonts w:ascii="Times New Roman" w:cs="Times New Roman" w:eastAsia="Times New Roman" w:hAnsi="Times New Roman"/>
          <w:sz w:val="17"/>
          <w:szCs w:val="17"/>
          <w:color w:val="auto"/>
        </w:rPr>
        <w:t>This prospectus supplement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the failure to implement our optimization, automation, growth, and cost savings initiatives and overall business strategy; failure to obtain the results anticipated from strategic initiatives, investments, acquisitions, including our planned acquisition of Stericycle, or new lines of business; failure to identify acquisition targets, consummate and integrate acquisitions, including our planned integration of Stericycle; our ability to consummate and finance the acquisition of Stericycle and achieve the proposed benefits thereof, including cost synergies; legal, regulatory and other matters that may affect the timing of our ability to complete our planned acquisition of Stericycle, if at all;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decisions or developments that result in impairment charges; other risks discussed in our filings with the SEC, including Part I, Item 1A of our Annual Report on Form 10-K for the year ended December 31, 2023; and other risks discussed in “Risk Factors” beginning on page S-6 of this prospectus supplement.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INCORPORATION OF CERTAIN DOCUMENTS BY REFERENCE</w:t>
      </w:r>
    </w:p>
    <w:p>
      <w:pPr>
        <w:spacing w:after="0" w:line="151" w:lineRule="exact"/>
        <w:rPr>
          <w:sz w:val="20"/>
          <w:szCs w:val="20"/>
          <w:color w:val="auto"/>
        </w:rPr>
      </w:pPr>
    </w:p>
    <w:p>
      <w:pPr>
        <w:ind w:left="1180" w:right="739" w:firstLine="342"/>
        <w:spacing w:after="0" w:line="264" w:lineRule="auto"/>
        <w:rPr>
          <w:sz w:val="20"/>
          <w:szCs w:val="20"/>
          <w:color w:val="auto"/>
        </w:rPr>
      </w:pPr>
      <w:r>
        <w:rPr>
          <w:rFonts w:ascii="Times New Roman" w:cs="Times New Roman" w:eastAsia="Times New Roman" w:hAnsi="Times New Roman"/>
          <w:sz w:val="17"/>
          <w:szCs w:val="17"/>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06" w:lineRule="exact"/>
        <w:rPr>
          <w:sz w:val="20"/>
          <w:szCs w:val="20"/>
          <w:color w:val="auto"/>
        </w:rPr>
      </w:pPr>
    </w:p>
    <w:p>
      <w:pPr>
        <w:ind w:left="1180" w:right="619" w:firstLine="342"/>
        <w:spacing w:after="0" w:line="255" w:lineRule="auto"/>
        <w:rPr>
          <w:sz w:val="20"/>
          <w:szCs w:val="20"/>
          <w:color w:val="auto"/>
        </w:rPr>
      </w:pPr>
      <w:r>
        <w:rPr>
          <w:rFonts w:ascii="Times New Roman" w:cs="Times New Roman" w:eastAsia="Times New Roman" w:hAnsi="Times New Roman"/>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 w:lineRule="exact"/>
        <w:rPr>
          <w:sz w:val="20"/>
          <w:szCs w:val="20"/>
          <w:color w:val="auto"/>
        </w:rPr>
      </w:pPr>
    </w:p>
    <w:p>
      <w:pPr>
        <w:jc w:val="right"/>
        <w:ind w:right="579"/>
        <w:spacing w:after="0"/>
        <w:tabs>
          <w:tab w:leader="none" w:pos="1540" w:val="left"/>
          <w:tab w:leader="none" w:pos="96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7"/>
          <w:szCs w:val="27"/>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7"/>
          <w:szCs w:val="2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22225</wp:posOffset>
            </wp:positionV>
            <wp:extent cx="495490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4954905" cy="163195"/>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p>
      <w:pPr>
        <w:spacing w:after="0" w:line="70" w:lineRule="exact"/>
        <w:rPr>
          <w:sz w:val="20"/>
          <w:szCs w:val="20"/>
          <w:color w:val="auto"/>
        </w:rPr>
      </w:pPr>
    </w:p>
    <w:p>
      <w:pPr>
        <w:ind w:left="1180"/>
        <w:spacing w:after="0"/>
        <w:rPr>
          <w:rFonts w:ascii="Times New Roman" w:cs="Times New Roman" w:eastAsia="Times New Roman" w:hAnsi="Times New Roman"/>
          <w:sz w:val="17"/>
          <w:szCs w:val="17"/>
          <w:u w:val="single" w:color="auto"/>
          <w:color w:val="0000EE"/>
        </w:rPr>
      </w:pPr>
      <w:hyperlink r:id="rId85">
        <w:r>
          <w:rPr>
            <w:rFonts w:ascii="Times New Roman" w:cs="Times New Roman" w:eastAsia="Times New Roman" w:hAnsi="Times New Roman"/>
            <w:sz w:val="17"/>
            <w:szCs w:val="17"/>
            <w:u w:val="single" w:color="auto"/>
            <w:color w:val="0000EE"/>
          </w:rPr>
          <w:t>Annual Report on Form 10-K for the year ended December 31, 2023</w:t>
        </w:r>
      </w:hyperlink>
    </w:p>
    <w:p>
      <w:pPr>
        <w:spacing w:after="0" w:line="48" w:lineRule="exact"/>
        <w:rPr>
          <w:sz w:val="20"/>
          <w:szCs w:val="20"/>
          <w:color w:val="auto"/>
        </w:rPr>
      </w:pPr>
    </w:p>
    <w:p>
      <w:pPr>
        <w:ind w:left="1180"/>
        <w:spacing w:after="0"/>
        <w:rPr>
          <w:rFonts w:ascii="Times New Roman" w:cs="Times New Roman" w:eastAsia="Times New Roman" w:hAnsi="Times New Roman"/>
          <w:sz w:val="17"/>
          <w:szCs w:val="17"/>
          <w:u w:val="single" w:color="auto"/>
          <w:color w:val="0000EE"/>
        </w:rPr>
      </w:pPr>
      <w:hyperlink r:id="rId86">
        <w:r>
          <w:rPr>
            <w:rFonts w:ascii="Times New Roman" w:cs="Times New Roman" w:eastAsia="Times New Roman" w:hAnsi="Times New Roman"/>
            <w:sz w:val="17"/>
            <w:szCs w:val="17"/>
            <w:u w:val="single" w:color="auto"/>
            <w:color w:val="0000EE"/>
          </w:rPr>
          <w:t>Quarterly Report on Form 10-Q for the quarter ended March 31,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16510</wp:posOffset>
            </wp:positionV>
            <wp:extent cx="4954905" cy="154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954905" cy="154940"/>
                    </a:xfrm>
                    <a:prstGeom prst="rect">
                      <a:avLst/>
                    </a:prstGeom>
                    <a:noFill/>
                  </pic:spPr>
                </pic:pic>
              </a:graphicData>
            </a:graphic>
          </wp:anchor>
        </w:drawing>
      </w:r>
    </w:p>
    <w:p>
      <w:pPr>
        <w:spacing w:after="0" w:line="28" w:lineRule="exact"/>
        <w:rPr>
          <w:sz w:val="20"/>
          <w:szCs w:val="20"/>
          <w:color w:val="auto"/>
        </w:rPr>
      </w:pPr>
    </w:p>
    <w:p>
      <w:pPr>
        <w:ind w:left="1180"/>
        <w:spacing w:after="0"/>
        <w:rPr>
          <w:rFonts w:ascii="Times New Roman" w:cs="Times New Roman" w:eastAsia="Times New Roman" w:hAnsi="Times New Roman"/>
          <w:sz w:val="17"/>
          <w:szCs w:val="17"/>
          <w:u w:val="single" w:color="auto"/>
          <w:color w:val="0000EE"/>
        </w:rPr>
      </w:pPr>
      <w:hyperlink r:id="rId88">
        <w:r>
          <w:rPr>
            <w:rFonts w:ascii="Times New Roman" w:cs="Times New Roman" w:eastAsia="Times New Roman" w:hAnsi="Times New Roman"/>
            <w:sz w:val="17"/>
            <w:szCs w:val="17"/>
            <w:u w:val="single" w:color="auto"/>
            <w:color w:val="0000EE"/>
          </w:rPr>
          <w:t>Current Report on Form 8-K</w:t>
        </w:r>
      </w:hyperlink>
    </w:p>
    <w:p>
      <w:pPr>
        <w:spacing w:after="0" w:line="48" w:lineRule="exact"/>
        <w:rPr>
          <w:sz w:val="20"/>
          <w:szCs w:val="20"/>
          <w:color w:val="auto"/>
        </w:rPr>
      </w:pPr>
    </w:p>
    <w:p>
      <w:pPr>
        <w:ind w:left="1180"/>
        <w:spacing w:after="0"/>
        <w:rPr>
          <w:rFonts w:ascii="Times New Roman" w:cs="Times New Roman" w:eastAsia="Times New Roman" w:hAnsi="Times New Roman"/>
          <w:sz w:val="17"/>
          <w:szCs w:val="17"/>
          <w:u w:val="single" w:color="auto"/>
          <w:color w:val="0000EE"/>
        </w:rPr>
      </w:pPr>
      <w:hyperlink r:id="rId89">
        <w:r>
          <w:rPr>
            <w:rFonts w:ascii="Times New Roman" w:cs="Times New Roman" w:eastAsia="Times New Roman" w:hAnsi="Times New Roman"/>
            <w:sz w:val="17"/>
            <w:szCs w:val="17"/>
            <w:u w:val="single" w:color="auto"/>
            <w:color w:val="0000EE"/>
          </w:rPr>
          <w:t>Current Report on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16510</wp:posOffset>
            </wp:positionV>
            <wp:extent cx="4954905" cy="154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4954905" cy="154940"/>
                    </a:xfrm>
                    <a:prstGeom prst="rect">
                      <a:avLst/>
                    </a:prstGeom>
                    <a:noFill/>
                  </pic:spPr>
                </pic:pic>
              </a:graphicData>
            </a:graphic>
          </wp:anchor>
        </w:drawing>
      </w:r>
    </w:p>
    <w:p>
      <w:pPr>
        <w:spacing w:after="0" w:line="28" w:lineRule="exact"/>
        <w:rPr>
          <w:sz w:val="20"/>
          <w:szCs w:val="20"/>
          <w:color w:val="auto"/>
        </w:rPr>
      </w:pPr>
    </w:p>
    <w:p>
      <w:pPr>
        <w:ind w:left="1180"/>
        <w:spacing w:after="0"/>
        <w:rPr>
          <w:rFonts w:ascii="Times New Roman" w:cs="Times New Roman" w:eastAsia="Times New Roman" w:hAnsi="Times New Roman"/>
          <w:sz w:val="17"/>
          <w:szCs w:val="17"/>
          <w:u w:val="single" w:color="auto"/>
          <w:color w:val="0000EE"/>
        </w:rPr>
      </w:pPr>
      <w:hyperlink r:id="rId91">
        <w:r>
          <w:rPr>
            <w:rFonts w:ascii="Times New Roman" w:cs="Times New Roman" w:eastAsia="Times New Roman" w:hAnsi="Times New Roman"/>
            <w:sz w:val="17"/>
            <w:szCs w:val="17"/>
            <w:u w:val="single" w:color="auto"/>
            <w:color w:val="0000EE"/>
          </w:rPr>
          <w:t>Current Report on Form 8-K</w:t>
        </w:r>
      </w:hyperlink>
    </w:p>
    <w:p>
      <w:pPr>
        <w:spacing w:after="0" w:line="61" w:lineRule="exact"/>
        <w:rPr>
          <w:sz w:val="20"/>
          <w:szCs w:val="20"/>
          <w:color w:val="auto"/>
        </w:rPr>
      </w:pPr>
    </w:p>
    <w:p>
      <w:pPr>
        <w:ind w:left="1180"/>
        <w:spacing w:after="0"/>
        <w:rPr>
          <w:rFonts w:ascii="Times New Roman" w:cs="Times New Roman" w:eastAsia="Times New Roman" w:hAnsi="Times New Roman"/>
          <w:sz w:val="17"/>
          <w:szCs w:val="17"/>
          <w:u w:val="single" w:color="auto"/>
          <w:color w:val="0000EE"/>
        </w:rPr>
      </w:pPr>
      <w:hyperlink r:id="rId92">
        <w:r>
          <w:rPr>
            <w:rFonts w:ascii="Times New Roman" w:cs="Times New Roman" w:eastAsia="Times New Roman" w:hAnsi="Times New Roman"/>
            <w:sz w:val="17"/>
            <w:szCs w:val="17"/>
            <w:u w:val="single" w:color="auto"/>
            <w:color w:val="0000EE"/>
          </w:rPr>
          <w:t>Current Report on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16510</wp:posOffset>
            </wp:positionV>
            <wp:extent cx="495490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4954905" cy="163195"/>
                    </a:xfrm>
                    <a:prstGeom prst="rect">
                      <a:avLst/>
                    </a:prstGeom>
                    <a:noFill/>
                  </pic:spPr>
                </pic:pic>
              </a:graphicData>
            </a:graphic>
          </wp:anchor>
        </w:drawing>
      </w:r>
    </w:p>
    <w:p>
      <w:pPr>
        <w:spacing w:after="0" w:line="41" w:lineRule="exact"/>
        <w:rPr>
          <w:sz w:val="20"/>
          <w:szCs w:val="20"/>
          <w:color w:val="auto"/>
        </w:rPr>
      </w:pPr>
    </w:p>
    <w:p>
      <w:pPr>
        <w:ind w:left="1180"/>
        <w:spacing w:after="0"/>
        <w:rPr>
          <w:rFonts w:ascii="Times New Roman" w:cs="Times New Roman" w:eastAsia="Times New Roman" w:hAnsi="Times New Roman"/>
          <w:sz w:val="17"/>
          <w:szCs w:val="17"/>
          <w:u w:val="single" w:color="auto"/>
          <w:color w:val="0000EE"/>
        </w:rPr>
      </w:pPr>
      <w:hyperlink r:id="rId94">
        <w:r>
          <w:rPr>
            <w:rFonts w:ascii="Times New Roman" w:cs="Times New Roman" w:eastAsia="Times New Roman" w:hAnsi="Times New Roman"/>
            <w:sz w:val="17"/>
            <w:szCs w:val="17"/>
            <w:u w:val="single" w:color="auto"/>
            <w:color w:val="0000EE"/>
          </w:rPr>
          <w:t xml:space="preserve">Current Report on Form 8-K </w:t>
        </w:r>
      </w:hyperlink>
      <w:hyperlink r:id="rId95">
        <w:r>
          <w:rPr>
            <w:rFonts w:ascii="Times New Roman" w:cs="Times New Roman" w:eastAsia="Times New Roman" w:hAnsi="Times New Roman"/>
            <w:sz w:val="17"/>
            <w:szCs w:val="17"/>
            <w:u w:val="single" w:color="auto"/>
            <w:color w:val="0000EE"/>
          </w:rPr>
          <w:t>(as amended by Form 8-K/A filed the same day)</w:t>
        </w:r>
      </w:hyperlink>
    </w:p>
    <w:p>
      <w:pPr>
        <w:spacing w:after="0" w:line="48" w:lineRule="exact"/>
        <w:rPr>
          <w:sz w:val="20"/>
          <w:szCs w:val="20"/>
          <w:color w:val="auto"/>
        </w:rPr>
      </w:pPr>
    </w:p>
    <w:p>
      <w:pPr>
        <w:ind w:left="1360" w:hanging="170"/>
        <w:spacing w:after="0" w:line="268" w:lineRule="auto"/>
        <w:rPr>
          <w:rFonts w:ascii="Times New Roman" w:cs="Times New Roman" w:eastAsia="Times New Roman" w:hAnsi="Times New Roman"/>
          <w:sz w:val="17"/>
          <w:szCs w:val="17"/>
          <w:u w:val="single" w:color="auto"/>
          <w:color w:val="0000EE"/>
        </w:rPr>
      </w:pPr>
      <w:hyperlink r:id="rId96">
        <w:r>
          <w:rPr>
            <w:rFonts w:ascii="Times New Roman" w:cs="Times New Roman" w:eastAsia="Times New Roman" w:hAnsi="Times New Roman"/>
            <w:sz w:val="17"/>
            <w:szCs w:val="17"/>
            <w:u w:val="single" w:color="auto"/>
            <w:color w:val="0000EE"/>
          </w:rPr>
          <w:t>The portions of our proxy statement for our 2024 annual meeting of stockholders</w:t>
        </w:r>
      </w:hyperlink>
      <w:r>
        <w:rPr>
          <w:rFonts w:ascii="Times New Roman" w:cs="Times New Roman" w:eastAsia="Times New Roman" w:hAnsi="Times New Roman"/>
          <w:sz w:val="17"/>
          <w:szCs w:val="17"/>
          <w:u w:val="single" w:color="auto"/>
          <w:color w:val="0000EE"/>
        </w:rPr>
        <w:t xml:space="preserve"> </w:t>
      </w:r>
      <w:hyperlink r:id="rId96">
        <w:r>
          <w:rPr>
            <w:rFonts w:ascii="Times New Roman" w:cs="Times New Roman" w:eastAsia="Times New Roman" w:hAnsi="Times New Roman"/>
            <w:sz w:val="17"/>
            <w:szCs w:val="17"/>
            <w:u w:val="single" w:color="auto"/>
            <w:color w:val="0000EE"/>
          </w:rPr>
          <w:t>incorporated by reference in our Annual Report on Form 10-K for the year ended</w:t>
        </w:r>
      </w:hyperlink>
      <w:r>
        <w:rPr>
          <w:rFonts w:ascii="Times New Roman" w:cs="Times New Roman" w:eastAsia="Times New Roman" w:hAnsi="Times New Roman"/>
          <w:sz w:val="17"/>
          <w:szCs w:val="17"/>
          <w:u w:val="single" w:color="auto"/>
          <w:color w:val="0000EE"/>
        </w:rPr>
        <w:t xml:space="preserve"> </w:t>
      </w:r>
      <w:hyperlink r:id="rId96">
        <w:r>
          <w:rPr>
            <w:rFonts w:ascii="Times New Roman" w:cs="Times New Roman" w:eastAsia="Times New Roman" w:hAnsi="Times New Roman"/>
            <w:sz w:val="17"/>
            <w:szCs w:val="17"/>
            <w:u w:val="single" w:color="auto"/>
            <w:color w:val="0000EE"/>
          </w:rPr>
          <w:t>December 31, 2023</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50"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7"/>
          <w:szCs w:val="17"/>
          <w:color w:val="auto"/>
        </w:rPr>
        <w:t>​ ​ February 13, 2024​</w:t>
      </w:r>
    </w:p>
    <w:p>
      <w:pPr>
        <w:spacing w:after="0" w:line="53" w:lineRule="exact"/>
        <w:rPr>
          <w:rFonts w:ascii="Times New Roman" w:cs="Times New Roman" w:eastAsia="Times New Roman" w:hAnsi="Times New Roman"/>
          <w:sz w:val="17"/>
          <w:szCs w:val="17"/>
          <w:u w:val="single" w:color="auto"/>
          <w:color w:val="0000EE"/>
        </w:rPr>
      </w:pPr>
    </w:p>
    <w:tbl>
      <w:tblPr>
        <w:tblLayout w:type="fixed"/>
        <w:tblInd w:w="0" w:type="dxa"/>
        <w:tblCellMar>
          <w:top w:w="0" w:type="dxa"/>
          <w:left w:w="0" w:type="dxa"/>
          <w:bottom w:w="0" w:type="dxa"/>
          <w:right w:w="0" w:type="dxa"/>
        </w:tblCellMar>
      </w:tblPr>
      <w:tr>
        <w:trPr>
          <w:trHeight w:val="240"/>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25, 2024</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1, 2024</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6, 2024</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10, 2024</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17, 2024</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5, 2024</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r>
      <w:tr>
        <w:trPr>
          <w:trHeight w:val="655"/>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2, 2024</w:t>
            </w:r>
          </w:p>
        </w:tc>
        <w:tc>
          <w:tcPr>
            <w:tcW w:w="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r>
    </w:tbl>
    <w:p>
      <w:pPr>
        <w:spacing w:after="0" w:line="124"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7180" w:space="280"/>
            <w:col w:w="2139"/>
          </w:cols>
          <w:pgMar w:left="860" w:top="92" w:right="1440" w:bottom="1440" w:gutter="0" w:footer="0" w:header="0"/>
          <w:type w:val="continuous"/>
        </w:sectPr>
      </w:pPr>
    </w:p>
    <w:p>
      <w:pPr>
        <w:ind w:left="1180" w:right="659" w:firstLine="342"/>
        <w:spacing w:after="0" w:line="258" w:lineRule="auto"/>
        <w:rPr>
          <w:sz w:val="20"/>
          <w:szCs w:val="20"/>
          <w:color w:val="auto"/>
        </w:rPr>
      </w:pPr>
      <w:r>
        <w:rPr>
          <w:rFonts w:ascii="Times New Roman" w:cs="Times New Roman" w:eastAsia="Times New Roman" w:hAnsi="Times New Roman"/>
          <w:sz w:val="17"/>
          <w:szCs w:val="17"/>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305" w:lineRule="exact"/>
        <w:rPr>
          <w:rFonts w:ascii="Times New Roman" w:cs="Times New Roman" w:eastAsia="Times New Roman" w:hAnsi="Times New Roman"/>
          <w:sz w:val="17"/>
          <w:szCs w:val="17"/>
          <w:u w:val="single" w:color="auto"/>
          <w:color w:val="0000EE"/>
        </w:rPr>
      </w:pPr>
    </w:p>
    <w:p>
      <w:pPr>
        <w:jc w:val="both"/>
        <w:ind w:left="1180" w:right="759" w:firstLine="342"/>
        <w:spacing w:after="0" w:line="260" w:lineRule="auto"/>
        <w:rPr>
          <w:sz w:val="20"/>
          <w:szCs w:val="20"/>
          <w:color w:val="auto"/>
        </w:rPr>
      </w:pPr>
      <w:r>
        <w:rPr>
          <w:rFonts w:ascii="Times New Roman" w:cs="Times New Roman" w:eastAsia="Times New Roman" w:hAnsi="Times New Roman"/>
          <w:sz w:val="17"/>
          <w:szCs w:val="17"/>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109" w:lineRule="exact"/>
        <w:rPr>
          <w:rFonts w:ascii="Times New Roman" w:cs="Times New Roman" w:eastAsia="Times New Roman" w:hAnsi="Times New Roman"/>
          <w:sz w:val="17"/>
          <w:szCs w:val="17"/>
          <w:u w:val="single" w:color="auto"/>
          <w:color w:val="0000EE"/>
        </w:rPr>
      </w:pPr>
    </w:p>
    <w:p>
      <w:pPr>
        <w:ind w:left="1180" w:right="719" w:firstLine="342"/>
        <w:spacing w:after="0" w:line="263" w:lineRule="auto"/>
        <w:rPr>
          <w:sz w:val="20"/>
          <w:szCs w:val="20"/>
          <w:color w:val="auto"/>
        </w:rPr>
      </w:pPr>
      <w:r>
        <w:rPr>
          <w:rFonts w:ascii="Times New Roman" w:cs="Times New Roman" w:eastAsia="Times New Roman" w:hAnsi="Times New Roman"/>
          <w:sz w:val="17"/>
          <w:szCs w:val="17"/>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106" w:lineRule="exact"/>
        <w:rPr>
          <w:rFonts w:ascii="Times New Roman" w:cs="Times New Roman" w:eastAsia="Times New Roman" w:hAnsi="Times New Roman"/>
          <w:sz w:val="17"/>
          <w:szCs w:val="17"/>
          <w:u w:val="single" w:color="auto"/>
          <w:color w:val="0000EE"/>
        </w:rPr>
      </w:pPr>
    </w:p>
    <w:p>
      <w:pPr>
        <w:jc w:val="center"/>
        <w:ind w:right="-5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7" w:lineRule="exact"/>
        <w:rPr>
          <w:rFonts w:ascii="Times New Roman" w:cs="Times New Roman" w:eastAsia="Times New Roman" w:hAnsi="Times New Roman"/>
          <w:sz w:val="17"/>
          <w:szCs w:val="17"/>
          <w:u w:val="single" w:color="auto"/>
          <w:color w:val="0000EE"/>
        </w:rPr>
      </w:pPr>
    </w:p>
    <w:p>
      <w:pPr>
        <w:jc w:val="center"/>
        <w:ind w:right="-520"/>
        <w:spacing w:after="0"/>
        <w:rPr>
          <w:sz w:val="20"/>
          <w:szCs w:val="20"/>
          <w:color w:val="auto"/>
        </w:rPr>
      </w:pPr>
      <w:r>
        <w:rPr>
          <w:rFonts w:ascii="Times New Roman" w:cs="Times New Roman" w:eastAsia="Times New Roman" w:hAnsi="Times New Roman"/>
          <w:sz w:val="17"/>
          <w:szCs w:val="17"/>
          <w:color w:val="auto"/>
        </w:rPr>
        <w:t>800 Capitol Street, Suite 3000</w:t>
      </w:r>
    </w:p>
    <w:p>
      <w:pPr>
        <w:spacing w:after="0" w:line="10" w:lineRule="exact"/>
        <w:rPr>
          <w:rFonts w:ascii="Times New Roman" w:cs="Times New Roman" w:eastAsia="Times New Roman" w:hAnsi="Times New Roman"/>
          <w:sz w:val="17"/>
          <w:szCs w:val="17"/>
          <w:u w:val="single" w:color="auto"/>
          <w:color w:val="0000EE"/>
        </w:rPr>
      </w:pPr>
    </w:p>
    <w:p>
      <w:pPr>
        <w:jc w:val="center"/>
        <w:ind w:right="-520"/>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10" w:lineRule="exact"/>
        <w:rPr>
          <w:rFonts w:ascii="Times New Roman" w:cs="Times New Roman" w:eastAsia="Times New Roman" w:hAnsi="Times New Roman"/>
          <w:sz w:val="17"/>
          <w:szCs w:val="17"/>
          <w:u w:val="single" w:color="auto"/>
          <w:color w:val="0000EE"/>
        </w:rPr>
      </w:pPr>
    </w:p>
    <w:p>
      <w:pPr>
        <w:jc w:val="center"/>
        <w:ind w:right="-520"/>
        <w:spacing w:after="0"/>
        <w:rPr>
          <w:sz w:val="20"/>
          <w:szCs w:val="20"/>
          <w:color w:val="auto"/>
        </w:rPr>
      </w:pPr>
      <w:r>
        <w:rPr>
          <w:rFonts w:ascii="Times New Roman" w:cs="Times New Roman" w:eastAsia="Times New Roman" w:hAnsi="Times New Roman"/>
          <w:sz w:val="17"/>
          <w:szCs w:val="17"/>
          <w:color w:val="auto"/>
        </w:rPr>
        <w:t>Attn: Corporate Secretary</w:t>
      </w:r>
    </w:p>
    <w:p>
      <w:pPr>
        <w:spacing w:after="0" w:line="10" w:lineRule="exact"/>
        <w:rPr>
          <w:rFonts w:ascii="Times New Roman" w:cs="Times New Roman" w:eastAsia="Times New Roman" w:hAnsi="Times New Roman"/>
          <w:sz w:val="17"/>
          <w:szCs w:val="17"/>
          <w:u w:val="single" w:color="auto"/>
          <w:color w:val="0000EE"/>
        </w:rPr>
      </w:pPr>
    </w:p>
    <w:p>
      <w:pPr>
        <w:ind w:left="4960" w:hanging="434"/>
        <w:spacing w:after="0"/>
        <w:tabs>
          <w:tab w:leader="none" w:pos="49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512-6200</w:t>
      </w:r>
    </w:p>
    <w:p>
      <w:pPr>
        <w:spacing w:after="0" w:line="200" w:lineRule="exact"/>
        <w:rPr>
          <w:rFonts w:ascii="Times New Roman" w:cs="Times New Roman" w:eastAsia="Times New Roman" w:hAnsi="Times New Roman"/>
          <w:sz w:val="17"/>
          <w:szCs w:val="17"/>
          <w:color w:val="auto"/>
        </w:rPr>
      </w:pPr>
    </w:p>
    <w:p>
      <w:pPr>
        <w:spacing w:after="0" w:line="395" w:lineRule="exact"/>
        <w:rPr>
          <w:rFonts w:ascii="Times New Roman" w:cs="Times New Roman" w:eastAsia="Times New Roman" w:hAnsi="Times New Roman"/>
          <w:sz w:val="17"/>
          <w:szCs w:val="17"/>
          <w:color w:val="auto"/>
        </w:rPr>
      </w:pPr>
    </w:p>
    <w:p>
      <w:pPr>
        <w:ind w:left="4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S-38</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125095</wp:posOffset>
            </wp:positionV>
            <wp:extent cx="2648585" cy="709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2648585" cy="70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7"/>
          <w:szCs w:val="27"/>
          <w:b w:val="1"/>
          <w:bCs w:val="1"/>
          <w:color w:val="auto"/>
        </w:rPr>
        <w:t>WASTE MANAGEMENT, INC.</w:t>
      </w:r>
    </w:p>
    <w:p>
      <w:pPr>
        <w:spacing w:after="0" w:line="21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1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color w:val="auto"/>
        </w:rPr>
        <w:t>PREFERRED STOCK</w:t>
      </w:r>
    </w:p>
    <w:p>
      <w:pPr>
        <w:ind w:left="4480"/>
        <w:spacing w:after="0" w:line="231" w:lineRule="auto"/>
        <w:rPr>
          <w:sz w:val="20"/>
          <w:szCs w:val="20"/>
          <w:color w:val="auto"/>
        </w:rPr>
      </w:pPr>
      <w:r>
        <w:rPr>
          <w:rFonts w:ascii="Times New Roman" w:cs="Times New Roman" w:eastAsia="Times New Roman" w:hAnsi="Times New Roman"/>
          <w:sz w:val="21"/>
          <w:szCs w:val="21"/>
          <w:b w:val="1"/>
          <w:bCs w:val="1"/>
          <w:color w:val="auto"/>
        </w:rPr>
        <w:t>WARRANTS</w:t>
      </w:r>
    </w:p>
    <w:p>
      <w:pPr>
        <w:spacing w:after="0" w:line="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GUARANTEES</w:t>
      </w:r>
    </w:p>
    <w:p>
      <w:pPr>
        <w:spacing w:after="0" w:line="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118" w:lineRule="exact"/>
        <w:rPr>
          <w:sz w:val="20"/>
          <w:szCs w:val="20"/>
          <w:color w:val="auto"/>
        </w:rPr>
      </w:pPr>
    </w:p>
    <w:p>
      <w:pPr>
        <w:ind w:left="1180" w:right="719" w:firstLine="342"/>
        <w:spacing w:after="0" w:line="263" w:lineRule="auto"/>
        <w:rPr>
          <w:sz w:val="20"/>
          <w:szCs w:val="20"/>
          <w:color w:val="auto"/>
        </w:rPr>
      </w:pPr>
      <w:r>
        <w:rPr>
          <w:rFonts w:ascii="Times New Roman" w:cs="Times New Roman" w:eastAsia="Times New Roman" w:hAnsi="Times New Roman"/>
          <w:sz w:val="17"/>
          <w:szCs w:val="17"/>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106" w:lineRule="exact"/>
        <w:rPr>
          <w:sz w:val="20"/>
          <w:szCs w:val="20"/>
          <w:color w:val="auto"/>
        </w:rPr>
      </w:pPr>
    </w:p>
    <w:p>
      <w:pPr>
        <w:ind w:left="1180" w:right="699" w:firstLine="342"/>
        <w:spacing w:after="0" w:line="263" w:lineRule="auto"/>
        <w:rPr>
          <w:sz w:val="20"/>
          <w:szCs w:val="20"/>
          <w:color w:val="auto"/>
        </w:rPr>
      </w:pPr>
      <w:r>
        <w:rPr>
          <w:rFonts w:ascii="Times New Roman" w:cs="Times New Roman" w:eastAsia="Times New Roman" w:hAnsi="Times New Roman"/>
          <w:sz w:val="17"/>
          <w:szCs w:val="17"/>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Our common stock is listed on the New York Stock Exchange under the symbol “WM.”</w:t>
      </w:r>
    </w:p>
    <w:p>
      <w:pPr>
        <w:spacing w:after="0" w:line="132" w:lineRule="exact"/>
        <w:rPr>
          <w:sz w:val="20"/>
          <w:szCs w:val="20"/>
          <w:color w:val="auto"/>
        </w:rPr>
      </w:pPr>
    </w:p>
    <w:p>
      <w:pPr>
        <w:ind w:left="1180" w:right="659" w:firstLine="342"/>
        <w:spacing w:after="0" w:line="296"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on page </w:t>
      </w:r>
      <w:r>
        <w:rPr>
          <w:rFonts w:ascii="Times New Roman" w:cs="Times New Roman" w:eastAsia="Times New Roman" w:hAnsi="Times New Roman"/>
          <w:sz w:val="16"/>
          <w:szCs w:val="16"/>
          <w:b w:val="1"/>
          <w:bCs w:val="1"/>
          <w:u w:val="single" w:color="auto"/>
          <w:color w:val="0000EE"/>
        </w:rPr>
        <w:t>8</w:t>
      </w:r>
      <w:r>
        <w:rPr>
          <w:rFonts w:ascii="Times New Roman" w:cs="Times New Roman" w:eastAsia="Times New Roman" w:hAnsi="Times New Roman"/>
          <w:sz w:val="16"/>
          <w:szCs w:val="16"/>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78" w:lineRule="exact"/>
        <w:rPr>
          <w:sz w:val="20"/>
          <w:szCs w:val="20"/>
          <w:color w:val="auto"/>
        </w:rPr>
      </w:pPr>
    </w:p>
    <w:p>
      <w:pPr>
        <w:jc w:val="both"/>
        <w:ind w:left="1180" w:right="719" w:firstLine="342"/>
        <w:spacing w:after="0" w:line="271" w:lineRule="auto"/>
        <w:rPr>
          <w:sz w:val="20"/>
          <w:szCs w:val="20"/>
          <w:color w:val="auto"/>
        </w:rPr>
      </w:pPr>
      <w:r>
        <w:rPr>
          <w:rFonts w:ascii="Times New Roman" w:cs="Times New Roman" w:eastAsia="Times New Roman" w:hAnsi="Times New Roman"/>
          <w:sz w:val="17"/>
          <w:szCs w:val="17"/>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80" w:right="639" w:firstLine="342"/>
        <w:spacing w:after="0" w:line="256" w:lineRule="auto"/>
        <w:rPr>
          <w:sz w:val="20"/>
          <w:szCs w:val="20"/>
          <w:color w:val="auto"/>
        </w:rPr>
      </w:pPr>
      <w:r>
        <w:rPr>
          <w:rFonts w:ascii="Times New Roman" w:cs="Times New Roman" w:eastAsia="Times New Roman" w:hAnsi="Times New Roman"/>
          <w:sz w:val="17"/>
          <w:szCs w:val="17"/>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198755</wp:posOffset>
            </wp:positionV>
            <wp:extent cx="11734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1180" w:type="dxa"/>
        <w:tblCellMar>
          <w:top w:w="0" w:type="dxa"/>
          <w:left w:w="0" w:type="dxa"/>
          <w:bottom w:w="0" w:type="dxa"/>
          <w:right w:w="0" w:type="dxa"/>
        </w:tblCellMar>
      </w:tblPr>
      <w:tr>
        <w:trPr>
          <w:trHeight w:val="226"/>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4"/>
        </w:trPr>
        <w:tc>
          <w:tcPr>
            <w:tcW w:w="2060" w:type="dxa"/>
            <w:vAlign w:val="bottom"/>
            <w:gridSpan w:val="10"/>
            <w:shd w:val="clear" w:color="auto" w:fill="CCEEFF"/>
          </w:tcPr>
          <w:p>
            <w:pPr>
              <w:spacing w:after="0" w:line="134"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color w:val="0000EE"/>
              </w:rPr>
              <w:t>Forward-Looking Statements</w:t>
            </w:r>
          </w:p>
        </w:tc>
        <w:tc>
          <w:tcPr>
            <w:tcW w:w="4080" w:type="dxa"/>
            <w:vAlign w:val="bottom"/>
            <w:tcBorders>
              <w:left w:val="single" w:sz="8" w:color="CCEEFF"/>
            </w:tcBorders>
            <w:gridSpan w:val="5"/>
            <w:shd w:val="clear" w:color="auto" w:fill="CCEEFF"/>
          </w:tcPr>
          <w:p>
            <w:pPr>
              <w:spacing w:after="0"/>
              <w:rPr>
                <w:sz w:val="13"/>
                <w:szCs w:val="13"/>
                <w:color w:val="auto"/>
              </w:rPr>
            </w:pPr>
          </w:p>
        </w:tc>
        <w:tc>
          <w:tcPr>
            <w:tcW w:w="1660" w:type="dxa"/>
            <w:vAlign w:val="bottom"/>
            <w:gridSpan w:val="3"/>
            <w:shd w:val="clear" w:color="auto" w:fill="CCEEFF"/>
          </w:tcPr>
          <w:p>
            <w:pPr>
              <w:jc w:val="right"/>
              <w:spacing w:after="0" w:line="134"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EE"/>
              </w:rPr>
              <w:t>1</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60" w:type="dxa"/>
            <w:vAlign w:val="bottom"/>
            <w:gridSpan w:val="10"/>
          </w:tcPr>
          <w:p>
            <w:pPr>
              <w:spacing w:after="0" w:line="193" w:lineRule="exact"/>
              <w:rPr>
                <w:sz w:val="20"/>
                <w:szCs w:val="20"/>
                <w:color w:val="auto"/>
              </w:rPr>
            </w:pPr>
            <w:r>
              <w:rPr>
                <w:rFonts w:ascii="Times New Roman" w:cs="Times New Roman" w:eastAsia="Times New Roman" w:hAnsi="Times New Roman"/>
                <w:sz w:val="17"/>
                <w:szCs w:val="17"/>
                <w:color w:val="0000EE"/>
              </w:rPr>
              <w:t>About this Prospectus</w:t>
            </w:r>
          </w:p>
        </w:tc>
        <w:tc>
          <w:tcPr>
            <w:tcW w:w="4080" w:type="dxa"/>
            <w:vAlign w:val="bottom"/>
            <w:gridSpan w:val="5"/>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000EE"/>
              </w:rPr>
              <w:t>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80" w:type="dxa"/>
            <w:vAlign w:val="bottom"/>
            <w:gridSpan w:val="7"/>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6"/>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Incorporation of Certain Documents by Reference</w:t>
            </w:r>
          </w:p>
        </w:tc>
        <w:tc>
          <w:tcPr>
            <w:tcW w:w="1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000EE"/>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600" w:type="dxa"/>
            <w:vAlign w:val="bottom"/>
            <w:tcBorders>
              <w:bottom w:val="single" w:sz="8" w:color="CCEEFF"/>
            </w:tcBorders>
            <w:gridSpan w:val="14"/>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54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5"/>
        </w:trPr>
        <w:tc>
          <w:tcPr>
            <w:tcW w:w="61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14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000EE"/>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840" w:type="dxa"/>
            <w:vAlign w:val="bottom"/>
            <w:gridSpan w:val="13"/>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3300" w:type="dxa"/>
            <w:vAlign w:val="bottom"/>
            <w:gridSpan w:val="2"/>
          </w:tcPr>
          <w:p>
            <w:pPr>
              <w:spacing w:after="0"/>
              <w:rPr>
                <w:sz w:val="2"/>
                <w:szCs w:val="2"/>
                <w:color w:val="auto"/>
              </w:rPr>
            </w:pPr>
          </w:p>
        </w:tc>
        <w:tc>
          <w:tcPr>
            <w:tcW w:w="1480" w:type="dxa"/>
            <w:vAlign w:val="bottom"/>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6"/>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Company</w:t>
            </w:r>
          </w:p>
        </w:tc>
        <w:tc>
          <w:tcPr>
            <w:tcW w:w="1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000EE"/>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020" w:type="dxa"/>
            <w:vAlign w:val="bottom"/>
            <w:tcBorders>
              <w:bottom w:val="single" w:sz="8" w:color="CCEEFF"/>
            </w:tcBorders>
            <w:gridSpan w:val="4"/>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left w:val="single" w:sz="8" w:color="CCEEFF"/>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3700" w:type="dxa"/>
            <w:vAlign w:val="bottom"/>
            <w:tcBorders>
              <w:bottom w:val="single" w:sz="8" w:color="CCEEFF"/>
            </w:tcBorders>
            <w:gridSpan w:val="3"/>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5"/>
        </w:trPr>
        <w:tc>
          <w:tcPr>
            <w:tcW w:w="61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14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000EE"/>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900" w:type="dxa"/>
            <w:vAlign w:val="bottom"/>
            <w:gridSpan w:val="2"/>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00" w:type="dxa"/>
            <w:vAlign w:val="bottom"/>
            <w:gridSpan w:val="3"/>
          </w:tcPr>
          <w:p>
            <w:pPr>
              <w:spacing w:after="0"/>
              <w:rPr>
                <w:sz w:val="2"/>
                <w:szCs w:val="2"/>
                <w:color w:val="auto"/>
              </w:rPr>
            </w:pPr>
          </w:p>
        </w:tc>
        <w:tc>
          <w:tcPr>
            <w:tcW w:w="1480" w:type="dxa"/>
            <w:vAlign w:val="bottom"/>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6"/>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1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000EE"/>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160" w:type="dxa"/>
            <w:vAlign w:val="bottom"/>
            <w:tcBorders>
              <w:bottom w:val="single" w:sz="8" w:color="CCEEFF"/>
            </w:tcBorders>
            <w:gridSpan w:val="5"/>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left w:val="single" w:sz="8" w:color="CCEEFF"/>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3700" w:type="dxa"/>
            <w:vAlign w:val="bottom"/>
            <w:tcBorders>
              <w:bottom w:val="single" w:sz="8" w:color="CCEEFF"/>
            </w:tcBorders>
            <w:gridSpan w:val="3"/>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5"/>
        </w:trPr>
        <w:tc>
          <w:tcPr>
            <w:tcW w:w="61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Description of the Debt Securities</w:t>
            </w:r>
          </w:p>
        </w:tc>
        <w:tc>
          <w:tcPr>
            <w:tcW w:w="14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440" w:type="dxa"/>
            <w:vAlign w:val="bottom"/>
            <w:gridSpan w:val="12"/>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3700" w:type="dxa"/>
            <w:vAlign w:val="bottom"/>
            <w:gridSpan w:val="3"/>
          </w:tcPr>
          <w:p>
            <w:pPr>
              <w:spacing w:after="0"/>
              <w:rPr>
                <w:sz w:val="2"/>
                <w:szCs w:val="2"/>
                <w:color w:val="auto"/>
              </w:rPr>
            </w:pPr>
          </w:p>
        </w:tc>
        <w:tc>
          <w:tcPr>
            <w:tcW w:w="1480" w:type="dxa"/>
            <w:vAlign w:val="bottom"/>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6"/>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Guarantees</w:t>
            </w:r>
          </w:p>
        </w:tc>
        <w:tc>
          <w:tcPr>
            <w:tcW w:w="1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880" w:type="dxa"/>
            <w:vAlign w:val="bottom"/>
            <w:tcBorders>
              <w:bottom w:val="single" w:sz="8" w:color="CCEEFF"/>
            </w:tcBorders>
            <w:gridSpan w:val="9"/>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180" w:type="dxa"/>
            <w:vAlign w:val="bottom"/>
            <w:tcBorders>
              <w:left w:val="single" w:sz="8" w:color="CCEEFF"/>
              <w:bottom w:val="single" w:sz="8" w:color="CCEEFF"/>
            </w:tcBorders>
            <w:shd w:val="clear" w:color="auto" w:fill="CCEEFF"/>
          </w:tcPr>
          <w:p>
            <w:pPr>
              <w:spacing w:after="0"/>
              <w:rPr>
                <w:sz w:val="2"/>
                <w:szCs w:val="2"/>
                <w:color w:val="auto"/>
              </w:rPr>
            </w:pPr>
          </w:p>
        </w:tc>
        <w:tc>
          <w:tcPr>
            <w:tcW w:w="3900" w:type="dxa"/>
            <w:vAlign w:val="bottom"/>
            <w:tcBorders>
              <w:bottom w:val="single" w:sz="8" w:color="CCEEFF"/>
            </w:tcBorders>
            <w:gridSpan w:val="4"/>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5"/>
        </w:trPr>
        <w:tc>
          <w:tcPr>
            <w:tcW w:w="61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14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60" w:type="dxa"/>
            <w:vAlign w:val="bottom"/>
            <w:gridSpan w:val="10"/>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Pr>
          <w:p>
            <w:pPr>
              <w:spacing w:after="0"/>
              <w:rPr>
                <w:sz w:val="2"/>
                <w:szCs w:val="2"/>
                <w:color w:val="auto"/>
              </w:rPr>
            </w:pPr>
          </w:p>
        </w:tc>
        <w:tc>
          <w:tcPr>
            <w:tcW w:w="3900" w:type="dxa"/>
            <w:vAlign w:val="bottom"/>
            <w:gridSpan w:val="4"/>
          </w:tcPr>
          <w:p>
            <w:pPr>
              <w:spacing w:after="0"/>
              <w:rPr>
                <w:sz w:val="2"/>
                <w:szCs w:val="2"/>
                <w:color w:val="auto"/>
              </w:rPr>
            </w:pPr>
          </w:p>
        </w:tc>
        <w:tc>
          <w:tcPr>
            <w:tcW w:w="1480" w:type="dxa"/>
            <w:vAlign w:val="bottom"/>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6"/>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Other Securities</w:t>
            </w:r>
          </w:p>
        </w:tc>
        <w:tc>
          <w:tcPr>
            <w:tcW w:w="1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240" w:type="dxa"/>
            <w:vAlign w:val="bottom"/>
            <w:tcBorders>
              <w:bottom w:val="single" w:sz="8" w:color="CCEEFF"/>
            </w:tcBorders>
            <w:gridSpan w:val="11"/>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3900" w:type="dxa"/>
            <w:vAlign w:val="bottom"/>
            <w:tcBorders>
              <w:bottom w:val="single" w:sz="8" w:color="CCEEFF"/>
            </w:tcBorders>
            <w:gridSpan w:val="4"/>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5"/>
        </w:trPr>
        <w:tc>
          <w:tcPr>
            <w:tcW w:w="61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Plan of Distribution</w:t>
            </w:r>
          </w:p>
        </w:tc>
        <w:tc>
          <w:tcPr>
            <w:tcW w:w="14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420" w:type="dxa"/>
            <w:vAlign w:val="bottom"/>
            <w:gridSpan w:val="6"/>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gridSpan w:val="2"/>
          </w:tcPr>
          <w:p>
            <w:pPr>
              <w:spacing w:after="0"/>
              <w:rPr>
                <w:sz w:val="2"/>
                <w:szCs w:val="2"/>
                <w:color w:val="auto"/>
              </w:rPr>
            </w:pPr>
          </w:p>
        </w:tc>
        <w:tc>
          <w:tcPr>
            <w:tcW w:w="4460" w:type="dxa"/>
            <w:vAlign w:val="bottom"/>
            <w:gridSpan w:val="7"/>
          </w:tcPr>
          <w:p>
            <w:pPr>
              <w:spacing w:after="0"/>
              <w:rPr>
                <w:sz w:val="2"/>
                <w:szCs w:val="2"/>
                <w:color w:val="auto"/>
              </w:rPr>
            </w:pPr>
          </w:p>
        </w:tc>
        <w:tc>
          <w:tcPr>
            <w:tcW w:w="1480" w:type="dxa"/>
            <w:vAlign w:val="bottom"/>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6"/>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Selling Securityholders</w:t>
            </w:r>
          </w:p>
        </w:tc>
        <w:tc>
          <w:tcPr>
            <w:tcW w:w="1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680" w:type="dxa"/>
            <w:vAlign w:val="bottom"/>
            <w:tcBorders>
              <w:bottom w:val="single" w:sz="8" w:color="CCEEFF"/>
            </w:tcBorders>
            <w:gridSpan w:val="8"/>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4460" w:type="dxa"/>
            <w:vAlign w:val="bottom"/>
            <w:tcBorders>
              <w:bottom w:val="single" w:sz="8" w:color="CCEEFF"/>
            </w:tcBorders>
            <w:gridSpan w:val="7"/>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05"/>
        </w:trPr>
        <w:tc>
          <w:tcPr>
            <w:tcW w:w="614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14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000" w:type="dxa"/>
            <w:vAlign w:val="bottom"/>
            <w:gridSpan w:val="3"/>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140" w:type="dxa"/>
            <w:vAlign w:val="bottom"/>
            <w:gridSpan w:val="12"/>
          </w:tcPr>
          <w:p>
            <w:pPr>
              <w:spacing w:after="0"/>
              <w:rPr>
                <w:sz w:val="2"/>
                <w:szCs w:val="2"/>
                <w:color w:val="auto"/>
              </w:rPr>
            </w:pPr>
          </w:p>
        </w:tc>
        <w:tc>
          <w:tcPr>
            <w:tcW w:w="1480" w:type="dxa"/>
            <w:vAlign w:val="bottom"/>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6"/>
        </w:trPr>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1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1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r>
              <w:rPr>
                <w:rFonts w:ascii="Times New Roman" w:cs="Times New Roman" w:eastAsia="Times New Roman" w:hAnsi="Times New Roman"/>
                <w:sz w:val="17"/>
                <w:szCs w:val="17"/>
                <w:color w:val="0000EE"/>
                <w:w w:val="93"/>
              </w:rPr>
              <w:t>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40" w:type="dxa"/>
            <w:vAlign w:val="bottom"/>
            <w:tcBorders>
              <w:bottom w:val="single" w:sz="8" w:color="CCEEFF"/>
            </w:tcBorders>
            <w:shd w:val="clear" w:color="auto" w:fill="0000EE"/>
          </w:tcPr>
          <w:p>
            <w:pPr>
              <w:spacing w:after="0" w:line="8" w:lineRule="exact"/>
              <w:rPr>
                <w:sz w:val="20"/>
                <w:szCs w:val="20"/>
                <w:color w:val="auto"/>
              </w:rPr>
            </w:pPr>
            <w:r>
              <w:rPr>
                <w:rFonts w:ascii="Times New Roman" w:cs="Times New Roman" w:eastAsia="Times New Roman" w:hAnsi="Times New Roman"/>
                <w:sz w:val="1"/>
                <w:szCs w:val="1"/>
                <w:color w:val="auto"/>
              </w:rPr>
              <w:t>​</w:t>
            </w:r>
          </w:p>
        </w:tc>
        <w:tc>
          <w:tcPr>
            <w:tcW w:w="5600" w:type="dxa"/>
            <w:vAlign w:val="bottom"/>
            <w:tcBorders>
              <w:bottom w:val="single" w:sz="8" w:color="CCEEFF"/>
            </w:tcBorders>
            <w:gridSpan w:val="14"/>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40"/>
              <w:spacing w:after="0" w:line="6"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40" w:type="dxa"/>
            <w:vAlign w:val="bottom"/>
            <w:tcBorders>
              <w:left w:val="single" w:sz="8" w:color="0000EE"/>
            </w:tcBorders>
          </w:tcPr>
          <w:p>
            <w:pPr>
              <w:spacing w:after="0" w:line="6"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55" w:lineRule="exact"/>
        <w:rPr>
          <w:sz w:val="20"/>
          <w:szCs w:val="20"/>
          <w:color w:val="auto"/>
        </w:rPr>
      </w:pPr>
    </w:p>
    <w:p>
      <w:pPr>
        <w:ind w:left="1180" w:right="779" w:firstLine="342"/>
        <w:spacing w:after="0" w:line="246"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09" w:lineRule="exact"/>
        <w:rPr>
          <w:sz w:val="20"/>
          <w:szCs w:val="20"/>
          <w:color w:val="auto"/>
        </w:rPr>
      </w:pPr>
    </w:p>
    <w:p>
      <w:pPr>
        <w:ind w:left="1180" w:right="679" w:firstLine="342"/>
        <w:spacing w:after="0" w:line="245" w:lineRule="auto"/>
        <w:rPr>
          <w:sz w:val="20"/>
          <w:szCs w:val="20"/>
          <w:color w:val="auto"/>
        </w:rPr>
      </w:pPr>
      <w:r>
        <w:rPr>
          <w:rFonts w:ascii="Times New Roman" w:cs="Times New Roman" w:eastAsia="Times New Roman" w:hAnsi="Times New Roman"/>
          <w:sz w:val="17"/>
          <w:szCs w:val="17"/>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6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u w:val="single" w:color="auto"/>
          <w:color w:val="auto"/>
        </w:rPr>
        <w:t>Strategy and Operational Risks</w:t>
      </w:r>
    </w:p>
    <w:p>
      <w:pPr>
        <w:spacing w:after="0" w:line="117" w:lineRule="exact"/>
        <w:rPr>
          <w:sz w:val="20"/>
          <w:szCs w:val="20"/>
          <w:color w:val="auto"/>
        </w:rPr>
      </w:pPr>
    </w:p>
    <w:p>
      <w:pPr>
        <w:ind w:left="1700" w:right="699" w:hanging="175"/>
        <w:spacing w:after="0" w:line="260"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57" w:lineRule="exact"/>
        <w:rPr>
          <w:rFonts w:ascii="Times New Roman" w:cs="Times New Roman" w:eastAsia="Times New Roman" w:hAnsi="Times New Roman"/>
          <w:sz w:val="17"/>
          <w:szCs w:val="17"/>
          <w:color w:val="auto"/>
        </w:rPr>
      </w:pPr>
    </w:p>
    <w:p>
      <w:pPr>
        <w:ind w:left="1700" w:right="679" w:hanging="175"/>
        <w:spacing w:after="0" w:line="263"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67" w:lineRule="exact"/>
        <w:rPr>
          <w:rFonts w:ascii="Times New Roman" w:cs="Times New Roman" w:eastAsia="Times New Roman" w:hAnsi="Times New Roman"/>
          <w:sz w:val="17"/>
          <w:szCs w:val="17"/>
          <w:color w:val="auto"/>
        </w:rPr>
      </w:pPr>
    </w:p>
    <w:p>
      <w:pPr>
        <w:ind w:left="1700" w:right="639" w:hanging="175"/>
        <w:spacing w:after="0" w:line="263"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67" w:lineRule="exact"/>
        <w:rPr>
          <w:rFonts w:ascii="Times New Roman" w:cs="Times New Roman" w:eastAsia="Times New Roman" w:hAnsi="Times New Roman"/>
          <w:sz w:val="17"/>
          <w:szCs w:val="17"/>
          <w:color w:val="auto"/>
        </w:rPr>
      </w:pPr>
    </w:p>
    <w:p>
      <w:pPr>
        <w:ind w:left="1700" w:right="779" w:hanging="175"/>
        <w:spacing w:after="0" w:line="263"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54" w:lineRule="exact"/>
        <w:rPr>
          <w:rFonts w:ascii="Times New Roman" w:cs="Times New Roman" w:eastAsia="Times New Roman" w:hAnsi="Times New Roman"/>
          <w:sz w:val="17"/>
          <w:szCs w:val="17"/>
          <w:color w:val="auto"/>
        </w:rPr>
      </w:pPr>
    </w:p>
    <w:p>
      <w:pPr>
        <w:ind w:left="1700" w:right="619" w:hanging="175"/>
        <w:spacing w:after="0" w:line="285"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of acquisitions and/or new service offerings could increase our exposure to environmental liabilities for past operations and the risk of inadvertent noncompliance with laws and regulations;</w:t>
      </w:r>
    </w:p>
    <w:p>
      <w:pPr>
        <w:spacing w:after="0" w:line="49" w:lineRule="exact"/>
        <w:rPr>
          <w:rFonts w:ascii="Times New Roman" w:cs="Times New Roman" w:eastAsia="Times New Roman" w:hAnsi="Times New Roman"/>
          <w:sz w:val="17"/>
          <w:szCs w:val="17"/>
          <w:color w:val="auto"/>
        </w:rPr>
      </w:pPr>
    </w:p>
    <w:p>
      <w:pPr>
        <w:ind w:left="1700" w:right="719" w:hanging="175"/>
        <w:spacing w:after="0" w:line="268"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63" w:lineRule="exact"/>
        <w:rPr>
          <w:rFonts w:ascii="Times New Roman" w:cs="Times New Roman" w:eastAsia="Times New Roman" w:hAnsi="Times New Roman"/>
          <w:sz w:val="17"/>
          <w:szCs w:val="17"/>
          <w:color w:val="auto"/>
        </w:rPr>
      </w:pPr>
    </w:p>
    <w:p>
      <w:pPr>
        <w:jc w:val="both"/>
        <w:ind w:left="1700" w:right="839" w:hanging="175"/>
        <w:spacing w:after="0" w:line="268"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3" w:lineRule="exact"/>
        <w:rPr>
          <w:rFonts w:ascii="Times New Roman" w:cs="Times New Roman" w:eastAsia="Times New Roman" w:hAnsi="Times New Roman"/>
          <w:sz w:val="17"/>
          <w:szCs w:val="17"/>
          <w:color w:val="auto"/>
        </w:rPr>
      </w:pPr>
    </w:p>
    <w:p>
      <w:pPr>
        <w:ind w:left="1700" w:right="659" w:hanging="175"/>
        <w:spacing w:after="0" w:line="261" w:lineRule="auto"/>
        <w:tabs>
          <w:tab w:leader="none" w:pos="17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pacing w:after="0" w:line="200" w:lineRule="exact"/>
        <w:rPr>
          <w:sz w:val="20"/>
          <w:szCs w:val="20"/>
          <w:color w:val="auto"/>
        </w:rPr>
      </w:pPr>
    </w:p>
    <w:p>
      <w:pPr>
        <w:spacing w:after="0" w:line="3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right="659"/>
        <w:spacing w:after="0" w:line="268" w:lineRule="auto"/>
        <w:rPr>
          <w:sz w:val="20"/>
          <w:szCs w:val="20"/>
          <w:color w:val="auto"/>
        </w:rPr>
      </w:pPr>
      <w:r>
        <w:rPr>
          <w:rFonts w:ascii="Times New Roman" w:cs="Times New Roman" w:eastAsia="Times New Roman" w:hAnsi="Times New Roman"/>
          <w:sz w:val="17"/>
          <w:szCs w:val="17"/>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77" w:lineRule="exact"/>
        <w:rPr>
          <w:sz w:val="20"/>
          <w:szCs w:val="20"/>
          <w:color w:val="auto"/>
        </w:rPr>
      </w:pPr>
    </w:p>
    <w:p>
      <w:pPr>
        <w:ind w:left="1700" w:right="799" w:hanging="175"/>
        <w:spacing w:after="0" w:line="285"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and maintain required permits or to expand existing permitted capacity of our landfills, which could decrease our revenue and increase our costs;</w:t>
      </w:r>
    </w:p>
    <w:p>
      <w:pPr>
        <w:spacing w:after="0" w:line="49" w:lineRule="exact"/>
        <w:rPr>
          <w:rFonts w:ascii="Times New Roman" w:cs="Times New Roman" w:eastAsia="Times New Roman" w:hAnsi="Times New Roman"/>
          <w:sz w:val="17"/>
          <w:szCs w:val="17"/>
          <w:color w:val="auto"/>
        </w:rPr>
      </w:pPr>
    </w:p>
    <w:p>
      <w:pPr>
        <w:ind w:left="1700" w:right="699" w:hanging="175"/>
        <w:spacing w:after="0" w:line="263"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67" w:lineRule="exact"/>
        <w:rPr>
          <w:rFonts w:ascii="Times New Roman" w:cs="Times New Roman" w:eastAsia="Times New Roman" w:hAnsi="Times New Roman"/>
          <w:sz w:val="17"/>
          <w:szCs w:val="17"/>
          <w:color w:val="auto"/>
        </w:rPr>
      </w:pPr>
    </w:p>
    <w:p>
      <w:pPr>
        <w:ind w:left="1700" w:right="819" w:hanging="175"/>
        <w:spacing w:after="0" w:line="260"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0" w:lineRule="exact"/>
        <w:rPr>
          <w:rFonts w:ascii="Times New Roman" w:cs="Times New Roman" w:eastAsia="Times New Roman" w:hAnsi="Times New Roman"/>
          <w:sz w:val="17"/>
          <w:szCs w:val="17"/>
          <w:color w:val="auto"/>
        </w:rPr>
      </w:pPr>
    </w:p>
    <w:p>
      <w:pPr>
        <w:ind w:left="1700" w:right="679" w:hanging="175"/>
        <w:spacing w:after="0" w:line="261"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279" w:lineRule="exact"/>
        <w:rPr>
          <w:rFonts w:ascii="Times New Roman" w:cs="Times New Roman" w:eastAsia="Times New Roman" w:hAnsi="Times New Roman"/>
          <w:sz w:val="17"/>
          <w:szCs w:val="17"/>
          <w:color w:val="auto"/>
        </w:rPr>
      </w:pPr>
    </w:p>
    <w:p>
      <w:pPr>
        <w:ind w:left="1700" w:right="639" w:hanging="175"/>
        <w:spacing w:after="0" w:line="260"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0" w:lineRule="exact"/>
        <w:rPr>
          <w:rFonts w:ascii="Times New Roman" w:cs="Times New Roman" w:eastAsia="Times New Roman" w:hAnsi="Times New Roman"/>
          <w:sz w:val="17"/>
          <w:szCs w:val="17"/>
          <w:color w:val="auto"/>
        </w:rPr>
      </w:pPr>
    </w:p>
    <w:p>
      <w:pPr>
        <w:jc w:val="both"/>
        <w:ind w:left="1700" w:right="799" w:hanging="175"/>
        <w:spacing w:after="0" w:line="268" w:lineRule="auto"/>
        <w:tabs>
          <w:tab w:leader="none" w:pos="17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u w:val="single" w:color="auto"/>
          <w:color w:val="auto"/>
        </w:rPr>
        <w:t>External Economic and Industry Risks</w:t>
      </w:r>
    </w:p>
    <w:p>
      <w:pPr>
        <w:spacing w:after="0" w:line="117" w:lineRule="exact"/>
        <w:rPr>
          <w:sz w:val="20"/>
          <w:szCs w:val="20"/>
          <w:color w:val="auto"/>
        </w:rPr>
      </w:pPr>
    </w:p>
    <w:p>
      <w:pPr>
        <w:ind w:left="1700" w:right="779" w:hanging="175"/>
        <w:spacing w:after="0" w:line="263"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67" w:lineRule="exact"/>
        <w:rPr>
          <w:rFonts w:ascii="Times New Roman" w:cs="Times New Roman" w:eastAsia="Times New Roman" w:hAnsi="Times New Roman"/>
          <w:sz w:val="17"/>
          <w:szCs w:val="17"/>
          <w:color w:val="auto"/>
        </w:rPr>
      </w:pPr>
    </w:p>
    <w:p>
      <w:pPr>
        <w:ind w:left="1700" w:right="679" w:hanging="175"/>
        <w:spacing w:after="0" w:line="268"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regulations requiring mandatory COVID-19 vaccination of employees could adversely impact our ability to perform or compete for certain contracts and negatively affect our results of operations;</w:t>
      </w:r>
    </w:p>
    <w:p>
      <w:pPr>
        <w:spacing w:after="0" w:line="76" w:lineRule="exact"/>
        <w:rPr>
          <w:rFonts w:ascii="Times New Roman" w:cs="Times New Roman" w:eastAsia="Times New Roman" w:hAnsi="Times New Roman"/>
          <w:sz w:val="17"/>
          <w:szCs w:val="17"/>
          <w:color w:val="auto"/>
        </w:rPr>
      </w:pPr>
    </w:p>
    <w:p>
      <w:pPr>
        <w:ind w:left="1700" w:right="1039" w:hanging="175"/>
        <w:spacing w:after="0" w:line="268"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disruption, including labor shortages and supply chain constraints, and macroeconomic pressures, including the heightened pace of inflation, have adversely impacted our business and results of operations;</w:t>
      </w:r>
    </w:p>
    <w:p>
      <w:pPr>
        <w:spacing w:after="0" w:line="63" w:lineRule="exact"/>
        <w:rPr>
          <w:rFonts w:ascii="Times New Roman" w:cs="Times New Roman" w:eastAsia="Times New Roman" w:hAnsi="Times New Roman"/>
          <w:sz w:val="17"/>
          <w:szCs w:val="17"/>
          <w:color w:val="auto"/>
        </w:rPr>
      </w:pPr>
    </w:p>
    <w:p>
      <w:pPr>
        <w:ind w:left="1700" w:right="759" w:hanging="175"/>
        <w:spacing w:after="0" w:line="263"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67" w:lineRule="exact"/>
        <w:rPr>
          <w:rFonts w:ascii="Times New Roman" w:cs="Times New Roman" w:eastAsia="Times New Roman" w:hAnsi="Times New Roman"/>
          <w:sz w:val="17"/>
          <w:szCs w:val="17"/>
          <w:color w:val="auto"/>
        </w:rPr>
      </w:pPr>
    </w:p>
    <w:p>
      <w:pPr>
        <w:ind w:left="1700" w:right="659" w:hanging="175"/>
        <w:spacing w:after="0" w:line="268"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63" w:lineRule="exact"/>
        <w:rPr>
          <w:rFonts w:ascii="Times New Roman" w:cs="Times New Roman" w:eastAsia="Times New Roman" w:hAnsi="Times New Roman"/>
          <w:sz w:val="17"/>
          <w:szCs w:val="17"/>
          <w:color w:val="auto"/>
        </w:rPr>
      </w:pPr>
    </w:p>
    <w:p>
      <w:pPr>
        <w:ind w:left="1700" w:right="1019" w:hanging="175"/>
        <w:spacing w:after="0" w:line="268" w:lineRule="auto"/>
        <w:tabs>
          <w:tab w:leader="none" w:pos="17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pacing w:after="0" w:line="33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3"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right="679" w:hanging="175"/>
        <w:spacing w:after="0" w:line="266" w:lineRule="auto"/>
        <w:tabs>
          <w:tab w:leader="none" w:pos="17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86" w:lineRule="exact"/>
        <w:rPr>
          <w:rFonts w:ascii="Times New Roman" w:cs="Times New Roman" w:eastAsia="Times New Roman" w:hAnsi="Times New Roman"/>
          <w:sz w:val="17"/>
          <w:szCs w:val="17"/>
          <w:color w:val="auto"/>
        </w:rPr>
      </w:pPr>
    </w:p>
    <w:p>
      <w:pPr>
        <w:ind w:left="1700" w:right="819" w:hanging="175"/>
        <w:spacing w:after="0" w:line="285" w:lineRule="auto"/>
        <w:tabs>
          <w:tab w:leader="none" w:pos="17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can directly and adversely affect revenues for environmental services and our income from operations margins;</w:t>
      </w:r>
    </w:p>
    <w:p>
      <w:pPr>
        <w:spacing w:after="0" w:line="49" w:lineRule="exact"/>
        <w:rPr>
          <w:rFonts w:ascii="Times New Roman" w:cs="Times New Roman" w:eastAsia="Times New Roman" w:hAnsi="Times New Roman"/>
          <w:sz w:val="17"/>
          <w:szCs w:val="17"/>
          <w:color w:val="auto"/>
        </w:rPr>
      </w:pPr>
    </w:p>
    <w:p>
      <w:pPr>
        <w:ind w:left="1700" w:right="859" w:hanging="175"/>
        <w:spacing w:after="0" w:line="263" w:lineRule="auto"/>
        <w:tabs>
          <w:tab w:leader="none" w:pos="17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67" w:lineRule="exact"/>
        <w:rPr>
          <w:rFonts w:ascii="Times New Roman" w:cs="Times New Roman" w:eastAsia="Times New Roman" w:hAnsi="Times New Roman"/>
          <w:sz w:val="17"/>
          <w:szCs w:val="17"/>
          <w:color w:val="auto"/>
        </w:rPr>
      </w:pPr>
    </w:p>
    <w:p>
      <w:pPr>
        <w:ind w:left="1700" w:right="739" w:hanging="175"/>
        <w:spacing w:after="0" w:line="285" w:lineRule="auto"/>
        <w:tabs>
          <w:tab w:leader="none" w:pos="17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effective tax rate and tax liability could materially change as a result of the adoption of new tax legislation and other factors;</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diesel fuel price increases or diesel fuel supply shortages may increase our operating expenses;</w:t>
      </w:r>
    </w:p>
    <w:p>
      <w:pPr>
        <w:spacing w:after="0" w:line="21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u w:val="single" w:color="auto"/>
          <w:color w:val="auto"/>
        </w:rPr>
        <w:t>Technology and Information Security Risks</w:t>
      </w:r>
    </w:p>
    <w:p>
      <w:pPr>
        <w:spacing w:after="0" w:line="117" w:lineRule="exact"/>
        <w:rPr>
          <w:sz w:val="20"/>
          <w:szCs w:val="20"/>
          <w:color w:val="auto"/>
        </w:rPr>
      </w:pPr>
    </w:p>
    <w:p>
      <w:pPr>
        <w:jc w:val="both"/>
        <w:ind w:left="1700" w:right="739" w:hanging="175"/>
        <w:spacing w:after="0" w:line="268" w:lineRule="auto"/>
        <w:tabs>
          <w:tab w:leader="none" w:pos="1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3" w:lineRule="exact"/>
        <w:rPr>
          <w:rFonts w:ascii="Times New Roman" w:cs="Times New Roman" w:eastAsia="Times New Roman" w:hAnsi="Times New Roman"/>
          <w:sz w:val="17"/>
          <w:szCs w:val="17"/>
          <w:color w:val="auto"/>
        </w:rPr>
      </w:pPr>
    </w:p>
    <w:p>
      <w:pPr>
        <w:ind w:left="1700" w:right="739" w:hanging="175"/>
        <w:spacing w:after="0" w:line="268" w:lineRule="auto"/>
        <w:tabs>
          <w:tab w:leader="none" w:pos="1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63" w:lineRule="exact"/>
        <w:rPr>
          <w:rFonts w:ascii="Times New Roman" w:cs="Times New Roman" w:eastAsia="Times New Roman" w:hAnsi="Times New Roman"/>
          <w:sz w:val="17"/>
          <w:szCs w:val="17"/>
          <w:color w:val="auto"/>
        </w:rPr>
      </w:pPr>
    </w:p>
    <w:p>
      <w:pPr>
        <w:ind w:left="1700" w:right="779" w:hanging="175"/>
        <w:spacing w:after="0" w:line="263" w:lineRule="auto"/>
        <w:tabs>
          <w:tab w:leader="none" w:pos="1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67" w:lineRule="exact"/>
        <w:rPr>
          <w:rFonts w:ascii="Times New Roman" w:cs="Times New Roman" w:eastAsia="Times New Roman" w:hAnsi="Times New Roman"/>
          <w:sz w:val="17"/>
          <w:szCs w:val="17"/>
          <w:color w:val="auto"/>
        </w:rPr>
      </w:pPr>
    </w:p>
    <w:p>
      <w:pPr>
        <w:ind w:left="1700" w:right="639" w:hanging="175"/>
        <w:spacing w:after="0" w:line="278" w:lineRule="auto"/>
        <w:tabs>
          <w:tab w:leader="none" w:pos="1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implementing a new enterprise resource planning and human capital management system, and challenges with the implementation of the system may negatively impact our business and operations;</w:t>
      </w:r>
    </w:p>
    <w:p>
      <w:pPr>
        <w:spacing w:after="0" w:line="278" w:lineRule="exact"/>
        <w:rPr>
          <w:rFonts w:ascii="Times New Roman" w:cs="Times New Roman" w:eastAsia="Times New Roman" w:hAnsi="Times New Roman"/>
          <w:sz w:val="17"/>
          <w:szCs w:val="17"/>
          <w:color w:val="auto"/>
        </w:rPr>
      </w:pPr>
    </w:p>
    <w:p>
      <w:pPr>
        <w:ind w:left="1700" w:right="639" w:hanging="175"/>
        <w:spacing w:after="0" w:line="258" w:lineRule="auto"/>
        <w:tabs>
          <w:tab w:leader="none" w:pos="1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73" w:lineRule="exact"/>
        <w:rPr>
          <w:rFonts w:ascii="Times New Roman" w:cs="Times New Roman" w:eastAsia="Times New Roman" w:hAnsi="Times New Roman"/>
          <w:sz w:val="17"/>
          <w:szCs w:val="17"/>
          <w:color w:val="auto"/>
        </w:rPr>
      </w:pPr>
    </w:p>
    <w:p>
      <w:pPr>
        <w:ind w:left="1700" w:right="759" w:hanging="175"/>
        <w:spacing w:after="0" w:line="268" w:lineRule="auto"/>
        <w:tabs>
          <w:tab w:leader="none" w:pos="1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regulation by state and federal governments related to cybersecurity protections and disclosures may require additional resources and create risks of noncompliance that could harm our business;</w:t>
      </w:r>
    </w:p>
    <w:p>
      <w:pPr>
        <w:spacing w:after="0" w:line="63" w:lineRule="exact"/>
        <w:rPr>
          <w:rFonts w:ascii="Times New Roman" w:cs="Times New Roman" w:eastAsia="Times New Roman" w:hAnsi="Times New Roman"/>
          <w:sz w:val="17"/>
          <w:szCs w:val="17"/>
          <w:color w:val="auto"/>
        </w:rPr>
      </w:pPr>
    </w:p>
    <w:p>
      <w:pPr>
        <w:ind w:left="1700" w:right="1339" w:hanging="175"/>
        <w:spacing w:after="0" w:line="285" w:lineRule="auto"/>
        <w:tabs>
          <w:tab w:leader="none" w:pos="1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regulatory focus on privacy and data protection issues and expanding laws could negatively impact our business, subject us to criticism and expose us to increased liability;</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u w:val="single" w:color="auto"/>
          <w:color w:val="auto"/>
        </w:rPr>
        <w:t>Legal, Regulatory and Compliance Risks</w:t>
      </w:r>
    </w:p>
    <w:p>
      <w:pPr>
        <w:spacing w:after="0" w:line="117" w:lineRule="exact"/>
        <w:rPr>
          <w:sz w:val="20"/>
          <w:szCs w:val="20"/>
          <w:color w:val="auto"/>
        </w:rPr>
      </w:pPr>
    </w:p>
    <w:p>
      <w:pPr>
        <w:ind w:left="1700" w:right="799" w:hanging="175"/>
        <w:spacing w:after="0" w:line="268" w:lineRule="auto"/>
        <w:tabs>
          <w:tab w:leader="none" w:pos="17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63" w:lineRule="exact"/>
        <w:rPr>
          <w:rFonts w:ascii="Times New Roman" w:cs="Times New Roman" w:eastAsia="Times New Roman" w:hAnsi="Times New Roman"/>
          <w:sz w:val="17"/>
          <w:szCs w:val="17"/>
          <w:color w:val="auto"/>
        </w:rPr>
      </w:pPr>
    </w:p>
    <w:p>
      <w:pPr>
        <w:ind w:left="1700" w:right="1079" w:hanging="175"/>
        <w:spacing w:after="0" w:line="285" w:lineRule="auto"/>
        <w:tabs>
          <w:tab w:leader="none" w:pos="17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federal and state renewable fuel policies could affect our financial performance as a renewable fuel producer and impact our projected future investments;</w:t>
      </w:r>
    </w:p>
    <w:p>
      <w:pPr>
        <w:spacing w:after="0" w:line="49" w:lineRule="exact"/>
        <w:rPr>
          <w:rFonts w:ascii="Times New Roman" w:cs="Times New Roman" w:eastAsia="Times New Roman" w:hAnsi="Times New Roman"/>
          <w:sz w:val="17"/>
          <w:szCs w:val="17"/>
          <w:color w:val="auto"/>
        </w:rPr>
      </w:pPr>
    </w:p>
    <w:p>
      <w:pPr>
        <w:ind w:left="1700" w:right="1399" w:hanging="175"/>
        <w:spacing w:after="0" w:line="285" w:lineRule="auto"/>
        <w:tabs>
          <w:tab w:leader="none" w:pos="17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climate change, and the adoption of climate change legislation or regulations restricting emissions of greenhouse gases, could increase our costs to operate;</w:t>
      </w:r>
    </w:p>
    <w:p>
      <w:pPr>
        <w:spacing w:after="0" w:line="3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right="639" w:hanging="175"/>
        <w:spacing w:after="0" w:line="268" w:lineRule="auto"/>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63" w:lineRule="exact"/>
        <w:rPr>
          <w:rFonts w:ascii="Times New Roman" w:cs="Times New Roman" w:eastAsia="Times New Roman" w:hAnsi="Times New Roman"/>
          <w:sz w:val="17"/>
          <w:szCs w:val="17"/>
          <w:color w:val="auto"/>
        </w:rPr>
      </w:pPr>
    </w:p>
    <w:p>
      <w:pPr>
        <w:ind w:left="1700" w:right="699" w:hanging="175"/>
        <w:spacing w:after="0" w:line="257" w:lineRule="auto"/>
        <w:tabs>
          <w:tab w:leader="none" w:pos="1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u w:val="single" w:color="auto"/>
          <w:color w:val="auto"/>
        </w:rPr>
        <w:t>Financial Risks</w:t>
      </w:r>
    </w:p>
    <w:p>
      <w:pPr>
        <w:spacing w:after="0" w:line="117" w:lineRule="exact"/>
        <w:rPr>
          <w:sz w:val="20"/>
          <w:szCs w:val="20"/>
          <w:color w:val="auto"/>
        </w:rPr>
      </w:pPr>
    </w:p>
    <w:p>
      <w:pPr>
        <w:ind w:left="1700" w:right="739" w:hanging="175"/>
        <w:spacing w:after="0" w:line="268"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reduce or suspend capital expenditures, growth and acquisition activity, implementation of our business strategy, dividend declarations or share repurchases if we suffer a significant reduction in cash flows;</w:t>
      </w:r>
    </w:p>
    <w:p>
      <w:pPr>
        <w:spacing w:after="0" w:line="63" w:lineRule="exact"/>
        <w:rPr>
          <w:rFonts w:ascii="Times New Roman" w:cs="Times New Roman" w:eastAsia="Times New Roman" w:hAnsi="Times New Roman"/>
          <w:sz w:val="17"/>
          <w:szCs w:val="17"/>
          <w:color w:val="auto"/>
        </w:rPr>
      </w:pPr>
    </w:p>
    <w:p>
      <w:pPr>
        <w:ind w:left="1700" w:right="879" w:hanging="175"/>
        <w:spacing w:after="0" w:line="268"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63" w:lineRule="exact"/>
        <w:rPr>
          <w:rFonts w:ascii="Times New Roman" w:cs="Times New Roman" w:eastAsia="Times New Roman" w:hAnsi="Times New Roman"/>
          <w:sz w:val="17"/>
          <w:szCs w:val="17"/>
          <w:color w:val="auto"/>
        </w:rPr>
      </w:pPr>
    </w:p>
    <w:p>
      <w:pPr>
        <w:ind w:left="1700" w:right="699" w:hanging="175"/>
        <w:spacing w:after="0" w:line="285"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for financial assurance or the inadequacy of our insurance coverage could negatively impact our liquidity and increase our liabilities;</w:t>
      </w:r>
    </w:p>
    <w:p>
      <w:pPr>
        <w:spacing w:after="0" w:line="49" w:lineRule="exact"/>
        <w:rPr>
          <w:rFonts w:ascii="Times New Roman" w:cs="Times New Roman" w:eastAsia="Times New Roman" w:hAnsi="Times New Roman"/>
          <w:sz w:val="17"/>
          <w:szCs w:val="17"/>
          <w:color w:val="auto"/>
        </w:rPr>
      </w:pPr>
    </w:p>
    <w:p>
      <w:pPr>
        <w:ind w:left="1700" w:right="879" w:hanging="175"/>
        <w:spacing w:after="0" w:line="268" w:lineRule="auto"/>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charges against our earnings due to impairments to our assets as a result of shut-down operations, uncompleted development or expansion projects or other events may negatively affect earnings; and</w:t>
      </w:r>
    </w:p>
    <w:p>
      <w:pPr>
        <w:spacing w:after="0" w:line="63"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face significant liabilities for withdrawal from multiemployer pension plans.</w:t>
      </w:r>
    </w:p>
    <w:p>
      <w:pPr>
        <w:spacing w:after="0" w:line="151" w:lineRule="exact"/>
        <w:rPr>
          <w:sz w:val="20"/>
          <w:szCs w:val="20"/>
          <w:color w:val="auto"/>
        </w:rPr>
      </w:pPr>
    </w:p>
    <w:p>
      <w:pPr>
        <w:ind w:left="1180" w:right="839" w:firstLine="342"/>
        <w:spacing w:after="0" w:line="285" w:lineRule="auto"/>
        <w:rPr>
          <w:sz w:val="20"/>
          <w:szCs w:val="20"/>
          <w:color w:val="auto"/>
        </w:rPr>
      </w:pPr>
      <w:r>
        <w:rPr>
          <w:rFonts w:ascii="Times New Roman" w:cs="Times New Roman" w:eastAsia="Times New Roman" w:hAnsi="Times New Roman"/>
          <w:sz w:val="17"/>
          <w:szCs w:val="17"/>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55" w:lineRule="exact"/>
        <w:rPr>
          <w:sz w:val="20"/>
          <w:szCs w:val="20"/>
          <w:color w:val="auto"/>
        </w:rPr>
      </w:pPr>
    </w:p>
    <w:p>
      <w:pPr>
        <w:ind w:left="1180" w:right="799" w:firstLine="342"/>
        <w:spacing w:after="0" w:line="268" w:lineRule="auto"/>
        <w:rPr>
          <w:sz w:val="20"/>
          <w:szCs w:val="20"/>
          <w:color w:val="auto"/>
        </w:rPr>
      </w:pPr>
      <w:r>
        <w:rPr>
          <w:rFonts w:ascii="Times New Roman" w:cs="Times New Roman" w:eastAsia="Times New Roman" w:hAnsi="Times New Roman"/>
          <w:sz w:val="17"/>
          <w:szCs w:val="17"/>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02" w:lineRule="exact"/>
        <w:rPr>
          <w:sz w:val="20"/>
          <w:szCs w:val="20"/>
          <w:color w:val="auto"/>
        </w:rPr>
      </w:pPr>
    </w:p>
    <w:p>
      <w:pPr>
        <w:ind w:left="1180" w:right="699" w:firstLine="342"/>
        <w:spacing w:after="0" w:line="285" w:lineRule="auto"/>
        <w:rPr>
          <w:sz w:val="20"/>
          <w:szCs w:val="20"/>
          <w:color w:val="auto"/>
        </w:rPr>
      </w:pPr>
      <w:r>
        <w:rPr>
          <w:rFonts w:ascii="Times New Roman" w:cs="Times New Roman" w:eastAsia="Times New Roman" w:hAnsi="Times New Roman"/>
          <w:sz w:val="17"/>
          <w:szCs w:val="17"/>
          <w:color w:val="auto"/>
        </w:rPr>
        <w:t>The types of securities that we or selling securityholders may offer and sell from time to time pursuant to this prospectus are:</w:t>
      </w:r>
    </w:p>
    <w:p>
      <w:pPr>
        <w:spacing w:after="0" w:line="49" w:lineRule="exact"/>
        <w:rPr>
          <w:sz w:val="20"/>
          <w:szCs w:val="20"/>
          <w:color w:val="auto"/>
        </w:rPr>
      </w:pPr>
    </w:p>
    <w:p>
      <w:pPr>
        <w:ind w:left="1700" w:hanging="175"/>
        <w:spacing w:after="0"/>
        <w:tabs>
          <w:tab w:leader="none" w:pos="1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securities;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stock;</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guarantees; and</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consisting of any of the securities listed above.</w:t>
      </w:r>
    </w:p>
    <w:p>
      <w:pPr>
        <w:spacing w:after="0" w:line="138" w:lineRule="exact"/>
        <w:rPr>
          <w:sz w:val="20"/>
          <w:szCs w:val="20"/>
          <w:color w:val="auto"/>
        </w:rPr>
      </w:pPr>
    </w:p>
    <w:p>
      <w:pPr>
        <w:ind w:left="1180" w:right="639" w:firstLine="342"/>
        <w:spacing w:after="0" w:line="263" w:lineRule="auto"/>
        <w:rPr>
          <w:sz w:val="20"/>
          <w:szCs w:val="20"/>
          <w:color w:val="auto"/>
        </w:rPr>
      </w:pPr>
      <w:r>
        <w:rPr>
          <w:rFonts w:ascii="Times New Roman" w:cs="Times New Roman" w:eastAsia="Times New Roman" w:hAnsi="Times New Roman"/>
          <w:sz w:val="17"/>
          <w:szCs w:val="17"/>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67" w:lineRule="exact"/>
        <w:rPr>
          <w:sz w:val="20"/>
          <w:szCs w:val="20"/>
          <w:color w:val="auto"/>
        </w:rPr>
      </w:pPr>
    </w:p>
    <w:p>
      <w:pPr>
        <w:ind w:left="1700" w:hanging="175"/>
        <w:spacing w:after="0"/>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type and amount of securities that we or selling securityholders propose to sell;</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public offering price of the securities;</w:t>
      </w:r>
    </w:p>
    <w:p>
      <w:pPr>
        <w:spacing w:after="0" w:line="112" w:lineRule="exact"/>
        <w:rPr>
          <w:rFonts w:ascii="Times New Roman" w:cs="Times New Roman" w:eastAsia="Times New Roman" w:hAnsi="Times New Roman"/>
          <w:sz w:val="17"/>
          <w:szCs w:val="17"/>
          <w:color w:val="auto"/>
        </w:rPr>
      </w:pPr>
    </w:p>
    <w:p>
      <w:pPr>
        <w:ind w:left="1700" w:right="839" w:hanging="175"/>
        <w:spacing w:after="0" w:line="285" w:lineRule="auto"/>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any underwriters or agents through or to which we or selling securityholders will sell the securities;</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compensation of those underwriters or agents; and</w:t>
      </w:r>
    </w:p>
    <w:p>
      <w:pPr>
        <w:spacing w:after="0" w:line="112" w:lineRule="exact"/>
        <w:rPr>
          <w:rFonts w:ascii="Times New Roman" w:cs="Times New Roman" w:eastAsia="Times New Roman" w:hAnsi="Times New Roman"/>
          <w:sz w:val="17"/>
          <w:szCs w:val="17"/>
          <w:color w:val="auto"/>
        </w:rPr>
      </w:pPr>
    </w:p>
    <w:p>
      <w:pPr>
        <w:ind w:left="1700" w:right="779" w:hanging="175"/>
        <w:spacing w:after="0" w:line="285" w:lineRule="auto"/>
        <w:tabs>
          <w:tab w:leader="none" w:pos="1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any securities exchanges or automated quotation systems on which the securities will be listed or traded.</w:t>
      </w:r>
    </w:p>
    <w:p>
      <w:pPr>
        <w:spacing w:after="0" w:line="88" w:lineRule="exact"/>
        <w:rPr>
          <w:sz w:val="20"/>
          <w:szCs w:val="20"/>
          <w:color w:val="auto"/>
        </w:rPr>
      </w:pPr>
    </w:p>
    <w:p>
      <w:pPr>
        <w:ind w:left="1180" w:right="879" w:firstLine="342"/>
        <w:spacing w:after="0" w:line="263" w:lineRule="auto"/>
        <w:rPr>
          <w:sz w:val="20"/>
          <w:szCs w:val="20"/>
          <w:color w:val="auto"/>
        </w:rPr>
      </w:pPr>
      <w:r>
        <w:rPr>
          <w:rFonts w:ascii="Times New Roman" w:cs="Times New Roman" w:eastAsia="Times New Roman" w:hAnsi="Times New Roman"/>
          <w:sz w:val="17"/>
          <w:szCs w:val="17"/>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06" w:lineRule="exact"/>
        <w:rPr>
          <w:sz w:val="20"/>
          <w:szCs w:val="20"/>
          <w:color w:val="auto"/>
        </w:rPr>
      </w:pPr>
    </w:p>
    <w:p>
      <w:pPr>
        <w:ind w:left="1180" w:right="779" w:firstLine="342"/>
        <w:spacing w:after="0" w:line="258" w:lineRule="auto"/>
        <w:rPr>
          <w:sz w:val="20"/>
          <w:szCs w:val="20"/>
          <w:color w:val="auto"/>
        </w:rPr>
      </w:pPr>
      <w:r>
        <w:rPr>
          <w:rFonts w:ascii="Times New Roman" w:cs="Times New Roman" w:eastAsia="Times New Roman" w:hAnsi="Times New Roman"/>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00" w:lineRule="exact"/>
        <w:rPr>
          <w:sz w:val="20"/>
          <w:szCs w:val="20"/>
          <w:color w:val="auto"/>
        </w:rPr>
      </w:pPr>
    </w:p>
    <w:p>
      <w:pPr>
        <w:jc w:val="both"/>
        <w:ind w:left="1180" w:right="719" w:firstLine="342"/>
        <w:spacing w:after="0" w:line="268" w:lineRule="auto"/>
        <w:rPr>
          <w:sz w:val="20"/>
          <w:szCs w:val="20"/>
          <w:color w:val="auto"/>
        </w:rPr>
      </w:pPr>
      <w:r>
        <w:rPr>
          <w:rFonts w:ascii="Times New Roman" w:cs="Times New Roman" w:eastAsia="Times New Roman" w:hAnsi="Times New Roman"/>
          <w:sz w:val="17"/>
          <w:szCs w:val="17"/>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INCORPORATION OF CERTAIN DOCUMENTS BY REFERENCE</w:t>
      </w:r>
    </w:p>
    <w:p>
      <w:pPr>
        <w:spacing w:after="0" w:line="151" w:lineRule="exact"/>
        <w:rPr>
          <w:sz w:val="20"/>
          <w:szCs w:val="20"/>
          <w:color w:val="auto"/>
        </w:rPr>
      </w:pPr>
    </w:p>
    <w:p>
      <w:pPr>
        <w:ind w:left="1180" w:right="639" w:firstLine="342"/>
        <w:spacing w:after="0" w:line="295" w:lineRule="auto"/>
        <w:rPr>
          <w:sz w:val="20"/>
          <w:szCs w:val="20"/>
          <w:color w:val="auto"/>
        </w:rPr>
      </w:pPr>
      <w:r>
        <w:rPr>
          <w:rFonts w:ascii="Times New Roman" w:cs="Times New Roman" w:eastAsia="Times New Roman" w:hAnsi="Times New Roman"/>
          <w:sz w:val="16"/>
          <w:szCs w:val="16"/>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83" w:lineRule="exact"/>
        <w:rPr>
          <w:sz w:val="20"/>
          <w:szCs w:val="20"/>
          <w:color w:val="auto"/>
        </w:rPr>
      </w:pPr>
    </w:p>
    <w:p>
      <w:pPr>
        <w:ind w:left="1180" w:right="719" w:firstLine="342"/>
        <w:spacing w:after="0" w:line="255" w:lineRule="auto"/>
        <w:rPr>
          <w:sz w:val="20"/>
          <w:szCs w:val="20"/>
          <w:color w:val="auto"/>
        </w:rPr>
      </w:pPr>
      <w:r>
        <w:rPr>
          <w:rFonts w:ascii="Times New Roman" w:cs="Times New Roman" w:eastAsia="Times New Roman" w:hAnsi="Times New Roman"/>
          <w:sz w:val="17"/>
          <w:szCs w:val="17"/>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 w:lineRule="exact"/>
        <w:rPr>
          <w:sz w:val="20"/>
          <w:szCs w:val="20"/>
          <w:color w:val="auto"/>
        </w:rPr>
      </w:pPr>
    </w:p>
    <w:p>
      <w:pPr>
        <w:jc w:val="right"/>
        <w:ind w:right="579"/>
        <w:spacing w:after="0"/>
        <w:tabs>
          <w:tab w:leader="none" w:pos="1540" w:val="left"/>
          <w:tab w:leader="none" w:pos="96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7"/>
          <w:szCs w:val="27"/>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7"/>
          <w:szCs w:val="2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22225</wp:posOffset>
            </wp:positionV>
            <wp:extent cx="4954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p>
      <w:pPr>
        <w:spacing w:after="0" w:line="38" w:lineRule="exact"/>
        <w:rPr>
          <w:sz w:val="20"/>
          <w:szCs w:val="20"/>
          <w:color w:val="auto"/>
        </w:rPr>
      </w:pPr>
    </w:p>
    <w:tbl>
      <w:tblPr>
        <w:tblLayout w:type="fixed"/>
        <w:tblInd w:w="1180" w:type="dxa"/>
        <w:tblCellMar>
          <w:top w:w="0" w:type="dxa"/>
          <w:left w:w="0" w:type="dxa"/>
          <w:bottom w:w="0" w:type="dxa"/>
          <w:right w:w="0" w:type="dxa"/>
        </w:tblCellMar>
      </w:tblPr>
      <w:tr>
        <w:trPr>
          <w:trHeight w:val="215"/>
        </w:trPr>
        <w:tc>
          <w:tcPr>
            <w:tcW w:w="492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r:id="rId108">
              <w:r>
                <w:rPr>
                  <w:rFonts w:ascii="Times New Roman" w:cs="Times New Roman" w:eastAsia="Times New Roman" w:hAnsi="Times New Roman"/>
                  <w:sz w:val="17"/>
                  <w:szCs w:val="17"/>
                  <w:color w:val="0000EE"/>
                </w:rPr>
                <w:t>Annual Report on Form 10-K for the year ended December 31, 2021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11"/>
        </w:trPr>
        <w:tc>
          <w:tcPr>
            <w:tcW w:w="6280" w:type="dxa"/>
            <w:vAlign w:val="bottom"/>
            <w:gridSpan w:val="18"/>
          </w:tcPr>
          <w:p>
            <w:pPr>
              <w:spacing w:after="0"/>
              <w:rPr>
                <w:rFonts w:ascii="Times New Roman" w:cs="Times New Roman" w:eastAsia="Times New Roman" w:hAnsi="Times New Roman"/>
                <w:sz w:val="17"/>
                <w:szCs w:val="17"/>
                <w:color w:val="0000EE"/>
              </w:rPr>
            </w:pPr>
            <w:hyperlink r:id="rId109">
              <w:r>
                <w:rPr>
                  <w:rFonts w:ascii="Times New Roman" w:cs="Times New Roman" w:eastAsia="Times New Roman" w:hAnsi="Times New Roman"/>
                  <w:sz w:val="17"/>
                  <w:szCs w:val="17"/>
                  <w:color w:val="0000EE"/>
                </w:rPr>
                <w:t>Amendment No. 1 to Annual Report on Form 10-K for the year ended December 31,</w:t>
              </w:r>
            </w:hyperlink>
          </w:p>
        </w:tc>
        <w:tc>
          <w:tcPr>
            <w:tcW w:w="140" w:type="dxa"/>
            <w:vAlign w:val="bottom"/>
          </w:tcPr>
          <w:p>
            <w:pPr>
              <w:spacing w:after="0"/>
              <w:rPr>
                <w:sz w:val="18"/>
                <w:szCs w:val="18"/>
                <w:color w:val="auto"/>
              </w:rPr>
            </w:pPr>
          </w:p>
        </w:tc>
      </w:tr>
      <w:tr>
        <w:trPr>
          <w:trHeight w:val="185"/>
        </w:trPr>
        <w:tc>
          <w:tcPr>
            <w:tcW w:w="520" w:type="dxa"/>
            <w:vAlign w:val="bottom"/>
            <w:tcBorders>
              <w:top w:val="single" w:sz="8" w:color="0000EE"/>
            </w:tcBorders>
            <w:gridSpan w:val="3"/>
          </w:tcPr>
          <w:p>
            <w:pPr>
              <w:ind w:left="180"/>
              <w:spacing w:after="0" w:line="172" w:lineRule="exact"/>
              <w:rPr>
                <w:rFonts w:ascii="Times New Roman" w:cs="Times New Roman" w:eastAsia="Times New Roman" w:hAnsi="Times New Roman"/>
                <w:sz w:val="17"/>
                <w:szCs w:val="17"/>
                <w:color w:val="0000EE"/>
                <w:w w:val="93"/>
              </w:rPr>
            </w:pPr>
            <w:hyperlink r:id="rId109">
              <w:r>
                <w:rPr>
                  <w:rFonts w:ascii="Times New Roman" w:cs="Times New Roman" w:eastAsia="Times New Roman" w:hAnsi="Times New Roman"/>
                  <w:sz w:val="17"/>
                  <w:szCs w:val="17"/>
                  <w:color w:val="0000EE"/>
                  <w:w w:val="93"/>
                </w:rPr>
                <w:t>2021</w:t>
              </w:r>
            </w:hyperlink>
          </w:p>
        </w:tc>
        <w:tc>
          <w:tcPr>
            <w:tcW w:w="9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23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 ​</w:t>
            </w: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502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rPr>
            </w:pPr>
            <w:hyperlink r:id="rId110">
              <w:r>
                <w:rPr>
                  <w:rFonts w:ascii="Times New Roman" w:cs="Times New Roman" w:eastAsia="Times New Roman" w:hAnsi="Times New Roman"/>
                  <w:sz w:val="17"/>
                  <w:szCs w:val="17"/>
                  <w:color w:val="0000EE"/>
                </w:rPr>
                <w:t>Quarterly Report on Form 10-Q for the quarter ended March 31, 2022</w:t>
              </w:r>
            </w:hyperlink>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24"/>
        </w:trPr>
        <w:tc>
          <w:tcPr>
            <w:tcW w:w="206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111">
              <w:r>
                <w:rPr>
                  <w:rFonts w:ascii="Times New Roman" w:cs="Times New Roman" w:eastAsia="Times New Roman" w:hAnsi="Times New Roman"/>
                  <w:sz w:val="17"/>
                  <w:szCs w:val="17"/>
                  <w:color w:val="0000EE"/>
                </w:rPr>
                <w:t>Current Report on Form 8-K</w:t>
              </w:r>
            </w:hyperlink>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r>
      <w:tr>
        <w:trPr>
          <w:trHeight w:val="211"/>
        </w:trPr>
        <w:tc>
          <w:tcPr>
            <w:tcW w:w="6280" w:type="dxa"/>
            <w:vAlign w:val="bottom"/>
            <w:gridSpan w:val="18"/>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portions of our </w:t>
            </w:r>
            <w:hyperlink r:id="rId112">
              <w:r>
                <w:rPr>
                  <w:rFonts w:ascii="Times New Roman" w:cs="Times New Roman" w:eastAsia="Times New Roman" w:hAnsi="Times New Roman"/>
                  <w:sz w:val="17"/>
                  <w:szCs w:val="17"/>
                  <w:color w:val="0000EE"/>
                </w:rPr>
                <w:t>proxy statement for our 2022 annual meeting of stockholders</w:t>
              </w:r>
            </w:hyperlink>
          </w:p>
        </w:tc>
        <w:tc>
          <w:tcPr>
            <w:tcW w:w="1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80" w:type="dxa"/>
            <w:vAlign w:val="bottom"/>
          </w:tcPr>
          <w:p>
            <w:pPr>
              <w:spacing w:after="0"/>
              <w:rPr>
                <w:sz w:val="16"/>
                <w:szCs w:val="16"/>
                <w:color w:val="auto"/>
              </w:rPr>
            </w:pPr>
          </w:p>
        </w:tc>
        <w:tc>
          <w:tcPr>
            <w:tcW w:w="6100" w:type="dxa"/>
            <w:vAlign w:val="bottom"/>
            <w:gridSpan w:val="17"/>
          </w:tcPr>
          <w:p>
            <w:pPr>
              <w:spacing w:after="0" w:line="185" w:lineRule="exact"/>
              <w:rPr>
                <w:rFonts w:ascii="Times New Roman" w:cs="Times New Roman" w:eastAsia="Times New Roman" w:hAnsi="Times New Roman"/>
                <w:sz w:val="17"/>
                <w:szCs w:val="17"/>
                <w:color w:val="auto"/>
              </w:rPr>
            </w:pPr>
            <w:hyperlink r:id="rId109">
              <w:r>
                <w:rPr>
                  <w:rFonts w:ascii="Times New Roman" w:cs="Times New Roman" w:eastAsia="Times New Roman" w:hAnsi="Times New Roman"/>
                  <w:sz w:val="17"/>
                  <w:szCs w:val="17"/>
                  <w:color w:val="auto"/>
                </w:rPr>
                <w:t xml:space="preserve">incorporated by reference in our </w:t>
              </w:r>
              <w:r>
                <w:rPr>
                  <w:rFonts w:ascii="Times New Roman" w:cs="Times New Roman" w:eastAsia="Times New Roman" w:hAnsi="Times New Roman"/>
                  <w:sz w:val="17"/>
                  <w:szCs w:val="17"/>
                  <w:color w:val="0000EE"/>
                </w:rPr>
                <w:t>Annual Report on Form 10-K for the year ended</w:t>
              </w:r>
            </w:hyperlink>
          </w:p>
        </w:tc>
        <w:tc>
          <w:tcPr>
            <w:tcW w:w="140" w:type="dxa"/>
            <w:vAlign w:val="bottom"/>
          </w:tcPr>
          <w:p>
            <w:pPr>
              <w:spacing w:after="0"/>
              <w:rPr>
                <w:sz w:val="16"/>
                <w:szCs w:val="16"/>
                <w:color w:val="auto"/>
              </w:rPr>
            </w:pPr>
          </w:p>
        </w:tc>
      </w:tr>
      <w:tr>
        <w:trPr>
          <w:trHeight w:val="185"/>
        </w:trPr>
        <w:tc>
          <w:tcPr>
            <w:tcW w:w="180" w:type="dxa"/>
            <w:vAlign w:val="bottom"/>
          </w:tcPr>
          <w:p>
            <w:pPr>
              <w:spacing w:after="0"/>
              <w:rPr>
                <w:sz w:val="16"/>
                <w:szCs w:val="16"/>
                <w:color w:val="auto"/>
              </w:rPr>
            </w:pPr>
          </w:p>
        </w:tc>
        <w:tc>
          <w:tcPr>
            <w:tcW w:w="1400" w:type="dxa"/>
            <w:vAlign w:val="bottom"/>
            <w:tcBorders>
              <w:bottom w:val="single" w:sz="8" w:color="0000EE"/>
            </w:tcBorders>
            <w:gridSpan w:val="4"/>
          </w:tcPr>
          <w:p>
            <w:pPr>
              <w:spacing w:after="0" w:line="172" w:lineRule="exact"/>
              <w:rPr>
                <w:rFonts w:ascii="Times New Roman" w:cs="Times New Roman" w:eastAsia="Times New Roman" w:hAnsi="Times New Roman"/>
                <w:sz w:val="17"/>
                <w:szCs w:val="17"/>
                <w:color w:val="0000EE"/>
              </w:rPr>
            </w:pPr>
            <w:hyperlink r:id="rId109">
              <w:r>
                <w:rPr>
                  <w:rFonts w:ascii="Times New Roman" w:cs="Times New Roman" w:eastAsia="Times New Roman" w:hAnsi="Times New Roman"/>
                  <w:sz w:val="17"/>
                  <w:szCs w:val="17"/>
                  <w:color w:val="0000EE"/>
                </w:rPr>
                <w:t>December 31, 2021</w:t>
              </w:r>
            </w:hyperlink>
          </w:p>
        </w:tc>
        <w:tc>
          <w:tcPr>
            <w:tcW w:w="960" w:type="dxa"/>
            <w:vAlign w:val="bottom"/>
            <w:gridSpan w:val="3"/>
          </w:tcPr>
          <w:p>
            <w:pPr>
              <w:spacing w:after="0"/>
              <w:rPr>
                <w:sz w:val="16"/>
                <w:szCs w:val="16"/>
                <w:color w:val="auto"/>
              </w:rPr>
            </w:pPr>
          </w:p>
        </w:tc>
        <w:tc>
          <w:tcPr>
            <w:tcW w:w="3460" w:type="dxa"/>
            <w:vAlign w:val="bottom"/>
            <w:tcBorders>
              <w:top w:val="single" w:sz="8" w:color="0000EE"/>
            </w:tcBorders>
            <w:gridSpan w:val="6"/>
          </w:tcPr>
          <w:p>
            <w:pPr>
              <w:spacing w:after="0"/>
              <w:rPr>
                <w:sz w:val="16"/>
                <w:szCs w:val="16"/>
                <w:color w:val="auto"/>
              </w:rPr>
            </w:pPr>
          </w:p>
        </w:tc>
        <w:tc>
          <w:tcPr>
            <w:tcW w:w="280" w:type="dxa"/>
            <w:vAlign w:val="bottom"/>
            <w:gridSpan w:val="4"/>
          </w:tcPr>
          <w:p>
            <w:pPr>
              <w:spacing w:after="0"/>
              <w:rPr>
                <w:sz w:val="16"/>
                <w:szCs w:val="16"/>
                <w:color w:val="auto"/>
              </w:rPr>
            </w:pPr>
          </w:p>
        </w:tc>
        <w:tc>
          <w:tcPr>
            <w:tcW w:w="14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 ​</w:t>
            </w:r>
          </w:p>
        </w:tc>
      </w:tr>
      <w:tr>
        <w:trPr>
          <w:trHeight w:val="224"/>
        </w:trPr>
        <w:tc>
          <w:tcPr>
            <w:tcW w:w="6280" w:type="dxa"/>
            <w:vAlign w:val="bottom"/>
            <w:gridSpan w:val="18"/>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Description </w:t>
            </w:r>
            <w:hyperlink r:id="rId113">
              <w:r>
                <w:rPr>
                  <w:rFonts w:ascii="Times New Roman" w:cs="Times New Roman" w:eastAsia="Times New Roman" w:hAnsi="Times New Roman"/>
                  <w:sz w:val="17"/>
                  <w:szCs w:val="17"/>
                  <w:color w:val="auto"/>
                </w:rPr>
                <w:t xml:space="preserve">of our Common Stock contained in our Registration Statement on </w:t>
              </w:r>
              <w:r>
                <w:rPr>
                  <w:rFonts w:ascii="Times New Roman" w:cs="Times New Roman" w:eastAsia="Times New Roman" w:hAnsi="Times New Roman"/>
                  <w:sz w:val="17"/>
                  <w:szCs w:val="17"/>
                  <w:color w:val="0000EE"/>
                </w:rPr>
                <w:t>Form 8-</w:t>
              </w:r>
            </w:hyperlink>
          </w:p>
        </w:tc>
        <w:tc>
          <w:tcPr>
            <w:tcW w:w="14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80" w:type="dxa"/>
            <w:vAlign w:val="bottom"/>
          </w:tcPr>
          <w:p>
            <w:pPr>
              <w:spacing w:after="0"/>
              <w:rPr>
                <w:sz w:val="16"/>
                <w:szCs w:val="16"/>
                <w:color w:val="auto"/>
              </w:rPr>
            </w:pPr>
          </w:p>
        </w:tc>
        <w:tc>
          <w:tcPr>
            <w:tcW w:w="6100" w:type="dxa"/>
            <w:vAlign w:val="bottom"/>
            <w:gridSpan w:val="17"/>
          </w:tcPr>
          <w:p>
            <w:pPr>
              <w:spacing w:after="0" w:line="185"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B</w:t>
              </w:r>
              <w:r>
                <w:rPr>
                  <w:rFonts w:ascii="Times New Roman" w:cs="Times New Roman" w:eastAsia="Times New Roman" w:hAnsi="Times New Roman"/>
                  <w:sz w:val="17"/>
                  <w:szCs w:val="17"/>
                  <w:color w:val="000000"/>
                </w:rPr>
                <w:t>, as updated by the description of our Common Stock included in</w:t>
              </w:r>
              <w:r>
                <w:rPr>
                  <w:rFonts w:ascii="Times New Roman" w:cs="Times New Roman" w:eastAsia="Times New Roman" w:hAnsi="Times New Roman"/>
                  <w:sz w:val="17"/>
                  <w:szCs w:val="17"/>
                  <w:color w:val="0000EE"/>
                </w:rPr>
                <w:t xml:space="preserve"> Exhibit 4.9 to our</w:t>
              </w:r>
            </w:hyperlink>
          </w:p>
        </w:tc>
        <w:tc>
          <w:tcPr>
            <w:tcW w:w="14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5"/>
        </w:trPr>
        <w:tc>
          <w:tcPr>
            <w:tcW w:w="180" w:type="dxa"/>
            <w:vAlign w:val="bottom"/>
          </w:tcPr>
          <w:p>
            <w:pPr>
              <w:spacing w:after="0"/>
              <w:rPr>
                <w:sz w:val="16"/>
                <w:szCs w:val="16"/>
                <w:color w:val="auto"/>
              </w:rPr>
            </w:pPr>
          </w:p>
        </w:tc>
        <w:tc>
          <w:tcPr>
            <w:tcW w:w="5920" w:type="dxa"/>
            <w:vAlign w:val="bottom"/>
            <w:tcBorders>
              <w:bottom w:val="single" w:sz="8" w:color="0000EE"/>
            </w:tcBorders>
            <w:gridSpan w:val="15"/>
          </w:tcPr>
          <w:p>
            <w:pPr>
              <w:spacing w:after="0" w:line="185"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Annual Report on Form 10-K for the year ended December 31, 2019 filed with the</w:t>
              </w:r>
            </w:hyperlink>
          </w:p>
        </w:tc>
        <w:tc>
          <w:tcPr>
            <w:tcW w:w="1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r>
      <w:tr>
        <w:trPr>
          <w:trHeight w:val="185"/>
        </w:trPr>
        <w:tc>
          <w:tcPr>
            <w:tcW w:w="180" w:type="dxa"/>
            <w:vAlign w:val="bottom"/>
          </w:tcPr>
          <w:p>
            <w:pPr>
              <w:spacing w:after="0"/>
              <w:rPr>
                <w:sz w:val="16"/>
                <w:szCs w:val="16"/>
                <w:color w:val="auto"/>
              </w:rPr>
            </w:pPr>
          </w:p>
        </w:tc>
        <w:tc>
          <w:tcPr>
            <w:tcW w:w="6100" w:type="dxa"/>
            <w:vAlign w:val="bottom"/>
            <w:gridSpan w:val="17"/>
          </w:tcPr>
          <w:p>
            <w:pPr>
              <w:spacing w:after="0" w:line="185"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SEC on February 13, 2020</w:t>
              </w:r>
              <w:r>
                <w:rPr>
                  <w:rFonts w:ascii="Times New Roman" w:cs="Times New Roman" w:eastAsia="Times New Roman" w:hAnsi="Times New Roman"/>
                  <w:sz w:val="17"/>
                  <w:szCs w:val="17"/>
                  <w:color w:val="000000"/>
                </w:rPr>
                <w:t>, together with any subsequent amendment or report filed</w:t>
              </w:r>
            </w:hyperlink>
          </w:p>
        </w:tc>
        <w:tc>
          <w:tcPr>
            <w:tcW w:w="14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420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10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for the purpose of updating such description</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15, 2022​</w:t>
      </w: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March 29, 2022 ​</w:t>
      </w:r>
    </w:p>
    <w:p>
      <w:pPr>
        <w:spacing w:after="0" w:line="61"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7"/>
          <w:szCs w:val="17"/>
          <w:color w:val="auto"/>
        </w:rPr>
        <w:t>April 26, 2022</w:t>
        <w:tab/>
        <w:t>​</w:t>
      </w:r>
    </w:p>
    <w:p>
      <w:pPr>
        <w:spacing w:after="0" w:line="53" w:lineRule="exact"/>
        <w:rPr>
          <w:sz w:val="20"/>
          <w:szCs w:val="20"/>
          <w:color w:val="auto"/>
        </w:rPr>
      </w:pPr>
    </w:p>
    <w:p>
      <w:pPr>
        <w:ind w:left="140"/>
        <w:spacing w:after="0"/>
        <w:tabs>
          <w:tab w:leader="none" w:pos="1300" w:val="left"/>
        </w:tabs>
        <w:rPr>
          <w:sz w:val="20"/>
          <w:szCs w:val="20"/>
          <w:color w:val="auto"/>
        </w:rPr>
      </w:pPr>
      <w:r>
        <w:rPr>
          <w:rFonts w:ascii="Times New Roman" w:cs="Times New Roman" w:eastAsia="Times New Roman" w:hAnsi="Times New Roman"/>
          <w:sz w:val="17"/>
          <w:szCs w:val="17"/>
          <w:color w:val="auto"/>
        </w:rPr>
        <w:t>March 7, 2022</w:t>
        <w:tab/>
        <w:t>​</w:t>
      </w: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March 29, 2022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579"/>
        <w:spacing w:after="0"/>
        <w:tabs>
          <w:tab w:leader="none" w:pos="20" w:val="left"/>
        </w:tabs>
        <w:rPr>
          <w:sz w:val="20"/>
          <w:szCs w:val="20"/>
          <w:color w:val="auto"/>
        </w:rPr>
      </w:pPr>
      <w:r>
        <w:rPr>
          <w:rFonts w:ascii="Times New Roman" w:cs="Times New Roman" w:eastAsia="Times New Roman" w:hAnsi="Times New Roman"/>
          <w:sz w:val="17"/>
          <w:szCs w:val="17"/>
          <w:color w:val="auto"/>
        </w:rPr>
        <w:t>July 13, 1995</w:t>
        <w:tab/>
        <w:t>​</w:t>
      </w:r>
    </w:p>
    <w:p>
      <w:pPr>
        <w:spacing w:after="0" w:line="163" w:lineRule="exact"/>
        <w:rPr>
          <w:sz w:val="20"/>
          <w:szCs w:val="20"/>
          <w:color w:val="auto"/>
        </w:rPr>
      </w:pPr>
    </w:p>
    <w:p>
      <w:pPr>
        <w:sectPr>
          <w:pgSz w:w="11900" w:h="16838" w:orient="portrait"/>
          <w:cols w:equalWidth="0" w:num="2">
            <w:col w:w="7600" w:space="60"/>
            <w:col w:w="1939"/>
          </w:cols>
          <w:pgMar w:left="860" w:top="92" w:right="1440" w:bottom="1440" w:gutter="0" w:footer="0" w:header="0"/>
          <w:type w:val="continuous"/>
        </w:sectPr>
      </w:pPr>
    </w:p>
    <w:p>
      <w:pPr>
        <w:ind w:left="1180" w:right="639" w:firstLine="342"/>
        <w:spacing w:after="0" w:line="256" w:lineRule="auto"/>
        <w:rPr>
          <w:sz w:val="20"/>
          <w:szCs w:val="20"/>
          <w:color w:val="auto"/>
        </w:rPr>
      </w:pPr>
      <w:r>
        <w:rPr>
          <w:rFonts w:ascii="Times New Roman" w:cs="Times New Roman" w:eastAsia="Times New Roman" w:hAnsi="Times New Roman"/>
          <w:sz w:val="17"/>
          <w:szCs w:val="17"/>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1" w:lineRule="exact"/>
        <w:rPr>
          <w:sz w:val="20"/>
          <w:szCs w:val="20"/>
          <w:color w:val="auto"/>
        </w:rPr>
      </w:pPr>
    </w:p>
    <w:p>
      <w:pPr>
        <w:ind w:left="1180" w:right="619"/>
        <w:spacing w:after="0" w:line="264" w:lineRule="auto"/>
        <w:rPr>
          <w:sz w:val="20"/>
          <w:szCs w:val="20"/>
          <w:color w:val="auto"/>
        </w:rPr>
      </w:pPr>
      <w:r>
        <w:rPr>
          <w:rFonts w:ascii="Times New Roman" w:cs="Times New Roman" w:eastAsia="Times New Roman" w:hAnsi="Times New Roman"/>
          <w:sz w:val="17"/>
          <w:szCs w:val="17"/>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297" w:lineRule="exact"/>
        <w:rPr>
          <w:sz w:val="20"/>
          <w:szCs w:val="20"/>
          <w:color w:val="auto"/>
        </w:rPr>
      </w:pPr>
    </w:p>
    <w:p>
      <w:pPr>
        <w:jc w:val="both"/>
        <w:ind w:left="1180" w:right="619" w:firstLine="342"/>
        <w:spacing w:after="0" w:line="263" w:lineRule="auto"/>
        <w:rPr>
          <w:sz w:val="20"/>
          <w:szCs w:val="20"/>
          <w:color w:val="auto"/>
        </w:rPr>
      </w:pPr>
      <w:r>
        <w:rPr>
          <w:rFonts w:ascii="Times New Roman" w:cs="Times New Roman" w:eastAsia="Times New Roman" w:hAnsi="Times New Roman"/>
          <w:sz w:val="17"/>
          <w:szCs w:val="17"/>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06" w:lineRule="exact"/>
        <w:rPr>
          <w:sz w:val="20"/>
          <w:szCs w:val="20"/>
          <w:color w:val="auto"/>
        </w:rPr>
      </w:pPr>
    </w:p>
    <w:p>
      <w:pPr>
        <w:jc w:val="both"/>
        <w:ind w:left="1180" w:right="819" w:firstLine="342"/>
        <w:spacing w:after="0" w:line="263" w:lineRule="auto"/>
        <w:rPr>
          <w:sz w:val="20"/>
          <w:szCs w:val="20"/>
          <w:color w:val="auto"/>
        </w:rPr>
      </w:pPr>
      <w:r>
        <w:rPr>
          <w:rFonts w:ascii="Times New Roman" w:cs="Times New Roman" w:eastAsia="Times New Roman" w:hAnsi="Times New Roman"/>
          <w:sz w:val="17"/>
          <w:szCs w:val="17"/>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7"/>
          <w:szCs w:val="17"/>
          <w:i w:val="1"/>
          <w:iCs w:val="1"/>
          <w:color w:val="auto"/>
        </w:rPr>
        <w:t>.</w:t>
      </w:r>
    </w:p>
    <w:p>
      <w:pPr>
        <w:spacing w:after="0" w:line="10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Waste Management, Inc.</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800 Capitol Street, Suite 3000</w:t>
      </w:r>
    </w:p>
    <w:p>
      <w:pPr>
        <w:spacing w:after="0" w:line="1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1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Attn: Corporate Secretary</w:t>
      </w:r>
    </w:p>
    <w:p>
      <w:pPr>
        <w:spacing w:after="0" w:line="10" w:lineRule="exact"/>
        <w:rPr>
          <w:sz w:val="20"/>
          <w:szCs w:val="20"/>
          <w:color w:val="auto"/>
        </w:rPr>
      </w:pPr>
    </w:p>
    <w:p>
      <w:pPr>
        <w:ind w:left="4960" w:hanging="434"/>
        <w:spacing w:after="0"/>
        <w:tabs>
          <w:tab w:leader="none" w:pos="49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512-6200</w:t>
      </w:r>
    </w:p>
    <w:p>
      <w:pPr>
        <w:spacing w:after="0" w:line="364" w:lineRule="exact"/>
        <w:rPr>
          <w:rFonts w:ascii="Times New Roman" w:cs="Times New Roman" w:eastAsia="Times New Roman" w:hAnsi="Times New Roman"/>
          <w:sz w:val="17"/>
          <w:szCs w:val="17"/>
          <w:color w:val="auto"/>
        </w:rPr>
      </w:pPr>
    </w:p>
    <w:p>
      <w:pPr>
        <w:ind w:left="5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55" w:lineRule="exact"/>
        <w:rPr>
          <w:sz w:val="20"/>
          <w:szCs w:val="20"/>
          <w:color w:val="auto"/>
        </w:rPr>
      </w:pPr>
    </w:p>
    <w:p>
      <w:pPr>
        <w:ind w:left="1180" w:right="679" w:firstLine="342"/>
        <w:spacing w:after="0" w:line="263"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You can also obtain information about us at the offices of the New York Stock Exchange, 20 Broad Street, New York, New York 10005.</w:t>
      </w:r>
    </w:p>
    <w:p>
      <w:pPr>
        <w:spacing w:after="0" w:line="106" w:lineRule="exact"/>
        <w:rPr>
          <w:sz w:val="20"/>
          <w:szCs w:val="20"/>
          <w:color w:val="auto"/>
        </w:rPr>
      </w:pPr>
    </w:p>
    <w:p>
      <w:pPr>
        <w:ind w:left="1180" w:right="679" w:firstLine="342"/>
        <w:spacing w:after="0" w:line="260" w:lineRule="auto"/>
        <w:rPr>
          <w:sz w:val="20"/>
          <w:szCs w:val="20"/>
          <w:color w:val="auto"/>
        </w:rPr>
      </w:pPr>
      <w:r>
        <w:rPr>
          <w:rFonts w:ascii="Times New Roman" w:cs="Times New Roman" w:eastAsia="Times New Roman" w:hAnsi="Times New Roman"/>
          <w:sz w:val="17"/>
          <w:szCs w:val="17"/>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7"/>
          <w:szCs w:val="17"/>
          <w:i w:val="1"/>
          <w:iCs w:val="1"/>
          <w:color w:val="auto"/>
        </w:rPr>
        <w:t>www.wm.com</w:t>
      </w:r>
      <w:r>
        <w:rPr>
          <w:rFonts w:ascii="Times New Roman" w:cs="Times New Roman" w:eastAsia="Times New Roman" w:hAnsi="Times New Roman"/>
          <w:sz w:val="17"/>
          <w:szCs w:val="17"/>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96" w:lineRule="exact"/>
        <w:rPr>
          <w:sz w:val="20"/>
          <w:szCs w:val="20"/>
          <w:color w:val="auto"/>
        </w:rPr>
      </w:pPr>
    </w:p>
    <w:p>
      <w:pPr>
        <w:ind w:left="1180" w:right="759" w:firstLine="342"/>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55" w:lineRule="exact"/>
        <w:rPr>
          <w:sz w:val="20"/>
          <w:szCs w:val="20"/>
          <w:color w:val="auto"/>
        </w:rPr>
      </w:pPr>
    </w:p>
    <w:p>
      <w:pPr>
        <w:ind w:left="1180" w:right="639" w:firstLine="342"/>
        <w:spacing w:after="0" w:line="256" w:lineRule="auto"/>
        <w:rPr>
          <w:sz w:val="20"/>
          <w:szCs w:val="20"/>
          <w:color w:val="auto"/>
        </w:rPr>
      </w:pPr>
      <w:r>
        <w:rPr>
          <w:rFonts w:ascii="Times New Roman" w:cs="Times New Roman" w:eastAsia="Times New Roman" w:hAnsi="Times New Roman"/>
          <w:sz w:val="17"/>
          <w:szCs w:val="17"/>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321" w:lineRule="exact"/>
        <w:rPr>
          <w:sz w:val="20"/>
          <w:szCs w:val="20"/>
          <w:color w:val="auto"/>
        </w:rPr>
      </w:pPr>
    </w:p>
    <w:p>
      <w:pPr>
        <w:ind w:left="1180" w:right="799" w:firstLine="342"/>
        <w:spacing w:after="0" w:line="263"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7"/>
          <w:szCs w:val="17"/>
          <w:i w:val="1"/>
          <w:iCs w:val="1"/>
          <w:color w:val="auto"/>
        </w:rPr>
        <w:t>www.wm.com.</w:t>
      </w:r>
      <w:r>
        <w:rPr>
          <w:rFonts w:ascii="Times New Roman" w:cs="Times New Roman" w:eastAsia="Times New Roman" w:hAnsi="Times New Roman"/>
          <w:sz w:val="17"/>
          <w:szCs w:val="17"/>
          <w:color w:val="auto"/>
        </w:rPr>
        <w:t xml:space="preserve"> Information contained on, or that can be accessed through, our website is not incorporated by reference into this prospectus and does not constitute a part of this prospectus.</w:t>
      </w:r>
    </w:p>
    <w:p>
      <w:pPr>
        <w:spacing w:after="0" w:line="16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2" w:lineRule="exact"/>
        <w:rPr>
          <w:sz w:val="20"/>
          <w:szCs w:val="20"/>
          <w:color w:val="auto"/>
        </w:rPr>
      </w:pPr>
    </w:p>
    <w:p>
      <w:pPr>
        <w:ind w:left="1180" w:right="739" w:firstLine="342"/>
        <w:spacing w:after="0" w:line="255"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55" w:lineRule="exact"/>
        <w:rPr>
          <w:sz w:val="20"/>
          <w:szCs w:val="20"/>
          <w:color w:val="auto"/>
        </w:rPr>
      </w:pPr>
    </w:p>
    <w:p>
      <w:pPr>
        <w:ind w:left="1180" w:right="739" w:firstLine="342"/>
        <w:spacing w:after="0" w:line="257"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3"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DESCRIPTION OF THE DEBT SECURITIES</w:t>
      </w:r>
    </w:p>
    <w:p>
      <w:pPr>
        <w:spacing w:after="0" w:line="155" w:lineRule="exact"/>
        <w:rPr>
          <w:sz w:val="20"/>
          <w:szCs w:val="20"/>
          <w:color w:val="auto"/>
        </w:rPr>
      </w:pPr>
    </w:p>
    <w:p>
      <w:pPr>
        <w:ind w:left="1180" w:right="639" w:firstLine="342"/>
        <w:spacing w:after="0" w:line="256" w:lineRule="auto"/>
        <w:rPr>
          <w:sz w:val="20"/>
          <w:szCs w:val="20"/>
          <w:color w:val="auto"/>
        </w:rPr>
      </w:pPr>
      <w:r>
        <w:rPr>
          <w:rFonts w:ascii="Times New Roman" w:cs="Times New Roman" w:eastAsia="Times New Roman" w:hAnsi="Times New Roman"/>
          <w:sz w:val="17"/>
          <w:szCs w:val="17"/>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16" w:lineRule="exact"/>
        <w:rPr>
          <w:sz w:val="20"/>
          <w:szCs w:val="20"/>
          <w:color w:val="auto"/>
        </w:rPr>
      </w:pPr>
    </w:p>
    <w:p>
      <w:pPr>
        <w:ind w:left="1180" w:right="639" w:firstLine="342"/>
        <w:spacing w:after="0" w:line="257" w:lineRule="auto"/>
        <w:rPr>
          <w:sz w:val="20"/>
          <w:szCs w:val="20"/>
          <w:color w:val="auto"/>
        </w:rPr>
      </w:pPr>
      <w:r>
        <w:rPr>
          <w:rFonts w:ascii="Times New Roman" w:cs="Times New Roman" w:eastAsia="Times New Roman" w:hAnsi="Times New Roman"/>
          <w:sz w:val="17"/>
          <w:szCs w:val="17"/>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Provisions Applicable to Each Indenture</w:t>
      </w:r>
    </w:p>
    <w:p>
      <w:pPr>
        <w:spacing w:after="0" w:line="138" w:lineRule="exact"/>
        <w:rPr>
          <w:sz w:val="20"/>
          <w:szCs w:val="20"/>
          <w:color w:val="auto"/>
        </w:rPr>
      </w:pPr>
    </w:p>
    <w:p>
      <w:pPr>
        <w:ind w:left="1180" w:right="899" w:firstLine="34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Neither indenture limits the amount of debt securities that may be issued under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02" w:lineRule="exact"/>
        <w:rPr>
          <w:sz w:val="20"/>
          <w:szCs w:val="20"/>
          <w:color w:val="auto"/>
        </w:rPr>
      </w:pPr>
    </w:p>
    <w:p>
      <w:pPr>
        <w:ind w:left="1180" w:right="779" w:firstLine="342"/>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Terms. </w:t>
      </w:r>
      <w:r>
        <w:rPr>
          <w:rFonts w:ascii="Times New Roman" w:cs="Times New Roman" w:eastAsia="Times New Roman" w:hAnsi="Times New Roman"/>
          <w:sz w:val="17"/>
          <w:szCs w:val="17"/>
          <w:color w:val="auto"/>
        </w:rPr>
        <w:t>The prospectus supplement relating to any series of debt securities being offered will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specific terms relating to the offering. These terms will include some or all of the following:</w:t>
      </w:r>
    </w:p>
    <w:p>
      <w:pPr>
        <w:spacing w:after="0" w:line="45" w:lineRule="exact"/>
        <w:rPr>
          <w:sz w:val="20"/>
          <w:szCs w:val="20"/>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senior or subordinated debt securities;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debt securities;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principal amount of the debt securities;</w:t>
      </w:r>
    </w:p>
    <w:p>
      <w:pPr>
        <w:spacing w:after="0" w:line="112" w:lineRule="exact"/>
        <w:rPr>
          <w:rFonts w:ascii="Times New Roman" w:cs="Times New Roman" w:eastAsia="Times New Roman" w:hAnsi="Times New Roman"/>
          <w:sz w:val="17"/>
          <w:szCs w:val="17"/>
          <w:color w:val="auto"/>
        </w:rPr>
      </w:pPr>
    </w:p>
    <w:p>
      <w:pPr>
        <w:ind w:left="1700" w:right="859" w:hanging="175"/>
        <w:spacing w:after="0" w:line="285" w:lineRule="auto"/>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individual certificates to each holder or in the form of temporary or permanent global securities held by a depositary on behalf of holders;</w:t>
      </w:r>
    </w:p>
    <w:p>
      <w:pPr>
        <w:spacing w:after="0" w:line="61"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the principal of and any premium on the debt securities will be payable;</w:t>
      </w:r>
    </w:p>
    <w:p>
      <w:pPr>
        <w:spacing w:after="0" w:line="112" w:lineRule="exact"/>
        <w:rPr>
          <w:rFonts w:ascii="Times New Roman" w:cs="Times New Roman" w:eastAsia="Times New Roman" w:hAnsi="Times New Roman"/>
          <w:sz w:val="17"/>
          <w:szCs w:val="17"/>
          <w:color w:val="auto"/>
        </w:rPr>
      </w:pPr>
    </w:p>
    <w:p>
      <w:pPr>
        <w:ind w:left="1700" w:right="879" w:hanging="175"/>
        <w:spacing w:after="0" w:line="285" w:lineRule="auto"/>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rate (or the method of calculating the interest rate, if applicable), the date from which interest will accrue, interest payment dates and record dates for interest payments;</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 to extend or defer the interest payment periods and the duration of the extension;</w:t>
      </w:r>
    </w:p>
    <w:p>
      <w:pPr>
        <w:spacing w:after="0" w:line="112" w:lineRule="exact"/>
        <w:rPr>
          <w:rFonts w:ascii="Times New Roman" w:cs="Times New Roman" w:eastAsia="Times New Roman" w:hAnsi="Times New Roman"/>
          <w:sz w:val="17"/>
          <w:szCs w:val="17"/>
          <w:color w:val="auto"/>
        </w:rPr>
      </w:pPr>
    </w:p>
    <w:p>
      <w:pPr>
        <w:ind w:left="1700" w:right="619" w:hanging="175"/>
        <w:spacing w:after="0" w:line="285" w:lineRule="auto"/>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under what circumstances any additional amounts with respect to the debt securities will be payable;</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payments on the debt securities will be payable;</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for optional redemption or early repayment;</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that would require the redemption, purchase or repayment of debt securities;</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the debt securities will be issued;</w:t>
      </w:r>
    </w:p>
    <w:p>
      <w:pPr>
        <w:spacing w:after="0" w:line="112" w:lineRule="exact"/>
        <w:rPr>
          <w:rFonts w:ascii="Times New Roman" w:cs="Times New Roman" w:eastAsia="Times New Roman" w:hAnsi="Times New Roman"/>
          <w:sz w:val="17"/>
          <w:szCs w:val="17"/>
          <w:color w:val="auto"/>
        </w:rPr>
      </w:pPr>
    </w:p>
    <w:p>
      <w:pPr>
        <w:ind w:left="1700" w:right="999" w:hanging="175"/>
        <w:spacing w:after="0" w:line="285" w:lineRule="auto"/>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payments on the debt securities will be payable in foreign currency or currency units or another form and whether payments will be payable by reference to any index or formula;</w:t>
      </w:r>
    </w:p>
    <w:p>
      <w:pPr>
        <w:spacing w:after="0" w:line="49" w:lineRule="exact"/>
        <w:rPr>
          <w:rFonts w:ascii="Times New Roman" w:cs="Times New Roman" w:eastAsia="Times New Roman" w:hAnsi="Times New Roman"/>
          <w:sz w:val="17"/>
          <w:szCs w:val="17"/>
          <w:color w:val="auto"/>
        </w:rPr>
      </w:pPr>
    </w:p>
    <w:p>
      <w:pPr>
        <w:ind w:left="1700" w:right="1419" w:hanging="175"/>
        <w:spacing w:after="0" w:line="285" w:lineRule="auto"/>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the principal amount of debt securities that will be payable if the maturity is accelerated, if other than the entire principal amount;</w:t>
      </w:r>
    </w:p>
    <w:p>
      <w:pPr>
        <w:spacing w:after="0" w:line="49" w:lineRule="exact"/>
        <w:rPr>
          <w:rFonts w:ascii="Times New Roman" w:cs="Times New Roman" w:eastAsia="Times New Roman" w:hAnsi="Times New Roman"/>
          <w:sz w:val="17"/>
          <w:szCs w:val="17"/>
          <w:color w:val="auto"/>
        </w:rPr>
      </w:pPr>
    </w:p>
    <w:p>
      <w:pPr>
        <w:ind w:left="1700" w:right="719" w:hanging="175"/>
        <w:spacing w:after="0" w:line="285" w:lineRule="auto"/>
        <w:tabs>
          <w:tab w:leader="none" w:pos="1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means of defeasance of the debt securities, any additional conditions or limitations to defeasance of the debt securities or any changes to those conditions or limitations;</w:t>
      </w:r>
    </w:p>
    <w:p>
      <w:pPr>
        <w:spacing w:after="0" w:line="3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3"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hanging="175"/>
        <w:spacing w:after="0"/>
        <w:tabs>
          <w:tab w:leader="none" w:pos="17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or additions to the events of default or covenants described in this prospectus;</w:t>
      </w:r>
    </w:p>
    <w:p>
      <w:pPr>
        <w:spacing w:after="0" w:line="125"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or other provisions relating to the transfer or exchange of debt securities;</w:t>
      </w:r>
    </w:p>
    <w:p>
      <w:pPr>
        <w:spacing w:after="0" w:line="112" w:lineRule="exact"/>
        <w:rPr>
          <w:rFonts w:ascii="Times New Roman" w:cs="Times New Roman" w:eastAsia="Times New Roman" w:hAnsi="Times New Roman"/>
          <w:sz w:val="17"/>
          <w:szCs w:val="17"/>
          <w:color w:val="auto"/>
        </w:rPr>
      </w:pPr>
    </w:p>
    <w:p>
      <w:pPr>
        <w:ind w:left="1700" w:right="1319" w:hanging="175"/>
        <w:spacing w:after="0" w:line="285" w:lineRule="auto"/>
        <w:tabs>
          <w:tab w:leader="none" w:pos="17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terms for the conversion or exchange of the debt securities for other securities of Waste Management, Inc. or any other entity;</w:t>
      </w:r>
    </w:p>
    <w:p>
      <w:pPr>
        <w:spacing w:after="0" w:line="49" w:lineRule="exact"/>
        <w:rPr>
          <w:rFonts w:ascii="Times New Roman" w:cs="Times New Roman" w:eastAsia="Times New Roman" w:hAnsi="Times New Roman"/>
          <w:sz w:val="17"/>
          <w:szCs w:val="17"/>
          <w:color w:val="auto"/>
        </w:rPr>
      </w:pPr>
    </w:p>
    <w:p>
      <w:pPr>
        <w:ind w:left="1700" w:right="1119" w:hanging="175"/>
        <w:spacing w:after="0" w:line="285" w:lineRule="auto"/>
        <w:tabs>
          <w:tab w:leader="none" w:pos="17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subordinated indenture, any changes to the subordination provisions for the subordinated debt securities; and</w:t>
      </w:r>
    </w:p>
    <w:p>
      <w:pPr>
        <w:spacing w:after="0" w:line="4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debt securities not inconsistent with the applicable indenture.</w:t>
      </w:r>
    </w:p>
    <w:p>
      <w:pPr>
        <w:spacing w:after="0" w:line="151" w:lineRule="exact"/>
        <w:rPr>
          <w:sz w:val="20"/>
          <w:szCs w:val="20"/>
          <w:color w:val="auto"/>
        </w:rPr>
      </w:pPr>
    </w:p>
    <w:p>
      <w:pPr>
        <w:ind w:left="1180" w:right="779" w:firstLine="342"/>
        <w:spacing w:after="0" w:line="263" w:lineRule="auto"/>
        <w:rPr>
          <w:sz w:val="20"/>
          <w:szCs w:val="20"/>
          <w:color w:val="auto"/>
        </w:rPr>
      </w:pPr>
      <w:r>
        <w:rPr>
          <w:rFonts w:ascii="Times New Roman" w:cs="Times New Roman" w:eastAsia="Times New Roman" w:hAnsi="Times New Roman"/>
          <w:sz w:val="17"/>
          <w:szCs w:val="17"/>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06" w:lineRule="exact"/>
        <w:rPr>
          <w:sz w:val="20"/>
          <w:szCs w:val="20"/>
          <w:color w:val="auto"/>
        </w:rPr>
      </w:pPr>
    </w:p>
    <w:p>
      <w:pPr>
        <w:ind w:left="1180" w:right="639" w:firstLine="342"/>
        <w:spacing w:after="0" w:line="263" w:lineRule="auto"/>
        <w:rPr>
          <w:sz w:val="20"/>
          <w:szCs w:val="20"/>
          <w:color w:val="auto"/>
        </w:rPr>
      </w:pPr>
      <w:r>
        <w:rPr>
          <w:rFonts w:ascii="Times New Roman" w:cs="Times New Roman" w:eastAsia="Times New Roman" w:hAnsi="Times New Roman"/>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89" w:lineRule="exact"/>
        <w:rPr>
          <w:sz w:val="20"/>
          <w:szCs w:val="20"/>
          <w:color w:val="auto"/>
        </w:rPr>
      </w:pPr>
    </w:p>
    <w:p>
      <w:pPr>
        <w:ind w:left="1180" w:right="639" w:firstLine="342"/>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Consolidation, Merger and Sale of Assets. </w:t>
      </w:r>
      <w:r>
        <w:rPr>
          <w:rFonts w:ascii="Times New Roman" w:cs="Times New Roman" w:eastAsia="Times New Roman" w:hAnsi="Times New Roman"/>
          <w:sz w:val="17"/>
          <w:szCs w:val="17"/>
          <w:color w:val="auto"/>
        </w:rPr>
        <w:t>The indentures generally prohibit a consolidation or merger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Waste Management, Inc. into another person, or a conveyance, transfer or lease of our properties and assets substantially as an entirety to another person unless:</w:t>
      </w:r>
    </w:p>
    <w:p>
      <w:pPr>
        <w:spacing w:after="0" w:line="61" w:lineRule="exact"/>
        <w:rPr>
          <w:sz w:val="20"/>
          <w:szCs w:val="20"/>
          <w:color w:val="auto"/>
        </w:rPr>
      </w:pPr>
    </w:p>
    <w:p>
      <w:pPr>
        <w:ind w:left="1700" w:right="899" w:hanging="175"/>
        <w:spacing w:after="0" w:line="263" w:lineRule="auto"/>
        <w:tabs>
          <w:tab w:leader="none" w:pos="17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67" w:lineRule="exact"/>
        <w:rPr>
          <w:rFonts w:ascii="Times New Roman" w:cs="Times New Roman" w:eastAsia="Times New Roman" w:hAnsi="Times New Roman"/>
          <w:sz w:val="17"/>
          <w:szCs w:val="17"/>
          <w:color w:val="auto"/>
        </w:rPr>
      </w:pPr>
    </w:p>
    <w:p>
      <w:pPr>
        <w:ind w:left="1700" w:right="759" w:hanging="175"/>
        <w:spacing w:after="0" w:line="285" w:lineRule="auto"/>
        <w:tabs>
          <w:tab w:leader="none" w:pos="17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would occur and be continuing or would result from the transaction.</w:t>
      </w:r>
    </w:p>
    <w:p>
      <w:pPr>
        <w:spacing w:after="0" w:line="88" w:lineRule="exact"/>
        <w:rPr>
          <w:sz w:val="20"/>
          <w:szCs w:val="20"/>
          <w:color w:val="auto"/>
        </w:rPr>
      </w:pPr>
    </w:p>
    <w:p>
      <w:pPr>
        <w:jc w:val="both"/>
        <w:ind w:left="1180" w:right="999" w:firstLine="342"/>
        <w:spacing w:after="0" w:line="268" w:lineRule="auto"/>
        <w:rPr>
          <w:sz w:val="20"/>
          <w:szCs w:val="20"/>
          <w:color w:val="auto"/>
        </w:rPr>
      </w:pPr>
      <w:r>
        <w:rPr>
          <w:rFonts w:ascii="Times New Roman" w:cs="Times New Roman" w:eastAsia="Times New Roman" w:hAnsi="Times New Roman"/>
          <w:sz w:val="17"/>
          <w:szCs w:val="17"/>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98" w:lineRule="exact"/>
        <w:rPr>
          <w:sz w:val="20"/>
          <w:szCs w:val="20"/>
          <w:color w:val="auto"/>
        </w:rPr>
      </w:pPr>
    </w:p>
    <w:p>
      <w:pPr>
        <w:ind w:left="1180" w:right="1099" w:firstLine="342"/>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Events of Default. </w:t>
      </w:r>
      <w:r>
        <w:rPr>
          <w:rFonts w:ascii="Times New Roman" w:cs="Times New Roman" w:eastAsia="Times New Roman" w:hAnsi="Times New Roman"/>
          <w:sz w:val="17"/>
          <w:szCs w:val="17"/>
          <w:color w:val="auto"/>
        </w:rPr>
        <w:t>Unless we inform you otherwise in the applicable prospectus supplement,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are events of default with respect to a series of debt securities:</w:t>
      </w:r>
    </w:p>
    <w:p>
      <w:pPr>
        <w:spacing w:after="0" w:line="45" w:lineRule="exact"/>
        <w:rPr>
          <w:sz w:val="20"/>
          <w:szCs w:val="20"/>
          <w:color w:val="auto"/>
        </w:rPr>
      </w:pPr>
    </w:p>
    <w:p>
      <w:pPr>
        <w:ind w:left="1700" w:hanging="175"/>
        <w:spacing w:after="0"/>
        <w:tabs>
          <w:tab w:leader="none" w:pos="1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interest on that series of debt securities for 30 days when due;</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principal of or any premium on that series of debt securities when due;</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deposit into any sinking fund when due;</w:t>
      </w:r>
    </w:p>
    <w:p>
      <w:pPr>
        <w:spacing w:after="0" w:line="112" w:lineRule="exact"/>
        <w:rPr>
          <w:rFonts w:ascii="Times New Roman" w:cs="Times New Roman" w:eastAsia="Times New Roman" w:hAnsi="Times New Roman"/>
          <w:sz w:val="17"/>
          <w:szCs w:val="17"/>
          <w:color w:val="auto"/>
        </w:rPr>
      </w:pPr>
    </w:p>
    <w:p>
      <w:pPr>
        <w:ind w:left="1700" w:right="659" w:hanging="175"/>
        <w:spacing w:after="0" w:line="258" w:lineRule="auto"/>
        <w:tabs>
          <w:tab w:leader="none" w:pos="1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3"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events involving bankruptcy, insolvency or reorganization; and</w:t>
      </w:r>
    </w:p>
    <w:p>
      <w:pPr>
        <w:spacing w:after="0" w:line="125"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for that series of debt securities.</w:t>
      </w:r>
    </w:p>
    <w:p>
      <w:pPr>
        <w:spacing w:after="0" w:line="138" w:lineRule="exact"/>
        <w:rPr>
          <w:sz w:val="20"/>
          <w:szCs w:val="20"/>
          <w:color w:val="auto"/>
        </w:rPr>
      </w:pPr>
    </w:p>
    <w:p>
      <w:pPr>
        <w:ind w:left="1180" w:right="859" w:firstLine="342"/>
        <w:spacing w:after="0" w:line="260" w:lineRule="auto"/>
        <w:rPr>
          <w:sz w:val="20"/>
          <w:szCs w:val="20"/>
          <w:color w:val="auto"/>
        </w:rPr>
      </w:pPr>
      <w:r>
        <w:rPr>
          <w:rFonts w:ascii="Times New Roman" w:cs="Times New Roman" w:eastAsia="Times New Roman" w:hAnsi="Times New Roman"/>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3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248285</wp:posOffset>
            </wp:positionV>
            <wp:extent cx="649605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799" w:firstLine="342"/>
        <w:spacing w:after="0" w:line="285" w:lineRule="auto"/>
        <w:rPr>
          <w:sz w:val="20"/>
          <w:szCs w:val="20"/>
          <w:color w:val="auto"/>
        </w:rPr>
      </w:pPr>
      <w:r>
        <w:rPr>
          <w:rFonts w:ascii="Times New Roman" w:cs="Times New Roman" w:eastAsia="Times New Roman" w:hAnsi="Times New Roman"/>
          <w:sz w:val="17"/>
          <w:szCs w:val="17"/>
          <w:color w:val="auto"/>
        </w:rPr>
        <w:t>A holder of a debt security of any series issued under an indenture may pursue any remedy under that indenture only if:</w:t>
      </w:r>
    </w:p>
    <w:p>
      <w:pPr>
        <w:spacing w:after="0" w:line="62" w:lineRule="exact"/>
        <w:rPr>
          <w:sz w:val="20"/>
          <w:szCs w:val="20"/>
          <w:color w:val="auto"/>
        </w:rPr>
      </w:pPr>
    </w:p>
    <w:p>
      <w:pPr>
        <w:ind w:left="1700" w:hanging="175"/>
        <w:spacing w:after="0"/>
        <w:tabs>
          <w:tab w:leader="none" w:pos="17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gives the trustee written notice of a continuing event of default for that series;</w:t>
      </w:r>
    </w:p>
    <w:p>
      <w:pPr>
        <w:spacing w:after="0" w:line="112" w:lineRule="exact"/>
        <w:rPr>
          <w:rFonts w:ascii="Times New Roman" w:cs="Times New Roman" w:eastAsia="Times New Roman" w:hAnsi="Times New Roman"/>
          <w:sz w:val="17"/>
          <w:szCs w:val="17"/>
          <w:color w:val="auto"/>
        </w:rPr>
      </w:pPr>
    </w:p>
    <w:p>
      <w:pPr>
        <w:ind w:left="1700" w:right="719" w:hanging="175"/>
        <w:spacing w:after="0" w:line="285" w:lineRule="auto"/>
        <w:tabs>
          <w:tab w:leader="none" w:pos="17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the outstanding debt securities of that series make a written request to the trustee to pursue the remedy;</w:t>
      </w:r>
    </w:p>
    <w:p>
      <w:pPr>
        <w:spacing w:after="0" w:line="61"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offer to the trustee indemnity satisfactory to the trustee;</w:t>
      </w:r>
    </w:p>
    <w:p>
      <w:pPr>
        <w:spacing w:after="0" w:line="125"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fails to act for a period of 60 days after receipt of the request and offer of indemnity; and</w:t>
      </w:r>
    </w:p>
    <w:p>
      <w:pPr>
        <w:spacing w:after="0" w:line="112" w:lineRule="exact"/>
        <w:rPr>
          <w:rFonts w:ascii="Times New Roman" w:cs="Times New Roman" w:eastAsia="Times New Roman" w:hAnsi="Times New Roman"/>
          <w:sz w:val="17"/>
          <w:szCs w:val="17"/>
          <w:color w:val="auto"/>
        </w:rPr>
      </w:pPr>
    </w:p>
    <w:p>
      <w:pPr>
        <w:ind w:left="1700" w:right="719" w:hanging="175"/>
        <w:spacing w:after="0" w:line="285" w:lineRule="auto"/>
        <w:tabs>
          <w:tab w:leader="none" w:pos="17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that 60-day period, the holders of a majority in principal amount of the debt securities of that series do not give the trustee a direction inconsistent with the request.</w:t>
      </w:r>
    </w:p>
    <w:p>
      <w:pPr>
        <w:spacing w:after="0" w:line="88" w:lineRule="exact"/>
        <w:rPr>
          <w:sz w:val="20"/>
          <w:szCs w:val="20"/>
          <w:color w:val="auto"/>
        </w:rPr>
      </w:pPr>
    </w:p>
    <w:p>
      <w:pPr>
        <w:ind w:left="1180" w:right="759" w:firstLine="342"/>
        <w:spacing w:after="0" w:line="285" w:lineRule="auto"/>
        <w:rPr>
          <w:sz w:val="20"/>
          <w:szCs w:val="20"/>
          <w:color w:val="auto"/>
        </w:rPr>
      </w:pPr>
      <w:r>
        <w:rPr>
          <w:rFonts w:ascii="Times New Roman" w:cs="Times New Roman" w:eastAsia="Times New Roman" w:hAnsi="Times New Roman"/>
          <w:sz w:val="17"/>
          <w:szCs w:val="17"/>
          <w:color w:val="auto"/>
        </w:rPr>
        <w:t>This provision does not, however, affect the right of a holder of a debt security to sue for enforcement of any overdue payment.</w:t>
      </w:r>
    </w:p>
    <w:p>
      <w:pPr>
        <w:spacing w:after="0" w:line="88" w:lineRule="exact"/>
        <w:rPr>
          <w:sz w:val="20"/>
          <w:szCs w:val="20"/>
          <w:color w:val="auto"/>
        </w:rPr>
      </w:pPr>
    </w:p>
    <w:p>
      <w:pPr>
        <w:ind w:left="1180" w:right="879" w:firstLine="342"/>
        <w:spacing w:after="0" w:line="263" w:lineRule="auto"/>
        <w:rPr>
          <w:sz w:val="20"/>
          <w:szCs w:val="20"/>
          <w:color w:val="auto"/>
        </w:rPr>
      </w:pPr>
      <w:r>
        <w:rPr>
          <w:rFonts w:ascii="Times New Roman" w:cs="Times New Roman" w:eastAsia="Times New Roman" w:hAnsi="Times New Roman"/>
          <w:sz w:val="17"/>
          <w:szCs w:val="17"/>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67" w:lineRule="exact"/>
        <w:rPr>
          <w:sz w:val="20"/>
          <w:szCs w:val="20"/>
          <w:color w:val="auto"/>
        </w:rPr>
      </w:pPr>
    </w:p>
    <w:p>
      <w:pPr>
        <w:ind w:left="1700" w:hanging="175"/>
        <w:spacing w:after="0"/>
        <w:tabs>
          <w:tab w:leader="none" w:pos="17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any proceeding for any remedy available to the trustee; and</w:t>
      </w:r>
    </w:p>
    <w:p>
      <w:pPr>
        <w:spacing w:after="0" w:line="112" w:lineRule="exact"/>
        <w:rPr>
          <w:rFonts w:ascii="Times New Roman" w:cs="Times New Roman" w:eastAsia="Times New Roman" w:hAnsi="Times New Roman"/>
          <w:sz w:val="17"/>
          <w:szCs w:val="17"/>
          <w:color w:val="auto"/>
        </w:rPr>
      </w:pPr>
    </w:p>
    <w:p>
      <w:pPr>
        <w:ind w:left="1700" w:right="739" w:hanging="175"/>
        <w:spacing w:after="0" w:line="285" w:lineRule="auto"/>
        <w:tabs>
          <w:tab w:leader="none" w:pos="17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any trust or power conferred on the trustee relating to or arising as a result of an event of default.</w:t>
      </w:r>
    </w:p>
    <w:p>
      <w:pPr>
        <w:spacing w:after="0" w:line="88" w:lineRule="exact"/>
        <w:rPr>
          <w:sz w:val="20"/>
          <w:szCs w:val="20"/>
          <w:color w:val="auto"/>
        </w:rPr>
      </w:pPr>
    </w:p>
    <w:p>
      <w:pPr>
        <w:ind w:left="1180" w:right="939" w:firstLine="342"/>
        <w:spacing w:after="0" w:line="285" w:lineRule="auto"/>
        <w:rPr>
          <w:sz w:val="20"/>
          <w:szCs w:val="20"/>
          <w:color w:val="auto"/>
        </w:rPr>
      </w:pPr>
      <w:r>
        <w:rPr>
          <w:rFonts w:ascii="Times New Roman" w:cs="Times New Roman" w:eastAsia="Times New Roman" w:hAnsi="Times New Roman"/>
          <w:sz w:val="17"/>
          <w:szCs w:val="17"/>
          <w:color w:val="auto"/>
        </w:rPr>
        <w:t>The indentures require us to file each year with the trustee a written statement as to our compliance with the covenants contained in the applicable indenture.</w:t>
      </w:r>
    </w:p>
    <w:p>
      <w:pPr>
        <w:spacing w:after="0" w:line="84" w:lineRule="exact"/>
        <w:rPr>
          <w:sz w:val="20"/>
          <w:szCs w:val="20"/>
          <w:color w:val="auto"/>
        </w:rPr>
      </w:pPr>
    </w:p>
    <w:p>
      <w:pPr>
        <w:ind w:left="1180" w:right="619" w:firstLine="342"/>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Modification and Waiver. </w:t>
      </w:r>
      <w:r>
        <w:rPr>
          <w:rFonts w:ascii="Times New Roman" w:cs="Times New Roman" w:eastAsia="Times New Roman" w:hAnsi="Times New Roman"/>
          <w:sz w:val="17"/>
          <w:szCs w:val="17"/>
          <w:color w:val="auto"/>
        </w:rPr>
        <w:t>Each indenture may be amended or supplemented if the majority in principal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3" w:lineRule="exact"/>
        <w:rPr>
          <w:sz w:val="20"/>
          <w:szCs w:val="20"/>
          <w:color w:val="auto"/>
        </w:rPr>
      </w:pPr>
    </w:p>
    <w:p>
      <w:pPr>
        <w:ind w:left="1700" w:right="859" w:hanging="175"/>
        <w:spacing w:after="0" w:line="285" w:lineRule="auto"/>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amount of debt securities whose holders must consent to an amendment, supplement or waiver;</w:t>
      </w:r>
    </w:p>
    <w:p>
      <w:pPr>
        <w:spacing w:after="0" w:line="61"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change the time for payment of interest on the debt security;</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the debt security or change its stated maturity;</w:t>
      </w:r>
    </w:p>
    <w:p>
      <w:pPr>
        <w:spacing w:after="0" w:line="125" w:lineRule="exact"/>
        <w:rPr>
          <w:rFonts w:ascii="Times New Roman" w:cs="Times New Roman" w:eastAsia="Times New Roman" w:hAnsi="Times New Roman"/>
          <w:sz w:val="17"/>
          <w:szCs w:val="17"/>
          <w:color w:val="auto"/>
        </w:rPr>
      </w:pPr>
    </w:p>
    <w:p>
      <w:pPr>
        <w:ind w:left="1700" w:right="759" w:hanging="175"/>
        <w:spacing w:after="0" w:line="285" w:lineRule="auto"/>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any premium payable on the redemption of the debt security or change the time at which the debt security may or must be redeemed;</w:t>
      </w:r>
    </w:p>
    <w:p>
      <w:pPr>
        <w:spacing w:after="0" w:line="61"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obligation to pay additional amounts on the debt security;</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any obligation for us to maintain a paying agency;</w:t>
      </w:r>
    </w:p>
    <w:p>
      <w:pPr>
        <w:spacing w:after="0" w:line="125" w:lineRule="exact"/>
        <w:rPr>
          <w:rFonts w:ascii="Times New Roman" w:cs="Times New Roman" w:eastAsia="Times New Roman" w:hAnsi="Times New Roman"/>
          <w:sz w:val="17"/>
          <w:szCs w:val="17"/>
          <w:color w:val="auto"/>
        </w:rPr>
      </w:pPr>
    </w:p>
    <w:p>
      <w:pPr>
        <w:ind w:left="1700" w:right="899" w:hanging="175"/>
        <w:spacing w:after="0" w:line="285" w:lineRule="auto"/>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payments on the debt security payable in currency other than as originally stated in the debt security;</w:t>
      </w:r>
    </w:p>
    <w:p>
      <w:pPr>
        <w:spacing w:after="0" w:line="61" w:lineRule="exact"/>
        <w:rPr>
          <w:rFonts w:ascii="Times New Roman" w:cs="Times New Roman" w:eastAsia="Times New Roman" w:hAnsi="Times New Roman"/>
          <w:sz w:val="17"/>
          <w:szCs w:val="17"/>
          <w:color w:val="auto"/>
        </w:rPr>
      </w:pPr>
    </w:p>
    <w:p>
      <w:pPr>
        <w:ind w:left="1700" w:right="619" w:hanging="175"/>
        <w:spacing w:after="0" w:line="285" w:lineRule="auto"/>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holder’s right to institute suit for the enforcement of any payment on or with respect to the debt security;</w:t>
      </w:r>
    </w:p>
    <w:p>
      <w:pPr>
        <w:spacing w:after="0" w:line="49" w:lineRule="exact"/>
        <w:rPr>
          <w:rFonts w:ascii="Times New Roman" w:cs="Times New Roman" w:eastAsia="Times New Roman" w:hAnsi="Times New Roman"/>
          <w:sz w:val="17"/>
          <w:szCs w:val="17"/>
          <w:color w:val="auto"/>
        </w:rPr>
      </w:pPr>
    </w:p>
    <w:p>
      <w:pPr>
        <w:ind w:left="1700" w:right="639" w:hanging="175"/>
        <w:spacing w:after="0" w:line="278" w:lineRule="auto"/>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percentage of principal amount of debt securities necessary to waive compliance with certain provisions of the indenture or to make any change in the provision related to modification; or</w:t>
      </w:r>
    </w:p>
    <w:p>
      <w:pPr>
        <w:spacing w:after="0" w:line="278"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the right to convert subordinated debt securities, if applicable.</w:t>
      </w:r>
    </w:p>
    <w:p>
      <w:pPr>
        <w:spacing w:after="0" w:line="3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719" w:firstLine="342"/>
        <w:spacing w:after="0" w:line="266" w:lineRule="auto"/>
        <w:rPr>
          <w:sz w:val="20"/>
          <w:szCs w:val="20"/>
          <w:color w:val="auto"/>
        </w:rPr>
      </w:pPr>
      <w:r>
        <w:rPr>
          <w:rFonts w:ascii="Times New Roman" w:cs="Times New Roman" w:eastAsia="Times New Roman" w:hAnsi="Times New Roman"/>
          <w:sz w:val="17"/>
          <w:szCs w:val="17"/>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74" w:lineRule="exact"/>
        <w:rPr>
          <w:sz w:val="20"/>
          <w:szCs w:val="20"/>
          <w:color w:val="auto"/>
        </w:rPr>
      </w:pPr>
    </w:p>
    <w:p>
      <w:pPr>
        <w:ind w:left="1700" w:hanging="175"/>
        <w:spacing w:after="0"/>
        <w:tabs>
          <w:tab w:leader="none" w:pos="17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or event of default in any payment on any debt security; or</w:t>
      </w:r>
    </w:p>
    <w:p>
      <w:pPr>
        <w:spacing w:after="0" w:line="125" w:lineRule="exact"/>
        <w:rPr>
          <w:rFonts w:ascii="Times New Roman" w:cs="Times New Roman" w:eastAsia="Times New Roman" w:hAnsi="Times New Roman"/>
          <w:sz w:val="17"/>
          <w:szCs w:val="17"/>
          <w:color w:val="auto"/>
        </w:rPr>
      </w:pPr>
    </w:p>
    <w:p>
      <w:pPr>
        <w:ind w:left="1700" w:right="879" w:hanging="175"/>
        <w:spacing w:after="0" w:line="285" w:lineRule="auto"/>
        <w:tabs>
          <w:tab w:leader="none" w:pos="17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 provision that cannot be amended or supplemented without the consent of each holder affected.</w:t>
      </w:r>
    </w:p>
    <w:p>
      <w:pPr>
        <w:spacing w:after="0" w:line="71" w:lineRule="exact"/>
        <w:rPr>
          <w:sz w:val="20"/>
          <w:szCs w:val="20"/>
          <w:color w:val="auto"/>
        </w:rPr>
      </w:pPr>
    </w:p>
    <w:p>
      <w:pPr>
        <w:ind w:left="1180" w:right="619" w:firstLine="34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Defeasance. </w:t>
      </w:r>
      <w:r>
        <w:rPr>
          <w:rFonts w:ascii="Times New Roman" w:cs="Times New Roman" w:eastAsia="Times New Roman" w:hAnsi="Times New Roman"/>
          <w:sz w:val="17"/>
          <w:szCs w:val="17"/>
          <w:color w:val="auto"/>
        </w:rPr>
        <w:t>When we use the term defeasance, we mean discharge from some or all of our obligations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68" w:lineRule="exact"/>
        <w:rPr>
          <w:sz w:val="20"/>
          <w:szCs w:val="20"/>
          <w:color w:val="auto"/>
        </w:rPr>
      </w:pPr>
    </w:p>
    <w:p>
      <w:pPr>
        <w:ind w:left="1700" w:right="899" w:hanging="175"/>
        <w:spacing w:after="0" w:line="285" w:lineRule="auto"/>
        <w:tabs>
          <w:tab w:leader="none" w:pos="1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discharged from our obligations with respect to the debt securities of that series and, if applicable, the related guarantees (“legal defeasance”); or</w:t>
      </w:r>
    </w:p>
    <w:p>
      <w:pPr>
        <w:spacing w:after="0" w:line="49" w:lineRule="exact"/>
        <w:rPr>
          <w:rFonts w:ascii="Times New Roman" w:cs="Times New Roman" w:eastAsia="Times New Roman" w:hAnsi="Times New Roman"/>
          <w:sz w:val="17"/>
          <w:szCs w:val="17"/>
          <w:color w:val="auto"/>
        </w:rPr>
      </w:pPr>
    </w:p>
    <w:p>
      <w:pPr>
        <w:jc w:val="both"/>
        <w:ind w:left="1700" w:right="659" w:hanging="175"/>
        <w:spacing w:after="0" w:line="268" w:lineRule="auto"/>
        <w:tabs>
          <w:tab w:leader="none" w:pos="1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2" w:lineRule="exact"/>
        <w:rPr>
          <w:sz w:val="20"/>
          <w:szCs w:val="20"/>
          <w:color w:val="auto"/>
        </w:rPr>
      </w:pPr>
    </w:p>
    <w:p>
      <w:pPr>
        <w:ind w:left="1180" w:right="699" w:firstLine="342"/>
        <w:spacing w:after="0" w:line="258" w:lineRule="auto"/>
        <w:rPr>
          <w:sz w:val="20"/>
          <w:szCs w:val="20"/>
          <w:color w:val="auto"/>
        </w:rPr>
      </w:pPr>
      <w:r>
        <w:rPr>
          <w:rFonts w:ascii="Times New Roman" w:cs="Times New Roman" w:eastAsia="Times New Roman" w:hAnsi="Times New Roman"/>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12" w:lineRule="exact"/>
        <w:rPr>
          <w:sz w:val="20"/>
          <w:szCs w:val="20"/>
          <w:color w:val="auto"/>
        </w:rPr>
      </w:pPr>
    </w:p>
    <w:p>
      <w:pPr>
        <w:ind w:left="1180" w:right="639" w:firstLine="342"/>
        <w:spacing w:after="0" w:line="261" w:lineRule="auto"/>
        <w:rPr>
          <w:sz w:val="20"/>
          <w:szCs w:val="20"/>
          <w:color w:val="auto"/>
        </w:rPr>
      </w:pPr>
      <w:r>
        <w:rPr>
          <w:rFonts w:ascii="Times New Roman" w:cs="Times New Roman" w:eastAsia="Times New Roman" w:hAnsi="Times New Roman"/>
          <w:sz w:val="17"/>
          <w:szCs w:val="17"/>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301" w:lineRule="exact"/>
        <w:rPr>
          <w:sz w:val="20"/>
          <w:szCs w:val="20"/>
          <w:color w:val="auto"/>
        </w:rPr>
      </w:pPr>
    </w:p>
    <w:p>
      <w:pPr>
        <w:ind w:left="1520"/>
        <w:spacing w:after="0"/>
        <w:tabs>
          <w:tab w:leader="none" w:pos="2800" w:val="left"/>
        </w:tabs>
        <w:rPr>
          <w:sz w:val="20"/>
          <w:szCs w:val="20"/>
          <w:color w:val="auto"/>
        </w:rPr>
      </w:pPr>
      <w:r>
        <w:rPr>
          <w:rFonts w:ascii="Times New Roman" w:cs="Times New Roman" w:eastAsia="Times New Roman" w:hAnsi="Times New Roman"/>
          <w:sz w:val="17"/>
          <w:szCs w:val="17"/>
          <w:i w:val="1"/>
          <w:iCs w:val="1"/>
          <w:color w:val="auto"/>
        </w:rPr>
        <w:t>Governing Law.</w:t>
      </w:r>
      <w:r>
        <w:rPr>
          <w:sz w:val="20"/>
          <w:szCs w:val="20"/>
          <w:color w:val="auto"/>
        </w:rPr>
        <w:tab/>
      </w:r>
      <w:r>
        <w:rPr>
          <w:rFonts w:ascii="Times New Roman" w:cs="Times New Roman" w:eastAsia="Times New Roman" w:hAnsi="Times New Roman"/>
          <w:sz w:val="17"/>
          <w:szCs w:val="17"/>
          <w:color w:val="auto"/>
        </w:rPr>
        <w:t>New York law will govern the indentures and the debt securities.</w:t>
      </w:r>
    </w:p>
    <w:p>
      <w:pPr>
        <w:spacing w:after="0" w:line="151" w:lineRule="exact"/>
        <w:rPr>
          <w:sz w:val="20"/>
          <w:szCs w:val="20"/>
          <w:color w:val="auto"/>
        </w:rPr>
      </w:pPr>
    </w:p>
    <w:p>
      <w:pPr>
        <w:ind w:left="1180" w:right="659" w:firstLine="342"/>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Trustee. </w:t>
      </w:r>
      <w:r>
        <w:rPr>
          <w:rFonts w:ascii="Times New Roman" w:cs="Times New Roman" w:eastAsia="Times New Roman" w:hAnsi="Times New Roman"/>
          <w:sz w:val="17"/>
          <w:szCs w:val="17"/>
          <w:color w:val="auto"/>
        </w:rPr>
        <w:t>The Bank of New York Mellon Trust Company, N.A. is the trustee under the senior indenture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318" w:lineRule="exact"/>
        <w:rPr>
          <w:sz w:val="20"/>
          <w:szCs w:val="20"/>
          <w:color w:val="auto"/>
        </w:rPr>
      </w:pPr>
    </w:p>
    <w:p>
      <w:pPr>
        <w:ind w:left="1180" w:right="639" w:firstLine="342"/>
        <w:spacing w:after="0" w:line="260" w:lineRule="auto"/>
        <w:rPr>
          <w:sz w:val="20"/>
          <w:szCs w:val="20"/>
          <w:color w:val="auto"/>
        </w:rPr>
      </w:pPr>
      <w:r>
        <w:rPr>
          <w:rFonts w:ascii="Times New Roman" w:cs="Times New Roman" w:eastAsia="Times New Roman" w:hAnsi="Times New Roman"/>
          <w:sz w:val="17"/>
          <w:szCs w:val="17"/>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6" w:lineRule="exact"/>
        <w:rPr>
          <w:sz w:val="20"/>
          <w:szCs w:val="20"/>
          <w:color w:val="auto"/>
        </w:rPr>
      </w:pPr>
    </w:p>
    <w:p>
      <w:pPr>
        <w:ind w:left="1180" w:right="899" w:firstLine="342"/>
        <w:spacing w:after="0" w:line="263" w:lineRule="auto"/>
        <w:rPr>
          <w:sz w:val="20"/>
          <w:szCs w:val="20"/>
          <w:color w:val="auto"/>
        </w:rPr>
      </w:pPr>
      <w:r>
        <w:rPr>
          <w:rFonts w:ascii="Times New Roman" w:cs="Times New Roman" w:eastAsia="Times New Roman" w:hAnsi="Times New Roman"/>
          <w:sz w:val="17"/>
          <w:szCs w:val="17"/>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02" w:lineRule="exact"/>
        <w:rPr>
          <w:sz w:val="20"/>
          <w:szCs w:val="20"/>
          <w:color w:val="auto"/>
        </w:rPr>
      </w:pPr>
    </w:p>
    <w:p>
      <w:pPr>
        <w:ind w:left="1180" w:right="839" w:firstLine="34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Form, Exchange, Registration and Transfer. </w:t>
      </w:r>
      <w:r>
        <w:rPr>
          <w:rFonts w:ascii="Times New Roman" w:cs="Times New Roman" w:eastAsia="Times New Roman" w:hAnsi="Times New Roman"/>
          <w:sz w:val="17"/>
          <w:szCs w:val="17"/>
          <w:color w:val="auto"/>
        </w:rPr>
        <w:t>The debt securities may be issued in registered 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3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79" w:firstLine="342"/>
        <w:spacing w:after="0" w:line="252" w:lineRule="auto"/>
        <w:rPr>
          <w:sz w:val="20"/>
          <w:szCs w:val="20"/>
          <w:color w:val="auto"/>
        </w:rPr>
      </w:pPr>
      <w:r>
        <w:rPr>
          <w:rFonts w:ascii="Times New Roman" w:cs="Times New Roman" w:eastAsia="Times New Roman" w:hAnsi="Times New Roman"/>
          <w:sz w:val="17"/>
          <w:szCs w:val="17"/>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03" w:lineRule="exact"/>
        <w:rPr>
          <w:sz w:val="20"/>
          <w:szCs w:val="20"/>
          <w:color w:val="auto"/>
        </w:rPr>
      </w:pPr>
    </w:p>
    <w:p>
      <w:pPr>
        <w:ind w:left="1180" w:right="639" w:firstLine="342"/>
        <w:spacing w:after="0" w:line="248" w:lineRule="auto"/>
        <w:rPr>
          <w:sz w:val="20"/>
          <w:szCs w:val="20"/>
          <w:color w:val="auto"/>
        </w:rPr>
      </w:pPr>
      <w:r>
        <w:rPr>
          <w:rFonts w:ascii="Times New Roman" w:cs="Times New Roman" w:eastAsia="Times New Roman" w:hAnsi="Times New Roman"/>
          <w:sz w:val="17"/>
          <w:szCs w:val="17"/>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In the case of any redemption, we will not be required to register the transfer or exchange of:</w:t>
      </w:r>
    </w:p>
    <w:p>
      <w:pPr>
        <w:spacing w:after="0" w:line="113" w:lineRule="exact"/>
        <w:rPr>
          <w:sz w:val="20"/>
          <w:szCs w:val="20"/>
          <w:color w:val="auto"/>
        </w:rPr>
      </w:pPr>
    </w:p>
    <w:p>
      <w:pPr>
        <w:ind w:left="1700" w:right="659" w:hanging="175"/>
        <w:spacing w:after="0" w:line="278" w:lineRule="auto"/>
        <w:tabs>
          <w:tab w:leader="none" w:pos="17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debt security during a period beginning 15 business days prior to the mailing of the relevant notice of redemption or repurchase and ending on the close of business on the day of mailing of such notice; or</w:t>
      </w:r>
    </w:p>
    <w:p>
      <w:pPr>
        <w:spacing w:after="0" w:line="253" w:lineRule="exact"/>
        <w:rPr>
          <w:rFonts w:ascii="Times New Roman" w:cs="Times New Roman" w:eastAsia="Times New Roman" w:hAnsi="Times New Roman"/>
          <w:sz w:val="17"/>
          <w:szCs w:val="17"/>
          <w:color w:val="auto"/>
        </w:rPr>
      </w:pPr>
    </w:p>
    <w:p>
      <w:pPr>
        <w:ind w:left="1700" w:right="999" w:hanging="175"/>
        <w:spacing w:after="0" w:line="285" w:lineRule="auto"/>
        <w:tabs>
          <w:tab w:leader="none" w:pos="17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debt security that has been called for redemption in whole or in part, except the unredeemed portion of any debt security being redeemed in part.</w:t>
      </w:r>
    </w:p>
    <w:p>
      <w:pPr>
        <w:spacing w:after="0" w:line="84" w:lineRule="exact"/>
        <w:rPr>
          <w:sz w:val="20"/>
          <w:szCs w:val="20"/>
          <w:color w:val="auto"/>
        </w:rPr>
      </w:pPr>
    </w:p>
    <w:p>
      <w:pPr>
        <w:ind w:left="1180" w:right="679" w:firstLine="342"/>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Payment and Paying Agents. </w:t>
      </w:r>
      <w:r>
        <w:rPr>
          <w:rFonts w:ascii="Times New Roman" w:cs="Times New Roman" w:eastAsia="Times New Roman" w:hAnsi="Times New Roman"/>
          <w:sz w:val="17"/>
          <w:szCs w:val="17"/>
          <w:color w:val="auto"/>
        </w:rPr>
        <w:t>Unless we inform you otherwise in a prospectus supplement, payments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06" w:lineRule="exact"/>
        <w:rPr>
          <w:sz w:val="20"/>
          <w:szCs w:val="20"/>
          <w:color w:val="auto"/>
        </w:rPr>
      </w:pPr>
    </w:p>
    <w:p>
      <w:pPr>
        <w:ind w:left="1180" w:right="699" w:firstLine="342"/>
        <w:spacing w:after="0" w:line="252" w:lineRule="auto"/>
        <w:rPr>
          <w:sz w:val="20"/>
          <w:szCs w:val="20"/>
          <w:color w:val="auto"/>
        </w:rPr>
      </w:pPr>
      <w:r>
        <w:rPr>
          <w:rFonts w:ascii="Times New Roman" w:cs="Times New Roman" w:eastAsia="Times New Roman" w:hAnsi="Times New Roman"/>
          <w:sz w:val="17"/>
          <w:szCs w:val="17"/>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03" w:lineRule="exact"/>
        <w:rPr>
          <w:sz w:val="20"/>
          <w:szCs w:val="20"/>
          <w:color w:val="auto"/>
        </w:rPr>
      </w:pPr>
    </w:p>
    <w:p>
      <w:pPr>
        <w:ind w:left="1180" w:right="659" w:firstLine="342"/>
        <w:spacing w:after="0" w:line="249" w:lineRule="auto"/>
        <w:rPr>
          <w:sz w:val="20"/>
          <w:szCs w:val="20"/>
          <w:color w:val="auto"/>
        </w:rPr>
      </w:pPr>
      <w:r>
        <w:rPr>
          <w:rFonts w:ascii="Times New Roman" w:cs="Times New Roman" w:eastAsia="Times New Roman" w:hAnsi="Times New Roman"/>
          <w:sz w:val="17"/>
          <w:szCs w:val="17"/>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308" w:lineRule="exact"/>
        <w:rPr>
          <w:sz w:val="20"/>
          <w:szCs w:val="20"/>
          <w:color w:val="auto"/>
        </w:rPr>
      </w:pPr>
    </w:p>
    <w:p>
      <w:pPr>
        <w:ind w:left="1180" w:right="619" w:firstLine="342"/>
        <w:spacing w:after="0" w:line="248" w:lineRule="auto"/>
        <w:rPr>
          <w:sz w:val="20"/>
          <w:szCs w:val="20"/>
          <w:color w:val="auto"/>
        </w:rPr>
      </w:pPr>
      <w:r>
        <w:rPr>
          <w:rFonts w:ascii="Times New Roman" w:cs="Times New Roman" w:eastAsia="Times New Roman" w:hAnsi="Times New Roman"/>
          <w:sz w:val="17"/>
          <w:szCs w:val="17"/>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03" w:lineRule="exact"/>
        <w:rPr>
          <w:sz w:val="20"/>
          <w:szCs w:val="20"/>
          <w:color w:val="auto"/>
        </w:rPr>
      </w:pPr>
    </w:p>
    <w:p>
      <w:pPr>
        <w:ind w:left="1180" w:right="779" w:firstLine="342"/>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Book-Entry Debt Securities. </w:t>
      </w:r>
      <w:r>
        <w:rPr>
          <w:rFonts w:ascii="Times New Roman" w:cs="Times New Roman" w:eastAsia="Times New Roman" w:hAnsi="Times New Roman"/>
          <w:sz w:val="17"/>
          <w:szCs w:val="17"/>
          <w:color w:val="auto"/>
        </w:rPr>
        <w:t>The debt securities of a series may be issued in the form of one or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Provisions Applicable Solely to Senior Debt Securities</w:t>
      </w:r>
    </w:p>
    <w:p>
      <w:pPr>
        <w:spacing w:after="0" w:line="151" w:lineRule="exact"/>
        <w:rPr>
          <w:sz w:val="20"/>
          <w:szCs w:val="20"/>
          <w:color w:val="auto"/>
        </w:rPr>
      </w:pPr>
    </w:p>
    <w:p>
      <w:pPr>
        <w:ind w:left="1180" w:right="659" w:firstLine="342"/>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Ranking and Guarantee. </w:t>
      </w:r>
      <w:r>
        <w:rPr>
          <w:rFonts w:ascii="Times New Roman" w:cs="Times New Roman" w:eastAsia="Times New Roman" w:hAnsi="Times New Roman"/>
          <w:sz w:val="17"/>
          <w:szCs w:val="17"/>
          <w:color w:val="auto"/>
        </w:rPr>
        <w:t>The senior debt securities will constitute senior debt of Waste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619"/>
        <w:spacing w:after="0" w:line="268" w:lineRule="auto"/>
        <w:rPr>
          <w:sz w:val="20"/>
          <w:szCs w:val="20"/>
          <w:color w:val="auto"/>
        </w:rPr>
      </w:pPr>
      <w:r>
        <w:rPr>
          <w:rFonts w:ascii="Times New Roman" w:cs="Times New Roman" w:eastAsia="Times New Roman" w:hAnsi="Times New Roman"/>
          <w:sz w:val="17"/>
          <w:szCs w:val="17"/>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98" w:lineRule="exact"/>
        <w:rPr>
          <w:sz w:val="20"/>
          <w:szCs w:val="20"/>
          <w:color w:val="auto"/>
        </w:rPr>
      </w:pPr>
    </w:p>
    <w:p>
      <w:pPr>
        <w:ind w:left="1180" w:right="699" w:firstLine="34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Restrictive Covenants. </w:t>
      </w:r>
      <w:r>
        <w:rPr>
          <w:rFonts w:ascii="Times New Roman" w:cs="Times New Roman" w:eastAsia="Times New Roman" w:hAnsi="Times New Roman"/>
          <w:sz w:val="17"/>
          <w:szCs w:val="17"/>
          <w:color w:val="auto"/>
        </w:rPr>
        <w:t>We have agreed to two principal restrictions on our activities for the benefit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Limitation on Liens</w:t>
      </w:r>
    </w:p>
    <w:p>
      <w:pPr>
        <w:spacing w:after="0" w:line="157" w:lineRule="exact"/>
        <w:rPr>
          <w:sz w:val="20"/>
          <w:szCs w:val="20"/>
          <w:color w:val="auto"/>
        </w:rPr>
      </w:pPr>
    </w:p>
    <w:p>
      <w:pPr>
        <w:jc w:val="both"/>
        <w:ind w:left="1180" w:right="619" w:firstLine="342"/>
        <w:spacing w:after="0" w:line="268" w:lineRule="auto"/>
        <w:rPr>
          <w:sz w:val="20"/>
          <w:szCs w:val="20"/>
          <w:color w:val="auto"/>
        </w:rPr>
      </w:pPr>
      <w:r>
        <w:rPr>
          <w:rFonts w:ascii="Times New Roman" w:cs="Times New Roman" w:eastAsia="Times New Roman" w:hAnsi="Times New Roman"/>
          <w:sz w:val="17"/>
          <w:szCs w:val="17"/>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90" w:lineRule="exact"/>
        <w:rPr>
          <w:sz w:val="20"/>
          <w:szCs w:val="20"/>
          <w:color w:val="auto"/>
        </w:rPr>
      </w:pPr>
    </w:p>
    <w:p>
      <w:pPr>
        <w:ind w:left="1180" w:right="659" w:firstLine="345"/>
        <w:spacing w:after="0" w:line="285" w:lineRule="auto"/>
        <w:tabs>
          <w:tab w:leader="none" w:pos="186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the property or assets existing at the time of acquisition which secure obligations assumed by us or our Restricted Subsidiaries;</w:t>
      </w:r>
    </w:p>
    <w:p>
      <w:pPr>
        <w:spacing w:after="0" w:line="87" w:lineRule="exact"/>
        <w:rPr>
          <w:rFonts w:ascii="Times New Roman" w:cs="Times New Roman" w:eastAsia="Times New Roman" w:hAnsi="Times New Roman"/>
          <w:sz w:val="17"/>
          <w:szCs w:val="17"/>
          <w:color w:val="auto"/>
        </w:rPr>
      </w:pPr>
    </w:p>
    <w:p>
      <w:pPr>
        <w:ind w:left="1180" w:right="759" w:firstLine="345"/>
        <w:spacing w:after="0" w:line="285" w:lineRule="auto"/>
        <w:tabs>
          <w:tab w:leader="none" w:pos="187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conditional sales agreements with respect to any property or assets acquired by us or a Restricted Subsidiary;</w:t>
      </w:r>
    </w:p>
    <w:p>
      <w:pPr>
        <w:spacing w:after="0" w:line="87" w:lineRule="exact"/>
        <w:rPr>
          <w:rFonts w:ascii="Times New Roman" w:cs="Times New Roman" w:eastAsia="Times New Roman" w:hAnsi="Times New Roman"/>
          <w:sz w:val="17"/>
          <w:szCs w:val="17"/>
          <w:color w:val="auto"/>
        </w:rPr>
      </w:pPr>
    </w:p>
    <w:p>
      <w:pPr>
        <w:ind w:left="1180" w:right="879" w:firstLine="345"/>
        <w:spacing w:after="0" w:line="285" w:lineRule="auto"/>
        <w:tabs>
          <w:tab w:leader="none" w:pos="186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the property, assets or stock of an entity at the time the entity is merged into or consolidated with us or a Restricted Subsidiary or at the time the entity becomes a Restricted Subsidiary;</w:t>
      </w:r>
    </w:p>
    <w:p>
      <w:pPr>
        <w:spacing w:after="0" w:line="74" w:lineRule="exact"/>
        <w:rPr>
          <w:rFonts w:ascii="Times New Roman" w:cs="Times New Roman" w:eastAsia="Times New Roman" w:hAnsi="Times New Roman"/>
          <w:sz w:val="17"/>
          <w:szCs w:val="17"/>
          <w:color w:val="auto"/>
        </w:rPr>
      </w:pPr>
    </w:p>
    <w:p>
      <w:pPr>
        <w:ind w:left="1180" w:right="639" w:firstLine="345"/>
        <w:spacing w:after="0" w:line="278" w:lineRule="auto"/>
        <w:tabs>
          <w:tab w:leader="none" w:pos="187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the property, assets or stock of any successor entity that becomes the Company in accordance with “— Provisions Applicable to Each Indenture — Consolidation, Merger and Sale of Assets,” above;</w:t>
      </w:r>
    </w:p>
    <w:p>
      <w:pPr>
        <w:spacing w:after="0" w:line="304" w:lineRule="exact"/>
        <w:rPr>
          <w:rFonts w:ascii="Times New Roman" w:cs="Times New Roman" w:eastAsia="Times New Roman" w:hAnsi="Times New Roman"/>
          <w:sz w:val="17"/>
          <w:szCs w:val="17"/>
          <w:color w:val="auto"/>
        </w:rPr>
      </w:pPr>
    </w:p>
    <w:p>
      <w:pPr>
        <w:ind w:left="1860" w:hanging="335"/>
        <w:spacing w:after="0"/>
        <w:tabs>
          <w:tab w:leader="none" w:pos="18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assets either:</w:t>
      </w:r>
    </w:p>
    <w:p>
      <w:pPr>
        <w:spacing w:after="0" w:line="112" w:lineRule="exact"/>
        <w:rPr>
          <w:rFonts w:ascii="Times New Roman" w:cs="Times New Roman" w:eastAsia="Times New Roman" w:hAnsi="Times New Roman"/>
          <w:sz w:val="17"/>
          <w:szCs w:val="17"/>
          <w:color w:val="auto"/>
        </w:rPr>
      </w:pPr>
    </w:p>
    <w:p>
      <w:pPr>
        <w:ind w:left="2040" w:hanging="173"/>
        <w:spacing w:after="0"/>
        <w:tabs>
          <w:tab w:leader="none" w:pos="20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at the time of, or created within 360 days after, the acquisition of the assets, or</w:t>
      </w:r>
    </w:p>
    <w:p>
      <w:pPr>
        <w:spacing w:after="0" w:line="112" w:lineRule="exact"/>
        <w:rPr>
          <w:rFonts w:ascii="Times New Roman" w:cs="Times New Roman" w:eastAsia="Times New Roman" w:hAnsi="Times New Roman"/>
          <w:sz w:val="17"/>
          <w:szCs w:val="17"/>
          <w:color w:val="auto"/>
        </w:rPr>
      </w:pPr>
    </w:p>
    <w:p>
      <w:pPr>
        <w:ind w:left="2040" w:right="699" w:hanging="173"/>
        <w:spacing w:after="0" w:line="261" w:lineRule="auto"/>
        <w:tabs>
          <w:tab w:leader="none" w:pos="20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317" w:lineRule="exact"/>
        <w:rPr>
          <w:rFonts w:ascii="Times New Roman" w:cs="Times New Roman" w:eastAsia="Times New Roman" w:hAnsi="Times New Roman"/>
          <w:sz w:val="17"/>
          <w:szCs w:val="17"/>
          <w:color w:val="auto"/>
        </w:rPr>
      </w:pPr>
    </w:p>
    <w:p>
      <w:pPr>
        <w:ind w:left="1840" w:hanging="315"/>
        <w:spacing w:after="0"/>
        <w:tabs>
          <w:tab w:leader="none" w:pos="18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liens;</w:t>
      </w:r>
    </w:p>
    <w:p>
      <w:pPr>
        <w:spacing w:after="0" w:line="138" w:lineRule="exact"/>
        <w:rPr>
          <w:rFonts w:ascii="Times New Roman" w:cs="Times New Roman" w:eastAsia="Times New Roman" w:hAnsi="Times New Roman"/>
          <w:sz w:val="17"/>
          <w:szCs w:val="17"/>
          <w:color w:val="auto"/>
        </w:rPr>
      </w:pPr>
    </w:p>
    <w:p>
      <w:pPr>
        <w:ind w:left="1880" w:hanging="355"/>
        <w:spacing w:after="0"/>
        <w:tabs>
          <w:tab w:leader="none" w:pos="18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mechanics’, materialmen’s and like liens incurred in the ordinary course of business;</w:t>
      </w:r>
    </w:p>
    <w:p>
      <w:pPr>
        <w:spacing w:after="0" w:line="151" w:lineRule="exact"/>
        <w:rPr>
          <w:rFonts w:ascii="Times New Roman" w:cs="Times New Roman" w:eastAsia="Times New Roman" w:hAnsi="Times New Roman"/>
          <w:sz w:val="17"/>
          <w:szCs w:val="17"/>
          <w:color w:val="auto"/>
        </w:rPr>
      </w:pPr>
    </w:p>
    <w:p>
      <w:pPr>
        <w:ind w:left="1180" w:right="1199" w:firstLine="345"/>
        <w:spacing w:after="0" w:line="285" w:lineRule="auto"/>
        <w:tabs>
          <w:tab w:leader="none" w:pos="187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by deposits or security given to governmental agencies required in order to do business with the government;</w:t>
      </w:r>
    </w:p>
    <w:p>
      <w:pPr>
        <w:spacing w:after="0" w:line="87" w:lineRule="exact"/>
        <w:rPr>
          <w:rFonts w:ascii="Times New Roman" w:cs="Times New Roman" w:eastAsia="Times New Roman" w:hAnsi="Times New Roman"/>
          <w:sz w:val="17"/>
          <w:szCs w:val="17"/>
          <w:color w:val="auto"/>
        </w:rPr>
      </w:pPr>
    </w:p>
    <w:p>
      <w:pPr>
        <w:ind w:left="1840" w:hanging="315"/>
        <w:spacing w:after="0"/>
        <w:tabs>
          <w:tab w:leader="none" w:pos="18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assessments or governmental charges not yet delinquent or being contested in good</w:t>
      </w:r>
    </w:p>
    <w:p>
      <w:pPr>
        <w:spacing w:after="0" w:line="26" w:lineRule="exact"/>
        <w:rPr>
          <w:rFonts w:ascii="Times New Roman" w:cs="Times New Roman" w:eastAsia="Times New Roman" w:hAnsi="Times New Roman"/>
          <w:sz w:val="17"/>
          <w:szCs w:val="17"/>
          <w:color w:val="auto"/>
        </w:rPr>
      </w:pP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faith;</w:t>
      </w:r>
    </w:p>
    <w:p>
      <w:pPr>
        <w:spacing w:after="0" w:line="121" w:lineRule="exact"/>
        <w:rPr>
          <w:rFonts w:ascii="Times New Roman" w:cs="Times New Roman" w:eastAsia="Times New Roman" w:hAnsi="Times New Roman"/>
          <w:sz w:val="17"/>
          <w:szCs w:val="17"/>
          <w:color w:val="auto"/>
        </w:rPr>
      </w:pPr>
    </w:p>
    <w:p>
      <w:pPr>
        <w:ind w:left="1180" w:right="939" w:firstLine="345"/>
        <w:spacing w:after="0" w:line="285" w:lineRule="auto"/>
        <w:tabs>
          <w:tab w:leader="none" w:pos="183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connection with legal proceedings so long as the proceeding is being contested in good faith or execution thereon is stayed;</w:t>
      </w:r>
    </w:p>
    <w:p>
      <w:pPr>
        <w:spacing w:after="0" w:line="87" w:lineRule="exact"/>
        <w:rPr>
          <w:rFonts w:ascii="Times New Roman" w:cs="Times New Roman" w:eastAsia="Times New Roman" w:hAnsi="Times New Roman"/>
          <w:sz w:val="17"/>
          <w:szCs w:val="17"/>
          <w:color w:val="auto"/>
        </w:rPr>
      </w:pPr>
    </w:p>
    <w:p>
      <w:pPr>
        <w:ind w:left="1180" w:right="1099" w:firstLine="345"/>
        <w:spacing w:after="0" w:line="285" w:lineRule="auto"/>
        <w:tabs>
          <w:tab w:leader="none" w:pos="187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landlord’s liens on fixtures located on property leased by us or Restricted Subsidiaries in the ordinary course of business;</w:t>
      </w:r>
    </w:p>
    <w:p>
      <w:pPr>
        <w:spacing w:after="0" w:line="87" w:lineRule="exact"/>
        <w:rPr>
          <w:rFonts w:ascii="Times New Roman" w:cs="Times New Roman" w:eastAsia="Times New Roman" w:hAnsi="Times New Roman"/>
          <w:sz w:val="17"/>
          <w:szCs w:val="17"/>
          <w:color w:val="auto"/>
        </w:rPr>
      </w:pPr>
    </w:p>
    <w:p>
      <w:pPr>
        <w:ind w:left="1180" w:right="1239" w:firstLine="345"/>
        <w:spacing w:after="0" w:line="285" w:lineRule="auto"/>
        <w:tabs>
          <w:tab w:leader="none" w:pos="183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any governmental authority in connection with the financing of the cost of construction or acquisition of property;</w:t>
      </w:r>
    </w:p>
    <w:p>
      <w:pPr>
        <w:spacing w:after="0" w:line="74" w:lineRule="exact"/>
        <w:rPr>
          <w:rFonts w:ascii="Times New Roman" w:cs="Times New Roman" w:eastAsia="Times New Roman" w:hAnsi="Times New Roman"/>
          <w:sz w:val="17"/>
          <w:szCs w:val="17"/>
          <w:color w:val="auto"/>
        </w:rPr>
      </w:pPr>
    </w:p>
    <w:p>
      <w:pPr>
        <w:ind w:left="1180" w:right="679" w:firstLine="345"/>
        <w:spacing w:after="0" w:line="285" w:lineRule="auto"/>
        <w:tabs>
          <w:tab w:leader="none" w:pos="191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due to deposits to qualify us or a Restricted Subsidiary to do business, maintain self-insurance or obtain the benefit of or comply with laws;</w:t>
      </w:r>
    </w:p>
    <w:p>
      <w:pPr>
        <w:spacing w:after="0" w:line="3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3"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1099" w:firstLine="345"/>
        <w:spacing w:after="0" w:line="285" w:lineRule="auto"/>
        <w:tabs>
          <w:tab w:leader="none" w:pos="187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incurred in connection with pollution control, sewage or solid waste disposal industrial revenue or similar financings;</w:t>
      </w:r>
    </w:p>
    <w:p>
      <w:pPr>
        <w:spacing w:after="0" w:line="74" w:lineRule="exact"/>
        <w:rPr>
          <w:rFonts w:ascii="Times New Roman" w:cs="Times New Roman" w:eastAsia="Times New Roman" w:hAnsi="Times New Roman"/>
          <w:sz w:val="17"/>
          <w:szCs w:val="17"/>
          <w:color w:val="auto"/>
        </w:rPr>
      </w:pPr>
    </w:p>
    <w:p>
      <w:pPr>
        <w:ind w:left="1880" w:hanging="355"/>
        <w:spacing w:after="0"/>
        <w:tabs>
          <w:tab w:leader="none" w:pos="18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in connection with the sale of accounts receivable; and</w:t>
      </w:r>
    </w:p>
    <w:p>
      <w:pPr>
        <w:spacing w:after="0" w:line="138" w:lineRule="exact"/>
        <w:rPr>
          <w:rFonts w:ascii="Times New Roman" w:cs="Times New Roman" w:eastAsia="Times New Roman" w:hAnsi="Times New Roman"/>
          <w:sz w:val="17"/>
          <w:szCs w:val="17"/>
          <w:color w:val="auto"/>
        </w:rPr>
      </w:pPr>
    </w:p>
    <w:p>
      <w:pPr>
        <w:ind w:left="1180" w:right="659" w:firstLine="345"/>
        <w:spacing w:after="0" w:line="260" w:lineRule="auto"/>
        <w:tabs>
          <w:tab w:leader="none" w:pos="187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extensions, substitutions, replacements or renewals of the above-described liens or any Indebtedness secured by these liens if the lien is limited to the property (plus any improvements) secured by the original lien.</w:t>
      </w:r>
    </w:p>
    <w:p>
      <w:pPr>
        <w:spacing w:after="0" w:line="96" w:lineRule="exact"/>
        <w:rPr>
          <w:sz w:val="20"/>
          <w:szCs w:val="20"/>
          <w:color w:val="auto"/>
        </w:rPr>
      </w:pPr>
    </w:p>
    <w:p>
      <w:pPr>
        <w:ind w:left="1180" w:right="639" w:firstLine="342"/>
        <w:spacing w:after="0" w:line="245" w:lineRule="auto"/>
        <w:rPr>
          <w:sz w:val="20"/>
          <w:szCs w:val="20"/>
          <w:color w:val="auto"/>
        </w:rPr>
      </w:pPr>
      <w:r>
        <w:rPr>
          <w:rFonts w:ascii="Times New Roman" w:cs="Times New Roman" w:eastAsia="Times New Roman" w:hAnsi="Times New Roman"/>
          <w:sz w:val="17"/>
          <w:szCs w:val="17"/>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Limitation on Sale/Leaseback Transactions</w:t>
      </w:r>
    </w:p>
    <w:p>
      <w:pPr>
        <w:spacing w:after="0" w:line="144" w:lineRule="exact"/>
        <w:rPr>
          <w:sz w:val="20"/>
          <w:szCs w:val="20"/>
          <w:color w:val="auto"/>
        </w:rPr>
      </w:pPr>
    </w:p>
    <w:p>
      <w:pPr>
        <w:ind w:left="1180" w:right="999" w:firstLine="342"/>
        <w:spacing w:after="0" w:line="285" w:lineRule="auto"/>
        <w:rPr>
          <w:sz w:val="20"/>
          <w:szCs w:val="20"/>
          <w:color w:val="auto"/>
        </w:rPr>
      </w:pPr>
      <w:r>
        <w:rPr>
          <w:rFonts w:ascii="Times New Roman" w:cs="Times New Roman" w:eastAsia="Times New Roman" w:hAnsi="Times New Roman"/>
          <w:sz w:val="17"/>
          <w:szCs w:val="17"/>
          <w:color w:val="auto"/>
        </w:rPr>
        <w:t>Unless provided otherwise in a prospectus supplement, we and our Restricted Subsidiaries will not enter into a Sale/Leaseback Transaction unless at least one of the following applies:</w:t>
      </w:r>
    </w:p>
    <w:p>
      <w:pPr>
        <w:spacing w:after="0" w:line="75" w:lineRule="exact"/>
        <w:rPr>
          <w:sz w:val="20"/>
          <w:szCs w:val="20"/>
          <w:color w:val="auto"/>
        </w:rPr>
      </w:pPr>
    </w:p>
    <w:p>
      <w:pPr>
        <w:ind w:left="1180" w:right="959" w:firstLine="345"/>
        <w:spacing w:after="0" w:line="252" w:lineRule="auto"/>
        <w:tabs>
          <w:tab w:leader="none" w:pos="186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90" w:lineRule="exact"/>
        <w:rPr>
          <w:rFonts w:ascii="Times New Roman" w:cs="Times New Roman" w:eastAsia="Times New Roman" w:hAnsi="Times New Roman"/>
          <w:sz w:val="17"/>
          <w:szCs w:val="17"/>
          <w:color w:val="auto"/>
        </w:rPr>
      </w:pPr>
    </w:p>
    <w:p>
      <w:pPr>
        <w:ind w:left="1180" w:right="739" w:firstLine="345"/>
        <w:spacing w:after="0" w:line="252" w:lineRule="auto"/>
        <w:tabs>
          <w:tab w:leader="none" w:pos="187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debt securities listed under the senior indenture or debt incurred by a Restricted Subsidiary; or</w:t>
      </w:r>
    </w:p>
    <w:p>
      <w:pPr>
        <w:spacing w:after="0" w:line="103" w:lineRule="exact"/>
        <w:rPr>
          <w:rFonts w:ascii="Times New Roman" w:cs="Times New Roman" w:eastAsia="Times New Roman" w:hAnsi="Times New Roman"/>
          <w:sz w:val="17"/>
          <w:szCs w:val="17"/>
          <w:color w:val="auto"/>
        </w:rPr>
      </w:pPr>
    </w:p>
    <w:p>
      <w:pPr>
        <w:ind w:left="1180" w:right="799" w:firstLine="345"/>
        <w:spacing w:after="0" w:line="252" w:lineRule="auto"/>
        <w:tabs>
          <w:tab w:leader="none" w:pos="186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3" w:lineRule="exact"/>
        <w:rPr>
          <w:sz w:val="20"/>
          <w:szCs w:val="20"/>
          <w:color w:val="auto"/>
        </w:rPr>
      </w:pPr>
    </w:p>
    <w:p>
      <w:pPr>
        <w:ind w:left="1180" w:right="959" w:firstLine="342"/>
        <w:spacing w:after="0" w:line="260" w:lineRule="auto"/>
        <w:rPr>
          <w:sz w:val="20"/>
          <w:szCs w:val="20"/>
          <w:color w:val="auto"/>
        </w:rPr>
      </w:pPr>
      <w:r>
        <w:rPr>
          <w:rFonts w:ascii="Times New Roman" w:cs="Times New Roman" w:eastAsia="Times New Roman" w:hAnsi="Times New Roman"/>
          <w:sz w:val="17"/>
          <w:szCs w:val="17"/>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i w:val="1"/>
          <w:iCs w:val="1"/>
          <w:color w:val="auto"/>
        </w:rPr>
        <w:t>Glossary</w:t>
      </w:r>
    </w:p>
    <w:p>
      <w:pPr>
        <w:spacing w:after="0" w:line="153" w:lineRule="exact"/>
        <w:rPr>
          <w:sz w:val="20"/>
          <w:szCs w:val="20"/>
          <w:color w:val="auto"/>
        </w:rPr>
      </w:pPr>
    </w:p>
    <w:p>
      <w:pPr>
        <w:ind w:left="1180" w:right="699" w:firstLine="342"/>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“Attributable Debt” </w:t>
      </w:r>
      <w:r>
        <w:rPr>
          <w:rFonts w:ascii="Times New Roman" w:cs="Times New Roman" w:eastAsia="Times New Roman" w:hAnsi="Times New Roman"/>
          <w:sz w:val="17"/>
          <w:szCs w:val="17"/>
          <w:color w:val="auto"/>
        </w:rPr>
        <w:t>means the present value of the rental payments during the remaining term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18" w:lineRule="exact"/>
        <w:rPr>
          <w:sz w:val="20"/>
          <w:szCs w:val="20"/>
          <w:color w:val="auto"/>
        </w:rPr>
      </w:pPr>
    </w:p>
    <w:p>
      <w:pPr>
        <w:ind w:left="1180" w:right="779" w:firstLine="342"/>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“Consolidated Net Tangible Assets” </w:t>
      </w:r>
      <w:r>
        <w:rPr>
          <w:rFonts w:ascii="Times New Roman" w:cs="Times New Roman" w:eastAsia="Times New Roman" w:hAnsi="Times New Roman"/>
          <w:sz w:val="17"/>
          <w:szCs w:val="17"/>
          <w:color w:val="auto"/>
        </w:rPr>
        <w:t>means the total amount of assets of Waste Management, Inc.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consolidated subsidiaries less:</w:t>
      </w:r>
    </w:p>
    <w:p>
      <w:pPr>
        <w:spacing w:after="0" w:line="31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3"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right="919" w:hanging="175"/>
        <w:spacing w:after="0" w:line="268" w:lineRule="auto"/>
        <w:tabs>
          <w:tab w:leader="none" w:pos="17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current liabilities (excluding liabilities that are extendable or renewable at our option to a date more than 12 months after the date of calculation and excluding current maturities of long-term debt); and</w:t>
      </w:r>
    </w:p>
    <w:p>
      <w:pPr>
        <w:spacing w:after="0" w:line="63"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all intangible assets.</w:t>
      </w:r>
    </w:p>
    <w:p>
      <w:pPr>
        <w:spacing w:after="0" w:line="151" w:lineRule="exact"/>
        <w:rPr>
          <w:sz w:val="20"/>
          <w:szCs w:val="20"/>
          <w:color w:val="auto"/>
        </w:rPr>
      </w:pPr>
    </w:p>
    <w:p>
      <w:pPr>
        <w:ind w:left="1520" w:right="899" w:firstLine="342"/>
        <w:spacing w:after="0" w:line="285" w:lineRule="auto"/>
        <w:rPr>
          <w:sz w:val="20"/>
          <w:szCs w:val="20"/>
          <w:color w:val="auto"/>
        </w:rPr>
      </w:pPr>
      <w:r>
        <w:rPr>
          <w:rFonts w:ascii="Times New Roman" w:cs="Times New Roman" w:eastAsia="Times New Roman" w:hAnsi="Times New Roman"/>
          <w:sz w:val="17"/>
          <w:szCs w:val="17"/>
          <w:color w:val="auto"/>
        </w:rPr>
        <w:t>We will calculate Consolidated Net Tangible Assets based on our most recent quarterly balance sheet.</w:t>
      </w:r>
    </w:p>
    <w:p>
      <w:pPr>
        <w:spacing w:after="0" w:line="84" w:lineRule="exact"/>
        <w:rPr>
          <w:sz w:val="20"/>
          <w:szCs w:val="20"/>
          <w:color w:val="auto"/>
        </w:rPr>
      </w:pPr>
    </w:p>
    <w:p>
      <w:pPr>
        <w:ind w:left="1180" w:right="679" w:firstLine="34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“Indebtedness” </w:t>
      </w:r>
      <w:r>
        <w:rPr>
          <w:rFonts w:ascii="Times New Roman" w:cs="Times New Roman" w:eastAsia="Times New Roman" w:hAnsi="Times New Roman"/>
          <w:sz w:val="17"/>
          <w:szCs w:val="17"/>
          <w:color w:val="auto"/>
        </w:rPr>
        <w:t>means (a) all obligations for borrowed money or on which interest charges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92" w:lineRule="exact"/>
        <w:rPr>
          <w:sz w:val="20"/>
          <w:szCs w:val="20"/>
          <w:color w:val="auto"/>
        </w:rPr>
      </w:pPr>
    </w:p>
    <w:p>
      <w:pPr>
        <w:ind w:left="1180" w:right="659" w:firstLine="34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“Principal Property” </w:t>
      </w:r>
      <w:r>
        <w:rPr>
          <w:rFonts w:ascii="Times New Roman" w:cs="Times New Roman" w:eastAsia="Times New Roman" w:hAnsi="Times New Roman"/>
          <w:sz w:val="17"/>
          <w:szCs w:val="17"/>
          <w:color w:val="auto"/>
        </w:rPr>
        <w:t>means any waste processing, waste disposal or resource recovery plant or 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08" w:lineRule="exact"/>
        <w:rPr>
          <w:sz w:val="20"/>
          <w:szCs w:val="20"/>
          <w:color w:val="auto"/>
        </w:rPr>
      </w:pPr>
    </w:p>
    <w:p>
      <w:pPr>
        <w:ind w:left="1180" w:right="639" w:firstLine="342"/>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Subsidiary” </w:t>
      </w:r>
      <w:r>
        <w:rPr>
          <w:rFonts w:ascii="Times New Roman" w:cs="Times New Roman" w:eastAsia="Times New Roman" w:hAnsi="Times New Roman"/>
          <w:sz w:val="17"/>
          <w:szCs w:val="17"/>
          <w:color w:val="auto"/>
        </w:rPr>
        <w:t>means any Subsidiary (other than any Subsidiary of which the Company owns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05" w:lineRule="exact"/>
        <w:rPr>
          <w:sz w:val="20"/>
          <w:szCs w:val="20"/>
          <w:color w:val="auto"/>
        </w:rPr>
      </w:pPr>
    </w:p>
    <w:p>
      <w:pPr>
        <w:ind w:left="1180" w:right="759" w:firstLine="342"/>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“Sale/Leaseback Transaction” </w:t>
      </w:r>
      <w:r>
        <w:rPr>
          <w:rFonts w:ascii="Times New Roman" w:cs="Times New Roman" w:eastAsia="Times New Roman" w:hAnsi="Times New Roman"/>
          <w:sz w:val="17"/>
          <w:szCs w:val="17"/>
          <w:color w:val="auto"/>
        </w:rPr>
        <w:t>means any arrangement with anyone under which we or our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lease any Principal Property that we or such Restricted Subsidiary has sold or transferred or will sell or transfer to that person. This term excludes the following:</w:t>
      </w:r>
    </w:p>
    <w:p>
      <w:pPr>
        <w:spacing w:after="0" w:line="61" w:lineRule="exact"/>
        <w:rPr>
          <w:sz w:val="20"/>
          <w:szCs w:val="20"/>
          <w:color w:val="auto"/>
        </w:rPr>
      </w:pPr>
    </w:p>
    <w:p>
      <w:pPr>
        <w:ind w:left="1700" w:hanging="175"/>
        <w:spacing w:after="0"/>
        <w:tabs>
          <w:tab w:leader="none" w:pos="17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temporary leases for a term of not more than three years; and</w:t>
      </w:r>
    </w:p>
    <w:p>
      <w:pPr>
        <w:spacing w:after="0" w:line="112"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leases.</w:t>
      </w:r>
    </w:p>
    <w:p>
      <w:pPr>
        <w:spacing w:after="0" w:line="134" w:lineRule="exact"/>
        <w:rPr>
          <w:sz w:val="20"/>
          <w:szCs w:val="20"/>
          <w:color w:val="auto"/>
        </w:rPr>
      </w:pPr>
    </w:p>
    <w:p>
      <w:pPr>
        <w:ind w:left="1180" w:right="939" w:firstLine="342"/>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“Subsidiary” </w:t>
      </w:r>
      <w:r>
        <w:rPr>
          <w:rFonts w:ascii="Times New Roman" w:cs="Times New Roman" w:eastAsia="Times New Roman" w:hAnsi="Times New Roman"/>
          <w:sz w:val="17"/>
          <w:szCs w:val="17"/>
          <w:color w:val="auto"/>
        </w:rPr>
        <w:t>means an entity at least a majority of the outstanding voting stock of which is owned,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directly or indirectly, by us or by one or more other Subsidiaries, or by us and one or more other Subsidiaries.</w:t>
      </w:r>
    </w:p>
    <w:p>
      <w:pPr>
        <w:spacing w:after="0" w:line="3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Provisions Applicable Solely to Subordinated Debt Securities</w:t>
      </w:r>
    </w:p>
    <w:p>
      <w:pPr>
        <w:spacing w:after="0" w:line="151" w:lineRule="exact"/>
        <w:rPr>
          <w:sz w:val="20"/>
          <w:szCs w:val="20"/>
          <w:color w:val="auto"/>
        </w:rPr>
      </w:pPr>
    </w:p>
    <w:p>
      <w:pPr>
        <w:ind w:left="1180" w:right="1059" w:firstLine="342"/>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Ranking. </w:t>
      </w:r>
      <w:r>
        <w:rPr>
          <w:rFonts w:ascii="Times New Roman" w:cs="Times New Roman" w:eastAsia="Times New Roman" w:hAnsi="Times New Roman"/>
          <w:sz w:val="17"/>
          <w:szCs w:val="17"/>
          <w:color w:val="auto"/>
        </w:rPr>
        <w:t>The subordinated debt securities will rank junior to all of our senior debt and may rank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equally with or senior to our other subordinated debt that may be outstanding from time to time.</w:t>
      </w:r>
    </w:p>
    <w:p>
      <w:pPr>
        <w:spacing w:after="0" w:line="79" w:lineRule="exact"/>
        <w:rPr>
          <w:sz w:val="20"/>
          <w:szCs w:val="20"/>
          <w:color w:val="auto"/>
        </w:rPr>
      </w:pPr>
    </w:p>
    <w:p>
      <w:pPr>
        <w:ind w:left="1180" w:right="739" w:firstLine="342"/>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Subordination. </w:t>
      </w:r>
      <w:r>
        <w:rPr>
          <w:rFonts w:ascii="Times New Roman" w:cs="Times New Roman" w:eastAsia="Times New Roman" w:hAnsi="Times New Roman"/>
          <w:sz w:val="17"/>
          <w:szCs w:val="17"/>
          <w:color w:val="auto"/>
        </w:rPr>
        <w:t>Under the subordinated indenture, payment of the principal of and any premium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1180" w:right="839" w:firstLine="342"/>
        <w:spacing w:after="0" w:line="268" w:lineRule="auto"/>
        <w:rPr>
          <w:sz w:val="20"/>
          <w:szCs w:val="20"/>
          <w:color w:val="auto"/>
        </w:rPr>
      </w:pPr>
      <w:r>
        <w:rPr>
          <w:rFonts w:ascii="Times New Roman" w:cs="Times New Roman" w:eastAsia="Times New Roman" w:hAnsi="Times New Roman"/>
          <w:sz w:val="17"/>
          <w:szCs w:val="17"/>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DESCRIPTION OF GUARANTEES</w:t>
      </w:r>
    </w:p>
    <w:p>
      <w:pPr>
        <w:spacing w:after="0" w:line="155" w:lineRule="exact"/>
        <w:rPr>
          <w:sz w:val="20"/>
          <w:szCs w:val="20"/>
          <w:color w:val="auto"/>
        </w:rPr>
      </w:pPr>
    </w:p>
    <w:p>
      <w:pPr>
        <w:ind w:left="1180" w:right="639" w:firstLine="342"/>
        <w:spacing w:after="0" w:line="263" w:lineRule="auto"/>
        <w:rPr>
          <w:sz w:val="20"/>
          <w:szCs w:val="20"/>
          <w:color w:val="auto"/>
        </w:rPr>
      </w:pPr>
      <w:r>
        <w:rPr>
          <w:rFonts w:ascii="Times New Roman" w:cs="Times New Roman" w:eastAsia="Times New Roman" w:hAnsi="Times New Roman"/>
          <w:sz w:val="17"/>
          <w:szCs w:val="17"/>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06" w:lineRule="exact"/>
        <w:rPr>
          <w:sz w:val="20"/>
          <w:szCs w:val="20"/>
          <w:color w:val="auto"/>
        </w:rPr>
      </w:pPr>
    </w:p>
    <w:p>
      <w:pPr>
        <w:ind w:left="1180" w:right="879" w:firstLine="342"/>
        <w:spacing w:after="0" w:line="260" w:lineRule="auto"/>
        <w:rPr>
          <w:sz w:val="20"/>
          <w:szCs w:val="20"/>
          <w:color w:val="auto"/>
        </w:rPr>
      </w:pPr>
      <w:r>
        <w:rPr>
          <w:rFonts w:ascii="Times New Roman" w:cs="Times New Roman" w:eastAsia="Times New Roman" w:hAnsi="Times New Roman"/>
          <w:sz w:val="17"/>
          <w:szCs w:val="17"/>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6" w:lineRule="exact"/>
        <w:rPr>
          <w:sz w:val="20"/>
          <w:szCs w:val="20"/>
          <w:color w:val="auto"/>
        </w:rPr>
      </w:pPr>
    </w:p>
    <w:p>
      <w:pPr>
        <w:ind w:left="1180" w:right="759" w:firstLine="342"/>
        <w:spacing w:after="0" w:line="266" w:lineRule="auto"/>
        <w:rPr>
          <w:sz w:val="20"/>
          <w:szCs w:val="20"/>
          <w:color w:val="auto"/>
        </w:rPr>
      </w:pPr>
      <w:r>
        <w:rPr>
          <w:rFonts w:ascii="Times New Roman" w:cs="Times New Roman" w:eastAsia="Times New Roman" w:hAnsi="Times New Roman"/>
          <w:sz w:val="17"/>
          <w:szCs w:val="17"/>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1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55" w:lineRule="exact"/>
        <w:rPr>
          <w:sz w:val="20"/>
          <w:szCs w:val="20"/>
          <w:color w:val="auto"/>
        </w:rPr>
      </w:pPr>
    </w:p>
    <w:p>
      <w:pPr>
        <w:ind w:left="1180" w:right="759" w:firstLine="342"/>
        <w:spacing w:after="0" w:line="252" w:lineRule="auto"/>
        <w:rPr>
          <w:sz w:val="20"/>
          <w:szCs w:val="20"/>
          <w:color w:val="auto"/>
        </w:rPr>
      </w:pPr>
      <w:r>
        <w:rPr>
          <w:rFonts w:ascii="Times New Roman" w:cs="Times New Roman" w:eastAsia="Times New Roman" w:hAnsi="Times New Roman"/>
          <w:sz w:val="17"/>
          <w:szCs w:val="17"/>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03" w:lineRule="exact"/>
        <w:rPr>
          <w:sz w:val="20"/>
          <w:szCs w:val="20"/>
          <w:color w:val="auto"/>
        </w:rPr>
      </w:pPr>
    </w:p>
    <w:p>
      <w:pPr>
        <w:ind w:left="1180" w:right="659" w:firstLine="342"/>
        <w:spacing w:after="0" w:line="252" w:lineRule="auto"/>
        <w:rPr>
          <w:sz w:val="20"/>
          <w:szCs w:val="20"/>
          <w:color w:val="auto"/>
        </w:rPr>
      </w:pPr>
      <w:r>
        <w:rPr>
          <w:rFonts w:ascii="Times New Roman" w:cs="Times New Roman" w:eastAsia="Times New Roman" w:hAnsi="Times New Roman"/>
          <w:sz w:val="17"/>
          <w:szCs w:val="17"/>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51" w:lineRule="exact"/>
        <w:rPr>
          <w:sz w:val="20"/>
          <w:szCs w:val="20"/>
          <w:color w:val="auto"/>
        </w:rPr>
      </w:pPr>
    </w:p>
    <w:p>
      <w:pPr>
        <w:ind w:left="1180" w:right="639" w:firstLine="342"/>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Subject to applicable law, holders of common stock are entitled to receive dividends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and if declared by our Board of Directors. In certain cases, common stockholders may not receive dividends until we satisfy our obligations to any preferred stockholders.</w:t>
      </w:r>
    </w:p>
    <w:p>
      <w:pPr>
        <w:spacing w:after="0" w:line="89" w:lineRule="exact"/>
        <w:rPr>
          <w:sz w:val="20"/>
          <w:szCs w:val="20"/>
          <w:color w:val="auto"/>
        </w:rPr>
      </w:pPr>
    </w:p>
    <w:p>
      <w:pPr>
        <w:ind w:left="1180" w:right="639" w:firstLine="342"/>
        <w:spacing w:after="0" w:line="243"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common stock is entitled to one vote for each share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04" w:lineRule="exact"/>
        <w:rPr>
          <w:sz w:val="20"/>
          <w:szCs w:val="20"/>
          <w:color w:val="auto"/>
        </w:rPr>
      </w:pPr>
    </w:p>
    <w:p>
      <w:pPr>
        <w:ind w:left="1180" w:right="719" w:firstLine="342"/>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Fully Paid Status. </w:t>
      </w:r>
      <w:r>
        <w:rPr>
          <w:rFonts w:ascii="Times New Roman" w:cs="Times New Roman" w:eastAsia="Times New Roman" w:hAnsi="Times New Roman"/>
          <w:sz w:val="17"/>
          <w:szCs w:val="17"/>
          <w:color w:val="auto"/>
        </w:rPr>
        <w:t>All outstanding shares of our common stock are validly issued, fully paid and non-assessable. The shares offered hereby will also be, upon issuance and sale, validly issued, fully paid and non-assessable.</w:t>
      </w:r>
    </w:p>
    <w:p>
      <w:pPr>
        <w:spacing w:after="0" w:line="89" w:lineRule="exact"/>
        <w:rPr>
          <w:sz w:val="20"/>
          <w:szCs w:val="20"/>
          <w:color w:val="auto"/>
        </w:rPr>
      </w:pPr>
    </w:p>
    <w:p>
      <w:pPr>
        <w:ind w:left="1180" w:right="719" w:firstLine="342"/>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Liquidation or Dissolution. </w:t>
      </w:r>
      <w:r>
        <w:rPr>
          <w:rFonts w:ascii="Times New Roman" w:cs="Times New Roman" w:eastAsia="Times New Roman" w:hAnsi="Times New Roman"/>
          <w:sz w:val="17"/>
          <w:szCs w:val="17"/>
          <w:color w:val="auto"/>
        </w:rPr>
        <w:t>If we liquidate, dissolve or wind up our business, whether or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voluntarily, common stockholders will share ratably in the assets remaining for distribution to stockholders after we pay our creditors and any preferred stockholders.</w:t>
      </w:r>
    </w:p>
    <w:p>
      <w:pPr>
        <w:spacing w:after="0" w:line="89" w:lineRule="exact"/>
        <w:rPr>
          <w:sz w:val="20"/>
          <w:szCs w:val="20"/>
          <w:color w:val="auto"/>
        </w:rPr>
      </w:pPr>
    </w:p>
    <w:p>
      <w:pPr>
        <w:ind w:left="1180" w:right="1119" w:firstLine="34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Listing. </w:t>
      </w:r>
      <w:r>
        <w:rPr>
          <w:rFonts w:ascii="Times New Roman" w:cs="Times New Roman" w:eastAsia="Times New Roman" w:hAnsi="Times New Roman"/>
          <w:sz w:val="17"/>
          <w:szCs w:val="17"/>
          <w:color w:val="auto"/>
        </w:rPr>
        <w:t>Our common stock is listed on the New York Stock Exchange under the trading symbol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“WM.”</w:t>
      </w:r>
    </w:p>
    <w:p>
      <w:pPr>
        <w:spacing w:after="0" w:line="80" w:lineRule="exact"/>
        <w:rPr>
          <w:sz w:val="20"/>
          <w:szCs w:val="20"/>
          <w:color w:val="auto"/>
        </w:rPr>
      </w:pPr>
    </w:p>
    <w:p>
      <w:pPr>
        <w:ind w:left="1180" w:right="619" w:firstLine="342"/>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Transfer Agent and Registrar. </w:t>
      </w:r>
      <w:r>
        <w:rPr>
          <w:rFonts w:ascii="Times New Roman" w:cs="Times New Roman" w:eastAsia="Times New Roman" w:hAnsi="Times New Roman"/>
          <w:sz w:val="17"/>
          <w:szCs w:val="17"/>
          <w:color w:val="auto"/>
        </w:rPr>
        <w:t>The transfer agent and registrar for our common stock is Computershare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Jersey City, New Jersey.</w:t>
      </w:r>
    </w:p>
    <w:p>
      <w:pPr>
        <w:spacing w:after="0" w:line="1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42" w:lineRule="exact"/>
        <w:rPr>
          <w:sz w:val="20"/>
          <w:szCs w:val="20"/>
          <w:color w:val="auto"/>
        </w:rPr>
      </w:pPr>
    </w:p>
    <w:p>
      <w:pPr>
        <w:ind w:left="1180" w:right="779" w:firstLine="342"/>
        <w:spacing w:after="0" w:line="249" w:lineRule="auto"/>
        <w:rPr>
          <w:sz w:val="20"/>
          <w:szCs w:val="20"/>
          <w:color w:val="auto"/>
        </w:rPr>
      </w:pPr>
      <w:r>
        <w:rPr>
          <w:rFonts w:ascii="Times New Roman" w:cs="Times New Roman" w:eastAsia="Times New Roman" w:hAnsi="Times New Roman"/>
          <w:sz w:val="17"/>
          <w:szCs w:val="17"/>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80" w:right="779"/>
        <w:spacing w:after="0" w:line="285" w:lineRule="auto"/>
        <w:rPr>
          <w:sz w:val="20"/>
          <w:szCs w:val="20"/>
          <w:color w:val="auto"/>
        </w:rPr>
      </w:pPr>
      <w:r>
        <w:rPr>
          <w:rFonts w:ascii="Times New Roman" w:cs="Times New Roman" w:eastAsia="Times New Roman" w:hAnsi="Times New Roman"/>
          <w:sz w:val="17"/>
          <w:szCs w:val="17"/>
          <w:color w:val="auto"/>
        </w:rPr>
        <w:t>liquidation preferences that would restrict common stock dividends or adversely affect the assets available for distribution to holders of shares of common stock in the event of our dissolution.</w:t>
      </w:r>
    </w:p>
    <w:p>
      <w:pPr>
        <w:spacing w:after="0" w:line="9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Authorized but Unissued Shares</w:t>
      </w:r>
    </w:p>
    <w:p>
      <w:pPr>
        <w:spacing w:after="0" w:line="155" w:lineRule="exact"/>
        <w:rPr>
          <w:sz w:val="20"/>
          <w:szCs w:val="20"/>
          <w:color w:val="auto"/>
        </w:rPr>
      </w:pPr>
    </w:p>
    <w:p>
      <w:pPr>
        <w:ind w:left="1180" w:right="879" w:firstLine="342"/>
        <w:spacing w:after="0" w:line="249" w:lineRule="auto"/>
        <w:rPr>
          <w:sz w:val="20"/>
          <w:szCs w:val="20"/>
          <w:color w:val="auto"/>
        </w:rPr>
      </w:pPr>
      <w:r>
        <w:rPr>
          <w:rFonts w:ascii="Times New Roman" w:cs="Times New Roman" w:eastAsia="Times New Roman" w:hAnsi="Times New Roman"/>
          <w:sz w:val="17"/>
          <w:szCs w:val="17"/>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3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Exclusive Forum</w:t>
      </w:r>
    </w:p>
    <w:p>
      <w:pPr>
        <w:spacing w:after="0" w:line="155" w:lineRule="exact"/>
        <w:rPr>
          <w:sz w:val="20"/>
          <w:szCs w:val="20"/>
          <w:color w:val="auto"/>
        </w:rPr>
      </w:pPr>
    </w:p>
    <w:p>
      <w:pPr>
        <w:ind w:left="1180" w:right="619" w:firstLine="342"/>
        <w:spacing w:after="0" w:line="244" w:lineRule="auto"/>
        <w:rPr>
          <w:sz w:val="20"/>
          <w:szCs w:val="20"/>
          <w:color w:val="auto"/>
        </w:rPr>
      </w:pPr>
      <w:r>
        <w:rPr>
          <w:rFonts w:ascii="Times New Roman" w:cs="Times New Roman" w:eastAsia="Times New Roman" w:hAnsi="Times New Roman"/>
          <w:sz w:val="17"/>
          <w:szCs w:val="17"/>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3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Advance Notice and Proxy Access</w:t>
      </w:r>
    </w:p>
    <w:p>
      <w:pPr>
        <w:spacing w:after="0" w:line="142" w:lineRule="exact"/>
        <w:rPr>
          <w:sz w:val="20"/>
          <w:szCs w:val="20"/>
          <w:color w:val="auto"/>
        </w:rPr>
      </w:pPr>
    </w:p>
    <w:p>
      <w:pPr>
        <w:ind w:left="1180" w:right="639" w:firstLine="342"/>
        <w:spacing w:after="0" w:line="247" w:lineRule="auto"/>
        <w:rPr>
          <w:sz w:val="20"/>
          <w:szCs w:val="20"/>
          <w:color w:val="auto"/>
        </w:rPr>
      </w:pPr>
      <w:r>
        <w:rPr>
          <w:rFonts w:ascii="Times New Roman" w:cs="Times New Roman" w:eastAsia="Times New Roman" w:hAnsi="Times New Roman"/>
          <w:sz w:val="17"/>
          <w:szCs w:val="17"/>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Stockholder Action by Written Consent</w:t>
      </w:r>
    </w:p>
    <w:p>
      <w:pPr>
        <w:spacing w:after="0" w:line="142" w:lineRule="exact"/>
        <w:rPr>
          <w:sz w:val="20"/>
          <w:szCs w:val="20"/>
          <w:color w:val="auto"/>
        </w:rPr>
      </w:pPr>
    </w:p>
    <w:p>
      <w:pPr>
        <w:ind w:left="1180" w:right="639" w:firstLine="342"/>
        <w:spacing w:after="0" w:line="247" w:lineRule="auto"/>
        <w:rPr>
          <w:sz w:val="20"/>
          <w:szCs w:val="20"/>
          <w:color w:val="auto"/>
        </w:rPr>
      </w:pPr>
      <w:r>
        <w:rPr>
          <w:rFonts w:ascii="Times New Roman" w:cs="Times New Roman" w:eastAsia="Times New Roman" w:hAnsi="Times New Roman"/>
          <w:sz w:val="17"/>
          <w:szCs w:val="17"/>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4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Special Stockholder Meetings</w:t>
      </w:r>
    </w:p>
    <w:p>
      <w:pPr>
        <w:spacing w:after="0" w:line="155" w:lineRule="exact"/>
        <w:rPr>
          <w:sz w:val="20"/>
          <w:szCs w:val="20"/>
          <w:color w:val="auto"/>
        </w:rPr>
      </w:pPr>
    </w:p>
    <w:p>
      <w:pPr>
        <w:ind w:left="1180" w:right="619" w:firstLine="342"/>
        <w:spacing w:after="0" w:line="247" w:lineRule="auto"/>
        <w:rPr>
          <w:sz w:val="20"/>
          <w:szCs w:val="20"/>
          <w:color w:val="auto"/>
        </w:rPr>
      </w:pPr>
      <w:r>
        <w:rPr>
          <w:rFonts w:ascii="Times New Roman" w:cs="Times New Roman" w:eastAsia="Times New Roman" w:hAnsi="Times New Roman"/>
          <w:sz w:val="17"/>
          <w:szCs w:val="17"/>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2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Limitations on a Change of Control</w:t>
      </w:r>
    </w:p>
    <w:p>
      <w:pPr>
        <w:spacing w:after="0" w:line="155" w:lineRule="exact"/>
        <w:rPr>
          <w:sz w:val="20"/>
          <w:szCs w:val="20"/>
          <w:color w:val="auto"/>
        </w:rPr>
      </w:pPr>
    </w:p>
    <w:p>
      <w:pPr>
        <w:ind w:left="1180" w:right="799" w:firstLine="342"/>
        <w:spacing w:after="0" w:line="252" w:lineRule="auto"/>
        <w:rPr>
          <w:sz w:val="20"/>
          <w:szCs w:val="20"/>
          <w:color w:val="auto"/>
        </w:rPr>
      </w:pPr>
      <w:r>
        <w:rPr>
          <w:rFonts w:ascii="Times New Roman" w:cs="Times New Roman" w:eastAsia="Times New Roman" w:hAnsi="Times New Roman"/>
          <w:sz w:val="17"/>
          <w:szCs w:val="17"/>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33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700" w:right="1159" w:hanging="175"/>
        <w:spacing w:after="0" w:line="268" w:lineRule="auto"/>
        <w:tabs>
          <w:tab w:leader="none" w:pos="17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or the transaction in which the stockholder became an interested stockholder, is approved by our Board of Directors prior to the time the interested stockholder attained that status;</w:t>
      </w:r>
    </w:p>
    <w:p>
      <w:pPr>
        <w:spacing w:after="0" w:line="63" w:lineRule="exact"/>
        <w:rPr>
          <w:rFonts w:ascii="Times New Roman" w:cs="Times New Roman" w:eastAsia="Times New Roman" w:hAnsi="Times New Roman"/>
          <w:sz w:val="17"/>
          <w:szCs w:val="17"/>
          <w:color w:val="auto"/>
        </w:rPr>
      </w:pPr>
    </w:p>
    <w:p>
      <w:pPr>
        <w:ind w:left="1700" w:right="899" w:hanging="175"/>
        <w:spacing w:after="0" w:line="258" w:lineRule="auto"/>
        <w:tabs>
          <w:tab w:leader="none" w:pos="17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3" w:lineRule="exact"/>
        <w:rPr>
          <w:rFonts w:ascii="Times New Roman" w:cs="Times New Roman" w:eastAsia="Times New Roman" w:hAnsi="Times New Roman"/>
          <w:sz w:val="17"/>
          <w:szCs w:val="17"/>
          <w:color w:val="auto"/>
        </w:rPr>
      </w:pPr>
    </w:p>
    <w:p>
      <w:pPr>
        <w:ind w:left="1700" w:right="719" w:hanging="175"/>
        <w:spacing w:after="0" w:line="266" w:lineRule="auto"/>
        <w:tabs>
          <w:tab w:leader="none" w:pos="17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313" w:lineRule="exact"/>
        <w:rPr>
          <w:sz w:val="20"/>
          <w:szCs w:val="20"/>
          <w:color w:val="auto"/>
        </w:rPr>
      </w:pPr>
    </w:p>
    <w:p>
      <w:pPr>
        <w:ind w:left="1180" w:right="679" w:firstLine="342"/>
        <w:spacing w:after="0" w:line="263" w:lineRule="auto"/>
        <w:rPr>
          <w:sz w:val="20"/>
          <w:szCs w:val="20"/>
          <w:color w:val="auto"/>
        </w:rPr>
      </w:pPr>
      <w:r>
        <w:rPr>
          <w:rFonts w:ascii="Times New Roman" w:cs="Times New Roman" w:eastAsia="Times New Roman" w:hAnsi="Times New Roman"/>
          <w:sz w:val="17"/>
          <w:szCs w:val="17"/>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06" w:lineRule="exact"/>
        <w:rPr>
          <w:sz w:val="20"/>
          <w:szCs w:val="20"/>
          <w:color w:val="auto"/>
        </w:rPr>
      </w:pPr>
    </w:p>
    <w:p>
      <w:pPr>
        <w:ind w:left="1180" w:right="619" w:firstLine="342"/>
        <w:spacing w:after="0" w:line="263" w:lineRule="auto"/>
        <w:rPr>
          <w:sz w:val="20"/>
          <w:szCs w:val="20"/>
          <w:color w:val="auto"/>
        </w:rPr>
      </w:pPr>
      <w:r>
        <w:rPr>
          <w:rFonts w:ascii="Times New Roman" w:cs="Times New Roman" w:eastAsia="Times New Roman" w:hAnsi="Times New Roman"/>
          <w:sz w:val="17"/>
          <w:szCs w:val="17"/>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Liability of Directors and Officers</w:t>
      </w:r>
    </w:p>
    <w:p>
      <w:pPr>
        <w:spacing w:after="0" w:line="142" w:lineRule="exact"/>
        <w:rPr>
          <w:sz w:val="20"/>
          <w:szCs w:val="20"/>
          <w:color w:val="auto"/>
        </w:rPr>
      </w:pPr>
    </w:p>
    <w:p>
      <w:pPr>
        <w:ind w:left="1180" w:right="719" w:firstLine="342"/>
        <w:spacing w:after="0" w:line="258" w:lineRule="auto"/>
        <w:rPr>
          <w:sz w:val="20"/>
          <w:szCs w:val="20"/>
          <w:color w:val="auto"/>
        </w:rPr>
      </w:pPr>
      <w:r>
        <w:rPr>
          <w:rFonts w:ascii="Times New Roman" w:cs="Times New Roman" w:eastAsia="Times New Roman" w:hAnsi="Times New Roman"/>
          <w:sz w:val="17"/>
          <w:szCs w:val="17"/>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12" w:lineRule="exact"/>
        <w:rPr>
          <w:sz w:val="20"/>
          <w:szCs w:val="20"/>
          <w:color w:val="auto"/>
        </w:rPr>
      </w:pPr>
    </w:p>
    <w:p>
      <w:pPr>
        <w:ind w:left="1180" w:right="619" w:firstLine="342"/>
        <w:spacing w:after="0" w:line="254" w:lineRule="auto"/>
        <w:rPr>
          <w:sz w:val="20"/>
          <w:szCs w:val="20"/>
          <w:color w:val="auto"/>
        </w:rPr>
      </w:pPr>
      <w:r>
        <w:rPr>
          <w:rFonts w:ascii="Times New Roman" w:cs="Times New Roman" w:eastAsia="Times New Roman" w:hAnsi="Times New Roman"/>
          <w:sz w:val="17"/>
          <w:szCs w:val="17"/>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DESCRIPTION OF OTHER SECURITIES</w:t>
      </w:r>
    </w:p>
    <w:p>
      <w:pPr>
        <w:spacing w:after="0" w:line="155" w:lineRule="exact"/>
        <w:rPr>
          <w:sz w:val="20"/>
          <w:szCs w:val="20"/>
          <w:color w:val="auto"/>
        </w:rPr>
      </w:pPr>
    </w:p>
    <w:p>
      <w:pPr>
        <w:ind w:left="1180" w:right="919" w:firstLine="342"/>
        <w:spacing w:after="0" w:line="285" w:lineRule="auto"/>
        <w:rPr>
          <w:sz w:val="20"/>
          <w:szCs w:val="20"/>
          <w:color w:val="auto"/>
        </w:rPr>
      </w:pPr>
      <w:r>
        <w:rPr>
          <w:rFonts w:ascii="Times New Roman" w:cs="Times New Roman" w:eastAsia="Times New Roman" w:hAnsi="Times New Roman"/>
          <w:sz w:val="17"/>
          <w:szCs w:val="17"/>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3"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5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The securities being offered by this prospectus may be sold by us or by a selling securityholder:</w:t>
      </w:r>
    </w:p>
    <w:p>
      <w:pPr>
        <w:spacing w:after="0" w:line="113" w:lineRule="exact"/>
        <w:rPr>
          <w:sz w:val="20"/>
          <w:szCs w:val="20"/>
          <w:color w:val="auto"/>
        </w:rPr>
      </w:pPr>
    </w:p>
    <w:p>
      <w:pPr>
        <w:ind w:left="1700" w:hanging="175"/>
        <w:spacing w:after="0"/>
        <w:tabs>
          <w:tab w:leader="none" w:pos="17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86"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w:t>
      </w:r>
    </w:p>
    <w:p>
      <w:pPr>
        <w:spacing w:after="0" w:line="9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broker-dealers (acting as agent or principal);</w:t>
      </w:r>
    </w:p>
    <w:p>
      <w:pPr>
        <w:spacing w:after="0" w:line="99" w:lineRule="exact"/>
        <w:rPr>
          <w:rFonts w:ascii="Times New Roman" w:cs="Times New Roman" w:eastAsia="Times New Roman" w:hAnsi="Times New Roman"/>
          <w:sz w:val="17"/>
          <w:szCs w:val="17"/>
          <w:color w:val="auto"/>
        </w:rPr>
      </w:pPr>
    </w:p>
    <w:p>
      <w:pPr>
        <w:ind w:left="1700" w:right="679" w:hanging="175"/>
        <w:spacing w:after="0" w:line="285" w:lineRule="auto"/>
        <w:tabs>
          <w:tab w:leader="none" w:pos="17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by us or a selling securityholder to purchasers, through a specific bidding or auction process or otherwise;</w:t>
      </w:r>
    </w:p>
    <w:p>
      <w:pPr>
        <w:spacing w:after="0" w:line="23"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such methods of sale; or</w:t>
      </w:r>
    </w:p>
    <w:p>
      <w:pPr>
        <w:spacing w:after="0" w:line="99" w:lineRule="exact"/>
        <w:rPr>
          <w:rFonts w:ascii="Times New Roman" w:cs="Times New Roman" w:eastAsia="Times New Roman" w:hAnsi="Times New Roman"/>
          <w:sz w:val="17"/>
          <w:szCs w:val="17"/>
          <w:color w:val="auto"/>
        </w:rPr>
      </w:pPr>
    </w:p>
    <w:p>
      <w:pPr>
        <w:ind w:left="1700" w:hanging="175"/>
        <w:spacing w:after="0"/>
        <w:tabs>
          <w:tab w:leader="none" w:pos="17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any other methods described in a prospectus supplement.</w:t>
      </w:r>
    </w:p>
    <w:p>
      <w:pPr>
        <w:spacing w:after="0" w:line="151" w:lineRule="exact"/>
        <w:rPr>
          <w:sz w:val="20"/>
          <w:szCs w:val="20"/>
          <w:color w:val="auto"/>
        </w:rPr>
      </w:pPr>
    </w:p>
    <w:p>
      <w:pPr>
        <w:ind w:left="1180" w:right="619" w:firstLine="342"/>
        <w:spacing w:after="0" w:line="244" w:lineRule="auto"/>
        <w:rPr>
          <w:sz w:val="20"/>
          <w:szCs w:val="20"/>
          <w:color w:val="auto"/>
        </w:rPr>
      </w:pPr>
      <w:r>
        <w:rPr>
          <w:rFonts w:ascii="Times New Roman" w:cs="Times New Roman" w:eastAsia="Times New Roman" w:hAnsi="Times New Roman"/>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310" w:lineRule="exact"/>
        <w:rPr>
          <w:sz w:val="20"/>
          <w:szCs w:val="20"/>
          <w:color w:val="auto"/>
        </w:rPr>
      </w:pPr>
    </w:p>
    <w:p>
      <w:pPr>
        <w:ind w:left="1180" w:right="679" w:firstLine="342"/>
        <w:spacing w:after="0" w:line="249" w:lineRule="auto"/>
        <w:rPr>
          <w:sz w:val="20"/>
          <w:szCs w:val="20"/>
          <w:color w:val="auto"/>
        </w:rPr>
      </w:pPr>
      <w:r>
        <w:rPr>
          <w:rFonts w:ascii="Times New Roman" w:cs="Times New Roman" w:eastAsia="Times New Roman" w:hAnsi="Times New Roman"/>
          <w:sz w:val="17"/>
          <w:szCs w:val="17"/>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08" w:lineRule="exact"/>
        <w:rPr>
          <w:sz w:val="20"/>
          <w:szCs w:val="20"/>
          <w:color w:val="auto"/>
        </w:rPr>
      </w:pPr>
    </w:p>
    <w:p>
      <w:pPr>
        <w:ind w:left="1180" w:right="619" w:firstLine="342"/>
        <w:spacing w:after="0" w:line="243" w:lineRule="auto"/>
        <w:rPr>
          <w:sz w:val="20"/>
          <w:szCs w:val="20"/>
          <w:color w:val="auto"/>
        </w:rPr>
      </w:pPr>
      <w:r>
        <w:rPr>
          <w:rFonts w:ascii="Times New Roman" w:cs="Times New Roman" w:eastAsia="Times New Roman" w:hAnsi="Times New Roman"/>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13" w:lineRule="exact"/>
        <w:rPr>
          <w:sz w:val="20"/>
          <w:szCs w:val="20"/>
          <w:color w:val="auto"/>
        </w:rPr>
      </w:pPr>
    </w:p>
    <w:p>
      <w:pPr>
        <w:jc w:val="both"/>
        <w:ind w:left="1180" w:right="859" w:firstLine="342"/>
        <w:spacing w:after="0" w:line="252" w:lineRule="auto"/>
        <w:rPr>
          <w:sz w:val="20"/>
          <w:szCs w:val="20"/>
          <w:color w:val="auto"/>
        </w:rPr>
      </w:pPr>
      <w:r>
        <w:rPr>
          <w:rFonts w:ascii="Times New Roman" w:cs="Times New Roman" w:eastAsia="Times New Roman" w:hAnsi="Times New Roman"/>
          <w:sz w:val="17"/>
          <w:szCs w:val="17"/>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03" w:lineRule="exact"/>
        <w:rPr>
          <w:sz w:val="20"/>
          <w:szCs w:val="20"/>
          <w:color w:val="auto"/>
        </w:rPr>
      </w:pPr>
    </w:p>
    <w:p>
      <w:pPr>
        <w:ind w:left="1180" w:right="759" w:firstLine="342"/>
        <w:spacing w:after="0" w:line="248" w:lineRule="auto"/>
        <w:rPr>
          <w:sz w:val="20"/>
          <w:szCs w:val="20"/>
          <w:color w:val="auto"/>
        </w:rPr>
      </w:pPr>
      <w:r>
        <w:rPr>
          <w:rFonts w:ascii="Times New Roman" w:cs="Times New Roman" w:eastAsia="Times New Roman" w:hAnsi="Times New Roman"/>
          <w:sz w:val="17"/>
          <w:szCs w:val="17"/>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07" w:lineRule="exact"/>
        <w:rPr>
          <w:sz w:val="20"/>
          <w:szCs w:val="20"/>
          <w:color w:val="auto"/>
        </w:rPr>
      </w:pPr>
    </w:p>
    <w:p>
      <w:pPr>
        <w:ind w:left="1180" w:right="719" w:firstLine="342"/>
        <w:spacing w:after="0" w:line="285" w:lineRule="auto"/>
        <w:rPr>
          <w:sz w:val="20"/>
          <w:szCs w:val="20"/>
          <w:color w:val="auto"/>
        </w:rPr>
      </w:pPr>
      <w:r>
        <w:rPr>
          <w:rFonts w:ascii="Times New Roman" w:cs="Times New Roman" w:eastAsia="Times New Roman" w:hAnsi="Times New Roman"/>
          <w:sz w:val="17"/>
          <w:szCs w:val="17"/>
          <w:color w:val="auto"/>
        </w:rPr>
        <w:t>Agents, underwriters and dealers may be entitled under agreements that may be entered into with us to indemnification by us against specified liabilities, including liabilities incurred under the Securities Act, or</w:t>
      </w:r>
    </w:p>
    <w:p>
      <w:pPr>
        <w:spacing w:after="0" w:line="3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248285</wp:posOffset>
            </wp:positionV>
            <wp:extent cx="649605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1180" w:right="639"/>
        <w:spacing w:after="0" w:line="263" w:lineRule="auto"/>
        <w:rPr>
          <w:sz w:val="20"/>
          <w:szCs w:val="20"/>
          <w:color w:val="auto"/>
        </w:rPr>
      </w:pPr>
      <w:r>
        <w:rPr>
          <w:rFonts w:ascii="Times New Roman" w:cs="Times New Roman" w:eastAsia="Times New Roman" w:hAnsi="Times New Roman"/>
          <w:sz w:val="17"/>
          <w:szCs w:val="17"/>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06" w:lineRule="exact"/>
        <w:rPr>
          <w:sz w:val="20"/>
          <w:szCs w:val="20"/>
          <w:color w:val="auto"/>
        </w:rPr>
      </w:pPr>
    </w:p>
    <w:p>
      <w:pPr>
        <w:ind w:left="1180" w:right="739" w:firstLine="342"/>
        <w:spacing w:after="0" w:line="285" w:lineRule="auto"/>
        <w:rPr>
          <w:sz w:val="20"/>
          <w:szCs w:val="20"/>
          <w:color w:val="auto"/>
        </w:rPr>
      </w:pPr>
      <w:r>
        <w:rPr>
          <w:rFonts w:ascii="Times New Roman" w:cs="Times New Roman" w:eastAsia="Times New Roman" w:hAnsi="Times New Roman"/>
          <w:sz w:val="17"/>
          <w:szCs w:val="17"/>
          <w:color w:val="auto"/>
        </w:rPr>
        <w:t>Under the securities laws of some states, the securities offered by this prospectus may be sold in those states only through registered or licensed brokers or dealers.</w:t>
      </w:r>
    </w:p>
    <w:p>
      <w:pPr>
        <w:spacing w:after="0" w:line="88" w:lineRule="exact"/>
        <w:rPr>
          <w:sz w:val="20"/>
          <w:szCs w:val="20"/>
          <w:color w:val="auto"/>
        </w:rPr>
      </w:pPr>
    </w:p>
    <w:p>
      <w:pPr>
        <w:ind w:left="1180" w:right="619" w:firstLine="342"/>
        <w:spacing w:after="0" w:line="257" w:lineRule="auto"/>
        <w:rPr>
          <w:sz w:val="20"/>
          <w:szCs w:val="20"/>
          <w:color w:val="auto"/>
        </w:rPr>
      </w:pPr>
      <w:r>
        <w:rPr>
          <w:rFonts w:ascii="Times New Roman" w:cs="Times New Roman" w:eastAsia="Times New Roman" w:hAnsi="Times New Roman"/>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06" w:lineRule="exact"/>
        <w:rPr>
          <w:sz w:val="20"/>
          <w:szCs w:val="20"/>
          <w:color w:val="auto"/>
        </w:rPr>
      </w:pPr>
    </w:p>
    <w:p>
      <w:pPr>
        <w:ind w:left="1180" w:right="739" w:firstLine="342"/>
        <w:spacing w:after="0" w:line="263" w:lineRule="auto"/>
        <w:rPr>
          <w:sz w:val="20"/>
          <w:szCs w:val="20"/>
          <w:color w:val="auto"/>
        </w:rPr>
      </w:pPr>
      <w:r>
        <w:rPr>
          <w:rFonts w:ascii="Times New Roman" w:cs="Times New Roman" w:eastAsia="Times New Roman" w:hAnsi="Times New Roman"/>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55" w:lineRule="exact"/>
        <w:rPr>
          <w:sz w:val="20"/>
          <w:szCs w:val="20"/>
          <w:color w:val="auto"/>
        </w:rPr>
      </w:pPr>
    </w:p>
    <w:p>
      <w:pPr>
        <w:ind w:left="1180" w:right="679" w:firstLine="342"/>
        <w:spacing w:after="0" w:line="268" w:lineRule="auto"/>
        <w:rPr>
          <w:sz w:val="20"/>
          <w:szCs w:val="20"/>
          <w:color w:val="auto"/>
        </w:rPr>
      </w:pPr>
      <w:r>
        <w:rPr>
          <w:rFonts w:ascii="Times New Roman" w:cs="Times New Roman" w:eastAsia="Times New Roman" w:hAnsi="Times New Roman"/>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55" w:lineRule="exact"/>
        <w:rPr>
          <w:sz w:val="20"/>
          <w:szCs w:val="20"/>
          <w:color w:val="auto"/>
        </w:rPr>
      </w:pPr>
    </w:p>
    <w:p>
      <w:pPr>
        <w:ind w:left="1180" w:right="819" w:firstLine="342"/>
        <w:spacing w:after="0" w:line="268" w:lineRule="auto"/>
        <w:rPr>
          <w:sz w:val="20"/>
          <w:szCs w:val="20"/>
          <w:color w:val="auto"/>
        </w:rPr>
      </w:pPr>
      <w:r>
        <w:rPr>
          <w:rFonts w:ascii="Times New Roman" w:cs="Times New Roman" w:eastAsia="Times New Roman" w:hAnsi="Times New Roman"/>
          <w:sz w:val="17"/>
          <w:szCs w:val="17"/>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6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5" w:lineRule="exact"/>
        <w:rPr>
          <w:sz w:val="20"/>
          <w:szCs w:val="20"/>
          <w:color w:val="auto"/>
        </w:rPr>
      </w:pPr>
    </w:p>
    <w:p>
      <w:pPr>
        <w:ind w:left="1180" w:right="659" w:firstLine="342"/>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consolidated financial statements of Waste Management, Inc. appearing in Waste Management, Inc.’s </w:t>
      </w:r>
      <w:hyperlink r:id="rId108">
        <w:r>
          <w:rPr>
            <w:rFonts w:ascii="Times New Roman" w:cs="Times New Roman" w:eastAsia="Times New Roman" w:hAnsi="Times New Roman"/>
            <w:sz w:val="17"/>
            <w:szCs w:val="17"/>
            <w:u w:val="single" w:color="auto"/>
            <w:color w:val="0000EE"/>
          </w:rPr>
          <w:t>Annual Report (Form 10-K) for the year ended December 31, 2021</w:t>
        </w:r>
      </w:hyperlink>
      <w:r>
        <w:rPr>
          <w:rFonts w:ascii="Times New Roman" w:cs="Times New Roman" w:eastAsia="Times New Roman" w:hAnsi="Times New Roman"/>
          <w:sz w:val="17"/>
          <w:szCs w:val="17"/>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3"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0</wp:posOffset>
            </wp:positionV>
            <wp:extent cx="495490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4954905" cy="1651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48895</wp:posOffset>
            </wp:positionV>
            <wp:extent cx="49549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4"/>
          <w:szCs w:val="24"/>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168275</wp:posOffset>
            </wp:positionV>
            <wp:extent cx="2648585" cy="7092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2648585" cy="70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$750,000,000 4.950% Senior Notes due 2027</w:t>
      </w:r>
    </w:p>
    <w:p>
      <w:pPr>
        <w:spacing w:after="0" w:line="6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$750,000,000 4.950%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412750</wp:posOffset>
            </wp:positionV>
            <wp:extent cx="11734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142240</wp:posOffset>
            </wp:positionV>
            <wp:extent cx="11734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pacing w:after="0" w:line="19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31"/>
          <w:szCs w:val="31"/>
          <w:b w:val="1"/>
          <w:bCs w:val="1"/>
          <w:color w:val="auto"/>
        </w:rPr>
        <w:t>BNP PARIBAS</w:t>
      </w:r>
    </w:p>
    <w:p>
      <w:pPr>
        <w:ind w:left="4200"/>
        <w:spacing w:after="0" w:line="236" w:lineRule="auto"/>
        <w:rPr>
          <w:sz w:val="20"/>
          <w:szCs w:val="20"/>
          <w:color w:val="auto"/>
        </w:rPr>
      </w:pPr>
      <w:r>
        <w:rPr>
          <w:rFonts w:ascii="Times New Roman" w:cs="Times New Roman" w:eastAsia="Times New Roman" w:hAnsi="Times New Roman"/>
          <w:sz w:val="31"/>
          <w:szCs w:val="31"/>
          <w:b w:val="1"/>
          <w:bCs w:val="1"/>
          <w:color w:val="auto"/>
        </w:rPr>
        <w:t>SMBC Nikko</w:t>
      </w:r>
    </w:p>
    <w:p>
      <w:pPr>
        <w:ind w:left="4020"/>
        <w:spacing w:after="0" w:line="224" w:lineRule="auto"/>
        <w:rPr>
          <w:sz w:val="20"/>
          <w:szCs w:val="20"/>
          <w:color w:val="auto"/>
        </w:rPr>
      </w:pPr>
      <w:r>
        <w:rPr>
          <w:rFonts w:ascii="Times New Roman" w:cs="Times New Roman" w:eastAsia="Times New Roman" w:hAnsi="Times New Roman"/>
          <w:sz w:val="31"/>
          <w:szCs w:val="31"/>
          <w:b w:val="1"/>
          <w:bCs w:val="1"/>
          <w:color w:val="auto"/>
        </w:rPr>
        <w:t>Truist Securities</w:t>
      </w:r>
    </w:p>
    <w:p>
      <w:pPr>
        <w:ind w:left="3640"/>
        <w:spacing w:after="0" w:line="225" w:lineRule="auto"/>
        <w:rPr>
          <w:sz w:val="20"/>
          <w:szCs w:val="20"/>
          <w:color w:val="auto"/>
        </w:rPr>
      </w:pPr>
      <w:r>
        <w:rPr>
          <w:rFonts w:ascii="Times New Roman" w:cs="Times New Roman" w:eastAsia="Times New Roman" w:hAnsi="Times New Roman"/>
          <w:sz w:val="31"/>
          <w:szCs w:val="31"/>
          <w:b w:val="1"/>
          <w:bCs w:val="1"/>
          <w:color w:val="auto"/>
        </w:rPr>
        <w:t>Wells Fargo Securities</w:t>
      </w:r>
    </w:p>
    <w:p>
      <w:pPr>
        <w:ind w:left="4580"/>
        <w:spacing w:after="0" w:line="225" w:lineRule="auto"/>
        <w:rPr>
          <w:sz w:val="20"/>
          <w:szCs w:val="20"/>
          <w:color w:val="auto"/>
        </w:rPr>
      </w:pPr>
      <w:r>
        <w:rPr>
          <w:rFonts w:ascii="Times New Roman" w:cs="Times New Roman" w:eastAsia="Times New Roman" w:hAnsi="Times New Roman"/>
          <w:sz w:val="31"/>
          <w:szCs w:val="31"/>
          <w:b w:val="1"/>
          <w:bCs w:val="1"/>
          <w:color w:val="auto"/>
        </w:rPr>
        <w:t>MUFG</w:t>
      </w:r>
    </w:p>
    <w:p>
      <w:pPr>
        <w:ind w:left="3320"/>
        <w:spacing w:after="0" w:line="224" w:lineRule="auto"/>
        <w:rPr>
          <w:sz w:val="20"/>
          <w:szCs w:val="20"/>
          <w:color w:val="auto"/>
        </w:rPr>
      </w:pPr>
      <w:r>
        <w:rPr>
          <w:rFonts w:ascii="Times New Roman" w:cs="Times New Roman" w:eastAsia="Times New Roman" w:hAnsi="Times New Roman"/>
          <w:sz w:val="31"/>
          <w:szCs w:val="31"/>
          <w:b w:val="1"/>
          <w:bCs w:val="1"/>
          <w:color w:val="auto"/>
        </w:rPr>
        <w:t>PNC Capital Markets LLC</w:t>
      </w:r>
    </w:p>
    <w:p>
      <w:pPr>
        <w:ind w:left="3660"/>
        <w:spacing w:after="0" w:line="225" w:lineRule="auto"/>
        <w:rPr>
          <w:sz w:val="20"/>
          <w:szCs w:val="20"/>
          <w:color w:val="auto"/>
        </w:rPr>
      </w:pPr>
      <w:r>
        <w:rPr>
          <w:rFonts w:ascii="Times New Roman" w:cs="Times New Roman" w:eastAsia="Times New Roman" w:hAnsi="Times New Roman"/>
          <w:sz w:val="31"/>
          <w:szCs w:val="31"/>
          <w:b w:val="1"/>
          <w:bCs w:val="1"/>
          <w:color w:val="auto"/>
        </w:rPr>
        <w:t>RBC Capital Markets</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31"/>
          <w:szCs w:val="31"/>
          <w:b w:val="1"/>
          <w:bCs w:val="1"/>
          <w:color w:val="auto"/>
        </w:rPr>
        <w:t>US Bancorp</w:t>
      </w:r>
    </w:p>
    <w:p>
      <w:pPr>
        <w:spacing w:after="0" w:line="37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Co-Managers</w:t>
      </w:r>
    </w:p>
    <w:p>
      <w:pPr>
        <w:spacing w:after="0" w:line="8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7"/>
          <w:szCs w:val="27"/>
          <w:b w:val="1"/>
          <w:bCs w:val="1"/>
          <w:color w:val="auto"/>
        </w:rPr>
        <w:t>Deutsche Bank Securities</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7"/>
          <w:szCs w:val="27"/>
          <w:b w:val="1"/>
          <w:bCs w:val="1"/>
          <w:color w:val="auto"/>
        </w:rPr>
        <w:t>Goldman Sachs &amp; Co. LLC</w:t>
      </w:r>
    </w:p>
    <w:p>
      <w:pPr>
        <w:jc w:val="center"/>
        <w:ind w:right="-520"/>
        <w:spacing w:after="0" w:line="228" w:lineRule="auto"/>
        <w:rPr>
          <w:sz w:val="20"/>
          <w:szCs w:val="20"/>
          <w:color w:val="auto"/>
        </w:rPr>
      </w:pPr>
      <w:r>
        <w:rPr>
          <w:rFonts w:ascii="Times New Roman" w:cs="Times New Roman" w:eastAsia="Times New Roman" w:hAnsi="Times New Roman"/>
          <w:sz w:val="27"/>
          <w:szCs w:val="27"/>
          <w:b w:val="1"/>
          <w:bCs w:val="1"/>
          <w:color w:val="auto"/>
        </w:rPr>
        <w:t>Academy Securities</w:t>
      </w:r>
    </w:p>
    <w:p>
      <w:pPr>
        <w:jc w:val="center"/>
        <w:ind w:right="-520"/>
        <w:spacing w:after="0" w:line="238" w:lineRule="auto"/>
        <w:rPr>
          <w:sz w:val="20"/>
          <w:szCs w:val="20"/>
          <w:color w:val="auto"/>
        </w:rPr>
      </w:pPr>
      <w:r>
        <w:rPr>
          <w:rFonts w:ascii="Times New Roman" w:cs="Times New Roman" w:eastAsia="Times New Roman" w:hAnsi="Times New Roman"/>
          <w:sz w:val="27"/>
          <w:szCs w:val="27"/>
          <w:b w:val="1"/>
          <w:bCs w:val="1"/>
          <w:color w:val="auto"/>
        </w:rPr>
        <w:t>Loop Capital Markets</w:t>
      </w:r>
    </w:p>
    <w:p>
      <w:pPr>
        <w:jc w:val="center"/>
        <w:ind w:right="-520"/>
        <w:spacing w:after="0" w:line="228" w:lineRule="auto"/>
        <w:rPr>
          <w:sz w:val="20"/>
          <w:szCs w:val="20"/>
          <w:color w:val="auto"/>
        </w:rPr>
      </w:pPr>
      <w:r>
        <w:rPr>
          <w:rFonts w:ascii="Times New Roman" w:cs="Times New Roman" w:eastAsia="Times New Roman" w:hAnsi="Times New Roman"/>
          <w:sz w:val="27"/>
          <w:szCs w:val="27"/>
          <w:b w:val="1"/>
          <w:bCs w:val="1"/>
          <w:color w:val="auto"/>
        </w:rPr>
        <w:t>Siebert Williams Shank</w:t>
      </w:r>
    </w:p>
    <w:p>
      <w:pPr>
        <w:spacing w:after="0" w:line="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7"/>
          <w:szCs w:val="27"/>
          <w:b w:val="1"/>
          <w:bCs w:val="1"/>
          <w:color w:val="auto"/>
        </w:rPr>
        <w:t>Stern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383540</wp:posOffset>
            </wp:positionV>
            <wp:extent cx="49549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0</wp:posOffset>
            </wp:positionV>
            <wp:extent cx="4954905"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4954905" cy="1651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240030</wp:posOffset>
            </wp:positionV>
            <wp:extent cx="649605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6496050" cy="41910"/>
                    </a:xfrm>
                    <a:prstGeom prst="rect">
                      <a:avLst/>
                    </a:prstGeom>
                    <a:noFill/>
                  </pic:spPr>
                </pic:pic>
              </a:graphicData>
            </a:graphic>
          </wp:anchor>
        </w:drawing>
      </w:r>
    </w:p>
    <w:p>
      <w:pPr>
        <w:sectPr>
          <w:pgSz w:w="11900" w:h="16838" w:orient="portrait"/>
          <w:cols w:equalWidth="0" w:num="1">
            <w:col w:w="9599"/>
          </w:cols>
          <w:pgMar w:left="860" w:top="92" w:right="1440" w:bottom="1440" w:gutter="0" w:footer="0" w:header="0"/>
        </w:sectPr>
      </w:pPr>
    </w:p>
    <w:bookmarkStart w:id="69" w:name="page70"/>
    <w:bookmarkEnd w:id="69"/>
    <w:p>
      <w:pPr>
        <w:ind w:left="1040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424(b)(5)</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(Form Type)</w:t>
      </w:r>
    </w:p>
    <w:p>
      <w:pPr>
        <w:spacing w:after="0" w:line="1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Waste Management Holdings, Inc.</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Table 1: Newly Registered and Carry Forward Securities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407"/>
        </w:trPr>
        <w:tc>
          <w:tcPr>
            <w:tcW w:w="920" w:type="dxa"/>
            <w:vAlign w:val="bottom"/>
            <w:tcBorders>
              <w:top w:val="single" w:sz="8" w:color="auto"/>
              <w:left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Filing</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Previously</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Paid In</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Connection</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with</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Proposed</w:t>
            </w: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Carry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Unsold</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Calculation</w:t>
            </w: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Maximum</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Maximum</w:t>
            </w: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Carry</w:t>
            </w:r>
          </w:p>
        </w:tc>
        <w:tc>
          <w:tcPr>
            <w:tcW w:w="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Carry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Securities</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Security</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or Carry</w:t>
            </w: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Offering</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Aggregate</w:t>
            </w: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of</w:t>
            </w:r>
          </w:p>
        </w:tc>
        <w:tc>
          <w:tcPr>
            <w:tcW w:w="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Forward</w:t>
            </w:r>
          </w:p>
        </w:tc>
        <w:tc>
          <w:tcPr>
            <w:tcW w:w="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7"/>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Initial</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to be</w:t>
            </w: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Price Per</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Offering</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Fee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Registration</w:t>
            </w:r>
          </w:p>
        </w:tc>
        <w:tc>
          <w:tcPr>
            <w:tcW w:w="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Form</w:t>
            </w:r>
          </w:p>
        </w:tc>
        <w:tc>
          <w:tcPr>
            <w:tcW w:w="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File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effective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Carried</w:t>
            </w:r>
          </w:p>
        </w:tc>
        <w:tc>
          <w:tcPr>
            <w:tcW w:w="0" w:type="dxa"/>
            <w:vAlign w:val="bottom"/>
          </w:tcPr>
          <w:p>
            <w:pPr>
              <w:spacing w:after="0"/>
              <w:rPr>
                <w:sz w:val="1"/>
                <w:szCs w:val="1"/>
                <w:color w:val="auto"/>
              </w:rPr>
            </w:pPr>
          </w:p>
        </w:tc>
      </w:tr>
      <w:tr>
        <w:trPr>
          <w:trHeight w:val="229"/>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Type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Unit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Price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Fee</w:t>
            </w:r>
          </w:p>
        </w:tc>
        <w:tc>
          <w:tcPr>
            <w:tcW w:w="6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Type</w:t>
            </w:r>
          </w:p>
        </w:tc>
        <w:tc>
          <w:tcPr>
            <w:tcW w:w="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Number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0" w:type="dxa"/>
            <w:vAlign w:val="bottom"/>
          </w:tcPr>
          <w:p>
            <w:pPr>
              <w:spacing w:after="0"/>
              <w:rPr>
                <w:sz w:val="1"/>
                <w:szCs w:val="1"/>
                <w:color w:val="auto"/>
              </w:rPr>
            </w:pPr>
          </w:p>
        </w:tc>
      </w:tr>
      <w:tr>
        <w:trPr>
          <w:trHeight w:val="416"/>
        </w:trPr>
        <w:tc>
          <w:tcPr>
            <w:tcW w:w="92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Newly Registered Securities</w:t>
            </w: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20" w:type="dxa"/>
            <w:vAlign w:val="bottom"/>
            <w:tcBorders>
              <w:left w:val="single" w:sz="8" w:color="auto"/>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4.950% Senior</w:t>
            </w:r>
          </w:p>
        </w:tc>
        <w:tc>
          <w:tcPr>
            <w:tcW w:w="8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Notes due 2027</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of Waste</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Fees to</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Management, Inc.</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$750,000,000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99.879%</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$749,092,500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0.00014760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$110,566.05</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Be Paid</w:t>
            </w: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Guarantee of</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920" w:type="dxa"/>
            <w:vAlign w:val="bottom"/>
            <w:tcBorders>
              <w:left w:val="single" w:sz="8" w:color="auto"/>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vMerge w:val="continue"/>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4.950% Senior</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Notes due 2027</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of Waste</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Management, Inc.</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by Waste</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Management</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20" w:type="dxa"/>
            <w:vAlign w:val="bottom"/>
            <w:tcBorders>
              <w:left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Holdings, Inc. (1)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 (1)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(1)</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Borders>
              <w:left w:val="single" w:sz="8" w:color="auto"/>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4.950% Senior</w:t>
            </w:r>
          </w:p>
        </w:tc>
        <w:tc>
          <w:tcPr>
            <w:tcW w:w="86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Notes due 2031</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of Waste</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20" w:type="dxa"/>
            <w:vAlign w:val="bottom"/>
            <w:tcBorders>
              <w:left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Management, Inc.</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457(r)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$750,000,000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99.393%</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$745,447,500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0.00014760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$110,028.05</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Borders>
              <w:left w:val="single" w:sz="8" w:color="auto"/>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7"/>
                <w:szCs w:val="17"/>
                <w:color w:val="auto"/>
              </w:rPr>
              <w:t>Guarantee of</w:t>
            </w:r>
          </w:p>
        </w:tc>
        <w:tc>
          <w:tcPr>
            <w:tcW w:w="86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4.950% Senior</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Notes due 2031</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of Waste</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Management, Inc.</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by Waste</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Management</w:t>
            </w: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Holdings, Inc. (1)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Other (1)</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(1)</w:t>
            </w: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9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Fees</w:t>
            </w:r>
          </w:p>
        </w:tc>
        <w:tc>
          <w:tcPr>
            <w:tcW w:w="6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w w:val="98"/>
              </w:rPr>
              <w:t>Previously</w:t>
            </w: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Paid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92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Carry Forward Securities</w:t>
            </w: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Carry</w:t>
            </w:r>
          </w:p>
        </w:tc>
        <w:tc>
          <w:tcPr>
            <w:tcW w:w="6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Forward</w:t>
            </w:r>
          </w:p>
        </w:tc>
        <w:tc>
          <w:tcPr>
            <w:tcW w:w="6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Securities</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76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N/A</w:t>
            </w:r>
          </w:p>
        </w:tc>
        <w:tc>
          <w:tcPr>
            <w:tcW w:w="6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0" w:type="dxa"/>
            <w:vAlign w:val="bottom"/>
          </w:tcPr>
          <w:p>
            <w:pPr>
              <w:spacing w:after="0"/>
              <w:rPr>
                <w:sz w:val="1"/>
                <w:szCs w:val="1"/>
                <w:color w:val="auto"/>
              </w:rPr>
            </w:pPr>
          </w:p>
        </w:tc>
      </w:tr>
      <w:tr>
        <w:trPr>
          <w:trHeight w:val="416"/>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Offering Amounts</w:t>
            </w:r>
          </w:p>
        </w:tc>
        <w:tc>
          <w:tcPr>
            <w:tcW w:w="76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$1,494,540,000</w:t>
            </w: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$220,594.10</w:t>
            </w: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8"/>
              </w:rPr>
              <w:t>Total Fees Previously Paid</w:t>
            </w:r>
          </w:p>
        </w:tc>
        <w:tc>
          <w:tcPr>
            <w:tcW w:w="76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Total Fee Offsets</w:t>
            </w:r>
          </w:p>
        </w:tc>
        <w:tc>
          <w:tcPr>
            <w:tcW w:w="76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2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Net Fee Due</w:t>
            </w:r>
          </w:p>
        </w:tc>
        <w:tc>
          <w:tcPr>
            <w:tcW w:w="76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$220,594.10</w:t>
            </w:r>
          </w:p>
        </w:tc>
        <w:tc>
          <w:tcPr>
            <w:tcW w:w="6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460" w:right="420" w:hanging="457"/>
        <w:spacing w:after="0" w:line="268" w:lineRule="auto"/>
        <w:tabs>
          <w:tab w:leader="none" w:pos="4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Waste Management Holdings, Inc. will fully and unconditionally guarantee the 4.950% Senior Notes due 2027 and 4.950% Senior Notes due 2031, each issued by Waste Management, Inc. Pursuant to Rule 457(n) under the Securities Act of 1933, as amended, no separate fee is payable with respect to each such guarantee.</w:t>
      </w:r>
    </w:p>
    <w:p>
      <w:pPr>
        <w:sectPr>
          <w:pgSz w:w="11900" w:h="16838" w:orient="portrait"/>
          <w:cols w:equalWidth="0" w:num="1">
            <w:col w:w="11340"/>
          </w:cols>
          <w:pgMar w:left="320" w:top="324" w:right="239" w:bottom="0" w:gutter="0" w:footer="0" w:header="0"/>
        </w:sectPr>
      </w:pPr>
    </w:p>
    <w:bookmarkStart w:id="70" w:name="page71"/>
    <w:bookmarkEnd w:id="70"/>
    <w:p>
      <w:pPr>
        <w:jc w:val="both"/>
        <w:spacing w:after="0" w:line="268" w:lineRule="auto"/>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235585</wp:posOffset>
            </wp:positionV>
            <wp:extent cx="71393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lowerRoman"/>
      <w:start w:val="3"/>
    </w:lvl>
    <w:lvl w:ilvl="1">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lowerLetter"/>
      <w:start w:val="2"/>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lvl w:ilvl="1">
      <w:lvlJc w:val="left"/>
      <w:lvlText w:val="(%2)"/>
      <w:numFmt w:val="lowerLetter"/>
      <w:start w:val="1"/>
    </w:lvl>
  </w:abstractNum>
  <w:abstractNum w:abstractNumId="9">
    <w:nsid w:val="3006C83E"/>
    <w:multiLevelType w:val="hybridMultilevel"/>
    <w:lvl w:ilvl="0">
      <w:lvlJc w:val="left"/>
      <w:lvlText w:val="%1"/>
      <w:numFmt w:val="decimal"/>
      <w:start w:val="1"/>
    </w:lvl>
    <w:lvl w:ilvl="1">
      <w:lvlJc w:val="left"/>
      <w:lvlText w:val="(%2)"/>
      <w:numFmt w:val="lowerLetter"/>
      <w:start w:val="2"/>
    </w:lvl>
  </w:abstractNum>
  <w:abstractNum w:abstractNumId="10">
    <w:nsid w:val="614FD4A1"/>
    <w:multiLevelType w:val="hybridMultilevel"/>
    <w:lvl w:ilvl="0">
      <w:lvlJc w:val="left"/>
      <w:lvlText w:val="(%1)"/>
      <w:numFmt w:val="decimal"/>
      <w:start w:val="2"/>
    </w:lvl>
    <w:lvl w:ilvl="1">
      <w:lvlJc w:val="left"/>
      <w:lvlText w:val="%2"/>
      <w:numFmt w:val="lowerLetter"/>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Roman"/>
      <w:start w:val="2"/>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lowerRoman"/>
      <w:start w:val="3"/>
    </w:lvl>
  </w:abstractNum>
  <w:abstractNum w:abstractNumId="22">
    <w:nsid w:val="2D517796"/>
    <w:multiLevelType w:val="hybridMultilevel"/>
    <w:lvl w:ilvl="0">
      <w:lvlJc w:val="left"/>
      <w:lvlText w:val="(%1)"/>
      <w:numFmt w:val="lowerLetter"/>
      <w:start w:val="1"/>
    </w:lvl>
    <w:lvl w:ilvl="1">
      <w:lvlJc w:val="left"/>
      <w:lvlText w:val="(%2)"/>
      <w:numFmt w:val="lowerRoman"/>
      <w:start w:val="1"/>
    </w:lvl>
  </w:abstractNum>
  <w:abstractNum w:abstractNumId="23">
    <w:nsid w:val="580BD78F"/>
    <w:multiLevelType w:val="hybridMultilevel"/>
    <w:lvl w:ilvl="0">
      <w:lvlJc w:val="left"/>
      <w:lvlText w:val="(%1)"/>
      <w:numFmt w:val="lowerRoman"/>
      <w:start w:val="3"/>
    </w:lvl>
  </w:abstractNum>
  <w:abstractNum w:abstractNumId="24">
    <w:nsid w:val="153EA438"/>
    <w:multiLevelType w:val="hybridMultilevel"/>
    <w:lvl w:ilvl="0">
      <w:lvlJc w:val="left"/>
      <w:lvlText w:val="(%1)"/>
      <w:numFmt w:val="lowerRoman"/>
      <w:start w:val="1"/>
    </w:lvl>
    <w:lvl w:ilvl="1">
      <w:lvlJc w:val="left"/>
      <w:lvlText w:val="(%2)"/>
      <w:numFmt w:val="lowerLetter"/>
      <w:start w:val="24"/>
    </w:lvl>
  </w:abstractNum>
  <w:abstractNum w:abstractNumId="25">
    <w:nsid w:val="3855585C"/>
    <w:multiLevelType w:val="hybridMultilevel"/>
    <w:lvl w:ilvl="0">
      <w:lvlJc w:val="left"/>
      <w:lvlText w:val="(%1)"/>
      <w:numFmt w:val="lowerLetter"/>
      <w:start w:val="27"/>
    </w:lvl>
  </w:abstractNum>
  <w:abstractNum w:abstractNumId="26">
    <w:nsid w:val="70A64E2A"/>
    <w:multiLevelType w:val="hybridMultilevel"/>
    <w:lvl w:ilvl="0">
      <w:lvlJc w:val="left"/>
      <w:lvlText w:val="(%1)"/>
      <w:numFmt w:val="lowerLetter"/>
      <w:start w:val="1"/>
    </w:lvl>
    <w:lvl w:ilvl="1">
      <w:lvlJc w:val="left"/>
      <w:lvlText w:val="(%2)"/>
      <w:numFmt w:val="lowerRoman"/>
      <w:start w:val="1"/>
    </w:lvl>
  </w:abstractNum>
  <w:abstractNum w:abstractNumId="27">
    <w:nsid w:val="6A2342EC"/>
    <w:multiLevelType w:val="hybridMultilevel"/>
    <w:lvl w:ilvl="0">
      <w:lvlJc w:val="left"/>
      <w:lvlText w:val="(%1)"/>
      <w:numFmt w:val="decimal"/>
      <w:start w:val="713"/>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713"/>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1)"/>
      <w:numFmt w:val="lowerLetter"/>
      <w:start w:val="1"/>
    </w:lvl>
    <w:lvl w:ilvl="1">
      <w:lvlJc w:val="left"/>
      <w:lvlText w:val="•"/>
      <w:numFmt w:val="bullet"/>
      <w:start w:val="1"/>
    </w:lvl>
  </w:abstractNum>
  <w:abstractNum w:abstractNumId="50">
    <w:nsid w:val="374A3FE6"/>
    <w:multiLevelType w:val="hybridMultilevel"/>
    <w:lvl w:ilvl="0">
      <w:lvlJc w:val="left"/>
      <w:lvlText w:val="(%1)"/>
      <w:numFmt w:val="lowerLetter"/>
      <w:start w:val="14"/>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7" Type="http://schemas.openxmlformats.org/officeDocument/2006/relationships/image" Target="media/image77.png"/><Relationship Id="rId90" Type="http://schemas.openxmlformats.org/officeDocument/2006/relationships/image" Target="media/image78.png"/><Relationship Id="rId93"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jpe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jpe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81" Type="http://schemas.openxmlformats.org/officeDocument/2006/relationships/hyperlink" Target="http://www.sec.gov/ix?doc=/Archives/edgar/data/823768/000155837024001049/wm-20231231x10k.htm" TargetMode="External"/><Relationship Id="rId85" Type="http://schemas.openxmlformats.org/officeDocument/2006/relationships/hyperlink" Target="https://www.sec.gov/ix?doc=/Archives/edgar/data/823768/000155837024001049/wm-20231231x10k.htm" TargetMode="External"/><Relationship Id="rId86" Type="http://schemas.openxmlformats.org/officeDocument/2006/relationships/hyperlink" Target="https://www.sec.gov/ix?doc=/Archives/edgar/data/823768/000155837024005734/wm-20240331x10q.htm" TargetMode="External"/><Relationship Id="rId88" Type="http://schemas.openxmlformats.org/officeDocument/2006/relationships/hyperlink" Target="https://www.sec.gov/ix?doc=/Archives/edgar/data/823768/000110465924030004/tm247544d1_8k.htm" TargetMode="External"/><Relationship Id="rId89" Type="http://schemas.openxmlformats.org/officeDocument/2006/relationships/hyperlink" Target="https://www.sec.gov/ix?doc=/Archives/edgar/data/823768/000110465924031504/tm247937d1_8k.htm" TargetMode="External"/><Relationship Id="rId91" Type="http://schemas.openxmlformats.org/officeDocument/2006/relationships/hyperlink" Target="https://www.sec.gov/ix?doc=/Archives/edgar/data/823768/000110465924059949/tm2412128d2_8k.htm" TargetMode="External"/><Relationship Id="rId92" Type="http://schemas.openxmlformats.org/officeDocument/2006/relationships/hyperlink" Target="https://www.sec.gov/ix?doc=/Archives/edgar/data/823768/000110465924063047/tm2412128d3_8k.htm" TargetMode="External"/><Relationship Id="rId94" Type="http://schemas.openxmlformats.org/officeDocument/2006/relationships/hyperlink" Target="https://www.sec.gov/ix?doc=/Archives/edgar/data/823768/000110465924068410/tm2416276d1_8k.htm" TargetMode="External"/><Relationship Id="rId95" Type="http://schemas.openxmlformats.org/officeDocument/2006/relationships/hyperlink" Target="https://www.sec.gov/ix?doc=/Archives/edgar/data/823768/000110465924068691/tm2416276d2_8ka.htm" TargetMode="External"/><Relationship Id="rId96" Type="http://schemas.openxmlformats.org/officeDocument/2006/relationships/hyperlink" Target="https://www.sec.gov/ix?doc=/Archives/edgar/data/823768/000110465924042337/tm242637d5_def14a.htm" TargetMode="External"/><Relationship Id="rId108" Type="http://schemas.openxmlformats.org/officeDocument/2006/relationships/hyperlink" Target="http://www.sec.gov/ix?doc=/Archives/edgar/data/823768/000155837022001179/wm-20211231x10k.htm" TargetMode="External"/><Relationship Id="rId109" Type="http://schemas.openxmlformats.org/officeDocument/2006/relationships/hyperlink" Target="http://www.sec.gov/ix?doc=/Archives/edgar/data/823768/000155837022004593/wm-20211231x10ka.htm" TargetMode="External"/><Relationship Id="rId110" Type="http://schemas.openxmlformats.org/officeDocument/2006/relationships/hyperlink" Target="http://www.sec.gov/ix?doc=/Archives/edgar/data/823768/000155837022005976/wm-20220331x10q.htm" TargetMode="External"/><Relationship Id="rId111" Type="http://schemas.openxmlformats.org/officeDocument/2006/relationships/hyperlink" Target="http://www.sec.gov/ix?doc=/Archives/edgar/data/823768/000110465922030973/tm228341d1_8k.htm" TargetMode="External"/><Relationship Id="rId112" Type="http://schemas.openxmlformats.org/officeDocument/2006/relationships/hyperlink" Target="http://www.sec.gov/Archives/edgar/data/823768/000110465922039107/tm223363-1_def14a.htm" TargetMode="External"/><Relationship Id="rId113" Type="http://schemas.openxmlformats.org/officeDocument/2006/relationships/hyperlink" Target="http://www.sec.gov/Archives/edgar/data/823768/0000950134-95-001585-index.htm" TargetMode="External"/><Relationship Id="rId114"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2024-06-25T16:21:47Z</dcterms:created>
  <dcterms:modified xsi:type="dcterms:W3CDTF">2024-06-25T16:21:47Z</dcterms:modified>
</cp:coreProperties>
</file>