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0"/>
        <w:spacing w:after="0"/>
        <w:rPr>
          <w:sz w:val="20"/>
          <w:szCs w:val="20"/>
          <w:color w:val="auto"/>
        </w:rPr>
      </w:pPr>
      <w:r>
        <w:rPr>
          <w:rFonts w:ascii="Calibri" w:cs="Calibri" w:eastAsia="Calibri" w:hAnsi="Calibri"/>
          <w:sz w:val="11"/>
          <w:szCs w:val="11"/>
          <w:color w:val="003366"/>
        </w:rPr>
        <w:t>TABLE OF CONTENTS</w:t>
      </w: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May 8, 2025</w:t>
      </w:r>
    </w:p>
    <w:p>
      <w:pPr>
        <w:spacing w:after="0" w:line="45" w:lineRule="exact"/>
        <w:rPr>
          <w:sz w:val="24"/>
          <w:szCs w:val="24"/>
          <w:color w:val="auto"/>
        </w:rPr>
      </w:pPr>
    </w:p>
    <w:p>
      <w:pPr>
        <w:jc w:val="right"/>
        <w:ind w:right="819"/>
        <w:spacing w:after="0"/>
        <w:rPr>
          <w:sz w:val="20"/>
          <w:szCs w:val="20"/>
          <w:color w:val="auto"/>
        </w:rPr>
      </w:pPr>
      <w:r>
        <w:rPr>
          <w:rFonts w:ascii="Times New Roman" w:cs="Times New Roman" w:eastAsia="Times New Roman" w:hAnsi="Times New Roman"/>
          <w:sz w:val="12"/>
          <w:szCs w:val="12"/>
          <w:b w:val="1"/>
          <w:bCs w:val="1"/>
          <w:color w:val="auto"/>
        </w:rPr>
        <w:t>Registration No. 333-            ​</w:t>
      </w:r>
    </w:p>
    <w:p>
      <w:pPr>
        <w:spacing w:after="0" w:line="1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533400</wp:posOffset>
            </wp:positionH>
            <wp:positionV relativeFrom="paragraph">
              <wp:posOffset>1270</wp:posOffset>
            </wp:positionV>
            <wp:extent cx="4653280"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53280" cy="12700"/>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33655</wp:posOffset>
            </wp:positionV>
            <wp:extent cx="46532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53280" cy="6350"/>
                    </a:xfrm>
                    <a:prstGeom prst="rect">
                      <a:avLst/>
                    </a:prstGeom>
                    <a:noFill/>
                  </pic:spPr>
                </pic:pic>
              </a:graphicData>
            </a:graphic>
          </wp:anchor>
        </w:drawing>
      </w:r>
    </w:p>
    <w:p>
      <w:pPr>
        <w:spacing w:after="0" w:line="9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spacing w:after="0" w:line="195"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2395855</wp:posOffset>
            </wp:positionH>
            <wp:positionV relativeFrom="paragraph">
              <wp:posOffset>64770</wp:posOffset>
            </wp:positionV>
            <wp:extent cx="92773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7735" cy="6350"/>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S-4</w:t>
      </w:r>
    </w:p>
    <w:p>
      <w:pPr>
        <w:spacing w:after="0" w:line="33"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2"/>
          <w:szCs w:val="12"/>
          <w:b w:val="1"/>
          <w:bCs w:val="1"/>
          <w:color w:val="auto"/>
        </w:rPr>
        <w:t>REGISTRATION STATEMENT</w:t>
      </w:r>
    </w:p>
    <w:p>
      <w:pPr>
        <w:ind w:left="3420"/>
        <w:spacing w:after="0"/>
        <w:rPr>
          <w:sz w:val="20"/>
          <w:szCs w:val="20"/>
          <w:color w:val="auto"/>
        </w:rPr>
      </w:pPr>
      <w:r>
        <w:rPr>
          <w:rFonts w:ascii="Times New Roman" w:cs="Times New Roman" w:eastAsia="Times New Roman" w:hAnsi="Times New Roman"/>
          <w:sz w:val="12"/>
          <w:szCs w:val="12"/>
          <w:b w:val="1"/>
          <w:bCs w:val="1"/>
          <w:color w:val="auto"/>
        </w:rPr>
        <w:t>UNDER THE SECURITIES ACT OF 1933</w:t>
      </w: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2395855</wp:posOffset>
            </wp:positionH>
            <wp:positionV relativeFrom="paragraph">
              <wp:posOffset>78740</wp:posOffset>
            </wp:positionV>
            <wp:extent cx="92773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7735" cy="6350"/>
                    </a:xfrm>
                    <a:prstGeom prst="rect">
                      <a:avLst/>
                    </a:prstGeom>
                    <a:noFill/>
                  </pic:spPr>
                </pic:pic>
              </a:graphicData>
            </a:graphic>
          </wp:anchor>
        </w:drawing>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WASTE MANAGEMENT, INC.</w:t>
      </w:r>
    </w:p>
    <w:p>
      <w:pPr>
        <w:jc w:val="center"/>
        <w:ind w:right="-20"/>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r>
        <w:rPr>
          <w:rFonts w:ascii="Times New Roman" w:cs="Times New Roman" w:eastAsia="Times New Roman" w:hAnsi="Times New Roman"/>
          <w:sz w:val="12"/>
          <w:szCs w:val="12"/>
          <w:color w:val="auto"/>
        </w:rPr>
        <w:t>​</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SEE TABLE OF ADDITIONAL REGISTRANT GUARANTOR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2395855</wp:posOffset>
            </wp:positionH>
            <wp:positionV relativeFrom="paragraph">
              <wp:posOffset>88265</wp:posOffset>
            </wp:positionV>
            <wp:extent cx="9277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7735" cy="6350"/>
                    </a:xfrm>
                    <a:prstGeom prst="rect">
                      <a:avLst/>
                    </a:prstGeom>
                    <a:noFill/>
                  </pic:spPr>
                </pic:pic>
              </a:graphicData>
            </a:graphic>
          </wp:anchor>
        </w:drawing>
      </w:r>
    </w:p>
    <w:p>
      <w:pPr>
        <w:spacing w:after="0" w:line="167" w:lineRule="exact"/>
        <w:rPr>
          <w:sz w:val="24"/>
          <w:szCs w:val="24"/>
          <w:color w:val="auto"/>
        </w:rPr>
      </w:pPr>
    </w:p>
    <w:tbl>
      <w:tblPr>
        <w:tblLayout w:type="fixed"/>
        <w:tblInd w:w="840" w:type="dxa"/>
        <w:tblCellMar>
          <w:top w:w="0" w:type="dxa"/>
          <w:left w:w="0" w:type="dxa"/>
          <w:bottom w:w="0" w:type="dxa"/>
          <w:right w:w="0" w:type="dxa"/>
        </w:tblCellMar>
      </w:tblPr>
      <w:tr>
        <w:trPr>
          <w:trHeight w:val="161"/>
        </w:trPr>
        <w:tc>
          <w:tcPr>
            <w:tcW w:w="2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Pr>
          <w:p>
            <w:pPr>
              <w:ind w:left="680"/>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5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1700" w:type="dxa"/>
            <w:vAlign w:val="bottom"/>
            <w:gridSpan w:val="2"/>
          </w:tcPr>
          <w:p>
            <w:pPr>
              <w:jc w:val="center"/>
              <w:ind w:left="159"/>
              <w:spacing w:after="0"/>
              <w:rPr>
                <w:sz w:val="20"/>
                <w:szCs w:val="20"/>
                <w:color w:val="auto"/>
              </w:rPr>
            </w:pPr>
            <w:r>
              <w:rPr>
                <w:rFonts w:ascii="Times New Roman" w:cs="Times New Roman" w:eastAsia="Times New Roman" w:hAnsi="Times New Roman"/>
                <w:sz w:val="12"/>
                <w:szCs w:val="12"/>
                <w:b w:val="1"/>
                <w:bCs w:val="1"/>
                <w:color w:val="auto"/>
                <w:w w:val="99"/>
              </w:rPr>
              <w:t>4953</w:t>
            </w:r>
          </w:p>
        </w:tc>
        <w:tc>
          <w:tcPr>
            <w:tcW w:w="9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 ​</w:t>
            </w:r>
          </w:p>
        </w:tc>
        <w:tc>
          <w:tcPr>
            <w:tcW w:w="1700" w:type="dxa"/>
            <w:vAlign w:val="bottom"/>
          </w:tcPr>
          <w:p>
            <w:pPr>
              <w:jc w:val="right"/>
              <w:ind w:right="504"/>
              <w:spacing w:after="0"/>
              <w:rPr>
                <w:sz w:val="20"/>
                <w:szCs w:val="20"/>
                <w:color w:val="auto"/>
              </w:rPr>
            </w:pPr>
            <w:r>
              <w:rPr>
                <w:rFonts w:ascii="Times New Roman" w:cs="Times New Roman" w:eastAsia="Times New Roman" w:hAnsi="Times New Roman"/>
                <w:sz w:val="12"/>
                <w:szCs w:val="12"/>
                <w:b w:val="1"/>
                <w:bCs w:val="1"/>
                <w:color w:val="auto"/>
              </w:rPr>
              <w:t>73-1309529</w:t>
            </w:r>
          </w:p>
        </w:tc>
        <w:tc>
          <w:tcPr>
            <w:tcW w:w="340" w:type="dxa"/>
            <w:vAlign w:val="bottom"/>
          </w:tcPr>
          <w:p>
            <w:pPr>
              <w:ind w:left="32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26"/>
        </w:trPr>
        <w:tc>
          <w:tcPr>
            <w:tcW w:w="260" w:type="dxa"/>
            <w:vAlign w:val="bottom"/>
          </w:tcPr>
          <w:p>
            <w:pPr>
              <w:spacing w:after="0"/>
              <w:rPr>
                <w:sz w:val="10"/>
                <w:szCs w:val="10"/>
                <w:color w:val="auto"/>
              </w:rPr>
            </w:pPr>
          </w:p>
        </w:tc>
        <w:tc>
          <w:tcPr>
            <w:tcW w:w="18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(State or Other Jurisdiction of</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(Primary Standard Industrial</w:t>
            </w:r>
          </w:p>
        </w:tc>
        <w:tc>
          <w:tcPr>
            <w:tcW w:w="90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(IRS Employer</w:t>
            </w:r>
          </w:p>
        </w:tc>
        <w:tc>
          <w:tcPr>
            <w:tcW w:w="340" w:type="dxa"/>
            <w:vAlign w:val="bottom"/>
          </w:tcPr>
          <w:p>
            <w:pPr>
              <w:spacing w:after="0"/>
              <w:rPr>
                <w:sz w:val="10"/>
                <w:szCs w:val="10"/>
                <w:color w:val="auto"/>
              </w:rPr>
            </w:pPr>
          </w:p>
        </w:tc>
      </w:tr>
      <w:tr>
        <w:trPr>
          <w:trHeight w:val="159"/>
        </w:trPr>
        <w:tc>
          <w:tcPr>
            <w:tcW w:w="260" w:type="dxa"/>
            <w:vAlign w:val="bottom"/>
          </w:tcPr>
          <w:p>
            <w:pPr>
              <w:spacing w:after="0"/>
              <w:rPr>
                <w:sz w:val="13"/>
                <w:szCs w:val="13"/>
                <w:color w:val="auto"/>
              </w:rPr>
            </w:pPr>
          </w:p>
        </w:tc>
        <w:tc>
          <w:tcPr>
            <w:tcW w:w="18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Incorporation or Organization)</w:t>
            </w:r>
            <w:r>
              <w:rPr>
                <w:rFonts w:ascii="Times New Roman" w:cs="Times New Roman" w:eastAsia="Times New Roman" w:hAnsi="Times New Roman"/>
                <w:sz w:val="12"/>
                <w:szCs w:val="12"/>
                <w:color w:val="auto"/>
              </w:rPr>
              <w: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Classification Code Number)</w:t>
            </w:r>
            <w:r>
              <w:rPr>
                <w:rFonts w:ascii="Times New Roman" w:cs="Times New Roman" w:eastAsia="Times New Roman" w:hAnsi="Times New Roman"/>
                <w:sz w:val="12"/>
                <w:szCs w:val="12"/>
                <w:color w:val="auto"/>
              </w:rPr>
              <w:t>​</w:t>
            </w:r>
          </w:p>
        </w:tc>
        <w:tc>
          <w:tcPr>
            <w:tcW w:w="9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Identification Number)</w:t>
            </w:r>
          </w:p>
        </w:tc>
        <w:tc>
          <w:tcPr>
            <w:tcW w:w="340" w:type="dxa"/>
            <w:vAlign w:val="bottom"/>
          </w:tcPr>
          <w:p>
            <w:pPr>
              <w:spacing w:after="0"/>
              <w:rPr>
                <w:sz w:val="13"/>
                <w:szCs w:val="13"/>
                <w:color w:val="auto"/>
              </w:rPr>
            </w:pPr>
          </w:p>
        </w:tc>
      </w:tr>
      <w:tr>
        <w:trPr>
          <w:trHeight w:val="86"/>
        </w:trPr>
        <w:tc>
          <w:tcPr>
            <w:tcW w:w="2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r>
      <w:tr>
        <w:trPr>
          <w:trHeight w:val="190"/>
        </w:trPr>
        <w:tc>
          <w:tcPr>
            <w:tcW w:w="2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gridSpan w:val="2"/>
          </w:tcPr>
          <w:p>
            <w:pPr>
              <w:jc w:val="center"/>
              <w:ind w:left="139"/>
              <w:spacing w:after="0"/>
              <w:rPr>
                <w:sz w:val="20"/>
                <w:szCs w:val="20"/>
                <w:color w:val="auto"/>
              </w:rPr>
            </w:pPr>
            <w:r>
              <w:rPr>
                <w:rFonts w:ascii="Times New Roman" w:cs="Times New Roman" w:eastAsia="Times New Roman" w:hAnsi="Times New Roman"/>
                <w:sz w:val="12"/>
                <w:szCs w:val="12"/>
                <w:b w:val="1"/>
                <w:bCs w:val="1"/>
                <w:color w:val="auto"/>
                <w:w w:val="96"/>
              </w:rPr>
              <w:t>800 Capitol Street, Suite 3000</w:t>
            </w:r>
          </w:p>
        </w:tc>
        <w:tc>
          <w:tcPr>
            <w:tcW w:w="9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25"/>
        </w:trPr>
        <w:tc>
          <w:tcPr>
            <w:tcW w:w="2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6"/>
              </w:rPr>
              <w:t>Houston, Texas 77002</w:t>
            </w: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55"/>
        </w:trPr>
        <w:tc>
          <w:tcPr>
            <w:tcW w:w="2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Telephone: (713) 512-6200</w:t>
            </w: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40" w:type="dxa"/>
            <w:vAlign w:val="bottom"/>
          </w:tcPr>
          <w:p>
            <w:pPr>
              <w:spacing w:after="0"/>
              <w:rPr>
                <w:sz w:val="13"/>
                <w:szCs w:val="13"/>
                <w:color w:val="auto"/>
              </w:rPr>
            </w:pPr>
          </w:p>
        </w:tc>
      </w:tr>
    </w:tbl>
    <w:p>
      <w:pPr>
        <w:jc w:val="center"/>
        <w:ind w:right="-20"/>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r>
        <w:rPr>
          <w:rFonts w:ascii="Times New Roman" w:cs="Times New Roman" w:eastAsia="Times New Roman" w:hAnsi="Times New Roman"/>
          <w:sz w:val="12"/>
          <w:szCs w:val="12"/>
          <w:color w:val="auto"/>
        </w:rPr>
        <w:t>​</w:t>
      </w:r>
    </w:p>
    <w:p>
      <w:pPr>
        <w:spacing w:after="0" w:line="29"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2"/>
          <w:szCs w:val="12"/>
          <w:b w:val="1"/>
          <w:bCs w:val="1"/>
          <w:color w:val="auto"/>
        </w:rPr>
        <w:t>Charles C. Boettcher</w:t>
      </w:r>
    </w:p>
    <w:p>
      <w:pPr>
        <w:ind w:left="3280"/>
        <w:spacing w:after="0" w:line="229" w:lineRule="auto"/>
        <w:rPr>
          <w:sz w:val="20"/>
          <w:szCs w:val="20"/>
          <w:color w:val="auto"/>
        </w:rPr>
      </w:pPr>
      <w:r>
        <w:rPr>
          <w:rFonts w:ascii="Times New Roman" w:cs="Times New Roman" w:eastAsia="Times New Roman" w:hAnsi="Times New Roman"/>
          <w:sz w:val="12"/>
          <w:szCs w:val="12"/>
          <w:b w:val="1"/>
          <w:bCs w:val="1"/>
          <w:color w:val="auto"/>
        </w:rPr>
        <w:t>Executive Vice President and Chief Legal Officer</w:t>
      </w:r>
    </w:p>
    <w:p>
      <w:pPr>
        <w:ind w:left="3880"/>
        <w:spacing w:after="0" w:line="229" w:lineRule="auto"/>
        <w:rPr>
          <w:sz w:val="20"/>
          <w:szCs w:val="20"/>
          <w:color w:val="auto"/>
        </w:rPr>
      </w:pPr>
      <w:r>
        <w:rPr>
          <w:rFonts w:ascii="Times New Roman" w:cs="Times New Roman" w:eastAsia="Times New Roman" w:hAnsi="Times New Roman"/>
          <w:sz w:val="12"/>
          <w:szCs w:val="12"/>
          <w:b w:val="1"/>
          <w:bCs w:val="1"/>
          <w:color w:val="auto"/>
        </w:rPr>
        <w:t>Waste Management, Inc.</w:t>
      </w:r>
    </w:p>
    <w:p>
      <w:pPr>
        <w:ind w:left="3760"/>
        <w:spacing w:after="0" w:line="230" w:lineRule="auto"/>
        <w:rPr>
          <w:sz w:val="20"/>
          <w:szCs w:val="20"/>
          <w:color w:val="auto"/>
        </w:rPr>
      </w:pPr>
      <w:r>
        <w:rPr>
          <w:rFonts w:ascii="Times New Roman" w:cs="Times New Roman" w:eastAsia="Times New Roman" w:hAnsi="Times New Roman"/>
          <w:sz w:val="12"/>
          <w:szCs w:val="12"/>
          <w:b w:val="1"/>
          <w:bCs w:val="1"/>
          <w:color w:val="auto"/>
        </w:rPr>
        <w:t>800 Capitol Street, Suite 3000</w:t>
      </w:r>
    </w:p>
    <w:p>
      <w:pPr>
        <w:ind w:left="3960"/>
        <w:spacing w:after="0" w:line="211" w:lineRule="auto"/>
        <w:rPr>
          <w:sz w:val="20"/>
          <w:szCs w:val="20"/>
          <w:color w:val="auto"/>
        </w:rPr>
      </w:pPr>
      <w:r>
        <w:rPr>
          <w:rFonts w:ascii="Times New Roman" w:cs="Times New Roman" w:eastAsia="Times New Roman" w:hAnsi="Times New Roman"/>
          <w:sz w:val="12"/>
          <w:szCs w:val="12"/>
          <w:b w:val="1"/>
          <w:bCs w:val="1"/>
          <w:color w:val="auto"/>
        </w:rPr>
        <w:t>Houston, Texas 77002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(713) 512-6200</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(Name, address, including zip code, and telephone number, including area code, of agent for service)</w:t>
      </w:r>
      <w:r>
        <w:rPr>
          <w:rFonts w:ascii="Times New Roman" w:cs="Times New Roman" w:eastAsia="Times New Roman" w:hAnsi="Times New Roman"/>
          <w:sz w:val="12"/>
          <w:szCs w:val="12"/>
          <w:color w:val="auto"/>
        </w:rPr>
        <w: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with a copy to:</w:t>
      </w:r>
    </w:p>
    <w:p>
      <w:pPr>
        <w:spacing w:after="0" w:line="5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2"/>
          <w:szCs w:val="12"/>
          <w:b w:val="1"/>
          <w:bCs w:val="1"/>
          <w:color w:val="auto"/>
        </w:rPr>
        <w:t>Clinton W. Rancher</w:t>
      </w:r>
    </w:p>
    <w:p>
      <w:pPr>
        <w:ind w:left="4020"/>
        <w:spacing w:after="0" w:line="229" w:lineRule="auto"/>
        <w:rPr>
          <w:sz w:val="20"/>
          <w:szCs w:val="20"/>
          <w:color w:val="auto"/>
        </w:rPr>
      </w:pPr>
      <w:r>
        <w:rPr>
          <w:rFonts w:ascii="Times New Roman" w:cs="Times New Roman" w:eastAsia="Times New Roman" w:hAnsi="Times New Roman"/>
          <w:sz w:val="12"/>
          <w:szCs w:val="12"/>
          <w:b w:val="1"/>
          <w:bCs w:val="1"/>
          <w:color w:val="auto"/>
        </w:rPr>
        <w:t>Baker Botts L.L.P.</w:t>
      </w:r>
    </w:p>
    <w:p>
      <w:pPr>
        <w:jc w:val="center"/>
        <w:ind w:right="39"/>
        <w:spacing w:after="0" w:line="229" w:lineRule="auto"/>
        <w:rPr>
          <w:sz w:val="20"/>
          <w:szCs w:val="20"/>
          <w:color w:val="auto"/>
        </w:rPr>
      </w:pPr>
      <w:r>
        <w:rPr>
          <w:rFonts w:ascii="Times New Roman" w:cs="Times New Roman" w:eastAsia="Times New Roman" w:hAnsi="Times New Roman"/>
          <w:sz w:val="12"/>
          <w:szCs w:val="12"/>
          <w:b w:val="1"/>
          <w:bCs w:val="1"/>
          <w:color w:val="auto"/>
        </w:rPr>
        <w:t>910 Louisiana Street</w:t>
      </w:r>
    </w:p>
    <w:p>
      <w:pPr>
        <w:ind w:left="3960"/>
        <w:spacing w:after="0" w:line="212" w:lineRule="auto"/>
        <w:rPr>
          <w:sz w:val="20"/>
          <w:szCs w:val="20"/>
          <w:color w:val="auto"/>
        </w:rPr>
      </w:pPr>
      <w:r>
        <w:rPr>
          <w:rFonts w:ascii="Times New Roman" w:cs="Times New Roman" w:eastAsia="Times New Roman" w:hAnsi="Times New Roman"/>
          <w:sz w:val="12"/>
          <w:szCs w:val="12"/>
          <w:b w:val="1"/>
          <w:bCs w:val="1"/>
          <w:color w:val="auto"/>
        </w:rPr>
        <w:t>Houston, Texas 77002</w:t>
      </w:r>
    </w:p>
    <w:p>
      <w:pPr>
        <w:ind w:left="4140"/>
        <w:spacing w:after="0"/>
        <w:rPr>
          <w:sz w:val="20"/>
          <w:szCs w:val="20"/>
          <w:color w:val="auto"/>
        </w:rPr>
      </w:pPr>
      <w:r>
        <w:rPr>
          <w:rFonts w:ascii="Times New Roman" w:cs="Times New Roman" w:eastAsia="Times New Roman" w:hAnsi="Times New Roman"/>
          <w:sz w:val="12"/>
          <w:szCs w:val="12"/>
          <w:b w:val="1"/>
          <w:bCs w:val="1"/>
          <w:color w:val="auto"/>
        </w:rPr>
        <w:t>(713) 229-1234</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Approximate date of commencement of the proposed sale of the securities to the public:</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soon as practicable after this registration statement becomes effective.</w:t>
      </w:r>
    </w:p>
    <w:p>
      <w:pPr>
        <w:spacing w:after="0" w:line="21" w:lineRule="exact"/>
        <w:rPr>
          <w:sz w:val="24"/>
          <w:szCs w:val="24"/>
          <w:color w:val="auto"/>
        </w:rPr>
      </w:pPr>
    </w:p>
    <w:p>
      <w:pPr>
        <w:ind w:left="840" w:right="1219" w:firstLine="271"/>
        <w:spacing w:after="0" w:line="155" w:lineRule="exact"/>
        <w:rPr>
          <w:sz w:val="20"/>
          <w:szCs w:val="20"/>
          <w:color w:val="auto"/>
        </w:rPr>
      </w:pPr>
      <w:r>
        <w:rPr>
          <w:rFonts w:ascii="Times New Roman" w:cs="Times New Roman" w:eastAsia="Times New Roman" w:hAnsi="Times New Roman"/>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5" w:lineRule="exact"/>
        <w:rPr>
          <w:sz w:val="24"/>
          <w:szCs w:val="24"/>
          <w:color w:val="auto"/>
        </w:rPr>
      </w:pPr>
    </w:p>
    <w:p>
      <w:pPr>
        <w:ind w:left="840" w:right="959" w:firstLine="271"/>
        <w:spacing w:after="0" w:line="151"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4" w:lineRule="exact"/>
        <w:rPr>
          <w:sz w:val="24"/>
          <w:szCs w:val="24"/>
          <w:color w:val="auto"/>
        </w:rPr>
      </w:pPr>
    </w:p>
    <w:p>
      <w:pPr>
        <w:ind w:left="840" w:right="1079" w:firstLine="271"/>
        <w:spacing w:after="0" w:line="155" w:lineRule="exact"/>
        <w:rPr>
          <w:sz w:val="20"/>
          <w:szCs w:val="20"/>
          <w:color w:val="auto"/>
        </w:rPr>
      </w:pPr>
      <w:r>
        <w:rPr>
          <w:rFonts w:ascii="Times New Roman" w:cs="Times New Roman" w:eastAsia="Times New Roman" w:hAnsi="Times New Roman"/>
          <w:sz w:val="12"/>
          <w:szCs w:val="12"/>
          <w:color w:val="auto"/>
        </w:rPr>
        <w:t xml:space="preserve">If this form is a post- 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jc w:val="both"/>
        <w:ind w:left="840" w:right="879" w:firstLine="271"/>
        <w:spacing w:after="0" w:line="242"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 (Check one):</w:t>
      </w:r>
    </w:p>
    <w:p>
      <w:pPr>
        <w:sectPr>
          <w:pgSz w:w="11900" w:h="16838" w:orient="portrait"/>
          <w:cols w:equalWidth="0" w:num="1">
            <w:col w:w="9019"/>
          </w:cols>
          <w:pgMar w:left="1440" w:top="183" w:right="1440" w:bottom="1440" w:gutter="0" w:footer="0" w:header="0"/>
        </w:sectPr>
      </w:pPr>
    </w:p>
    <w:p>
      <w:pPr>
        <w:spacing w:after="0" w:line="37" w:lineRule="exact"/>
        <w:rPr>
          <w:sz w:val="24"/>
          <w:szCs w:val="24"/>
          <w:color w:val="auto"/>
        </w:rPr>
      </w:pPr>
    </w:p>
    <w:tbl>
      <w:tblPr>
        <w:tblLayout w:type="fixed"/>
        <w:tblInd w:w="1120" w:type="dxa"/>
        <w:tblCellMar>
          <w:top w:w="0" w:type="dxa"/>
          <w:left w:w="0" w:type="dxa"/>
          <w:bottom w:w="0" w:type="dxa"/>
          <w:right w:w="0" w:type="dxa"/>
        </w:tblCellMar>
      </w:tblPr>
      <w:tr>
        <w:trPr>
          <w:trHeight w:val="139"/>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vMerge w:val="restart"/>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92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Accelerated filer</w:t>
            </w:r>
          </w:p>
        </w:tc>
        <w:tc>
          <w:tcPr>
            <w:tcW w:w="300" w:type="dxa"/>
            <w:vAlign w:val="bottom"/>
            <w:vMerge w:val="restart"/>
          </w:tcPr>
          <w:p>
            <w:pPr>
              <w:ind w:left="180"/>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10"/>
        </w:trPr>
        <w:tc>
          <w:tcPr>
            <w:tcW w:w="1300" w:type="dxa"/>
            <w:vAlign w:val="bottom"/>
          </w:tcPr>
          <w:p>
            <w:pPr>
              <w:spacing w:after="0" w:line="11" w:lineRule="exact"/>
              <w:rPr>
                <w:sz w:val="20"/>
                <w:szCs w:val="20"/>
                <w:color w:val="auto"/>
              </w:rPr>
            </w:pPr>
            <w:r>
              <w:rPr>
                <w:rFonts w:ascii="Times New Roman" w:cs="Times New Roman" w:eastAsia="Times New Roman" w:hAnsi="Times New Roman"/>
                <w:sz w:val="1"/>
                <w:szCs w:val="1"/>
                <w:color w:val="auto"/>
              </w:rPr>
              <w:t>Large accelerated filer</w:t>
            </w:r>
          </w:p>
        </w:tc>
        <w:tc>
          <w:tcPr>
            <w:tcW w:w="1140" w:type="dxa"/>
            <w:vAlign w:val="bottom"/>
            <w:vMerge w:val="continue"/>
          </w:tcPr>
          <w:p>
            <w:pPr>
              <w:spacing w:after="0" w:line="20" w:lineRule="exact"/>
              <w:rPr>
                <w:sz w:val="1"/>
                <w:szCs w:val="1"/>
                <w:color w:val="auto"/>
              </w:rPr>
            </w:pPr>
          </w:p>
        </w:tc>
        <w:tc>
          <w:tcPr>
            <w:tcW w:w="920" w:type="dxa"/>
            <w:vAlign w:val="bottom"/>
            <w:vMerge w:val="restart"/>
          </w:tcPr>
          <w:p>
            <w:pPr>
              <w:ind w:left="8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ind w:left="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62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30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w:t>
            </w:r>
          </w:p>
        </w:tc>
        <w:tc>
          <w:tcPr>
            <w:tcW w:w="1140" w:type="dxa"/>
            <w:vAlign w:val="bottom"/>
            <w:vMerge w:val="restart"/>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92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300" w:type="dxa"/>
            <w:vAlign w:val="bottom"/>
            <w:vMerge w:val="restart"/>
          </w:tcPr>
          <w:p>
            <w:pPr>
              <w:ind w:left="180"/>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40"/>
        </w:trPr>
        <w:tc>
          <w:tcPr>
            <w:tcW w:w="1300" w:type="dxa"/>
            <w:vAlign w:val="bottom"/>
          </w:tcPr>
          <w:p>
            <w:pPr>
              <w:spacing w:after="0" w:line="40" w:lineRule="exact"/>
              <w:rPr>
                <w:sz w:val="20"/>
                <w:szCs w:val="20"/>
                <w:color w:val="auto"/>
              </w:rPr>
            </w:pPr>
            <w:r>
              <w:rPr>
                <w:rFonts w:ascii="Times New Roman" w:cs="Times New Roman" w:eastAsia="Times New Roman" w:hAnsi="Times New Roman"/>
                <w:sz w:val="4"/>
                <w:szCs w:val="4"/>
                <w:color w:val="auto"/>
              </w:rPr>
              <w:t>Non-accelerated filer</w:t>
            </w: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1"/>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spacing w:after="0"/>
              <w:rPr>
                <w:sz w:val="24"/>
                <w:szCs w:val="24"/>
                <w:color w:val="auto"/>
              </w:rPr>
            </w:pPr>
          </w:p>
        </w:tc>
        <w:tc>
          <w:tcPr>
            <w:tcW w:w="2620" w:type="dxa"/>
            <w:vAlign w:val="bottom"/>
            <w:gridSpan w:val="3"/>
          </w:tcPr>
          <w:p>
            <w:pPr>
              <w:ind w:left="860"/>
              <w:spacing w:after="0"/>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2"/>
                <w:szCs w:val="12"/>
                <w:color w:val="auto"/>
              </w:rPr>
              <w:t xml:space="preserve"> Emerging growth company</w:t>
            </w:r>
          </w:p>
        </w:tc>
        <w:tc>
          <w:tcPr>
            <w:tcW w:w="300" w:type="dxa"/>
            <w:vAlign w:val="bottom"/>
          </w:tcPr>
          <w:p>
            <w:pPr>
              <w:ind w:left="180"/>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bl>
    <w:p>
      <w:pPr>
        <w:spacing w:after="0" w:line="3" w:lineRule="exact"/>
        <w:rPr>
          <w:sz w:val="24"/>
          <w:szCs w:val="24"/>
          <w:color w:val="auto"/>
        </w:rPr>
      </w:pPr>
    </w:p>
    <w:p>
      <w:pPr>
        <w:ind w:left="840" w:firstLine="271"/>
        <w:spacing w:after="0" w:line="155"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5"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2"/>
          <w:szCs w:val="12"/>
          <w:color w:val="auto"/>
        </w:rPr>
        <w:t>If applicable, place an X in the box to designate the appropriate rule provision relied upon in conducting this transaction:</w:t>
      </w:r>
    </w:p>
    <w:p>
      <w:pPr>
        <w:spacing w:after="0" w:line="23" w:lineRule="exact"/>
        <w:rPr>
          <w:sz w:val="24"/>
          <w:szCs w:val="24"/>
          <w:color w:val="auto"/>
        </w:rPr>
      </w:pPr>
    </w:p>
    <w:p>
      <w:pPr>
        <w:ind w:left="1120"/>
        <w:spacing w:after="0" w:line="138" w:lineRule="exact"/>
        <w:rPr>
          <w:sz w:val="20"/>
          <w:szCs w:val="20"/>
          <w:color w:val="auto"/>
        </w:rPr>
      </w:pPr>
      <w:r>
        <w:rPr>
          <w:rFonts w:ascii="Times New Roman" w:cs="Times New Roman" w:eastAsia="Times New Roman" w:hAnsi="Times New Roman"/>
          <w:sz w:val="12"/>
          <w:szCs w:val="12"/>
          <w:color w:val="auto"/>
        </w:rPr>
        <w:t xml:space="preserve">Exchange Act Rule 13e-4(i) (Cross-Border Issuer Tender Offer)  </w:t>
      </w:r>
      <w:r>
        <w:rPr>
          <w:rFonts w:ascii="MS PGothic" w:cs="MS PGothic" w:eastAsia="MS PGothic" w:hAnsi="MS PGothic"/>
          <w:sz w:val="12"/>
          <w:szCs w:val="12"/>
          <w:color w:val="auto"/>
        </w:rPr>
        <w:t>☐</w:t>
      </w:r>
    </w:p>
    <w:p>
      <w:pPr>
        <w:spacing w:after="0" w:line="63" w:lineRule="exact"/>
        <w:rPr>
          <w:sz w:val="24"/>
          <w:szCs w:val="24"/>
          <w:color w:val="auto"/>
        </w:rPr>
      </w:pPr>
    </w:p>
    <w:p>
      <w:pPr>
        <w:ind w:left="1120"/>
        <w:spacing w:after="0" w:line="138" w:lineRule="exact"/>
        <w:rPr>
          <w:sz w:val="20"/>
          <w:szCs w:val="20"/>
          <w:color w:val="auto"/>
        </w:rPr>
      </w:pPr>
      <w:r>
        <w:rPr>
          <w:rFonts w:ascii="Times New Roman" w:cs="Times New Roman" w:eastAsia="Times New Roman" w:hAnsi="Times New Roman"/>
          <w:sz w:val="12"/>
          <w:szCs w:val="12"/>
          <w:color w:val="auto"/>
        </w:rPr>
        <w:t xml:space="preserve">Exchange Act Rule 14d-1(d) (Cross-Border Third-Party Tender Offer)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rPr>
          <w:sz w:val="20"/>
          <w:szCs w:val="20"/>
          <w:color w:val="auto"/>
        </w:rPr>
      </w:pPr>
      <w:r>
        <w:rPr>
          <w:rFonts w:ascii="Times New Roman" w:cs="Times New Roman" w:eastAsia="Times New Roman" w:hAnsi="Times New Roman"/>
          <w:sz w:val="12"/>
          <w:szCs w:val="12"/>
          <w:color w:val="auto"/>
        </w:rPr>
        <w:t>​</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1057" w:lineRule="exact"/>
        <w:rPr>
          <w:sz w:val="24"/>
          <w:szCs w:val="24"/>
          <w:color w:val="auto"/>
        </w:rPr>
      </w:pPr>
    </w:p>
    <w:p>
      <w:pPr>
        <w:sectPr>
          <w:pgSz w:w="11900" w:h="16838" w:orient="portrait"/>
          <w:cols w:equalWidth="0" w:num="2">
            <w:col w:w="7680" w:space="220"/>
            <w:col w:w="1119"/>
          </w:cols>
          <w:pgMar w:left="1440" w:top="183" w:right="1440" w:bottom="1440" w:gutter="0" w:footer="0" w:header="0"/>
          <w:type w:val="continuous"/>
        </w:sectPr>
      </w:pPr>
    </w:p>
    <w:p>
      <w:pPr>
        <w:ind w:left="840" w:right="1059" w:firstLine="271"/>
        <w:spacing w:after="0" w:line="255" w:lineRule="auto"/>
        <w:rPr>
          <w:sz w:val="20"/>
          <w:szCs w:val="20"/>
          <w:color w:val="auto"/>
        </w:rPr>
      </w:pPr>
      <w:r>
        <w:rPr>
          <w:rFonts w:ascii="Times New Roman" w:cs="Times New Roman" w:eastAsia="Times New Roman" w:hAnsi="Times New Roman"/>
          <w:sz w:val="11"/>
          <w:szCs w:val="11"/>
          <w:b w:val="1"/>
          <w:bCs w:val="1"/>
          <w:color w:val="auto"/>
        </w:rPr>
        <w:t>The registrants hereby amend this registration statement on such date or dates as may be necessary to delay its effective date until the Registrants shall file a further amendment that specifically states that this registration statement shall thereafter become effective in accordance</w:t>
      </w:r>
    </w:p>
    <w:p>
      <w:pPr>
        <w:spacing w:after="0" w:line="1" w:lineRule="exact"/>
        <w:rPr>
          <w:sz w:val="24"/>
          <w:szCs w:val="24"/>
          <w:color w:val="auto"/>
        </w:rPr>
      </w:pPr>
    </w:p>
    <w:p>
      <w:pPr>
        <w:ind w:left="840" w:right="899"/>
        <w:spacing w:after="0"/>
        <w:rPr>
          <w:sz w:val="20"/>
          <w:szCs w:val="20"/>
          <w:color w:val="auto"/>
        </w:rPr>
      </w:pPr>
      <w:r>
        <w:rPr>
          <w:rFonts w:ascii="Times New Roman" w:cs="Times New Roman" w:eastAsia="Times New Roman" w:hAnsi="Times New Roman"/>
          <w:sz w:val="12"/>
          <w:szCs w:val="12"/>
          <w:b w:val="1"/>
          <w:bCs w:val="1"/>
          <w:color w:val="auto"/>
        </w:rPr>
        <w:t>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533400</wp:posOffset>
            </wp:positionH>
            <wp:positionV relativeFrom="paragraph">
              <wp:posOffset>41910</wp:posOffset>
            </wp:positionV>
            <wp:extent cx="465328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53280" cy="6350"/>
                    </a:xfrm>
                    <a:prstGeom prst="rect">
                      <a:avLst/>
                    </a:prstGeom>
                    <a:noFill/>
                  </pic:spPr>
                </pic:pic>
              </a:graphicData>
            </a:graphic>
          </wp:anchor>
        </w:drawing>
      </w:r>
    </w:p>
    <w:p>
      <w:pPr>
        <w:spacing w:after="0" w:line="5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533400</wp:posOffset>
            </wp:positionH>
            <wp:positionV relativeFrom="paragraph">
              <wp:posOffset>1270</wp:posOffset>
            </wp:positionV>
            <wp:extent cx="4653280"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53280" cy="1270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188595</wp:posOffset>
            </wp:positionV>
            <wp:extent cx="514223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83" w:right="1440" w:bottom="1440" w:gutter="0" w:footer="0" w:header="0"/>
          <w:type w:val="continuous"/>
        </w:sectPr>
      </w:pPr>
    </w:p>
    <w:bookmarkStart w:id="1" w:name="page2"/>
    <w:bookmarkEnd w:id="1"/>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ADDITIONAL REGISTRANT GUARANTOR</w:t>
      </w:r>
    </w:p>
    <w:p>
      <w:pPr>
        <w:spacing w:after="0" w:line="136"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4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State or Other</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2"/>
        </w:trPr>
        <w:tc>
          <w:tcPr>
            <w:tcW w:w="4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Jurisdiction of</w:t>
            </w:r>
          </w:p>
        </w:tc>
        <w:tc>
          <w:tcPr>
            <w:tcW w:w="160" w:type="dxa"/>
            <w:vAlign w:val="bottom"/>
          </w:tcPr>
          <w:p>
            <w:pPr>
              <w:spacing w:after="0"/>
              <w:rPr>
                <w:sz w:val="10"/>
                <w:szCs w:val="10"/>
                <w:color w:val="auto"/>
              </w:rPr>
            </w:pP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2"/>
              </w:rPr>
              <w:t>I.R.S. Employer</w:t>
            </w:r>
          </w:p>
        </w:tc>
      </w:tr>
      <w:tr>
        <w:trPr>
          <w:trHeight w:val="122"/>
        </w:trPr>
        <w:tc>
          <w:tcPr>
            <w:tcW w:w="4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Incorporation or</w:t>
            </w:r>
          </w:p>
        </w:tc>
        <w:tc>
          <w:tcPr>
            <w:tcW w:w="160" w:type="dxa"/>
            <w:vAlign w:val="bottom"/>
          </w:tcPr>
          <w:p>
            <w:pPr>
              <w:spacing w:after="0"/>
              <w:rPr>
                <w:sz w:val="10"/>
                <w:szCs w:val="10"/>
                <w:color w:val="auto"/>
              </w:rPr>
            </w:pPr>
          </w:p>
        </w:tc>
        <w:tc>
          <w:tcPr>
            <w:tcW w:w="780" w:type="dxa"/>
            <w:vAlign w:val="bottom"/>
            <w:gridSpan w:val="2"/>
          </w:tcPr>
          <w:p>
            <w:pPr>
              <w:jc w:val="right"/>
              <w:ind w:right="52"/>
              <w:spacing w:after="0" w:line="122" w:lineRule="exact"/>
              <w:rPr>
                <w:sz w:val="20"/>
                <w:szCs w:val="20"/>
                <w:color w:val="auto"/>
              </w:rPr>
            </w:pPr>
            <w:r>
              <w:rPr>
                <w:rFonts w:ascii="Times New Roman" w:cs="Times New Roman" w:eastAsia="Times New Roman" w:hAnsi="Times New Roman"/>
                <w:sz w:val="11"/>
                <w:szCs w:val="11"/>
                <w:b w:val="1"/>
                <w:bCs w:val="1"/>
                <w:color w:val="auto"/>
              </w:rPr>
              <w:t>Identification</w:t>
            </w:r>
          </w:p>
        </w:tc>
      </w:tr>
      <w:tr>
        <w:trPr>
          <w:trHeight w:val="161"/>
        </w:trPr>
        <w:tc>
          <w:tcPr>
            <w:tcW w:w="4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Exact Name of Additional Registrant as Specified in its Charter*</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Organization</w:t>
            </w:r>
          </w:p>
        </w:tc>
        <w:tc>
          <w:tcPr>
            <w:tcW w:w="940" w:type="dxa"/>
            <w:vAlign w:val="bottom"/>
            <w:gridSpan w:val="3"/>
          </w:tcPr>
          <w:p>
            <w:pPr>
              <w:jc w:val="right"/>
              <w:spacing w:after="0" w:line="161" w:lineRule="exact"/>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    Number   </w:t>
            </w:r>
            <w:r>
              <w:rPr>
                <w:rFonts w:ascii="Times New Roman" w:cs="Times New Roman" w:eastAsia="Times New Roman" w:hAnsi="Times New Roman"/>
                <w:sz w:val="18"/>
                <w:szCs w:val="18"/>
                <w:b w:val="1"/>
                <w:bCs w:val="1"/>
                <w:color w:val="auto"/>
                <w:vertAlign w:val="subscript"/>
              </w:rPr>
              <w:t>​</w:t>
            </w:r>
          </w:p>
        </w:tc>
      </w:tr>
      <w:tr>
        <w:trPr>
          <w:trHeight w:val="20"/>
        </w:trPr>
        <w:tc>
          <w:tcPr>
            <w:tcW w:w="4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Waste Management Holdings, Inc.</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Delaware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36-2660763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-128270</wp:posOffset>
            </wp:positionV>
            <wp:extent cx="10287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 cy="6350"/>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-128270</wp:posOffset>
            </wp:positionV>
            <wp:extent cx="10287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6350"/>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109855</wp:posOffset>
            </wp:positionV>
            <wp:extent cx="92773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27735" cy="6350"/>
                    </a:xfrm>
                    <a:prstGeom prst="rect">
                      <a:avLst/>
                    </a:prstGeom>
                    <a:noFill/>
                  </pic:spPr>
                </pic:pic>
              </a:graphicData>
            </a:graphic>
          </wp:anchor>
        </w:drawing>
      </w:r>
    </w:p>
    <w:p>
      <w:pPr>
        <w:spacing w:after="0" w:line="251" w:lineRule="exact"/>
        <w:rPr>
          <w:sz w:val="20"/>
          <w:szCs w:val="20"/>
          <w:color w:val="auto"/>
        </w:rPr>
      </w:pPr>
    </w:p>
    <w:p>
      <w:pPr>
        <w:ind w:left="1680" w:right="1539" w:hanging="261"/>
        <w:spacing w:after="0" w:line="246" w:lineRule="auto"/>
        <w:tabs>
          <w:tab w:leader="none" w:pos="16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additional registrant is a direct wholly owned subsidiary of Waste Management, Inc. The address, including zip code, and telephone number, including area code, of the additional registrant’s principal executive offices is 800 Capitol Street, Suite 3000, Houston, Texas 77002, telephone (713) 512-6200. The name, address, including zip code, and telephone number, including area code, of the agent for service for the additional registrant is Charles C. Boettcher, Chief Legal Officer, Waste Management, Inc., 800 Capitol Street, Suite 3000, Houston, Texas 77002, telephone (713)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4670425</wp:posOffset>
            </wp:positionV>
            <wp:extent cx="514223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 w:name="page3"/>
    <w:bookmarkEnd w:id="2"/>
    <w:p>
      <w:pPr>
        <w:ind w:left="480"/>
        <w:spacing w:after="0"/>
        <w:rPr>
          <w:sz w:val="20"/>
          <w:szCs w:val="20"/>
          <w:color w:val="auto"/>
        </w:rPr>
      </w:pPr>
      <w:r>
        <w:rPr>
          <w:rFonts w:ascii="Calibri" w:cs="Calibri" w:eastAsia="Calibri" w:hAnsi="Calibri"/>
          <w:sz w:val="10"/>
          <w:szCs w:val="10"/>
          <w:color w:val="003366"/>
        </w:rPr>
        <w:t>TABLE OF CONTENTS</w:t>
      </w:r>
    </w:p>
    <w:p>
      <w:pPr>
        <w:sectPr>
          <w:pgSz w:w="11900" w:h="16838" w:orient="portrait"/>
          <w:cols w:equalWidth="0" w:num="1">
            <w:col w:w="9019"/>
          </w:cols>
          <w:pgMar w:left="1440" w:top="110" w:right="1440" w:bottom="1440" w:gutter="0" w:footer="0" w:header="0"/>
        </w:sectPr>
      </w:pPr>
    </w:p>
    <w:p>
      <w:pPr>
        <w:spacing w:after="0" w:line="346" w:lineRule="exact"/>
        <w:rPr>
          <w:sz w:val="20"/>
          <w:szCs w:val="20"/>
          <w:color w:val="auto"/>
        </w:rPr>
      </w:pPr>
    </w:p>
    <w:tbl>
      <w:tblPr>
        <w:tblLayout w:type="fixed"/>
        <w:tblInd w:w="800" w:type="dxa"/>
        <w:tblCellMar>
          <w:top w:w="0" w:type="dxa"/>
          <w:left w:w="0" w:type="dxa"/>
          <w:bottom w:w="0" w:type="dxa"/>
          <w:right w:w="0" w:type="dxa"/>
        </w:tblCellMar>
      </w:tblPr>
      <w:tr>
        <w:trPr>
          <w:trHeight w:val="1087"/>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9"/>
              </w:rPr>
              <w:t>until the registration</w:t>
            </w:r>
          </w:p>
        </w:tc>
        <w:tc>
          <w:tcPr>
            <w:tcW w:w="240" w:type="dxa"/>
            <w:vAlign w:val="bottom"/>
            <w:textDirection w:val="btLr"/>
          </w:tcPr>
          <w:p>
            <w:pPr>
              <w:ind w:left="27"/>
              <w:spacing w:after="0"/>
              <w:rPr>
                <w:sz w:val="20"/>
                <w:szCs w:val="20"/>
                <w:color w:val="auto"/>
              </w:rPr>
            </w:pPr>
            <w:r>
              <w:rPr>
                <w:rFonts w:ascii="Arial" w:cs="Arial" w:eastAsia="Arial" w:hAnsi="Arial"/>
                <w:sz w:val="11"/>
                <w:szCs w:val="11"/>
                <w:b w:val="1"/>
                <w:bCs w:val="1"/>
                <w:color w:val="FC0014"/>
                <w:w w:val="99"/>
              </w:rPr>
              <w:t>an offer to buy these</w:t>
            </w:r>
          </w:p>
        </w:tc>
      </w:tr>
      <w:tr>
        <w:trPr>
          <w:trHeight w:val="830"/>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these securities</w:t>
            </w:r>
          </w:p>
        </w:tc>
        <w:tc>
          <w:tcPr>
            <w:tcW w:w="240" w:type="dxa"/>
            <w:vAlign w:val="bottom"/>
            <w:textDirection w:val="btLr"/>
          </w:tcPr>
          <w:p>
            <w:pPr>
              <w:ind w:left="27"/>
              <w:spacing w:after="0"/>
              <w:rPr>
                <w:sz w:val="20"/>
                <w:szCs w:val="20"/>
                <w:color w:val="auto"/>
              </w:rPr>
            </w:pPr>
            <w:r>
              <w:rPr>
                <w:rFonts w:ascii="Arial" w:cs="Arial" w:eastAsia="Arial" w:hAnsi="Arial"/>
                <w:sz w:val="11"/>
                <w:szCs w:val="11"/>
                <w:b w:val="1"/>
                <w:bCs w:val="1"/>
                <w:color w:val="FC0014"/>
                <w:w w:val="99"/>
              </w:rPr>
              <w:t>is not soliciting</w:t>
            </w:r>
          </w:p>
        </w:tc>
      </w:tr>
      <w:tr>
        <w:trPr>
          <w:trHeight w:val="889"/>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any offer to buy</w:t>
            </w:r>
          </w:p>
        </w:tc>
        <w:tc>
          <w:tcPr>
            <w:tcW w:w="240" w:type="dxa"/>
            <w:vAlign w:val="bottom"/>
            <w:textDirection w:val="btLr"/>
          </w:tcPr>
          <w:p>
            <w:pPr>
              <w:ind w:left="27"/>
              <w:spacing w:after="0"/>
              <w:rPr>
                <w:sz w:val="20"/>
                <w:szCs w:val="20"/>
                <w:color w:val="auto"/>
              </w:rPr>
            </w:pPr>
            <w:r>
              <w:rPr>
                <w:rFonts w:ascii="Arial" w:cs="Arial" w:eastAsia="Arial" w:hAnsi="Arial"/>
                <w:sz w:val="11"/>
                <w:szCs w:val="11"/>
                <w:b w:val="1"/>
                <w:bCs w:val="1"/>
                <w:color w:val="FC0014"/>
                <w:w w:val="96"/>
              </w:rPr>
              <w:t>securities, and it</w:t>
            </w:r>
          </w:p>
        </w:tc>
      </w:tr>
      <w:tr>
        <w:trPr>
          <w:trHeight w:val="529"/>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or accept</w:t>
            </w:r>
          </w:p>
        </w:tc>
        <w:tc>
          <w:tcPr>
            <w:tcW w:w="240" w:type="dxa"/>
            <w:vAlign w:val="bottom"/>
            <w:textDirection w:val="btLr"/>
          </w:tcPr>
          <w:p>
            <w:pPr>
              <w:ind w:left="27"/>
              <w:spacing w:after="0"/>
              <w:rPr>
                <w:sz w:val="20"/>
                <w:szCs w:val="20"/>
                <w:color w:val="auto"/>
              </w:rPr>
            </w:pPr>
            <w:r>
              <w:rPr>
                <w:rFonts w:ascii="Arial" w:cs="Arial" w:eastAsia="Arial" w:hAnsi="Arial"/>
                <w:sz w:val="11"/>
                <w:szCs w:val="11"/>
                <w:b w:val="1"/>
                <w:bCs w:val="1"/>
                <w:color w:val="FC0014"/>
                <w:w w:val="99"/>
              </w:rPr>
              <w:t>sell these</w:t>
            </w:r>
          </w:p>
        </w:tc>
      </w:tr>
      <w:tr>
        <w:trPr>
          <w:trHeight w:val="572"/>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3"/>
              </w:rPr>
              <w:t>securities</w:t>
            </w:r>
          </w:p>
        </w:tc>
        <w:tc>
          <w:tcPr>
            <w:tcW w:w="240" w:type="dxa"/>
            <w:vAlign w:val="bottom"/>
            <w:textDirection w:val="btLr"/>
          </w:tcPr>
          <w:p>
            <w:pPr>
              <w:ind w:left="27"/>
              <w:spacing w:after="0"/>
              <w:rPr>
                <w:sz w:val="20"/>
                <w:szCs w:val="20"/>
                <w:color w:val="auto"/>
              </w:rPr>
            </w:pPr>
            <w:r>
              <w:rPr>
                <w:rFonts w:ascii="Arial" w:cs="Arial" w:eastAsia="Arial" w:hAnsi="Arial"/>
                <w:sz w:val="11"/>
                <w:szCs w:val="11"/>
                <w:b w:val="1"/>
                <w:bCs w:val="1"/>
                <w:color w:val="FC0014"/>
                <w:w w:val="96"/>
              </w:rPr>
              <w:t>an offer to</w:t>
            </w:r>
          </w:p>
        </w:tc>
      </w:tr>
      <w:tr>
        <w:trPr>
          <w:trHeight w:val="968"/>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may not sell these</w:t>
            </w:r>
          </w:p>
        </w:tc>
        <w:tc>
          <w:tcPr>
            <w:tcW w:w="240" w:type="dxa"/>
            <w:vAlign w:val="bottom"/>
            <w:textDirection w:val="btLr"/>
          </w:tcPr>
          <w:p>
            <w:pPr>
              <w:ind w:left="27"/>
              <w:spacing w:after="0"/>
              <w:rPr>
                <w:sz w:val="20"/>
                <w:szCs w:val="20"/>
                <w:color w:val="auto"/>
              </w:rPr>
            </w:pPr>
            <w:r>
              <w:rPr>
                <w:rFonts w:ascii="Arial" w:cs="Arial" w:eastAsia="Arial" w:hAnsi="Arial"/>
                <w:sz w:val="11"/>
                <w:szCs w:val="11"/>
                <w:b w:val="1"/>
                <w:bCs w:val="1"/>
                <w:color w:val="FC0014"/>
                <w:w w:val="98"/>
              </w:rPr>
              <w:t>prospectus is not</w:t>
            </w:r>
          </w:p>
        </w:tc>
      </w:tr>
      <w:tr>
        <w:trPr>
          <w:trHeight w:val="4683"/>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The information in this preliminary prospectus is not complete and may be changed. We</w:t>
            </w:r>
          </w:p>
        </w:tc>
        <w:tc>
          <w:tcPr>
            <w:tcW w:w="240" w:type="dxa"/>
            <w:vAlign w:val="bottom"/>
            <w:textDirection w:val="btLr"/>
          </w:tcPr>
          <w:p>
            <w:pPr>
              <w:ind w:left="137"/>
              <w:spacing w:after="0"/>
              <w:rPr>
                <w:sz w:val="20"/>
                <w:szCs w:val="20"/>
                <w:color w:val="auto"/>
              </w:rPr>
            </w:pPr>
            <w:r>
              <w:rPr>
                <w:rFonts w:ascii="Arial" w:cs="Arial" w:eastAsia="Arial" w:hAnsi="Arial"/>
                <w:sz w:val="9"/>
                <w:szCs w:val="9"/>
                <w:b w:val="1"/>
                <w:bCs w:val="1"/>
                <w:color w:val="FC0014"/>
                <w:w w:val="71"/>
              </w:rPr>
              <w:t>statement filed with the Securities and Exchange Commission is effective. This preliminarysecuritiesinanyjurisdictionwheretheofferorsaleisnotpermitted.</w:t>
            </w:r>
          </w:p>
        </w:tc>
      </w:tr>
    </w:tbl>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b w:val="1"/>
          <w:bCs w:val="1"/>
          <w:color w:val="FC0014"/>
        </w:rPr>
        <w:t>PRELIMINARY — SUBJECT TO COMPLETION, DATED 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71120</wp:posOffset>
            </wp:positionV>
            <wp:extent cx="1469390" cy="393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9390" cy="39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b w:val="1"/>
          <w:bCs w:val="1"/>
          <w:color w:val="auto"/>
        </w:rPr>
        <w:t>WASTE MANAGEMENT, INC.</w:t>
      </w:r>
    </w:p>
    <w:p>
      <w:pPr>
        <w:spacing w:after="0" w:line="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6"/>
          <w:szCs w:val="16"/>
          <w:b w:val="1"/>
          <w:bCs w:val="1"/>
          <w:color w:val="auto"/>
        </w:rPr>
        <w:t>Offer to Exchange the Notes Set Forth Below</w:t>
      </w:r>
    </w:p>
    <w:p>
      <w:pPr>
        <w:ind w:left="1520"/>
        <w:spacing w:after="0" w:line="225" w:lineRule="auto"/>
        <w:rPr>
          <w:sz w:val="20"/>
          <w:szCs w:val="20"/>
          <w:color w:val="auto"/>
        </w:rPr>
      </w:pPr>
      <w:r>
        <w:rPr>
          <w:rFonts w:ascii="Times New Roman" w:cs="Times New Roman" w:eastAsia="Times New Roman" w:hAnsi="Times New Roman"/>
          <w:sz w:val="16"/>
          <w:szCs w:val="16"/>
          <w:b w:val="1"/>
          <w:bCs w:val="1"/>
          <w:color w:val="auto"/>
        </w:rPr>
        <w:t>Registered Under the Securities Act of 1933, as amended,</w:t>
      </w:r>
    </w:p>
    <w:p>
      <w:pPr>
        <w:ind w:left="3300"/>
        <w:spacing w:after="0" w:line="211" w:lineRule="auto"/>
        <w:rPr>
          <w:sz w:val="20"/>
          <w:szCs w:val="20"/>
          <w:color w:val="auto"/>
        </w:rPr>
      </w:pPr>
      <w:r>
        <w:rPr>
          <w:rFonts w:ascii="Times New Roman" w:cs="Times New Roman" w:eastAsia="Times New Roman" w:hAnsi="Times New Roman"/>
          <w:sz w:val="16"/>
          <w:szCs w:val="16"/>
          <w:b w:val="1"/>
          <w:bCs w:val="1"/>
          <w:color w:val="auto"/>
        </w:rPr>
        <w:t>for</w:t>
      </w:r>
    </w:p>
    <w:p>
      <w:pPr>
        <w:jc w:val="right"/>
        <w:ind w:right="2879"/>
        <w:spacing w:after="0" w:line="225" w:lineRule="auto"/>
        <w:rPr>
          <w:sz w:val="20"/>
          <w:szCs w:val="20"/>
          <w:color w:val="auto"/>
        </w:rPr>
      </w:pPr>
      <w:r>
        <w:rPr>
          <w:rFonts w:ascii="Times New Roman" w:cs="Times New Roman" w:eastAsia="Times New Roman" w:hAnsi="Times New Roman"/>
          <w:sz w:val="16"/>
          <w:szCs w:val="16"/>
          <w:b w:val="1"/>
          <w:bCs w:val="1"/>
          <w:color w:val="auto"/>
        </w:rPr>
        <w:t>Any and All Outstanding Restricted Notes</w:t>
      </w:r>
    </w:p>
    <w:p>
      <w:pPr>
        <w:spacing w:after="0" w:line="1"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6"/>
          <w:szCs w:val="16"/>
          <w:b w:val="1"/>
          <w:bCs w:val="1"/>
          <w:color w:val="auto"/>
        </w:rPr>
        <w:t>Set Forth Opposite the Registered Notes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3040" w:type="dxa"/>
            <w:vAlign w:val="bottom"/>
            <w:tcBorders>
              <w:bottom w:val="single" w:sz="8" w:color="auto"/>
            </w:tcBorders>
          </w:tcPr>
          <w:p>
            <w:pPr>
              <w:jc w:val="center"/>
              <w:ind w:right="243"/>
              <w:spacing w:after="0"/>
              <w:rPr>
                <w:sz w:val="20"/>
                <w:szCs w:val="20"/>
                <w:color w:val="auto"/>
              </w:rPr>
            </w:pPr>
            <w:r>
              <w:rPr>
                <w:rFonts w:ascii="Times New Roman" w:cs="Times New Roman" w:eastAsia="Times New Roman" w:hAnsi="Times New Roman"/>
                <w:sz w:val="11"/>
                <w:szCs w:val="11"/>
                <w:b w:val="1"/>
                <w:bCs w:val="1"/>
                <w:color w:val="auto"/>
                <w:w w:val="94"/>
              </w:rPr>
              <w:t>REGISTERED NOTES</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RESTRICTED NOTES</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56"/>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0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$485,084,000 3.875% Senior Notes due 2029</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3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$485,084,000 3.875% Senior Notes due 2029</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62"/>
        </w:trPr>
        <w:tc>
          <w:tcPr>
            <w:tcW w:w="300" w:type="dxa"/>
            <w:vAlign w:val="bottom"/>
          </w:tcPr>
          <w:p>
            <w:pPr>
              <w:spacing w:after="0"/>
              <w:rPr>
                <w:sz w:val="14"/>
                <w:szCs w:val="14"/>
                <w:color w:val="auto"/>
              </w:rPr>
            </w:pPr>
          </w:p>
        </w:tc>
        <w:tc>
          <w:tcPr>
            <w:tcW w:w="3040" w:type="dxa"/>
            <w:vAlign w:val="bottom"/>
          </w:tcPr>
          <w:p>
            <w:pPr>
              <w:jc w:val="center"/>
              <w:ind w:right="243"/>
              <w:spacing w:after="0"/>
              <w:rPr>
                <w:sz w:val="20"/>
                <w:szCs w:val="20"/>
                <w:color w:val="auto"/>
              </w:rPr>
            </w:pPr>
            <w:r>
              <w:rPr>
                <w:rFonts w:ascii="Times New Roman" w:cs="Times New Roman" w:eastAsia="Times New Roman" w:hAnsi="Times New Roman"/>
                <w:sz w:val="12"/>
                <w:szCs w:val="12"/>
                <w:color w:val="auto"/>
              </w:rPr>
              <w:t>(CUSIP No. 94106LCA5)</w:t>
            </w:r>
          </w:p>
        </w:tc>
        <w:tc>
          <w:tcPr>
            <w:tcW w:w="160" w:type="dxa"/>
            <w:vAlign w:val="bottom"/>
          </w:tcPr>
          <w:p>
            <w:pPr>
              <w:spacing w:after="0"/>
              <w:rPr>
                <w:sz w:val="14"/>
                <w:szCs w:val="14"/>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(CUSIP Nos. 94106LBZ1 and U94106AK4)</w:t>
            </w:r>
          </w:p>
        </w:tc>
        <w:tc>
          <w:tcPr>
            <w:tcW w:w="40" w:type="dxa"/>
            <w:vAlign w:val="bottom"/>
          </w:tcPr>
          <w:p>
            <w:pPr>
              <w:spacing w:after="0"/>
              <w:rPr>
                <w:sz w:val="14"/>
                <w:szCs w:val="14"/>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Principal Terms of the Exchange Offer</w:t>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This is an offer (the “</w:t>
      </w:r>
      <w:r>
        <w:rPr>
          <w:rFonts w:ascii="Times New Roman" w:cs="Times New Roman" w:eastAsia="Times New Roman" w:hAnsi="Times New Roman"/>
          <w:sz w:val="12"/>
          <w:szCs w:val="12"/>
          <w:i w:val="1"/>
          <w:iCs w:val="1"/>
          <w:color w:val="auto"/>
        </w:rPr>
        <w:t>exchange offer</w:t>
      </w:r>
      <w:r>
        <w:rPr>
          <w:rFonts w:ascii="Times New Roman" w:cs="Times New Roman" w:eastAsia="Times New Roman" w:hAnsi="Times New Roman"/>
          <w:sz w:val="12"/>
          <w:szCs w:val="12"/>
          <w:color w:val="auto"/>
        </w:rPr>
        <w:t>”) by Waste Management, Inc., a Delaware corporation (“</w:t>
      </w:r>
      <w:r>
        <w:rPr>
          <w:rFonts w:ascii="Times New Roman" w:cs="Times New Roman" w:eastAsia="Times New Roman" w:hAnsi="Times New Roman"/>
          <w:sz w:val="12"/>
          <w:szCs w:val="12"/>
          <w:i w:val="1"/>
          <w:iCs w:val="1"/>
          <w:color w:val="auto"/>
        </w:rPr>
        <w:t>WM</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i w:val="1"/>
          <w:iCs w:val="1"/>
          <w:color w:val="auto"/>
        </w:rPr>
        <w:t>Company</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we</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us</w:t>
      </w:r>
      <w:r>
        <w:rPr>
          <w:rFonts w:ascii="Times New Roman" w:cs="Times New Roman" w:eastAsia="Times New Roman" w:hAnsi="Times New Roman"/>
          <w:sz w:val="12"/>
          <w:szCs w:val="12"/>
          <w:color w:val="auto"/>
        </w:rPr>
        <w:t>,”</w:t>
      </w:r>
    </w:p>
    <w:p>
      <w:pPr>
        <w:spacing w:after="0" w:line="21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our</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i w:val="1"/>
          <w:iCs w:val="1"/>
          <w:color w:val="auto"/>
        </w:rPr>
        <w:t>Issuer</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i w:val="1"/>
          <w:iCs w:val="1"/>
          <w:color w:val="auto"/>
        </w:rPr>
        <w:t>Registrant</w:t>
      </w:r>
      <w:r>
        <w:rPr>
          <w:rFonts w:ascii="Times New Roman" w:cs="Times New Roman" w:eastAsia="Times New Roman" w:hAnsi="Times New Roman"/>
          <w:sz w:val="12"/>
          <w:szCs w:val="12"/>
          <w:color w:val="auto"/>
        </w:rPr>
        <w:t>”), to exchange all outstanding unregistered Restricted Notes (as defined below) for an equal principal</w:t>
      </w:r>
    </w:p>
    <w:p>
      <w:pPr>
        <w:spacing w:after="0" w:line="212" w:lineRule="auto"/>
        <w:rPr>
          <w:sz w:val="20"/>
          <w:szCs w:val="20"/>
          <w:color w:val="auto"/>
        </w:rPr>
      </w:pPr>
      <w:r>
        <w:rPr>
          <w:rFonts w:ascii="Times New Roman" w:cs="Times New Roman" w:eastAsia="Times New Roman" w:hAnsi="Times New Roman"/>
          <w:sz w:val="12"/>
          <w:szCs w:val="12"/>
          <w:color w:val="auto"/>
        </w:rPr>
        <w:t>amount of the Company’s 3.875% Senior Notes due 2029 (the “</w:t>
      </w:r>
      <w:r>
        <w:rPr>
          <w:rFonts w:ascii="Times New Roman" w:cs="Times New Roman" w:eastAsia="Times New Roman" w:hAnsi="Times New Roman"/>
          <w:sz w:val="12"/>
          <w:szCs w:val="12"/>
          <w:i w:val="1"/>
          <w:iCs w:val="1"/>
          <w:color w:val="auto"/>
        </w:rPr>
        <w:t>Registered Notes</w:t>
      </w:r>
      <w:r>
        <w:rPr>
          <w:rFonts w:ascii="Times New Roman" w:cs="Times New Roman" w:eastAsia="Times New Roman" w:hAnsi="Times New Roman"/>
          <w:sz w:val="12"/>
          <w:szCs w:val="12"/>
          <w:color w:val="auto"/>
        </w:rPr>
        <w:t>”), the offer of which has been registered under the</w:t>
      </w:r>
    </w:p>
    <w:p>
      <w:pPr>
        <w:spacing w:after="0"/>
        <w:rPr>
          <w:sz w:val="20"/>
          <w:szCs w:val="20"/>
          <w:color w:val="auto"/>
        </w:rPr>
      </w:pPr>
      <w:r>
        <w:rPr>
          <w:rFonts w:ascii="Times New Roman" w:cs="Times New Roman" w:eastAsia="Times New Roman" w:hAnsi="Times New Roman"/>
          <w:sz w:val="12"/>
          <w:szCs w:val="12"/>
          <w:color w:val="auto"/>
        </w:rPr>
        <w:t>Securities Act of 1933, as amended (the “</w:t>
      </w:r>
      <w:r>
        <w:rPr>
          <w:rFonts w:ascii="Times New Roman" w:cs="Times New Roman" w:eastAsia="Times New Roman" w:hAnsi="Times New Roman"/>
          <w:sz w:val="12"/>
          <w:szCs w:val="12"/>
          <w:i w:val="1"/>
          <w:iCs w:val="1"/>
          <w:color w:val="auto"/>
        </w:rPr>
        <w:t>Securities Act</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ind w:right="1039" w:firstLine="271"/>
        <w:spacing w:after="0" w:line="229" w:lineRule="auto"/>
        <w:rPr>
          <w:sz w:val="20"/>
          <w:szCs w:val="20"/>
          <w:color w:val="auto"/>
        </w:rPr>
      </w:pPr>
      <w:r>
        <w:rPr>
          <w:rFonts w:ascii="Times New Roman" w:cs="Times New Roman" w:eastAsia="Times New Roman" w:hAnsi="Times New Roman"/>
          <w:sz w:val="12"/>
          <w:szCs w:val="12"/>
          <w:color w:val="auto"/>
        </w:rPr>
        <w:t>The Company issued the unregistered 3.875% Senior Notes due 2029 (CUSIP Nos. 94106LBZ1 and U94106AK4) (the “</w:t>
      </w:r>
      <w:r>
        <w:rPr>
          <w:rFonts w:ascii="Times New Roman" w:cs="Times New Roman" w:eastAsia="Times New Roman" w:hAnsi="Times New Roman"/>
          <w:sz w:val="12"/>
          <w:szCs w:val="12"/>
          <w:i w:val="1"/>
          <w:iCs w:val="1"/>
          <w:color w:val="auto"/>
        </w:rPr>
        <w:t>Restricted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Notes</w:t>
      </w:r>
      <w:r>
        <w:rPr>
          <w:rFonts w:ascii="Times New Roman" w:cs="Times New Roman" w:eastAsia="Times New Roman" w:hAnsi="Times New Roman"/>
          <w:sz w:val="12"/>
          <w:szCs w:val="12"/>
          <w:color w:val="auto"/>
        </w:rPr>
        <w:t>”) on November 8, 2024, in a private offer pursuant to which such notes were exchanged for notes of Stericycle, Inc., a Delaware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corporation (“</w:t>
      </w:r>
      <w:r>
        <w:rPr>
          <w:rFonts w:ascii="Times New Roman" w:cs="Times New Roman" w:eastAsia="Times New Roman" w:hAnsi="Times New Roman"/>
          <w:sz w:val="12"/>
          <w:szCs w:val="12"/>
          <w:i w:val="1"/>
          <w:iCs w:val="1"/>
          <w:color w:val="auto"/>
        </w:rPr>
        <w:t>Stericycle</w:t>
      </w:r>
      <w:r>
        <w:rPr>
          <w:rFonts w:ascii="Times New Roman" w:cs="Times New Roman" w:eastAsia="Times New Roman" w:hAnsi="Times New Roman"/>
          <w:sz w:val="12"/>
          <w:szCs w:val="12"/>
          <w:color w:val="auto"/>
        </w:rPr>
        <w:t>”).</w:t>
      </w:r>
    </w:p>
    <w:p>
      <w:pPr>
        <w:spacing w:after="0" w:line="23" w:lineRule="exact"/>
        <w:rPr>
          <w:sz w:val="20"/>
          <w:szCs w:val="20"/>
          <w:color w:val="auto"/>
        </w:rPr>
      </w:pPr>
    </w:p>
    <w:p>
      <w:pPr>
        <w:ind w:right="899" w:firstLine="271"/>
        <w:spacing w:after="0" w:line="219" w:lineRule="auto"/>
        <w:rPr>
          <w:sz w:val="20"/>
          <w:szCs w:val="20"/>
          <w:color w:val="auto"/>
        </w:rPr>
      </w:pPr>
      <w:r>
        <w:rPr>
          <w:rFonts w:ascii="Times New Roman" w:cs="Times New Roman" w:eastAsia="Times New Roman" w:hAnsi="Times New Roman"/>
          <w:sz w:val="12"/>
          <w:szCs w:val="12"/>
          <w:color w:val="auto"/>
        </w:rPr>
        <w:t>The exchange offer expires at 5:00 p.m., New York City time, on                      , 2025, unless the Company extends the offer. You may withdraw tenders of Restricted Notes at any time prior to the expiration of the exchange offer. The exchange offer is not subject to any condition other than that it will not violate applicable law or interpretations of the staff of the Securities and Exchange Commission (the “</w:t>
      </w:r>
      <w:r>
        <w:rPr>
          <w:rFonts w:ascii="Times New Roman" w:cs="Times New Roman" w:eastAsia="Times New Roman" w:hAnsi="Times New Roman"/>
          <w:sz w:val="12"/>
          <w:szCs w:val="12"/>
          <w:i w:val="1"/>
          <w:iCs w:val="1"/>
          <w:color w:val="auto"/>
        </w:rPr>
        <w:t>SEC</w:t>
      </w:r>
      <w:r>
        <w:rPr>
          <w:rFonts w:ascii="Times New Roman" w:cs="Times New Roman" w:eastAsia="Times New Roman" w:hAnsi="Times New Roman"/>
          <w:sz w:val="12"/>
          <w:szCs w:val="12"/>
          <w:color w:val="auto"/>
        </w:rPr>
        <w:t>”) and that no proceedings with respect to the exchange offer have been instituted or threatened in any court or by any governmental agency. The exchange offer is not conditioned upon any minimum aggregate principal amount of Restricted Notes being tendered for exchange.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Principal Terms of the Registered Notes</w:t>
      </w:r>
    </w:p>
    <w:p>
      <w:pPr>
        <w:spacing w:after="0" w:line="47" w:lineRule="exact"/>
        <w:rPr>
          <w:sz w:val="20"/>
          <w:szCs w:val="20"/>
          <w:color w:val="auto"/>
        </w:rPr>
      </w:pPr>
    </w:p>
    <w:p>
      <w:pPr>
        <w:ind w:right="879" w:firstLine="271"/>
        <w:spacing w:after="0" w:line="219" w:lineRule="auto"/>
        <w:rPr>
          <w:sz w:val="20"/>
          <w:szCs w:val="20"/>
          <w:color w:val="auto"/>
        </w:rPr>
      </w:pPr>
      <w:r>
        <w:rPr>
          <w:rFonts w:ascii="Times New Roman" w:cs="Times New Roman" w:eastAsia="Times New Roman" w:hAnsi="Times New Roman"/>
          <w:sz w:val="12"/>
          <w:szCs w:val="12"/>
          <w:color w:val="auto"/>
        </w:rPr>
        <w:t>The terms of the Registered Notes to be issued in the exchange offer are substantially identical in all material respects to the terms of the Restricted Notes, except that the Registered Notes will not be subject to restrictions on transfer or to any increase in annual interest rate for failure to comply with the Registration Rights Agreement (as defined herein). The Registered Notes and the Restricted Notes that are not exchanged in the exchange offer will be treated as a single series of debt securities under the Indenture (as defined below), pursuant to which the Restricted Notes were, and the Registered Notes will be, issued, along with any additional notes of any applicable series issued pursuant to the Indenture.</w:t>
      </w:r>
    </w:p>
    <w:p>
      <w:pPr>
        <w:spacing w:after="0" w:line="16" w:lineRule="exact"/>
        <w:rPr>
          <w:sz w:val="20"/>
          <w:szCs w:val="20"/>
          <w:color w:val="auto"/>
        </w:rPr>
      </w:pPr>
    </w:p>
    <w:p>
      <w:pPr>
        <w:jc w:val="both"/>
        <w:ind w:right="919" w:firstLine="271"/>
        <w:spacing w:after="0" w:line="227" w:lineRule="auto"/>
        <w:rPr>
          <w:sz w:val="20"/>
          <w:szCs w:val="20"/>
          <w:color w:val="auto"/>
        </w:rPr>
      </w:pPr>
      <w:r>
        <w:rPr>
          <w:rFonts w:ascii="Times New Roman" w:cs="Times New Roman" w:eastAsia="Times New Roman" w:hAnsi="Times New Roman"/>
          <w:sz w:val="12"/>
          <w:szCs w:val="12"/>
          <w:color w:val="auto"/>
        </w:rPr>
        <w:t>The Registered Notes are new securities, and there is currently no established trading market for the Registered Notes. The Company does not intend to list the Registered Notes on any securities exchange or to apply for quotation in any automated dealer quotation system, and, therefore, no active public market is anticipated.</w:t>
      </w:r>
    </w:p>
    <w:p>
      <w:pPr>
        <w:spacing w:after="0" w:line="25" w:lineRule="exact"/>
        <w:rPr>
          <w:sz w:val="20"/>
          <w:szCs w:val="20"/>
          <w:color w:val="auto"/>
        </w:rPr>
      </w:pPr>
    </w:p>
    <w:p>
      <w:pPr>
        <w:ind w:right="899" w:firstLine="271"/>
        <w:spacing w:after="0" w:line="216" w:lineRule="auto"/>
        <w:rPr>
          <w:sz w:val="20"/>
          <w:szCs w:val="20"/>
          <w:color w:val="auto"/>
        </w:rPr>
      </w:pPr>
      <w:r>
        <w:rPr>
          <w:rFonts w:ascii="Times New Roman" w:cs="Times New Roman" w:eastAsia="Times New Roman" w:hAnsi="Times New Roman"/>
          <w:sz w:val="12"/>
          <w:szCs w:val="12"/>
          <w:color w:val="auto"/>
        </w:rPr>
        <w:t>The Registered Notes to be issued in the exchange offer will be the senior obligations of WM and will be fully and unconditionally guaranteed by our wholly owned subsidiary, Waste Management Holdings, Inc. (“</w:t>
      </w:r>
      <w:r>
        <w:rPr>
          <w:rFonts w:ascii="Times New Roman" w:cs="Times New Roman" w:eastAsia="Times New Roman" w:hAnsi="Times New Roman"/>
          <w:sz w:val="12"/>
          <w:szCs w:val="12"/>
          <w:i w:val="1"/>
          <w:iCs w:val="1"/>
          <w:color w:val="auto"/>
        </w:rPr>
        <w:t>WM Holdings</w:t>
      </w:r>
      <w:r>
        <w:rPr>
          <w:rFonts w:ascii="Times New Roman" w:cs="Times New Roman" w:eastAsia="Times New Roman" w:hAnsi="Times New Roman"/>
          <w:sz w:val="12"/>
          <w:szCs w:val="12"/>
          <w:color w:val="auto"/>
        </w:rPr>
        <w:t>”) . The Registered Notes will rank equally with all of our and WM Holdings’ existing and future senior indebtedness and will have the same interest payment dates, maturity date and interest rate as the Restricted Notes. The Registered Notes will be structurally subordinated to all obligations of WM’s subsidiaries other than WM Holdings, including trade payables of WM’s operating subsidiaries. This means that holders of the Registered Notes will have a junior position to the claims of creditors of WM’s operating subsidiaries on their assets and earnings. The Registered Notes will also be effectively subordinated to any secured debt WM has or may incur, to the extent of the value of the assets securing that debt. The Indenture governing the Registered Notes does not limit the amount of debt our subsidiaries can incur, and it permits us to incur some secured debt. Our debt balances are generally unsecured, except for capital leases and a note payable associated with our investment in federal low-income housing tax credits.</w:t>
      </w:r>
    </w:p>
    <w:p>
      <w:pPr>
        <w:spacing w:after="0" w:line="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color w:val="auto"/>
        </w:rPr>
        <w:t xml:space="preserve">You should carefully consider the risk factors beginning on page </w:t>
      </w:r>
      <w:r>
        <w:rPr>
          <w:rFonts w:ascii="Times New Roman" w:cs="Times New Roman" w:eastAsia="Times New Roman" w:hAnsi="Times New Roman"/>
          <w:sz w:val="12"/>
          <w:szCs w:val="12"/>
          <w:b w:val="1"/>
          <w:bCs w:val="1"/>
          <w:u w:val="single" w:color="auto"/>
          <w:color w:val="0000EE"/>
        </w:rPr>
        <w:t>11</w:t>
      </w:r>
      <w:r>
        <w:rPr>
          <w:rFonts w:ascii="Times New Roman" w:cs="Times New Roman" w:eastAsia="Times New Roman" w:hAnsi="Times New Roman"/>
          <w:sz w:val="12"/>
          <w:szCs w:val="12"/>
          <w:b w:val="1"/>
          <w:bCs w:val="1"/>
          <w:color w:val="auto"/>
        </w:rPr>
        <w:t xml:space="preserve"> of this prospectus before participating in the exchange offer.</w:t>
      </w:r>
    </w:p>
    <w:p>
      <w:pPr>
        <w:spacing w:after="0" w:line="35" w:lineRule="exact"/>
        <w:rPr>
          <w:sz w:val="20"/>
          <w:szCs w:val="20"/>
          <w:color w:val="auto"/>
        </w:rPr>
      </w:pPr>
    </w:p>
    <w:p>
      <w:pPr>
        <w:jc w:val="both"/>
        <w:ind w:right="879" w:firstLine="271"/>
        <w:spacing w:after="0" w:line="289" w:lineRule="auto"/>
        <w:rPr>
          <w:sz w:val="20"/>
          <w:szCs w:val="20"/>
          <w:color w:val="auto"/>
        </w:rPr>
      </w:pPr>
      <w:r>
        <w:rPr>
          <w:rFonts w:ascii="Times New Roman" w:cs="Times New Roman" w:eastAsia="Times New Roman" w:hAnsi="Times New Roman"/>
          <w:sz w:val="10"/>
          <w:szCs w:val="10"/>
          <w:b w:val="1"/>
          <w:bCs w:val="1"/>
          <w:color w:val="auto"/>
        </w:rPr>
        <w:t>Each broker-dealer that receives Registered Notes for its own account pursuant to the exchange offer must acknowledge that it will deliver a prospectus in connection with any resale of such Registered Notes. The letter of transmittal states that, by so acknowledging and by delivering a prospectus, a broker-dealer will not be deemed to admit that it is an “underwriter” within the meaning of the Securities Act.</w:t>
      </w:r>
    </w:p>
    <w:p>
      <w:pPr>
        <w:spacing w:after="0" w:line="1" w:lineRule="exact"/>
        <w:rPr>
          <w:sz w:val="20"/>
          <w:szCs w:val="20"/>
          <w:color w:val="auto"/>
        </w:rPr>
      </w:pPr>
    </w:p>
    <w:p>
      <w:pPr>
        <w:ind w:right="859" w:firstLine="271"/>
        <w:spacing w:after="0" w:line="266" w:lineRule="auto"/>
        <w:rPr>
          <w:sz w:val="20"/>
          <w:szCs w:val="20"/>
          <w:color w:val="auto"/>
        </w:rPr>
      </w:pPr>
      <w:r>
        <w:rPr>
          <w:rFonts w:ascii="Times New Roman" w:cs="Times New Roman" w:eastAsia="Times New Roman" w:hAnsi="Times New Roman"/>
          <w:sz w:val="10"/>
          <w:szCs w:val="10"/>
          <w:b w:val="1"/>
          <w:bCs w:val="1"/>
          <w:color w:val="auto"/>
        </w:rPr>
        <w:t>This prospectus, as it may be amended or supplemented from time to time, may be used by a broker-dealer in connection with resales of Registered Notes received in exchange for Restricted Notes that were acquired by such broker-dealer as a result of market-making or other trading activities. The Company has agreed that, for a period ending on the earlier of (A) 180 days after the expiration date of the exchange offer and (B) the date on which each broker-dealer is no longer required to deliver a prospectus in connection with market marking or other trading activities, in each case to the extent necessary to ensure that the exchange offer registrations statement is available for resale of the Restricted Securities and if requested by one or more such broker-dealers, the Company will use commercially reasonable efforts to amend or supplement this prospectus in order to expedite or facilitate the disposition of any Registered Notes by any such broker-dealers. See “</w:t>
      </w:r>
      <w:r>
        <w:rPr>
          <w:rFonts w:ascii="Times New Roman" w:cs="Times New Roman" w:eastAsia="Times New Roman" w:hAnsi="Times New Roman"/>
          <w:sz w:val="10"/>
          <w:szCs w:val="10"/>
          <w:b w:val="1"/>
          <w:bCs w:val="1"/>
          <w:i w:val="1"/>
          <w:iCs w:val="1"/>
          <w:color w:val="auto"/>
        </w:rPr>
        <w:t>Plan of Distribution</w:t>
      </w:r>
      <w:r>
        <w:rPr>
          <w:rFonts w:ascii="Times New Roman" w:cs="Times New Roman" w:eastAsia="Times New Roman" w:hAnsi="Times New Roman"/>
          <w:sz w:val="10"/>
          <w:szCs w:val="10"/>
          <w:color w:val="auto"/>
        </w:rPr>
        <w:t>.”</w:t>
      </w:r>
    </w:p>
    <w:p>
      <w:pPr>
        <w:spacing w:after="0" w:line="11" w:lineRule="exact"/>
        <w:rPr>
          <w:sz w:val="20"/>
          <w:szCs w:val="20"/>
          <w:color w:val="auto"/>
        </w:rPr>
      </w:pPr>
    </w:p>
    <w:p>
      <w:pPr>
        <w:ind w:right="979" w:firstLine="271"/>
        <w:spacing w:after="0" w:line="330" w:lineRule="auto"/>
        <w:rPr>
          <w:sz w:val="20"/>
          <w:szCs w:val="20"/>
          <w:color w:val="auto"/>
        </w:rPr>
      </w:pPr>
      <w:r>
        <w:rPr>
          <w:rFonts w:ascii="Times New Roman" w:cs="Times New Roman" w:eastAsia="Times New Roman" w:hAnsi="Times New Roman"/>
          <w:sz w:val="10"/>
          <w:szCs w:val="10"/>
          <w:b w:val="1"/>
          <w:bCs w:val="1"/>
          <w:color w:val="auto"/>
        </w:rPr>
        <w:t>None of the SEC, any state securities commission or other regulatory agency has approved or disapproved of the Registered Notes or the exchange offer or determined if this prospectus is truthful or complete. Any representation to the contrary is a criminal offense.</w:t>
      </w:r>
    </w:p>
    <w:p>
      <w:pPr>
        <w:spacing w:after="0" w:line="5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2"/>
          <w:szCs w:val="12"/>
          <w:color w:val="auto"/>
        </w:rPr>
        <w:t>The date of this prospectus is 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430530</wp:posOffset>
            </wp:positionV>
            <wp:extent cx="511683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16830" cy="38100"/>
                    </a:xfrm>
                    <a:prstGeom prst="rect">
                      <a:avLst/>
                    </a:prstGeom>
                    <a:noFill/>
                  </pic:spPr>
                </pic:pic>
              </a:graphicData>
            </a:graphic>
          </wp:anchor>
        </w:drawing>
      </w:r>
    </w:p>
    <w:p>
      <w:pPr>
        <w:sectPr>
          <w:pgSz w:w="11900" w:h="16838" w:orient="portrait"/>
          <w:cols w:equalWidth="0" w:num="2">
            <w:col w:w="1160" w:space="160"/>
            <w:col w:w="7699"/>
          </w:cols>
          <w:pgMar w:left="1440" w:top="110" w:right="1440" w:bottom="1440" w:gutter="0" w:footer="0" w:header="0"/>
          <w:type w:val="continuous"/>
        </w:sectPr>
      </w:pPr>
    </w:p>
    <w:bookmarkStart w:id="3" w:name="page4"/>
    <w:bookmarkEnd w:id="3"/>
    <w:p>
      <w:pPr>
        <w:ind w:left="4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 w:lineRule="exact"/>
        <w:rPr>
          <w:sz w:val="20"/>
          <w:szCs w:val="20"/>
          <w:color w:val="auto"/>
        </w:rPr>
      </w:pPr>
    </w:p>
    <w:tbl>
      <w:tblPr>
        <w:tblLayout w:type="fixed"/>
        <w:tblInd w:w="1420" w:type="dxa"/>
        <w:tblCellMar>
          <w:top w:w="0" w:type="dxa"/>
          <w:left w:w="0" w:type="dxa"/>
          <w:bottom w:w="0" w:type="dxa"/>
          <w:right w:w="0" w:type="dxa"/>
        </w:tblCellMar>
      </w:tblPr>
      <w:tr>
        <w:trPr>
          <w:trHeight w:val="285"/>
        </w:trPr>
        <w:tc>
          <w:tcPr>
            <w:tcW w:w="4480" w:type="dxa"/>
            <w:vAlign w:val="bottom"/>
            <w:gridSpan w:val="17"/>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720" w:type="dxa"/>
            <w:vAlign w:val="bottom"/>
            <w:gridSpan w:val="7"/>
          </w:tcPr>
          <w:p>
            <w:pPr>
              <w:jc w:val="right"/>
              <w:spacing w:after="0"/>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4460" w:type="dxa"/>
            <w:vAlign w:val="bottom"/>
            <w:tcBorders>
              <w:bottom w:val="single" w:sz="8" w:color="0000EE"/>
            </w:tcBorders>
            <w:gridSpan w:val="16"/>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0000EE"/>
                <w:w w:val="97"/>
              </w:rPr>
              <w:t>CAUTIONARY NOTE REGARDING FORWARD-LOOKING STATEMENTS</w:t>
            </w:r>
          </w:p>
        </w:tc>
        <w:tc>
          <w:tcPr>
            <w:tcW w:w="1540" w:type="dxa"/>
            <w:vAlign w:val="bottom"/>
            <w:tcBorders>
              <w:bottom w:val="single" w:sz="8" w:color="CCEEFF"/>
            </w:tcBorders>
            <w:gridSpan w:val="2"/>
            <w:shd w:val="clear" w:color="auto" w:fill="CCEEFF"/>
          </w:tcPr>
          <w:p>
            <w:pPr>
              <w:ind w:left="1320"/>
              <w:spacing w:after="0" w:line="153"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0000EE"/>
                <w:w w:val="79"/>
              </w:rPr>
              <w:t>iii</w:t>
            </w:r>
          </w:p>
        </w:tc>
        <w:tc>
          <w:tcPr>
            <w:tcW w:w="40" w:type="dxa"/>
            <w:vAlign w:val="bottom"/>
            <w:tcBorders>
              <w:left w:val="single" w:sz="8" w:color="CCEEFF"/>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tcBorders>
              <w:bottom w:val="single" w:sz="8" w:color="0000EE"/>
            </w:tcBorders>
            <w:gridSpan w:val="2"/>
          </w:tcPr>
          <w:p>
            <w:pPr>
              <w:spacing w:after="0" w:line="143" w:lineRule="exact"/>
              <w:rPr>
                <w:sz w:val="20"/>
                <w:szCs w:val="20"/>
                <w:color w:val="auto"/>
              </w:rPr>
            </w:pPr>
            <w:r>
              <w:rPr>
                <w:rFonts w:ascii="Times New Roman" w:cs="Times New Roman" w:eastAsia="Times New Roman" w:hAnsi="Times New Roman"/>
                <w:sz w:val="14"/>
                <w:szCs w:val="14"/>
                <w:color w:val="0000EE"/>
                <w:w w:val="91"/>
              </w:rPr>
              <w:t>SUMMARY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gridSpan w:val="2"/>
          </w:tcPr>
          <w:p>
            <w:pPr>
              <w:ind w:left="1320"/>
              <w:spacing w:after="0" w:line="153"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Borders>
              <w:bottom w:val="single" w:sz="8" w:color="0000EE"/>
            </w:tcBorders>
          </w:tcPr>
          <w:p>
            <w:pPr>
              <w:jc w:val="right"/>
              <w:spacing w:after="0" w:line="143" w:lineRule="exact"/>
              <w:rPr>
                <w:sz w:val="20"/>
                <w:szCs w:val="20"/>
                <w:color w:val="auto"/>
              </w:rPr>
            </w:pPr>
            <w:r>
              <w:rPr>
                <w:rFonts w:ascii="Times New Roman" w:cs="Times New Roman" w:eastAsia="Times New Roman" w:hAnsi="Times New Roman"/>
                <w:sz w:val="14"/>
                <w:szCs w:val="14"/>
                <w:color w:val="0000EE"/>
                <w:w w:val="85"/>
              </w:rPr>
              <w:t>1</w:t>
            </w:r>
          </w:p>
        </w:tc>
        <w:tc>
          <w:tcPr>
            <w:tcW w:w="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0000EE"/>
            </w:tcBorders>
            <w:gridSpan w:val="7"/>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0000EE"/>
                <w:w w:val="96"/>
              </w:rPr>
              <w:t>THE EXCHANGE OFFER</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gridSpan w:val="2"/>
            <w:shd w:val="clear" w:color="auto" w:fill="CCEEFF"/>
          </w:tcPr>
          <w:p>
            <w:pPr>
              <w:ind w:left="1320"/>
              <w:spacing w:after="0" w:line="158"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80" w:type="dxa"/>
            <w:vAlign w:val="bottom"/>
            <w:tcBorders>
              <w:bottom w:val="single" w:sz="8" w:color="0000EE"/>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0000EE"/>
                <w:w w:val="85"/>
              </w:rPr>
              <w:t>2</w:t>
            </w:r>
          </w:p>
        </w:tc>
        <w:tc>
          <w:tcPr>
            <w:tcW w:w="40" w:type="dxa"/>
            <w:vAlign w:val="bottom"/>
            <w:tcBorders>
              <w:left w:val="single" w:sz="8" w:color="CCEEFF"/>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20" w:type="dxa"/>
            <w:vAlign w:val="bottom"/>
            <w:tcBorders>
              <w:bottom w:val="single" w:sz="8" w:color="0000EE"/>
            </w:tcBorders>
            <w:gridSpan w:val="9"/>
          </w:tcPr>
          <w:p>
            <w:pPr>
              <w:spacing w:after="0" w:line="143" w:lineRule="exact"/>
              <w:rPr>
                <w:sz w:val="20"/>
                <w:szCs w:val="20"/>
                <w:color w:val="auto"/>
              </w:rPr>
            </w:pPr>
            <w:r>
              <w:rPr>
                <w:rFonts w:ascii="Times New Roman" w:cs="Times New Roman" w:eastAsia="Times New Roman" w:hAnsi="Times New Roman"/>
                <w:sz w:val="14"/>
                <w:szCs w:val="14"/>
                <w:color w:val="0000EE"/>
                <w:w w:val="97"/>
              </w:rPr>
              <w:t>THE REGISTERED NOTES</w:t>
            </w: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gridSpan w:val="2"/>
          </w:tcPr>
          <w:p>
            <w:pPr>
              <w:ind w:left="1320"/>
              <w:spacing w:after="0" w:line="153"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Borders>
              <w:bottom w:val="single" w:sz="8" w:color="0000EE"/>
            </w:tcBorders>
          </w:tcPr>
          <w:p>
            <w:pPr>
              <w:jc w:val="right"/>
              <w:spacing w:after="0" w:line="143" w:lineRule="exact"/>
              <w:rPr>
                <w:sz w:val="20"/>
                <w:szCs w:val="20"/>
                <w:color w:val="auto"/>
              </w:rPr>
            </w:pPr>
            <w:r>
              <w:rPr>
                <w:rFonts w:ascii="Times New Roman" w:cs="Times New Roman" w:eastAsia="Times New Roman" w:hAnsi="Times New Roman"/>
                <w:sz w:val="14"/>
                <w:szCs w:val="14"/>
                <w:color w:val="0000EE"/>
                <w:w w:val="85"/>
              </w:rPr>
              <w:t>8</w:t>
            </w:r>
          </w:p>
        </w:tc>
        <w:tc>
          <w:tcPr>
            <w:tcW w:w="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0000EE"/>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0000EE"/>
                <w:w w:val="93"/>
              </w:rPr>
              <w:t>RISK FACTORS</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gridSpan w:val="2"/>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0000EE"/>
            </w:tcBorders>
            <w:gridSpan w:val="3"/>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0000EE"/>
                <w:w w:val="71"/>
              </w:rPr>
              <w:t>11</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00" w:type="dxa"/>
            <w:vAlign w:val="bottom"/>
            <w:tcBorders>
              <w:bottom w:val="single" w:sz="8" w:color="0000EE"/>
            </w:tcBorders>
            <w:gridSpan w:val="6"/>
          </w:tcPr>
          <w:p>
            <w:pPr>
              <w:spacing w:after="0" w:line="153" w:lineRule="exact"/>
              <w:rPr>
                <w:sz w:val="20"/>
                <w:szCs w:val="20"/>
                <w:color w:val="auto"/>
              </w:rPr>
            </w:pPr>
            <w:r>
              <w:rPr>
                <w:rFonts w:ascii="Times New Roman" w:cs="Times New Roman" w:eastAsia="Times New Roman" w:hAnsi="Times New Roman"/>
                <w:sz w:val="14"/>
                <w:szCs w:val="14"/>
                <w:color w:val="0000EE"/>
                <w:w w:val="95"/>
              </w:rPr>
              <w:t>USE OF PROCEEDS</w:t>
            </w:r>
          </w:p>
        </w:tc>
        <w:tc>
          <w:tcPr>
            <w:tcW w:w="380" w:type="dxa"/>
            <w:vAlign w:val="bottom"/>
            <w:gridSpan w:val="2"/>
          </w:tcPr>
          <w:p>
            <w:pPr>
              <w:spacing w:after="0"/>
              <w:rPr>
                <w:sz w:val="15"/>
                <w:szCs w:val="15"/>
                <w:color w:val="auto"/>
              </w:rPr>
            </w:pPr>
          </w:p>
        </w:tc>
        <w:tc>
          <w:tcPr>
            <w:tcW w:w="66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4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140" w:type="dxa"/>
            <w:vAlign w:val="bottom"/>
            <w:tcBorders>
              <w:bottom w:val="single" w:sz="8" w:color="0000EE"/>
            </w:tcBorders>
            <w:gridSpan w:val="4"/>
          </w:tcPr>
          <w:p>
            <w:pPr>
              <w:jc w:val="right"/>
              <w:spacing w:after="0" w:line="153" w:lineRule="exact"/>
              <w:rPr>
                <w:sz w:val="20"/>
                <w:szCs w:val="20"/>
                <w:color w:val="auto"/>
              </w:rPr>
            </w:pPr>
            <w:r>
              <w:rPr>
                <w:rFonts w:ascii="Times New Roman" w:cs="Times New Roman" w:eastAsia="Times New Roman" w:hAnsi="Times New Roman"/>
                <w:sz w:val="14"/>
                <w:szCs w:val="14"/>
                <w:color w:val="0000EE"/>
                <w:w w:val="85"/>
              </w:rPr>
              <w:t>16</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0000EE"/>
            </w:tcBorders>
            <w:gridSpan w:val="10"/>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0000EE"/>
                <w:w w:val="98"/>
              </w:rPr>
              <w:t>TERMS OF THE EXCHANGE OFFER</w:t>
            </w:r>
          </w:p>
        </w:tc>
        <w:tc>
          <w:tcPr>
            <w:tcW w:w="5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gridSpan w:val="2"/>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140" w:type="dxa"/>
            <w:vAlign w:val="bottom"/>
            <w:tcBorders>
              <w:bottom w:val="single" w:sz="8" w:color="0000EE"/>
            </w:tcBorders>
            <w:gridSpan w:val="4"/>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0000EE"/>
                <w:w w:val="85"/>
              </w:rPr>
              <w:t>17</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80" w:type="dxa"/>
            <w:vAlign w:val="bottom"/>
            <w:tcBorders>
              <w:bottom w:val="single" w:sz="8" w:color="0000EE"/>
            </w:tcBorders>
            <w:gridSpan w:val="11"/>
          </w:tcPr>
          <w:p>
            <w:pPr>
              <w:spacing w:after="0" w:line="153" w:lineRule="exact"/>
              <w:rPr>
                <w:sz w:val="20"/>
                <w:szCs w:val="20"/>
                <w:color w:val="auto"/>
              </w:rPr>
            </w:pPr>
            <w:r>
              <w:rPr>
                <w:rFonts w:ascii="Times New Roman" w:cs="Times New Roman" w:eastAsia="Times New Roman" w:hAnsi="Times New Roman"/>
                <w:sz w:val="14"/>
                <w:szCs w:val="14"/>
                <w:color w:val="0000EE"/>
                <w:w w:val="98"/>
              </w:rPr>
              <w:t>DESCRIPTION OF THE REGISTERED NOTES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4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140" w:type="dxa"/>
            <w:vAlign w:val="bottom"/>
            <w:tcBorders>
              <w:bottom w:val="single" w:sz="8" w:color="0000EE"/>
            </w:tcBorders>
            <w:gridSpan w:val="4"/>
          </w:tcPr>
          <w:p>
            <w:pPr>
              <w:jc w:val="right"/>
              <w:spacing w:after="0" w:line="153" w:lineRule="exact"/>
              <w:rPr>
                <w:sz w:val="20"/>
                <w:szCs w:val="20"/>
                <w:color w:val="auto"/>
              </w:rPr>
            </w:pPr>
            <w:r>
              <w:rPr>
                <w:rFonts w:ascii="Times New Roman" w:cs="Times New Roman" w:eastAsia="Times New Roman" w:hAnsi="Times New Roman"/>
                <w:sz w:val="14"/>
                <w:szCs w:val="14"/>
                <w:color w:val="0000EE"/>
                <w:w w:val="85"/>
              </w:rPr>
              <w:t>26</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0000EE"/>
            </w:tcBorders>
            <w:gridSpan w:val="12"/>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0000EE"/>
                <w:w w:val="98"/>
              </w:rPr>
              <w:t>EXCHANGE OFFER; REGISTRATION RIGHTS</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gridSpan w:val="2"/>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140" w:type="dxa"/>
            <w:vAlign w:val="bottom"/>
            <w:tcBorders>
              <w:bottom w:val="single" w:sz="8" w:color="0000EE"/>
            </w:tcBorders>
            <w:gridSpan w:val="4"/>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0000EE"/>
                <w:w w:val="85"/>
              </w:rPr>
              <w:t>43</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60" w:type="dxa"/>
            <w:vAlign w:val="bottom"/>
            <w:tcBorders>
              <w:bottom w:val="single" w:sz="8" w:color="0000EE"/>
            </w:tcBorders>
            <w:gridSpan w:val="15"/>
          </w:tcPr>
          <w:p>
            <w:pPr>
              <w:spacing w:after="0" w:line="153" w:lineRule="exact"/>
              <w:rPr>
                <w:sz w:val="20"/>
                <w:szCs w:val="20"/>
                <w:color w:val="auto"/>
              </w:rPr>
            </w:pPr>
            <w:r>
              <w:rPr>
                <w:rFonts w:ascii="Times New Roman" w:cs="Times New Roman" w:eastAsia="Times New Roman" w:hAnsi="Times New Roman"/>
                <w:sz w:val="14"/>
                <w:szCs w:val="14"/>
                <w:color w:val="0000EE"/>
                <w:w w:val="97"/>
              </w:rPr>
              <w:t>MATERIAL U.S. FEDERAL INCOME TAX CONSIDERATIONS</w:t>
            </w:r>
          </w:p>
        </w:tc>
        <w:tc>
          <w:tcPr>
            <w:tcW w:w="700" w:type="dxa"/>
            <w:vAlign w:val="bottom"/>
          </w:tcPr>
          <w:p>
            <w:pPr>
              <w:spacing w:after="0"/>
              <w:rPr>
                <w:sz w:val="15"/>
                <w:szCs w:val="15"/>
                <w:color w:val="auto"/>
              </w:rPr>
            </w:pPr>
          </w:p>
        </w:tc>
        <w:tc>
          <w:tcPr>
            <w:tcW w:w="154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140" w:type="dxa"/>
            <w:vAlign w:val="bottom"/>
            <w:tcBorders>
              <w:bottom w:val="single" w:sz="8" w:color="0000EE"/>
            </w:tcBorders>
            <w:gridSpan w:val="4"/>
          </w:tcPr>
          <w:p>
            <w:pPr>
              <w:jc w:val="right"/>
              <w:spacing w:after="0" w:line="153" w:lineRule="exact"/>
              <w:rPr>
                <w:sz w:val="20"/>
                <w:szCs w:val="20"/>
                <w:color w:val="auto"/>
              </w:rPr>
            </w:pPr>
            <w:r>
              <w:rPr>
                <w:rFonts w:ascii="Times New Roman" w:cs="Times New Roman" w:eastAsia="Times New Roman" w:hAnsi="Times New Roman"/>
                <w:sz w:val="14"/>
                <w:szCs w:val="14"/>
                <w:color w:val="0000EE"/>
                <w:w w:val="85"/>
              </w:rPr>
              <w:t>45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0000EE"/>
            </w:tcBorders>
            <w:gridSpan w:val="8"/>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1360" w:type="dxa"/>
            <w:vAlign w:val="bottom"/>
            <w:tcBorders>
              <w:bottom w:val="single" w:sz="8" w:color="CCEEFF"/>
            </w:tcBorders>
            <w:gridSpan w:val="5"/>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spacing w:after="0"/>
              <w:rPr>
                <w:sz w:val="16"/>
                <w:szCs w:val="16"/>
                <w:color w:val="auto"/>
              </w:rPr>
            </w:pPr>
          </w:p>
        </w:tc>
        <w:tc>
          <w:tcPr>
            <w:tcW w:w="1540" w:type="dxa"/>
            <w:vAlign w:val="bottom"/>
            <w:tcBorders>
              <w:bottom w:val="single" w:sz="8" w:color="CCEEFF"/>
            </w:tcBorders>
            <w:gridSpan w:val="2"/>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140" w:type="dxa"/>
            <w:vAlign w:val="bottom"/>
            <w:tcBorders>
              <w:bottom w:val="single" w:sz="8" w:color="0000EE"/>
            </w:tcBorders>
            <w:gridSpan w:val="4"/>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0000EE"/>
                <w:w w:val="85"/>
              </w:rPr>
              <w:t>46</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00" w:type="dxa"/>
            <w:vAlign w:val="bottom"/>
            <w:tcBorders>
              <w:bottom w:val="single" w:sz="8" w:color="0000EE"/>
            </w:tcBorders>
            <w:gridSpan w:val="5"/>
          </w:tcPr>
          <w:p>
            <w:pPr>
              <w:spacing w:after="0" w:line="153" w:lineRule="exact"/>
              <w:rPr>
                <w:sz w:val="20"/>
                <w:szCs w:val="20"/>
                <w:color w:val="auto"/>
              </w:rPr>
            </w:pPr>
            <w:r>
              <w:rPr>
                <w:rFonts w:ascii="Times New Roman" w:cs="Times New Roman" w:eastAsia="Times New Roman" w:hAnsi="Times New Roman"/>
                <w:sz w:val="14"/>
                <w:szCs w:val="14"/>
                <w:color w:val="0000EE"/>
                <w:w w:val="94"/>
              </w:rPr>
              <w:t>LEGAL MATTERS</w:t>
            </w:r>
          </w:p>
        </w:tc>
        <w:tc>
          <w:tcPr>
            <w:tcW w:w="1840" w:type="dxa"/>
            <w:vAlign w:val="bottom"/>
            <w:gridSpan w:val="8"/>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gridSpan w:val="2"/>
          </w:tcPr>
          <w:p>
            <w:pPr>
              <w:spacing w:after="0"/>
              <w:rPr>
                <w:sz w:val="15"/>
                <w:szCs w:val="15"/>
                <w:color w:val="auto"/>
              </w:rPr>
            </w:pPr>
          </w:p>
        </w:tc>
        <w:tc>
          <w:tcPr>
            <w:tcW w:w="154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140" w:type="dxa"/>
            <w:vAlign w:val="bottom"/>
            <w:tcBorders>
              <w:bottom w:val="single" w:sz="8" w:color="0000EE"/>
            </w:tcBorders>
            <w:gridSpan w:val="4"/>
          </w:tcPr>
          <w:p>
            <w:pPr>
              <w:jc w:val="right"/>
              <w:spacing w:after="0" w:line="153" w:lineRule="exact"/>
              <w:rPr>
                <w:sz w:val="20"/>
                <w:szCs w:val="20"/>
                <w:color w:val="auto"/>
              </w:rPr>
            </w:pPr>
            <w:r>
              <w:rPr>
                <w:rFonts w:ascii="Times New Roman" w:cs="Times New Roman" w:eastAsia="Times New Roman" w:hAnsi="Times New Roman"/>
                <w:sz w:val="14"/>
                <w:szCs w:val="14"/>
                <w:color w:val="0000EE"/>
                <w:w w:val="85"/>
              </w:rPr>
              <w:t>47</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0000EE"/>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0000EE"/>
                <w:w w:val="92"/>
              </w:rPr>
              <w:t>EXPERTS</w:t>
            </w:r>
          </w:p>
        </w:tc>
        <w:tc>
          <w:tcPr>
            <w:tcW w:w="260" w:type="dxa"/>
            <w:vAlign w:val="bottom"/>
            <w:tcBorders>
              <w:bottom w:val="single" w:sz="8" w:color="CCEEFF"/>
            </w:tcBorders>
            <w:gridSpan w:val="2"/>
            <w:shd w:val="clear" w:color="auto" w:fill="CCEEFF"/>
          </w:tcPr>
          <w:p>
            <w:pPr>
              <w:spacing w:after="0"/>
              <w:rPr>
                <w:sz w:val="16"/>
                <w:szCs w:val="16"/>
                <w:color w:val="auto"/>
              </w:rPr>
            </w:pPr>
          </w:p>
        </w:tc>
        <w:tc>
          <w:tcPr>
            <w:tcW w:w="2100" w:type="dxa"/>
            <w:vAlign w:val="bottom"/>
            <w:tcBorders>
              <w:bottom w:val="single" w:sz="8" w:color="CCEEFF"/>
            </w:tcBorders>
            <w:gridSpan w:val="10"/>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spacing w:after="0"/>
              <w:rPr>
                <w:sz w:val="16"/>
                <w:szCs w:val="16"/>
                <w:color w:val="auto"/>
              </w:rPr>
            </w:pPr>
          </w:p>
        </w:tc>
        <w:tc>
          <w:tcPr>
            <w:tcW w:w="1540" w:type="dxa"/>
            <w:vAlign w:val="bottom"/>
            <w:tcBorders>
              <w:bottom w:val="single" w:sz="8" w:color="CCEEFF"/>
            </w:tcBorders>
            <w:gridSpan w:val="2"/>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140" w:type="dxa"/>
            <w:vAlign w:val="bottom"/>
            <w:tcBorders>
              <w:bottom w:val="single" w:sz="8" w:color="0000EE"/>
            </w:tcBorders>
            <w:gridSpan w:val="4"/>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0000EE"/>
                <w:w w:val="85"/>
              </w:rPr>
              <w:t>48</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40" w:type="dxa"/>
            <w:vAlign w:val="bottom"/>
            <w:tcBorders>
              <w:bottom w:val="single" w:sz="8" w:color="0000EE"/>
            </w:tcBorders>
            <w:gridSpan w:val="13"/>
          </w:tcPr>
          <w:p>
            <w:pPr>
              <w:spacing w:after="0" w:line="153" w:lineRule="exact"/>
              <w:rPr>
                <w:sz w:val="20"/>
                <w:szCs w:val="20"/>
                <w:color w:val="auto"/>
              </w:rPr>
            </w:pPr>
            <w:r>
              <w:rPr>
                <w:rFonts w:ascii="Times New Roman" w:cs="Times New Roman" w:eastAsia="Times New Roman" w:hAnsi="Times New Roman"/>
                <w:sz w:val="14"/>
                <w:szCs w:val="14"/>
                <w:color w:val="0000EE"/>
                <w:w w:val="97"/>
              </w:rPr>
              <w:t>WHERE YOU CAN FIND MORE INFORMATION</w:t>
            </w:r>
          </w:p>
        </w:tc>
        <w:tc>
          <w:tcPr>
            <w:tcW w:w="660" w:type="dxa"/>
            <w:vAlign w:val="bottom"/>
          </w:tcPr>
          <w:p>
            <w:pPr>
              <w:spacing w:after="0"/>
              <w:rPr>
                <w:sz w:val="15"/>
                <w:szCs w:val="15"/>
                <w:color w:val="auto"/>
              </w:rPr>
            </w:pPr>
          </w:p>
        </w:tc>
        <w:tc>
          <w:tcPr>
            <w:tcW w:w="860" w:type="dxa"/>
            <w:vAlign w:val="bottom"/>
            <w:gridSpan w:val="2"/>
          </w:tcPr>
          <w:p>
            <w:pPr>
              <w:spacing w:after="0"/>
              <w:rPr>
                <w:sz w:val="15"/>
                <w:szCs w:val="15"/>
                <w:color w:val="auto"/>
              </w:rPr>
            </w:pPr>
          </w:p>
        </w:tc>
        <w:tc>
          <w:tcPr>
            <w:tcW w:w="154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140" w:type="dxa"/>
            <w:vAlign w:val="bottom"/>
            <w:tcBorders>
              <w:bottom w:val="single" w:sz="8" w:color="0000EE"/>
            </w:tcBorders>
            <w:gridSpan w:val="4"/>
          </w:tcPr>
          <w:p>
            <w:pPr>
              <w:jc w:val="right"/>
              <w:spacing w:after="0" w:line="153" w:lineRule="exact"/>
              <w:rPr>
                <w:sz w:val="20"/>
                <w:szCs w:val="20"/>
                <w:color w:val="auto"/>
              </w:rPr>
            </w:pPr>
            <w:r>
              <w:rPr>
                <w:rFonts w:ascii="Times New Roman" w:cs="Times New Roman" w:eastAsia="Times New Roman" w:hAnsi="Times New Roman"/>
                <w:sz w:val="14"/>
                <w:szCs w:val="14"/>
                <w:color w:val="0000EE"/>
                <w:w w:val="85"/>
              </w:rPr>
              <w:t>49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8"/>
        </w:trPr>
        <w:tc>
          <w:tcPr>
            <w:tcW w:w="20" w:type="dxa"/>
            <w:vAlign w:val="bottom"/>
            <w:vMerge w:val="restart"/>
            <w:shd w:val="clear" w:color="auto" w:fill="CCEEFF"/>
          </w:tcPr>
          <w:p>
            <w:pPr>
              <w:spacing w:after="0"/>
              <w:rPr>
                <w:sz w:val="15"/>
                <w:szCs w:val="15"/>
                <w:color w:val="auto"/>
              </w:rPr>
            </w:pPr>
          </w:p>
        </w:tc>
        <w:tc>
          <w:tcPr>
            <w:tcW w:w="3600" w:type="dxa"/>
            <w:vAlign w:val="bottom"/>
            <w:gridSpan w:val="14"/>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0000EE"/>
                <w:w w:val="97"/>
              </w:rPr>
              <w:t>PART II INFORMATION NOT REQUIRED IN PROSPECTUS</w:t>
            </w:r>
          </w:p>
        </w:tc>
        <w:tc>
          <w:tcPr>
            <w:tcW w:w="860" w:type="dxa"/>
            <w:vAlign w:val="bottom"/>
            <w:gridSpan w:val="2"/>
            <w:vMerge w:val="restart"/>
            <w:shd w:val="clear" w:color="auto" w:fill="CCEEFF"/>
          </w:tcPr>
          <w:p>
            <w:pPr>
              <w:spacing w:after="0"/>
              <w:rPr>
                <w:sz w:val="15"/>
                <w:szCs w:val="15"/>
                <w:color w:val="auto"/>
              </w:rPr>
            </w:pPr>
          </w:p>
        </w:tc>
        <w:tc>
          <w:tcPr>
            <w:tcW w:w="1680" w:type="dxa"/>
            <w:vAlign w:val="bottom"/>
            <w:gridSpan w:val="6"/>
            <w:shd w:val="clear" w:color="auto" w:fill="CCEEFF"/>
          </w:tcPr>
          <w:p>
            <w:pPr>
              <w:ind w:left="1320"/>
              <w:spacing w:after="0" w:line="158"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II-1</w:t>
            </w:r>
          </w:p>
        </w:tc>
        <w:tc>
          <w:tcPr>
            <w:tcW w:w="4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0"/>
        </w:trPr>
        <w:tc>
          <w:tcPr>
            <w:tcW w:w="20" w:type="dxa"/>
            <w:vAlign w:val="bottom"/>
            <w:vMerge w:val="continue"/>
            <w:shd w:val="clear" w:color="auto" w:fill="CCEEFF"/>
          </w:tcPr>
          <w:p>
            <w:pPr>
              <w:spacing w:after="0"/>
              <w:rPr>
                <w:sz w:val="2"/>
                <w:szCs w:val="2"/>
                <w:color w:val="auto"/>
              </w:rPr>
            </w:pPr>
          </w:p>
        </w:tc>
        <w:tc>
          <w:tcPr>
            <w:tcW w:w="840" w:type="dxa"/>
            <w:vAlign w:val="bottom"/>
            <w:gridSpan w:val="3"/>
            <w:shd w:val="clear" w:color="auto" w:fill="0000EE"/>
          </w:tcPr>
          <w:p>
            <w:pPr>
              <w:spacing w:after="0"/>
              <w:rPr>
                <w:sz w:val="2"/>
                <w:szCs w:val="2"/>
                <w:color w:val="auto"/>
              </w:rPr>
            </w:pPr>
          </w:p>
        </w:tc>
        <w:tc>
          <w:tcPr>
            <w:tcW w:w="2760" w:type="dxa"/>
            <w:vAlign w:val="bottom"/>
            <w:gridSpan w:val="11"/>
            <w:shd w:val="clear" w:color="auto" w:fill="0000EE"/>
          </w:tcPr>
          <w:p>
            <w:pPr>
              <w:spacing w:after="0"/>
              <w:rPr>
                <w:sz w:val="2"/>
                <w:szCs w:val="2"/>
                <w:color w:val="auto"/>
              </w:rPr>
            </w:pPr>
          </w:p>
        </w:tc>
        <w:tc>
          <w:tcPr>
            <w:tcW w:w="860" w:type="dxa"/>
            <w:vAlign w:val="bottom"/>
            <w:gridSpan w:val="2"/>
            <w:vMerge w:val="continue"/>
            <w:shd w:val="clear" w:color="auto" w:fill="CCEEFF"/>
          </w:tcPr>
          <w:p>
            <w:pPr>
              <w:spacing w:after="0"/>
              <w:rPr>
                <w:sz w:val="2"/>
                <w:szCs w:val="2"/>
                <w:color w:val="auto"/>
              </w:rPr>
            </w:pPr>
          </w:p>
        </w:tc>
        <w:tc>
          <w:tcPr>
            <w:tcW w:w="1460" w:type="dxa"/>
            <w:vAlign w:val="bottom"/>
            <w:tcBorders>
              <w:right w:val="single" w:sz="8" w:color="CCEEFF"/>
            </w:tcBorders>
            <w:shd w:val="clear" w:color="auto" w:fill="CCEEFF"/>
          </w:tcPr>
          <w:p>
            <w:pPr>
              <w:spacing w:after="0"/>
              <w:rPr>
                <w:sz w:val="2"/>
                <w:szCs w:val="2"/>
                <w:color w:val="auto"/>
              </w:rPr>
            </w:pPr>
          </w:p>
        </w:tc>
        <w:tc>
          <w:tcPr>
            <w:tcW w:w="220" w:type="dxa"/>
            <w:vAlign w:val="bottom"/>
            <w:gridSpan w:val="5"/>
            <w:shd w:val="clear" w:color="auto" w:fill="0000EE"/>
          </w:tcPr>
          <w:p>
            <w:pPr>
              <w:spacing w:after="0"/>
              <w:rPr>
                <w:sz w:val="2"/>
                <w:szCs w:val="2"/>
                <w:color w:val="auto"/>
              </w:rPr>
            </w:pPr>
          </w:p>
        </w:tc>
        <w:tc>
          <w:tcPr>
            <w:tcW w:w="40" w:type="dxa"/>
            <w:vAlign w:val="bottom"/>
            <w:tcBorders>
              <w:left w:val="single" w:sz="8" w:color="CCEEFF"/>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860" w:type="dxa"/>
            <w:vAlign w:val="bottom"/>
            <w:gridSpan w:val="4"/>
          </w:tcPr>
          <w:p>
            <w:pPr>
              <w:spacing w:after="0" w:line="153" w:lineRule="exact"/>
              <w:rPr>
                <w:sz w:val="20"/>
                <w:szCs w:val="20"/>
                <w:color w:val="auto"/>
              </w:rPr>
            </w:pPr>
            <w:r>
              <w:rPr>
                <w:rFonts w:ascii="Times New Roman" w:cs="Times New Roman" w:eastAsia="Times New Roman" w:hAnsi="Times New Roman"/>
                <w:sz w:val="14"/>
                <w:szCs w:val="14"/>
                <w:color w:val="0000EE"/>
                <w:w w:val="96"/>
              </w:rPr>
              <w:t>SIGNATURES</w:t>
            </w:r>
          </w:p>
        </w:tc>
        <w:tc>
          <w:tcPr>
            <w:tcW w:w="3620" w:type="dxa"/>
            <w:vAlign w:val="bottom"/>
            <w:gridSpan w:val="13"/>
            <w:vMerge w:val="restart"/>
          </w:tcPr>
          <w:p>
            <w:pPr>
              <w:spacing w:after="0"/>
              <w:rPr>
                <w:sz w:val="15"/>
                <w:szCs w:val="15"/>
                <w:color w:val="auto"/>
              </w:rPr>
            </w:pPr>
          </w:p>
        </w:tc>
        <w:tc>
          <w:tcPr>
            <w:tcW w:w="1680" w:type="dxa"/>
            <w:vAlign w:val="bottom"/>
            <w:gridSpan w:val="6"/>
          </w:tcPr>
          <w:p>
            <w:pPr>
              <w:ind w:left="1320"/>
              <w:spacing w:after="0" w:line="153"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II-5</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860" w:type="dxa"/>
            <w:vAlign w:val="bottom"/>
            <w:gridSpan w:val="4"/>
            <w:shd w:val="clear" w:color="auto" w:fill="0000EE"/>
          </w:tcPr>
          <w:p>
            <w:pPr>
              <w:spacing w:after="0" w:line="20" w:lineRule="exact"/>
              <w:rPr>
                <w:sz w:val="1"/>
                <w:szCs w:val="1"/>
                <w:color w:val="auto"/>
              </w:rPr>
            </w:pPr>
          </w:p>
        </w:tc>
        <w:tc>
          <w:tcPr>
            <w:tcW w:w="3620" w:type="dxa"/>
            <w:vAlign w:val="bottom"/>
            <w:gridSpan w:val="13"/>
            <w:vMerge w:val="continu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-2029460</wp:posOffset>
            </wp:positionV>
            <wp:extent cx="376364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63645" cy="635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186690</wp:posOffset>
            </wp:positionV>
            <wp:extent cx="88963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635" cy="63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420" w:right="1479" w:firstLine="271"/>
        <w:spacing w:after="0" w:line="248" w:lineRule="auto"/>
        <w:rPr>
          <w:sz w:val="20"/>
          <w:szCs w:val="20"/>
          <w:color w:val="auto"/>
        </w:rPr>
      </w:pPr>
      <w:r>
        <w:rPr>
          <w:rFonts w:ascii="Times New Roman" w:cs="Times New Roman" w:eastAsia="Times New Roman" w:hAnsi="Times New Roman"/>
          <w:sz w:val="14"/>
          <w:szCs w:val="14"/>
          <w:color w:val="auto"/>
        </w:rPr>
        <w:t>The Company has not authorized anyone to provide you with information that is different from the information included or incorporated by reference in this document. The Company cannot take responsibility for, nor provide assurances as to the reliability of, any different or additional information that others may give you. This document may only be used where it is legal to offer or sell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159385</wp:posOffset>
            </wp:positionV>
            <wp:extent cx="88963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635" cy="6350"/>
                    </a:xfrm>
                    <a:prstGeom prst="rect">
                      <a:avLst/>
                    </a:prstGeom>
                    <a:noFill/>
                  </pic:spPr>
                </pic:pic>
              </a:graphicData>
            </a:graphic>
          </wp:anchor>
        </w:drawing>
      </w:r>
    </w:p>
    <w:p>
      <w:pPr>
        <w:spacing w:after="0" w:line="390" w:lineRule="exact"/>
        <w:rPr>
          <w:sz w:val="20"/>
          <w:szCs w:val="20"/>
          <w:color w:val="auto"/>
        </w:rPr>
      </w:pPr>
    </w:p>
    <w:p>
      <w:pPr>
        <w:ind w:left="1420" w:right="1539" w:firstLine="271"/>
        <w:spacing w:after="0" w:line="248" w:lineRule="auto"/>
        <w:rPr>
          <w:sz w:val="20"/>
          <w:szCs w:val="20"/>
          <w:color w:val="auto"/>
        </w:rPr>
      </w:pPr>
      <w:r>
        <w:rPr>
          <w:rFonts w:ascii="Times New Roman" w:cs="Times New Roman" w:eastAsia="Times New Roman" w:hAnsi="Times New Roman"/>
          <w:sz w:val="14"/>
          <w:szCs w:val="14"/>
          <w:color w:val="auto"/>
        </w:rPr>
        <w:t>No person is authorized in connection with the exchange offer to give any information or to make any representation not contained in this prospectus, and, if given or made, such other information or representation must not be relied upon as having been authorized by the Company. You should assume that the information contained in this prospectus is accurate only as of its date.</w:t>
      </w:r>
    </w:p>
    <w:p>
      <w:pPr>
        <w:spacing w:after="0" w:line="96" w:lineRule="exact"/>
        <w:rPr>
          <w:sz w:val="20"/>
          <w:szCs w:val="20"/>
          <w:color w:val="auto"/>
        </w:rPr>
      </w:pPr>
    </w:p>
    <w:p>
      <w:pPr>
        <w:ind w:left="1420" w:right="1759" w:firstLine="271"/>
        <w:spacing w:after="0" w:line="262" w:lineRule="auto"/>
        <w:rPr>
          <w:sz w:val="20"/>
          <w:szCs w:val="20"/>
          <w:color w:val="auto"/>
        </w:rPr>
      </w:pPr>
      <w:r>
        <w:rPr>
          <w:rFonts w:ascii="Times New Roman" w:cs="Times New Roman" w:eastAsia="Times New Roman" w:hAnsi="Times New Roman"/>
          <w:sz w:val="14"/>
          <w:szCs w:val="14"/>
          <w:color w:val="auto"/>
        </w:rPr>
        <w:t>This prospectus does not constitute an offer to sell or buy any Registered Notes in any jurisdiction where it is unlawful to do so.</w:t>
      </w:r>
    </w:p>
    <w:p>
      <w:pPr>
        <w:spacing w:after="0" w:line="85" w:lineRule="exact"/>
        <w:rPr>
          <w:sz w:val="20"/>
          <w:szCs w:val="20"/>
          <w:color w:val="auto"/>
        </w:rPr>
      </w:pPr>
    </w:p>
    <w:p>
      <w:pPr>
        <w:jc w:val="both"/>
        <w:ind w:left="1420" w:right="1639" w:firstLine="271"/>
        <w:spacing w:after="0" w:line="248" w:lineRule="auto"/>
        <w:rPr>
          <w:sz w:val="20"/>
          <w:szCs w:val="20"/>
          <w:color w:val="auto"/>
        </w:rPr>
      </w:pPr>
      <w:r>
        <w:rPr>
          <w:rFonts w:ascii="Times New Roman" w:cs="Times New Roman" w:eastAsia="Times New Roman" w:hAnsi="Times New Roman"/>
          <w:sz w:val="14"/>
          <w:szCs w:val="14"/>
          <w:color w:val="auto"/>
        </w:rPr>
        <w:t>No person should construe anything in this prospectus as legal, business or tax advice. Each person should consult its own advisors as needed to make its investment decision and to determine whether it is legally permitted to participate in the exchange offer under applicable legal investment or similar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 w:name="page5"/>
    <w:bookmarkEnd w:id="4"/>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20" w:right="1439" w:firstLine="271"/>
        <w:spacing w:after="0" w:line="243"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S-4 (File No. 333-        ) with respect to the exchange offer and the Registered Notes. This prospectus, which forms part of that registration statement, does not contain all the information included in the registration statement, including its exhibits and schedules. For further information about the Company, the exchange offer and the Registered Notes described in this prospectus, you should refer to the registration statement and its exhibits and schedules and the documents incorporated by reference herein. For a listing of documents incorporated by reference herein, see the section entitled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xml:space="preserve">” Statements the Company makes in this prospectus or in the documents incorporated by reference herein about certain contracts or other documents are not necessarily complete. When the Company makes such statements, the Company refers you to the copies of the contracts or documents that are filed as exhibits to the registration statement because those statements are qualified in all respects by reference to those exhibits. The registration statement incorporates important business and financial information about the Company that is not included or delivered with this document. The registration statement, including its exhibits and schedules, is available at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You may also obtain this information without charge by writing to Waste Management, Inc., 800 Capitol Street, Suite 3000, Houston, Texas 77002, Attention: Corporate Secretary.</w:t>
      </w:r>
    </w:p>
    <w:p>
      <w:pPr>
        <w:spacing w:after="0" w:line="261" w:lineRule="exact"/>
        <w:rPr>
          <w:sz w:val="20"/>
          <w:szCs w:val="20"/>
          <w:color w:val="auto"/>
        </w:rPr>
      </w:pPr>
    </w:p>
    <w:p>
      <w:pPr>
        <w:ind w:left="1420" w:right="1499" w:firstLine="271"/>
        <w:spacing w:after="0" w:line="268" w:lineRule="auto"/>
        <w:rPr>
          <w:sz w:val="20"/>
          <w:szCs w:val="20"/>
          <w:color w:val="auto"/>
        </w:rPr>
      </w:pPr>
      <w:r>
        <w:rPr>
          <w:rFonts w:ascii="Times New Roman" w:cs="Times New Roman" w:eastAsia="Times New Roman" w:hAnsi="Times New Roman"/>
          <w:sz w:val="14"/>
          <w:szCs w:val="14"/>
          <w:b w:val="1"/>
          <w:bCs w:val="1"/>
          <w:color w:val="auto"/>
        </w:rPr>
        <w:t>In order to ensure timely delivery, you must request the information no later than                               , 2025, which is five business days before the expiration of the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 w:name="page6"/>
    <w:bookmarkEnd w:id="5"/>
    <w:p>
      <w:pPr>
        <w:ind w:left="4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17" w:lineRule="exact"/>
        <w:rPr>
          <w:sz w:val="20"/>
          <w:szCs w:val="20"/>
          <w:color w:val="auto"/>
        </w:rPr>
      </w:pPr>
    </w:p>
    <w:p>
      <w:pPr>
        <w:ind w:left="1420" w:right="1439" w:firstLine="271"/>
        <w:spacing w:after="0" w:line="24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prospectus and the information incorporated by reference herein contain certain forward-looking statements that are made subject to the safe harbor protections provided by the Private Securities Litigation Reform Act of 1995. Forward-looking statements are often identified by the words, “will,” “may,” “should,” “continue,” “anticipate,” “believe,” “expect,” “target,” “plan,” “forecast,” “project,” “estimate,” “intend,” “commit,” “potential” and words of a similar nature and generally include statements regarding future results of operations, including revenues, earnings or cash flows; plans and objectives for the future; projections, estimates or assumptions relating to our operational or financial performance; projections, estimates or assumptions relating to our capital expenditures; or our opinions, views or beliefs about the effects of current or future events, circumstances or performance. You should view these statements with caution. These statements are not guarantees of future performance, circumstances or events. They are based on facts and circumstances known to us as of the date the statements are made, and you should not place undue reliance on any such forward-looking statements. Forward-looking statements are subject to certain risks and uncertainties that could cause actual results to differ materially from our historical experience and our present expectations or anticipated results. These risks and uncertainties include, but are not limited to, our ability to complete the transactions contemplated by the exchange offer, including the satisfaction or waiver of any conditions described in this prospectus; the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including our ability to integrate the acquisition of Stericycle and achieve the anticipated benefits therefrom, including synergies; legal, regulatory and other matters that may affect the costs and timing of our ability to integrate and deliver all of the expected benefits of the Stericycle acquisition; failure to maintain an effective system of internal control over financial reporting; existing or new environmental and other regulations, including developments related to emerging contaminants, gas emissions, renewable energy,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exposure to different regulatory, legal, financial and economic conditions in international jurisdictions; failure to attract, hire and retain key team members and a high quality workforce; increases in labor costs due to union organizing activities or changes in wage- and labor-related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and incentives;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pricing actions; impacts from international trade restrictions; competitive disposal alternatives, diversion of waste from landfills and declining waste volumes; changing conditions in the healthcare industry; weakness in general economic conditions and capital markets; instability of financial institutions; adoption of new tax legislation; fuel shortages; failure to develop and protect new technology; failure of technology to perform as expected; failure to prevent, detect and address cybersecurity incidents or comply with privacy regulations; inability to adapt and manage the benefits and risks of artificial intelligence; negative outcomes of litigation or governmental proceedings, including those acquired through transactions; and operational or management decisions or developments that result in impairment charges. Please also see other risks discussed in our filings with the SEC, including Part I, Item 1A of our </w:t>
      </w:r>
      <w:hyperlink r:id="rId27">
        <w:r>
          <w:rPr>
            <w:rFonts w:ascii="Times New Roman" w:cs="Times New Roman" w:eastAsia="Times New Roman" w:hAnsi="Times New Roman"/>
            <w:sz w:val="14"/>
            <w:szCs w:val="14"/>
            <w:u w:val="single" w:color="auto"/>
            <w:color w:val="0000EE"/>
          </w:rPr>
          <w:t>Annual Report on Form 10-K for the year ended December 31, 2024</w:t>
        </w:r>
      </w:hyperlink>
      <w:r>
        <w:rPr>
          <w:rFonts w:ascii="Times New Roman" w:cs="Times New Roman" w:eastAsia="Times New Roman" w:hAnsi="Times New Roman"/>
          <w:sz w:val="14"/>
          <w:szCs w:val="14"/>
          <w:color w:val="auto"/>
        </w:rPr>
        <w:t xml:space="preserve">, as updated by Part II, Item 1A of our subsequent Quarterly Reports on Form 10-Q; and other risks discussed in “Risk Factors” beginning on page </w:t>
      </w:r>
      <w:r>
        <w:rPr>
          <w:rFonts w:ascii="Times New Roman" w:cs="Times New Roman" w:eastAsia="Times New Roman" w:hAnsi="Times New Roman"/>
          <w:sz w:val="14"/>
          <w:szCs w:val="14"/>
          <w:u w:val="single" w:color="auto"/>
          <w:color w:val="0000EE"/>
        </w:rPr>
        <w:t>11</w:t>
      </w:r>
      <w:r>
        <w:rPr>
          <w:rFonts w:ascii="Times New Roman" w:cs="Times New Roman" w:eastAsia="Times New Roman" w:hAnsi="Times New Roman"/>
          <w:sz w:val="14"/>
          <w:szCs w:val="14"/>
          <w:color w:val="auto"/>
        </w:rPr>
        <w:t xml:space="preserve"> of this prospectus. We assume no obligation to update any forward-looking statement, including financial estimates and forecasts, whether as a result of future events, circumstances or developments or otherwise.</w:t>
      </w: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 w:name="page7"/>
    <w:bookmarkEnd w:id="6"/>
    <w:p>
      <w:pPr>
        <w:ind w:left="4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244475</wp:posOffset>
            </wp:positionV>
            <wp:extent cx="4150360" cy="5986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4150360" cy="598678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15" w:lineRule="exact"/>
        <w:rPr>
          <w:sz w:val="20"/>
          <w:szCs w:val="20"/>
          <w:color w:val="auto"/>
        </w:rPr>
      </w:pPr>
    </w:p>
    <w:p>
      <w:pPr>
        <w:ind w:left="1440" w:right="1459" w:firstLine="270"/>
        <w:spacing w:after="0" w:line="246" w:lineRule="auto"/>
        <w:rPr>
          <w:sz w:val="20"/>
          <w:szCs w:val="20"/>
          <w:color w:val="auto"/>
        </w:rPr>
      </w:pPr>
      <w:r>
        <w:rPr>
          <w:rFonts w:ascii="Times New Roman" w:cs="Times New Roman" w:eastAsia="Times New Roman" w:hAnsi="Times New Roman"/>
          <w:sz w:val="14"/>
          <w:szCs w:val="14"/>
          <w:i w:val="1"/>
          <w:iCs w:val="1"/>
          <w:color w:val="auto"/>
        </w:rPr>
        <w:t>The following is a summary of some of the information contained or incorporated by reference in this prospectus. This summary does not contain all the details concerning the exchange offer or the Registered Notes, including information that may be important to you. To better understand our business and financial position, you should carefully review this entire document and the documents incorporated by reference herein, including the information under “Risk Factors” and “Cautionary Note Regarding Forward-Looking Statements.”</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Waste Management, Inc.</w:t>
      </w:r>
    </w:p>
    <w:p>
      <w:pPr>
        <w:spacing w:after="0" w:line="117" w:lineRule="exact"/>
        <w:rPr>
          <w:sz w:val="20"/>
          <w:szCs w:val="20"/>
          <w:color w:val="auto"/>
        </w:rPr>
      </w:pPr>
    </w:p>
    <w:p>
      <w:pPr>
        <w:ind w:left="1440" w:right="1419" w:firstLine="270"/>
        <w:spacing w:after="0" w:line="243" w:lineRule="auto"/>
        <w:rPr>
          <w:sz w:val="20"/>
          <w:szCs w:val="20"/>
          <w:color w:val="auto"/>
        </w:rPr>
      </w:pPr>
      <w:r>
        <w:rPr>
          <w:rFonts w:ascii="Times New Roman" w:cs="Times New Roman" w:eastAsia="Times New Roman" w:hAnsi="Times New Roman"/>
          <w:sz w:val="14"/>
          <w:szCs w:val="14"/>
          <w:color w:val="auto"/>
        </w:rPr>
        <w:t>We are North America’s leading provider of comprehensive environmental solutions, primarily providing services throughout the United States (“</w:t>
      </w:r>
      <w:r>
        <w:rPr>
          <w:rFonts w:ascii="Times New Roman" w:cs="Times New Roman" w:eastAsia="Times New Roman" w:hAnsi="Times New Roman"/>
          <w:sz w:val="14"/>
          <w:szCs w:val="14"/>
          <w:i w:val="1"/>
          <w:iCs w:val="1"/>
          <w:color w:val="auto"/>
        </w:rPr>
        <w:t>U.S</w:t>
      </w:r>
      <w:r>
        <w:rPr>
          <w:rFonts w:ascii="Times New Roman" w:cs="Times New Roman" w:eastAsia="Times New Roman" w:hAnsi="Times New Roman"/>
          <w:sz w:val="14"/>
          <w:szCs w:val="14"/>
          <w:color w:val="auto"/>
        </w:rPr>
        <w:t>.”) and Canada. We partner with our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Our solid waste business is operated and managed locally by our subsidiaries that focus on distinct geographic areas and provide collection, transfer, disposal, recycling and resource recovery services. Through our subsidiaries, including our Waste Management Renewable Energy segment, we are also a leading developer, operator and owner of landfill gas-to-energy facilities in the U.S. and Canada that produce renewable electricity and renewable natural gas, which is a significant source of fuel that we allocate to our natural gas fleet. Additionally, we are a leading recycler in the U.S. and Canada, handling materials that include paper, cardboard, glass, plastic and metal.</w:t>
      </w:r>
    </w:p>
    <w:p>
      <w:pPr>
        <w:spacing w:after="0" w:line="93" w:lineRule="exact"/>
        <w:rPr>
          <w:sz w:val="20"/>
          <w:szCs w:val="20"/>
          <w:color w:val="auto"/>
        </w:rPr>
      </w:pPr>
    </w:p>
    <w:p>
      <w:pPr>
        <w:ind w:left="1440" w:right="1419" w:firstLine="270"/>
        <w:spacing w:after="0" w:line="252" w:lineRule="auto"/>
        <w:rPr>
          <w:sz w:val="20"/>
          <w:szCs w:val="20"/>
          <w:color w:val="auto"/>
        </w:rPr>
      </w:pPr>
      <w:r>
        <w:rPr>
          <w:rFonts w:ascii="Times New Roman" w:cs="Times New Roman" w:eastAsia="Times New Roman" w:hAnsi="Times New Roman"/>
          <w:sz w:val="14"/>
          <w:szCs w:val="14"/>
          <w:color w:val="auto"/>
        </w:rPr>
        <w:t>On November 4, 2024, we completed our acquisition of all outstanding shares of Stericycle, Inc., a provider of regulated waste and compliance services and secure information destruction services that protect people and brands, promote health and well-being and safeguard the environment.</w:t>
      </w:r>
    </w:p>
    <w:p>
      <w:pPr>
        <w:spacing w:after="0" w:line="92" w:lineRule="exact"/>
        <w:rPr>
          <w:sz w:val="20"/>
          <w:szCs w:val="20"/>
          <w:color w:val="auto"/>
        </w:rPr>
      </w:pPr>
    </w:p>
    <w:p>
      <w:pPr>
        <w:ind w:left="1440" w:right="1499" w:firstLine="270"/>
        <w:spacing w:after="0" w:line="245" w:lineRule="auto"/>
        <w:rPr>
          <w:sz w:val="20"/>
          <w:szCs w:val="20"/>
          <w:color w:val="auto"/>
        </w:rPr>
      </w:pPr>
      <w:r>
        <w:rPr>
          <w:rFonts w:ascii="Times New Roman" w:cs="Times New Roman" w:eastAsia="Times New Roman" w:hAnsi="Times New Roman"/>
          <w:sz w:val="14"/>
          <w:szCs w:val="14"/>
          <w:color w:val="auto"/>
        </w:rPr>
        <w:t xml:space="preserve">Our principal executive offices are located at 800 Capitol Street, Suite 3000, Houston, Texas 77002. Our telephone number is (713) 512-6200. Our website address is </w:t>
      </w:r>
      <w:r>
        <w:rPr>
          <w:rFonts w:ascii="Times New Roman" w:cs="Times New Roman" w:eastAsia="Times New Roman" w:hAnsi="Times New Roman"/>
          <w:sz w:val="14"/>
          <w:szCs w:val="14"/>
          <w:i w:val="1"/>
          <w:iCs w:val="1"/>
          <w:color w:val="auto"/>
        </w:rPr>
        <w:t>www.wm.com</w:t>
      </w:r>
      <w:r>
        <w:rPr>
          <w:rFonts w:ascii="Times New Roman" w:cs="Times New Roman" w:eastAsia="Times New Roman" w:hAnsi="Times New Roman"/>
          <w:sz w:val="14"/>
          <w:szCs w:val="14"/>
          <w:color w:val="auto"/>
        </w:rPr>
        <w:t>. Our annual reports on Form 10-K, quarterly reports on Form 10-Q and current reports on Form 8-K are all available, free of charge, on our website as soon as practicable after we file the reports with the SEC. Information contained on, or that can be accessed through, our website is not incorporated by reference into this prospectus and does not constitute a part of this prospectus. Our common stock is traded on the New York Stock Exchange under the symbol “WM.”</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Waste Management Holdings, Inc.</w:t>
      </w:r>
    </w:p>
    <w:p>
      <w:pPr>
        <w:spacing w:after="0" w:line="117" w:lineRule="exact"/>
        <w:rPr>
          <w:sz w:val="20"/>
          <w:szCs w:val="20"/>
          <w:color w:val="auto"/>
        </w:rPr>
      </w:pPr>
    </w:p>
    <w:p>
      <w:pPr>
        <w:ind w:left="1440" w:right="1439" w:firstLine="270"/>
        <w:spacing w:after="0" w:line="252" w:lineRule="auto"/>
        <w:rPr>
          <w:sz w:val="20"/>
          <w:szCs w:val="20"/>
          <w:color w:val="auto"/>
        </w:rPr>
      </w:pPr>
      <w:r>
        <w:rPr>
          <w:rFonts w:ascii="Times New Roman" w:cs="Times New Roman" w:eastAsia="Times New Roman" w:hAnsi="Times New Roman"/>
          <w:sz w:val="14"/>
          <w:szCs w:val="14"/>
          <w:color w:val="auto"/>
        </w:rPr>
        <w:t>Waste Management Holdings, Inc., which we refer to in this prospectus as “WM Holdings,” is a direct wholly owned subsidiary of Waste Management, Inc. WM Holdings is a holding company and all operations are conducted by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 w:name="page8"/>
    <w:bookmarkEnd w:id="7"/>
    <w:p>
      <w:pPr>
        <w:ind w:left="4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365" w:lineRule="exact"/>
        <w:rPr>
          <w:sz w:val="20"/>
          <w:szCs w:val="20"/>
          <w:color w:val="auto"/>
        </w:rPr>
      </w:pPr>
    </w:p>
    <w:tbl>
      <w:tblPr>
        <w:tblLayout w:type="fixed"/>
        <w:tblInd w:w="480" w:type="dxa"/>
        <w:tblCellMar>
          <w:top w:w="0" w:type="dxa"/>
          <w:left w:w="0" w:type="dxa"/>
          <w:bottom w:w="0" w:type="dxa"/>
          <w:right w:w="0" w:type="dxa"/>
        </w:tblCellMar>
      </w:tblPr>
      <w:tr>
        <w:trPr>
          <w:trHeight w:val="410"/>
        </w:trPr>
        <w:tc>
          <w:tcPr>
            <w:tcW w:w="800" w:type="dxa"/>
            <w:vAlign w:val="bottom"/>
            <w:tcBorders>
              <w:right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4760" w:type="dxa"/>
            <w:vAlign w:val="bottom"/>
            <w:tcBorders>
              <w:top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THE EXCHANGE OFFER</w:t>
            </w:r>
          </w:p>
        </w:tc>
        <w:tc>
          <w:tcPr>
            <w:tcW w:w="760" w:type="dxa"/>
            <w:vAlign w:val="bottom"/>
          </w:tcPr>
          <w:p>
            <w:pPr>
              <w:spacing w:after="0"/>
              <w:rPr>
                <w:sz w:val="24"/>
                <w:szCs w:val="24"/>
                <w:color w:val="auto"/>
              </w:rPr>
            </w:pPr>
          </w:p>
        </w:tc>
      </w:tr>
      <w:tr>
        <w:trPr>
          <w:trHeight w:val="231"/>
        </w:trPr>
        <w:tc>
          <w:tcPr>
            <w:tcW w:w="800" w:type="dxa"/>
            <w:vAlign w:val="bottom"/>
            <w:tcBorders>
              <w:right w:val="single" w:sz="8" w:color="auto"/>
            </w:tcBorders>
          </w:tcPr>
          <w:p>
            <w:pPr>
              <w:spacing w:after="0"/>
              <w:rPr>
                <w:sz w:val="20"/>
                <w:szCs w:val="20"/>
                <w:color w:val="auto"/>
              </w:rPr>
            </w:pPr>
          </w:p>
        </w:tc>
        <w:tc>
          <w:tcPr>
            <w:tcW w:w="17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Background</w:t>
            </w: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On November 8, 2024, we (i) completed our private</w:t>
            </w:r>
          </w:p>
        </w:tc>
        <w:tc>
          <w:tcPr>
            <w:tcW w:w="760" w:type="dxa"/>
            <w:vAlign w:val="bottom"/>
          </w:tcPr>
          <w:p>
            <w:pPr>
              <w:spacing w:after="0"/>
              <w:rPr>
                <w:sz w:val="20"/>
                <w:szCs w:val="20"/>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exchange offer to all eligible holders for any and all</w:t>
            </w:r>
          </w:p>
        </w:tc>
        <w:tc>
          <w:tcPr>
            <w:tcW w:w="760" w:type="dxa"/>
            <w:vAlign w:val="bottom"/>
          </w:tcPr>
          <w:p>
            <w:pPr>
              <w:spacing w:after="0"/>
              <w:rPr>
                <w:sz w:val="14"/>
                <w:szCs w:val="14"/>
                <w:color w:val="auto"/>
              </w:rPr>
            </w:pPr>
          </w:p>
        </w:tc>
      </w:tr>
      <w:tr>
        <w:trPr>
          <w:trHeight w:val="160"/>
        </w:trPr>
        <w:tc>
          <w:tcPr>
            <w:tcW w:w="800" w:type="dxa"/>
            <w:vAlign w:val="bottom"/>
            <w:tcBorders>
              <w:right w:val="single" w:sz="8" w:color="auto"/>
            </w:tcBorders>
          </w:tcPr>
          <w:p>
            <w:pPr>
              <w:spacing w:after="0"/>
              <w:rPr>
                <w:sz w:val="13"/>
                <w:szCs w:val="13"/>
                <w:color w:val="auto"/>
              </w:rPr>
            </w:pPr>
          </w:p>
        </w:tc>
        <w:tc>
          <w:tcPr>
            <w:tcW w:w="1740" w:type="dxa"/>
            <w:vAlign w:val="bottom"/>
          </w:tcPr>
          <w:p>
            <w:pPr>
              <w:spacing w:after="0"/>
              <w:rPr>
                <w:sz w:val="13"/>
                <w:szCs w:val="13"/>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outstanding 3.875% Senior Notes due January 15, 2029</w:t>
            </w:r>
          </w:p>
        </w:tc>
        <w:tc>
          <w:tcPr>
            <w:tcW w:w="760" w:type="dxa"/>
            <w:vAlign w:val="bottom"/>
          </w:tcPr>
          <w:p>
            <w:pPr>
              <w:spacing w:after="0"/>
              <w:rPr>
                <w:sz w:val="13"/>
                <w:szCs w:val="13"/>
                <w:color w:val="auto"/>
              </w:rPr>
            </w:pPr>
          </w:p>
        </w:tc>
      </w:tr>
      <w:tr>
        <w:trPr>
          <w:trHeight w:val="164"/>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issued by Stericycle (the “</w:t>
            </w:r>
            <w:r>
              <w:rPr>
                <w:rFonts w:ascii="Times New Roman" w:cs="Times New Roman" w:eastAsia="Times New Roman" w:hAnsi="Times New Roman"/>
                <w:sz w:val="14"/>
                <w:szCs w:val="14"/>
                <w:i w:val="1"/>
                <w:iCs w:val="1"/>
                <w:color w:val="auto"/>
              </w:rPr>
              <w:t>SRCL Exchange Offer</w:t>
            </w:r>
            <w:r>
              <w:rPr>
                <w:rFonts w:ascii="Times New Roman" w:cs="Times New Roman" w:eastAsia="Times New Roman" w:hAnsi="Times New Roman"/>
                <w:sz w:val="14"/>
                <w:szCs w:val="14"/>
                <w:color w:val="auto"/>
              </w:rPr>
              <w:t>”) and</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issued the Restricted Notes and (ii) in connection with</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the completion of the SRCL Exchange Offer, entered</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into a registration rights agreement with the dealer</w:t>
            </w:r>
          </w:p>
        </w:tc>
        <w:tc>
          <w:tcPr>
            <w:tcW w:w="760" w:type="dxa"/>
            <w:vAlign w:val="bottom"/>
          </w:tcPr>
          <w:p>
            <w:pPr>
              <w:spacing w:after="0"/>
              <w:rPr>
                <w:sz w:val="14"/>
                <w:szCs w:val="14"/>
                <w:color w:val="auto"/>
              </w:rPr>
            </w:pPr>
          </w:p>
        </w:tc>
      </w:tr>
      <w:tr>
        <w:trPr>
          <w:trHeight w:val="160"/>
        </w:trPr>
        <w:tc>
          <w:tcPr>
            <w:tcW w:w="800" w:type="dxa"/>
            <w:vAlign w:val="bottom"/>
            <w:tcBorders>
              <w:right w:val="single" w:sz="8" w:color="auto"/>
            </w:tcBorders>
          </w:tcPr>
          <w:p>
            <w:pPr>
              <w:spacing w:after="0"/>
              <w:rPr>
                <w:sz w:val="13"/>
                <w:szCs w:val="13"/>
                <w:color w:val="auto"/>
              </w:rPr>
            </w:pPr>
          </w:p>
        </w:tc>
        <w:tc>
          <w:tcPr>
            <w:tcW w:w="1740" w:type="dxa"/>
            <w:vAlign w:val="bottom"/>
          </w:tcPr>
          <w:p>
            <w:pPr>
              <w:spacing w:after="0"/>
              <w:rPr>
                <w:sz w:val="13"/>
                <w:szCs w:val="13"/>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managers of the SRCL Exchange Offer with respect to</w:t>
            </w:r>
          </w:p>
        </w:tc>
        <w:tc>
          <w:tcPr>
            <w:tcW w:w="760" w:type="dxa"/>
            <w:vAlign w:val="bottom"/>
          </w:tcPr>
          <w:p>
            <w:pPr>
              <w:spacing w:after="0"/>
              <w:rPr>
                <w:sz w:val="13"/>
                <w:szCs w:val="13"/>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the Restricted Notes (the “</w:t>
            </w:r>
            <w:r>
              <w:rPr>
                <w:rFonts w:ascii="Times New Roman" w:cs="Times New Roman" w:eastAsia="Times New Roman" w:hAnsi="Times New Roman"/>
                <w:sz w:val="14"/>
                <w:szCs w:val="14"/>
                <w:i w:val="1"/>
                <w:iCs w:val="1"/>
                <w:color w:val="auto"/>
              </w:rPr>
              <w:t>Registration Rights</w:t>
            </w:r>
          </w:p>
        </w:tc>
        <w:tc>
          <w:tcPr>
            <w:tcW w:w="760" w:type="dxa"/>
            <w:vAlign w:val="bottom"/>
          </w:tcPr>
          <w:p>
            <w:pPr>
              <w:spacing w:after="0"/>
              <w:rPr>
                <w:sz w:val="14"/>
                <w:szCs w:val="14"/>
                <w:color w:val="auto"/>
              </w:rPr>
            </w:pPr>
          </w:p>
        </w:tc>
      </w:tr>
      <w:tr>
        <w:trPr>
          <w:trHeight w:val="164"/>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i w:val="1"/>
                <w:iCs w:val="1"/>
                <w:color w:val="auto"/>
              </w:rPr>
              <w:t>Agreement</w:t>
            </w:r>
            <w:r>
              <w:rPr>
                <w:rFonts w:ascii="Times New Roman" w:cs="Times New Roman" w:eastAsia="Times New Roman" w:hAnsi="Times New Roman"/>
                <w:sz w:val="14"/>
                <w:szCs w:val="14"/>
                <w:color w:val="auto"/>
              </w:rPr>
              <w:t>”). We are offering to issue the Registered</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Notes in exchange for the Restricted Notes to satisfy</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our obligations under the Registration Rights</w:t>
            </w:r>
          </w:p>
        </w:tc>
        <w:tc>
          <w:tcPr>
            <w:tcW w:w="760" w:type="dxa"/>
            <w:vAlign w:val="bottom"/>
          </w:tcPr>
          <w:p>
            <w:pPr>
              <w:spacing w:after="0"/>
              <w:rPr>
                <w:sz w:val="14"/>
                <w:szCs w:val="14"/>
                <w:color w:val="auto"/>
              </w:rPr>
            </w:pPr>
          </w:p>
        </w:tc>
      </w:tr>
      <w:tr>
        <w:trPr>
          <w:trHeight w:val="175"/>
        </w:trPr>
        <w:tc>
          <w:tcPr>
            <w:tcW w:w="800" w:type="dxa"/>
            <w:vAlign w:val="bottom"/>
            <w:tcBorders>
              <w:right w:val="single" w:sz="8" w:color="auto"/>
            </w:tcBorders>
          </w:tcPr>
          <w:p>
            <w:pPr>
              <w:spacing w:after="0"/>
              <w:rPr>
                <w:sz w:val="15"/>
                <w:szCs w:val="15"/>
                <w:color w:val="auto"/>
              </w:rPr>
            </w:pPr>
          </w:p>
        </w:tc>
        <w:tc>
          <w:tcPr>
            <w:tcW w:w="1740" w:type="dxa"/>
            <w:vAlign w:val="bottom"/>
          </w:tcPr>
          <w:p>
            <w:pPr>
              <w:spacing w:after="0"/>
              <w:rPr>
                <w:sz w:val="15"/>
                <w:szCs w:val="15"/>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Agreement to holders of the Restricted Notes.</w:t>
            </w:r>
          </w:p>
        </w:tc>
        <w:tc>
          <w:tcPr>
            <w:tcW w:w="760" w:type="dxa"/>
            <w:vAlign w:val="bottom"/>
          </w:tcPr>
          <w:p>
            <w:pPr>
              <w:spacing w:after="0"/>
              <w:rPr>
                <w:sz w:val="15"/>
                <w:szCs w:val="15"/>
                <w:color w:val="auto"/>
              </w:rPr>
            </w:pPr>
          </w:p>
        </w:tc>
      </w:tr>
      <w:tr>
        <w:trPr>
          <w:trHeight w:val="262"/>
        </w:trPr>
        <w:tc>
          <w:tcPr>
            <w:tcW w:w="800" w:type="dxa"/>
            <w:vAlign w:val="bottom"/>
            <w:tcBorders>
              <w:right w:val="single" w:sz="8" w:color="auto"/>
            </w:tcBorders>
          </w:tcPr>
          <w:p>
            <w:pPr>
              <w:spacing w:after="0"/>
              <w:rPr>
                <w:sz w:val="22"/>
                <w:szCs w:val="22"/>
                <w:color w:val="auto"/>
              </w:rPr>
            </w:pPr>
          </w:p>
        </w:tc>
        <w:tc>
          <w:tcPr>
            <w:tcW w:w="1740" w:type="dxa"/>
            <w:vAlign w:val="bottom"/>
          </w:tcPr>
          <w:p>
            <w:pPr>
              <w:spacing w:after="0"/>
              <w:rPr>
                <w:sz w:val="22"/>
                <w:szCs w:val="22"/>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After the exchange offer is complete, holders of</w:t>
            </w:r>
          </w:p>
        </w:tc>
        <w:tc>
          <w:tcPr>
            <w:tcW w:w="760" w:type="dxa"/>
            <w:vAlign w:val="bottom"/>
          </w:tcPr>
          <w:p>
            <w:pPr>
              <w:spacing w:after="0"/>
              <w:rPr>
                <w:sz w:val="22"/>
                <w:szCs w:val="22"/>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Restricted Notes will no longer be entitled to any</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exchange or registration rights with respect to the</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Restricted Notes, except in the limited circumstances</w:t>
            </w:r>
          </w:p>
        </w:tc>
        <w:tc>
          <w:tcPr>
            <w:tcW w:w="760" w:type="dxa"/>
            <w:vAlign w:val="bottom"/>
          </w:tcPr>
          <w:p>
            <w:pPr>
              <w:spacing w:after="0"/>
              <w:rPr>
                <w:sz w:val="14"/>
                <w:szCs w:val="14"/>
                <w:color w:val="auto"/>
              </w:rPr>
            </w:pPr>
          </w:p>
        </w:tc>
      </w:tr>
      <w:tr>
        <w:trPr>
          <w:trHeight w:val="175"/>
        </w:trPr>
        <w:tc>
          <w:tcPr>
            <w:tcW w:w="800" w:type="dxa"/>
            <w:vAlign w:val="bottom"/>
            <w:tcBorders>
              <w:right w:val="single" w:sz="8" w:color="auto"/>
            </w:tcBorders>
          </w:tcPr>
          <w:p>
            <w:pPr>
              <w:spacing w:after="0"/>
              <w:rPr>
                <w:sz w:val="15"/>
                <w:szCs w:val="15"/>
                <w:color w:val="auto"/>
              </w:rPr>
            </w:pPr>
          </w:p>
        </w:tc>
        <w:tc>
          <w:tcPr>
            <w:tcW w:w="1740" w:type="dxa"/>
            <w:vAlign w:val="bottom"/>
          </w:tcPr>
          <w:p>
            <w:pPr>
              <w:spacing w:after="0"/>
              <w:rPr>
                <w:sz w:val="15"/>
                <w:szCs w:val="15"/>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described in the Registration Rights Agreement.</w:t>
            </w:r>
          </w:p>
        </w:tc>
        <w:tc>
          <w:tcPr>
            <w:tcW w:w="760" w:type="dxa"/>
            <w:vAlign w:val="bottom"/>
          </w:tcPr>
          <w:p>
            <w:pPr>
              <w:spacing w:after="0"/>
              <w:rPr>
                <w:sz w:val="15"/>
                <w:szCs w:val="15"/>
                <w:color w:val="auto"/>
              </w:rPr>
            </w:pPr>
          </w:p>
        </w:tc>
      </w:tr>
      <w:tr>
        <w:trPr>
          <w:trHeight w:val="231"/>
        </w:trPr>
        <w:tc>
          <w:tcPr>
            <w:tcW w:w="800" w:type="dxa"/>
            <w:vAlign w:val="bottom"/>
            <w:tcBorders>
              <w:right w:val="single" w:sz="8" w:color="auto"/>
            </w:tcBorders>
          </w:tcPr>
          <w:p>
            <w:pPr>
              <w:spacing w:after="0"/>
              <w:rPr>
                <w:sz w:val="20"/>
                <w:szCs w:val="20"/>
                <w:color w:val="auto"/>
              </w:rPr>
            </w:pPr>
          </w:p>
        </w:tc>
        <w:tc>
          <w:tcPr>
            <w:tcW w:w="17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Exchange Offer</w:t>
            </w: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We are offering to exchange the Restricted Notes for a</w:t>
            </w:r>
          </w:p>
        </w:tc>
        <w:tc>
          <w:tcPr>
            <w:tcW w:w="760" w:type="dxa"/>
            <w:vAlign w:val="bottom"/>
          </w:tcPr>
          <w:p>
            <w:pPr>
              <w:spacing w:after="0"/>
              <w:rPr>
                <w:sz w:val="20"/>
                <w:szCs w:val="20"/>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like principal amount of Registered Notes, the offer of</w:t>
            </w:r>
          </w:p>
        </w:tc>
        <w:tc>
          <w:tcPr>
            <w:tcW w:w="760" w:type="dxa"/>
            <w:vAlign w:val="bottom"/>
          </w:tcPr>
          <w:p>
            <w:pPr>
              <w:spacing w:after="0"/>
              <w:rPr>
                <w:sz w:val="14"/>
                <w:szCs w:val="14"/>
                <w:color w:val="auto"/>
              </w:rPr>
            </w:pPr>
          </w:p>
        </w:tc>
      </w:tr>
      <w:tr>
        <w:trPr>
          <w:trHeight w:val="175"/>
        </w:trPr>
        <w:tc>
          <w:tcPr>
            <w:tcW w:w="800" w:type="dxa"/>
            <w:vAlign w:val="bottom"/>
            <w:tcBorders>
              <w:right w:val="single" w:sz="8" w:color="auto"/>
            </w:tcBorders>
          </w:tcPr>
          <w:p>
            <w:pPr>
              <w:spacing w:after="0"/>
              <w:rPr>
                <w:sz w:val="15"/>
                <w:szCs w:val="15"/>
                <w:color w:val="auto"/>
              </w:rPr>
            </w:pPr>
          </w:p>
        </w:tc>
        <w:tc>
          <w:tcPr>
            <w:tcW w:w="1740" w:type="dxa"/>
            <w:vAlign w:val="bottom"/>
          </w:tcPr>
          <w:p>
            <w:pPr>
              <w:spacing w:after="0"/>
              <w:rPr>
                <w:sz w:val="15"/>
                <w:szCs w:val="15"/>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which has been registered under the Securities Act.</w:t>
            </w:r>
          </w:p>
        </w:tc>
        <w:tc>
          <w:tcPr>
            <w:tcW w:w="760" w:type="dxa"/>
            <w:vAlign w:val="bottom"/>
          </w:tcPr>
          <w:p>
            <w:pPr>
              <w:spacing w:after="0"/>
              <w:rPr>
                <w:sz w:val="15"/>
                <w:szCs w:val="15"/>
                <w:color w:val="auto"/>
              </w:rPr>
            </w:pPr>
          </w:p>
        </w:tc>
      </w:tr>
      <w:tr>
        <w:trPr>
          <w:trHeight w:val="262"/>
        </w:trPr>
        <w:tc>
          <w:tcPr>
            <w:tcW w:w="800" w:type="dxa"/>
            <w:vAlign w:val="bottom"/>
            <w:tcBorders>
              <w:right w:val="single" w:sz="8" w:color="auto"/>
            </w:tcBorders>
          </w:tcPr>
          <w:p>
            <w:pPr>
              <w:spacing w:after="0"/>
              <w:rPr>
                <w:sz w:val="22"/>
                <w:szCs w:val="22"/>
                <w:color w:val="auto"/>
              </w:rPr>
            </w:pPr>
          </w:p>
        </w:tc>
        <w:tc>
          <w:tcPr>
            <w:tcW w:w="1740" w:type="dxa"/>
            <w:vAlign w:val="bottom"/>
          </w:tcPr>
          <w:p>
            <w:pPr>
              <w:spacing w:after="0"/>
              <w:rPr>
                <w:sz w:val="22"/>
                <w:szCs w:val="22"/>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The Registered Notes will be substantially identical in</w:t>
            </w:r>
          </w:p>
        </w:tc>
        <w:tc>
          <w:tcPr>
            <w:tcW w:w="760" w:type="dxa"/>
            <w:vAlign w:val="bottom"/>
          </w:tcPr>
          <w:p>
            <w:pPr>
              <w:spacing w:after="0"/>
              <w:rPr>
                <w:sz w:val="22"/>
                <w:szCs w:val="22"/>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all material respects to the Restricted Notes, except that</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the Registered Notes will not be subject to restrictions</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on transfer or to any increase in annual interest rate for</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failure to comply with the Registration Rights</w:t>
            </w:r>
          </w:p>
        </w:tc>
        <w:tc>
          <w:tcPr>
            <w:tcW w:w="760" w:type="dxa"/>
            <w:vAlign w:val="bottom"/>
          </w:tcPr>
          <w:p>
            <w:pPr>
              <w:spacing w:after="0"/>
              <w:rPr>
                <w:sz w:val="14"/>
                <w:szCs w:val="14"/>
                <w:color w:val="auto"/>
              </w:rPr>
            </w:pPr>
          </w:p>
        </w:tc>
      </w:tr>
      <w:tr>
        <w:trPr>
          <w:trHeight w:val="175"/>
        </w:trPr>
        <w:tc>
          <w:tcPr>
            <w:tcW w:w="800" w:type="dxa"/>
            <w:vAlign w:val="bottom"/>
            <w:tcBorders>
              <w:right w:val="single" w:sz="8" w:color="auto"/>
            </w:tcBorders>
          </w:tcPr>
          <w:p>
            <w:pPr>
              <w:spacing w:after="0"/>
              <w:rPr>
                <w:sz w:val="15"/>
                <w:szCs w:val="15"/>
                <w:color w:val="auto"/>
              </w:rPr>
            </w:pPr>
          </w:p>
        </w:tc>
        <w:tc>
          <w:tcPr>
            <w:tcW w:w="1740" w:type="dxa"/>
            <w:vAlign w:val="bottom"/>
          </w:tcPr>
          <w:p>
            <w:pPr>
              <w:spacing w:after="0"/>
              <w:rPr>
                <w:sz w:val="15"/>
                <w:szCs w:val="15"/>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Agreement.</w:t>
            </w:r>
          </w:p>
        </w:tc>
        <w:tc>
          <w:tcPr>
            <w:tcW w:w="760" w:type="dxa"/>
            <w:vAlign w:val="bottom"/>
          </w:tcPr>
          <w:p>
            <w:pPr>
              <w:spacing w:after="0"/>
              <w:rPr>
                <w:sz w:val="15"/>
                <w:szCs w:val="15"/>
                <w:color w:val="auto"/>
              </w:rPr>
            </w:pPr>
          </w:p>
        </w:tc>
      </w:tr>
      <w:tr>
        <w:trPr>
          <w:trHeight w:val="252"/>
        </w:trPr>
        <w:tc>
          <w:tcPr>
            <w:tcW w:w="800" w:type="dxa"/>
            <w:vAlign w:val="bottom"/>
            <w:tcBorders>
              <w:right w:val="single" w:sz="8" w:color="auto"/>
            </w:tcBorders>
          </w:tcPr>
          <w:p>
            <w:pPr>
              <w:spacing w:after="0"/>
              <w:rPr>
                <w:sz w:val="21"/>
                <w:szCs w:val="21"/>
                <w:color w:val="auto"/>
              </w:rPr>
            </w:pPr>
          </w:p>
        </w:tc>
        <w:tc>
          <w:tcPr>
            <w:tcW w:w="1740" w:type="dxa"/>
            <w:vAlign w:val="bottom"/>
          </w:tcPr>
          <w:p>
            <w:pPr>
              <w:spacing w:after="0"/>
              <w:rPr>
                <w:sz w:val="21"/>
                <w:szCs w:val="21"/>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The Restricted Notes may be exchanged only in</w:t>
            </w:r>
          </w:p>
        </w:tc>
        <w:tc>
          <w:tcPr>
            <w:tcW w:w="760" w:type="dxa"/>
            <w:vAlign w:val="bottom"/>
          </w:tcPr>
          <w:p>
            <w:pPr>
              <w:spacing w:after="0"/>
              <w:rPr>
                <w:sz w:val="21"/>
                <w:szCs w:val="21"/>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minimum denominations of $2,000 and integral</w:t>
            </w:r>
          </w:p>
        </w:tc>
        <w:tc>
          <w:tcPr>
            <w:tcW w:w="760" w:type="dxa"/>
            <w:vAlign w:val="bottom"/>
          </w:tcPr>
          <w:p>
            <w:pPr>
              <w:spacing w:after="0"/>
              <w:rPr>
                <w:sz w:val="14"/>
                <w:szCs w:val="14"/>
                <w:color w:val="auto"/>
              </w:rPr>
            </w:pPr>
          </w:p>
        </w:tc>
      </w:tr>
      <w:tr>
        <w:trPr>
          <w:trHeight w:val="160"/>
        </w:trPr>
        <w:tc>
          <w:tcPr>
            <w:tcW w:w="800" w:type="dxa"/>
            <w:vAlign w:val="bottom"/>
            <w:tcBorders>
              <w:right w:val="single" w:sz="8" w:color="auto"/>
            </w:tcBorders>
          </w:tcPr>
          <w:p>
            <w:pPr>
              <w:spacing w:after="0"/>
              <w:rPr>
                <w:sz w:val="13"/>
                <w:szCs w:val="13"/>
                <w:color w:val="auto"/>
              </w:rPr>
            </w:pPr>
          </w:p>
        </w:tc>
        <w:tc>
          <w:tcPr>
            <w:tcW w:w="1740" w:type="dxa"/>
            <w:vAlign w:val="bottom"/>
          </w:tcPr>
          <w:p>
            <w:pPr>
              <w:spacing w:after="0"/>
              <w:rPr>
                <w:sz w:val="13"/>
                <w:szCs w:val="13"/>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multiples of $1,000 in excess thereof. You should read</w:t>
            </w:r>
          </w:p>
        </w:tc>
        <w:tc>
          <w:tcPr>
            <w:tcW w:w="760" w:type="dxa"/>
            <w:vAlign w:val="bottom"/>
          </w:tcPr>
          <w:p>
            <w:pPr>
              <w:spacing w:after="0"/>
              <w:rPr>
                <w:sz w:val="13"/>
                <w:szCs w:val="13"/>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the discussion under the headings “</w:t>
            </w:r>
            <w:r>
              <w:rPr>
                <w:rFonts w:ascii="Times New Roman" w:cs="Times New Roman" w:eastAsia="Times New Roman" w:hAnsi="Times New Roman"/>
                <w:sz w:val="14"/>
                <w:szCs w:val="14"/>
                <w:i w:val="1"/>
                <w:iCs w:val="1"/>
                <w:color w:val="auto"/>
              </w:rPr>
              <w:t>The Registered</w:t>
            </w:r>
          </w:p>
        </w:tc>
        <w:tc>
          <w:tcPr>
            <w:tcW w:w="760" w:type="dxa"/>
            <w:vAlign w:val="bottom"/>
          </w:tcPr>
          <w:p>
            <w:pPr>
              <w:spacing w:after="0"/>
              <w:rPr>
                <w:sz w:val="14"/>
                <w:szCs w:val="14"/>
                <w:color w:val="auto"/>
              </w:rPr>
            </w:pPr>
          </w:p>
        </w:tc>
      </w:tr>
      <w:tr>
        <w:trPr>
          <w:trHeight w:val="164"/>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i w:val="1"/>
                <w:iCs w:val="1"/>
                <w:color w:val="auto"/>
              </w:rPr>
              <w:t>Notes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Description of the Registered Notes</w:t>
            </w:r>
            <w:r>
              <w:rPr>
                <w:rFonts w:ascii="Times New Roman" w:cs="Times New Roman" w:eastAsia="Times New Roman" w:hAnsi="Times New Roman"/>
                <w:sz w:val="14"/>
                <w:szCs w:val="14"/>
                <w:color w:val="auto"/>
              </w:rPr>
              <w:t>” for</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further information regarding the Registered Notes.</w:t>
            </w:r>
          </w:p>
        </w:tc>
        <w:tc>
          <w:tcPr>
            <w:tcW w:w="760" w:type="dxa"/>
            <w:vAlign w:val="bottom"/>
          </w:tcPr>
          <w:p>
            <w:pPr>
              <w:spacing w:after="0"/>
              <w:rPr>
                <w:sz w:val="14"/>
                <w:szCs w:val="14"/>
                <w:color w:val="auto"/>
              </w:rPr>
            </w:pPr>
          </w:p>
        </w:tc>
      </w:tr>
      <w:tr>
        <w:trPr>
          <w:trHeight w:val="160"/>
        </w:trPr>
        <w:tc>
          <w:tcPr>
            <w:tcW w:w="800" w:type="dxa"/>
            <w:vAlign w:val="bottom"/>
            <w:tcBorders>
              <w:right w:val="single" w:sz="8" w:color="auto"/>
            </w:tcBorders>
          </w:tcPr>
          <w:p>
            <w:pPr>
              <w:spacing w:after="0"/>
              <w:rPr>
                <w:sz w:val="13"/>
                <w:szCs w:val="13"/>
                <w:color w:val="auto"/>
              </w:rPr>
            </w:pPr>
          </w:p>
        </w:tc>
        <w:tc>
          <w:tcPr>
            <w:tcW w:w="1740" w:type="dxa"/>
            <w:vAlign w:val="bottom"/>
          </w:tcPr>
          <w:p>
            <w:pPr>
              <w:spacing w:after="0"/>
              <w:rPr>
                <w:sz w:val="13"/>
                <w:szCs w:val="13"/>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You should also read the discussion under the heading</w:t>
            </w:r>
          </w:p>
        </w:tc>
        <w:tc>
          <w:tcPr>
            <w:tcW w:w="760" w:type="dxa"/>
            <w:vAlign w:val="bottom"/>
          </w:tcPr>
          <w:p>
            <w:pPr>
              <w:spacing w:after="0"/>
              <w:rPr>
                <w:sz w:val="13"/>
                <w:szCs w:val="13"/>
                <w:color w:val="auto"/>
              </w:rPr>
            </w:pPr>
          </w:p>
        </w:tc>
      </w:tr>
      <w:tr>
        <w:trPr>
          <w:trHeight w:val="164"/>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Terms of the Exchange Offer</w:t>
            </w:r>
            <w:r>
              <w:rPr>
                <w:rFonts w:ascii="Times New Roman" w:cs="Times New Roman" w:eastAsia="Times New Roman" w:hAnsi="Times New Roman"/>
                <w:sz w:val="14"/>
                <w:szCs w:val="14"/>
                <w:color w:val="auto"/>
              </w:rPr>
              <w:t>” for further information</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regarding the exchange offer and resale of the</w:t>
            </w:r>
          </w:p>
        </w:tc>
        <w:tc>
          <w:tcPr>
            <w:tcW w:w="760" w:type="dxa"/>
            <w:vAlign w:val="bottom"/>
          </w:tcPr>
          <w:p>
            <w:pPr>
              <w:spacing w:after="0"/>
              <w:rPr>
                <w:sz w:val="14"/>
                <w:szCs w:val="14"/>
                <w:color w:val="auto"/>
              </w:rPr>
            </w:pPr>
          </w:p>
        </w:tc>
      </w:tr>
      <w:tr>
        <w:trPr>
          <w:trHeight w:val="175"/>
        </w:trPr>
        <w:tc>
          <w:tcPr>
            <w:tcW w:w="800" w:type="dxa"/>
            <w:vAlign w:val="bottom"/>
            <w:tcBorders>
              <w:right w:val="single" w:sz="8" w:color="auto"/>
            </w:tcBorders>
          </w:tcPr>
          <w:p>
            <w:pPr>
              <w:spacing w:after="0"/>
              <w:rPr>
                <w:sz w:val="15"/>
                <w:szCs w:val="15"/>
                <w:color w:val="auto"/>
              </w:rPr>
            </w:pPr>
          </w:p>
        </w:tc>
        <w:tc>
          <w:tcPr>
            <w:tcW w:w="1740" w:type="dxa"/>
            <w:vAlign w:val="bottom"/>
          </w:tcPr>
          <w:p>
            <w:pPr>
              <w:spacing w:after="0"/>
              <w:rPr>
                <w:sz w:val="15"/>
                <w:szCs w:val="15"/>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Registered Notes.</w:t>
            </w:r>
          </w:p>
        </w:tc>
        <w:tc>
          <w:tcPr>
            <w:tcW w:w="760" w:type="dxa"/>
            <w:vAlign w:val="bottom"/>
          </w:tcPr>
          <w:p>
            <w:pPr>
              <w:spacing w:after="0"/>
              <w:rPr>
                <w:sz w:val="15"/>
                <w:szCs w:val="15"/>
                <w:color w:val="auto"/>
              </w:rPr>
            </w:pPr>
          </w:p>
        </w:tc>
      </w:tr>
      <w:tr>
        <w:trPr>
          <w:trHeight w:val="229"/>
        </w:trPr>
        <w:tc>
          <w:tcPr>
            <w:tcW w:w="800" w:type="dxa"/>
            <w:vAlign w:val="bottom"/>
            <w:tcBorders>
              <w:right w:val="single" w:sz="8" w:color="auto"/>
            </w:tcBorders>
          </w:tcPr>
          <w:p>
            <w:pPr>
              <w:spacing w:after="0"/>
              <w:rPr>
                <w:sz w:val="19"/>
                <w:szCs w:val="19"/>
                <w:color w:val="auto"/>
              </w:rPr>
            </w:pPr>
          </w:p>
        </w:tc>
        <w:tc>
          <w:tcPr>
            <w:tcW w:w="17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Resales</w:t>
            </w: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Based on interpretations by the staff of the SEC set</w:t>
            </w:r>
          </w:p>
        </w:tc>
        <w:tc>
          <w:tcPr>
            <w:tcW w:w="760" w:type="dxa"/>
            <w:vAlign w:val="bottom"/>
          </w:tcPr>
          <w:p>
            <w:pPr>
              <w:spacing w:after="0"/>
              <w:rPr>
                <w:sz w:val="19"/>
                <w:szCs w:val="19"/>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 xml:space="preserve">forth in the no-action letters issued to </w:t>
            </w:r>
            <w:r>
              <w:rPr>
                <w:rFonts w:ascii="Times New Roman" w:cs="Times New Roman" w:eastAsia="Times New Roman" w:hAnsi="Times New Roman"/>
                <w:sz w:val="14"/>
                <w:szCs w:val="14"/>
                <w:i w:val="1"/>
                <w:iCs w:val="1"/>
                <w:color w:val="auto"/>
              </w:rPr>
              <w:t>Exxon Capital</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i w:val="1"/>
                <w:iCs w:val="1"/>
                <w:color w:val="auto"/>
              </w:rPr>
              <w:t xml:space="preserve">Holdings Corporation </w:t>
            </w:r>
            <w:r>
              <w:rPr>
                <w:rFonts w:ascii="Times New Roman" w:cs="Times New Roman" w:eastAsia="Times New Roman" w:hAnsi="Times New Roman"/>
                <w:sz w:val="14"/>
                <w:szCs w:val="14"/>
                <w:color w:val="auto"/>
              </w:rPr>
              <w:t>(available May 13, 1988),</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i w:val="1"/>
                <w:iCs w:val="1"/>
                <w:color w:val="auto"/>
              </w:rPr>
              <w:t xml:space="preserve">Morgan Stanley &amp; Co., Incorporated </w:t>
            </w:r>
            <w:r>
              <w:rPr>
                <w:rFonts w:ascii="Times New Roman" w:cs="Times New Roman" w:eastAsia="Times New Roman" w:hAnsi="Times New Roman"/>
                <w:sz w:val="14"/>
                <w:szCs w:val="14"/>
                <w:color w:val="auto"/>
              </w:rPr>
              <w:t>(available June 5,</w:t>
            </w:r>
          </w:p>
        </w:tc>
        <w:tc>
          <w:tcPr>
            <w:tcW w:w="760" w:type="dxa"/>
            <w:vAlign w:val="bottom"/>
          </w:tcPr>
          <w:p>
            <w:pPr>
              <w:spacing w:after="0"/>
              <w:rPr>
                <w:sz w:val="14"/>
                <w:szCs w:val="14"/>
                <w:color w:val="auto"/>
              </w:rPr>
            </w:pPr>
          </w:p>
        </w:tc>
      </w:tr>
      <w:tr>
        <w:trPr>
          <w:trHeight w:val="164"/>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 xml:space="preserve">1991) and </w:t>
            </w:r>
            <w:r>
              <w:rPr>
                <w:rFonts w:ascii="Times New Roman" w:cs="Times New Roman" w:eastAsia="Times New Roman" w:hAnsi="Times New Roman"/>
                <w:sz w:val="14"/>
                <w:szCs w:val="14"/>
                <w:i w:val="1"/>
                <w:iCs w:val="1"/>
                <w:color w:val="auto"/>
              </w:rPr>
              <w:t>Shearman &amp; Sterling</w:t>
            </w:r>
            <w:r>
              <w:rPr>
                <w:rFonts w:ascii="Times New Roman" w:cs="Times New Roman" w:eastAsia="Times New Roman" w:hAnsi="Times New Roman"/>
                <w:sz w:val="14"/>
                <w:szCs w:val="14"/>
                <w:color w:val="auto"/>
              </w:rPr>
              <w:t xml:space="preserve"> (available July 2,</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1993), the Company believes that the Registered Notes</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may be offered for resale, resold and otherwise</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transferred by you without compliance with the</w:t>
            </w:r>
          </w:p>
        </w:tc>
        <w:tc>
          <w:tcPr>
            <w:tcW w:w="760" w:type="dxa"/>
            <w:vAlign w:val="bottom"/>
          </w:tcPr>
          <w:p>
            <w:pPr>
              <w:spacing w:after="0"/>
              <w:rPr>
                <w:sz w:val="14"/>
                <w:szCs w:val="14"/>
                <w:color w:val="auto"/>
              </w:rPr>
            </w:pPr>
          </w:p>
        </w:tc>
      </w:tr>
      <w:tr>
        <w:trPr>
          <w:trHeight w:val="160"/>
        </w:trPr>
        <w:tc>
          <w:tcPr>
            <w:tcW w:w="800" w:type="dxa"/>
            <w:vAlign w:val="bottom"/>
            <w:tcBorders>
              <w:right w:val="single" w:sz="8" w:color="auto"/>
            </w:tcBorders>
          </w:tcPr>
          <w:p>
            <w:pPr>
              <w:spacing w:after="0"/>
              <w:rPr>
                <w:sz w:val="13"/>
                <w:szCs w:val="13"/>
                <w:color w:val="auto"/>
              </w:rPr>
            </w:pPr>
          </w:p>
        </w:tc>
        <w:tc>
          <w:tcPr>
            <w:tcW w:w="1740" w:type="dxa"/>
            <w:vAlign w:val="bottom"/>
          </w:tcPr>
          <w:p>
            <w:pPr>
              <w:spacing w:after="0"/>
              <w:rPr>
                <w:sz w:val="13"/>
                <w:szCs w:val="13"/>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registration and prospectus delivery provisions of the</w:t>
            </w:r>
          </w:p>
        </w:tc>
        <w:tc>
          <w:tcPr>
            <w:tcW w:w="760" w:type="dxa"/>
            <w:vAlign w:val="bottom"/>
          </w:tcPr>
          <w:p>
            <w:pPr>
              <w:spacing w:after="0"/>
              <w:rPr>
                <w:sz w:val="13"/>
                <w:szCs w:val="13"/>
                <w:color w:val="auto"/>
              </w:rPr>
            </w:pPr>
          </w:p>
        </w:tc>
      </w:tr>
      <w:tr>
        <w:trPr>
          <w:trHeight w:val="177"/>
        </w:trPr>
        <w:tc>
          <w:tcPr>
            <w:tcW w:w="800" w:type="dxa"/>
            <w:vAlign w:val="bottom"/>
            <w:tcBorders>
              <w:right w:val="single" w:sz="8" w:color="auto"/>
            </w:tcBorders>
          </w:tcPr>
          <w:p>
            <w:pPr>
              <w:spacing w:after="0"/>
              <w:rPr>
                <w:sz w:val="15"/>
                <w:szCs w:val="15"/>
                <w:color w:val="auto"/>
              </w:rPr>
            </w:pPr>
          </w:p>
        </w:tc>
        <w:tc>
          <w:tcPr>
            <w:tcW w:w="1740" w:type="dxa"/>
            <w:vAlign w:val="bottom"/>
          </w:tcPr>
          <w:p>
            <w:pPr>
              <w:spacing w:after="0"/>
              <w:rPr>
                <w:sz w:val="15"/>
                <w:szCs w:val="15"/>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 xml:space="preserve">Securities Act;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you:</w:t>
            </w:r>
          </w:p>
        </w:tc>
        <w:tc>
          <w:tcPr>
            <w:tcW w:w="760" w:type="dxa"/>
            <w:vAlign w:val="bottom"/>
          </w:tcPr>
          <w:p>
            <w:pPr>
              <w:spacing w:after="0"/>
              <w:rPr>
                <w:sz w:val="15"/>
                <w:szCs w:val="15"/>
                <w:color w:val="auto"/>
              </w:rPr>
            </w:pPr>
          </w:p>
        </w:tc>
      </w:tr>
      <w:tr>
        <w:trPr>
          <w:trHeight w:val="262"/>
        </w:trPr>
        <w:tc>
          <w:tcPr>
            <w:tcW w:w="800" w:type="dxa"/>
            <w:vAlign w:val="bottom"/>
            <w:tcBorders>
              <w:right w:val="single" w:sz="8" w:color="auto"/>
            </w:tcBorders>
          </w:tcPr>
          <w:p>
            <w:pPr>
              <w:spacing w:after="0"/>
              <w:rPr>
                <w:sz w:val="22"/>
                <w:szCs w:val="22"/>
                <w:color w:val="auto"/>
              </w:rPr>
            </w:pPr>
          </w:p>
        </w:tc>
        <w:tc>
          <w:tcPr>
            <w:tcW w:w="1740" w:type="dxa"/>
            <w:vAlign w:val="bottom"/>
          </w:tcPr>
          <w:p>
            <w:pPr>
              <w:spacing w:after="0"/>
              <w:rPr>
                <w:sz w:val="22"/>
                <w:szCs w:val="22"/>
                <w:color w:val="auto"/>
              </w:rPr>
            </w:pPr>
          </w:p>
        </w:tc>
        <w:tc>
          <w:tcPr>
            <w:tcW w:w="476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rPr>
              <w:t>• are acquiring the Registered Notes in the ordinary</w:t>
            </w:r>
          </w:p>
        </w:tc>
        <w:tc>
          <w:tcPr>
            <w:tcW w:w="760" w:type="dxa"/>
            <w:vAlign w:val="bottom"/>
          </w:tcPr>
          <w:p>
            <w:pPr>
              <w:spacing w:after="0"/>
              <w:rPr>
                <w:sz w:val="22"/>
                <w:szCs w:val="22"/>
                <w:color w:val="auto"/>
              </w:rPr>
            </w:pPr>
          </w:p>
        </w:tc>
      </w:tr>
      <w:tr>
        <w:trPr>
          <w:trHeight w:val="175"/>
        </w:trPr>
        <w:tc>
          <w:tcPr>
            <w:tcW w:w="800" w:type="dxa"/>
            <w:vAlign w:val="bottom"/>
            <w:tcBorders>
              <w:right w:val="single" w:sz="8" w:color="auto"/>
            </w:tcBorders>
          </w:tcPr>
          <w:p>
            <w:pPr>
              <w:spacing w:after="0"/>
              <w:rPr>
                <w:sz w:val="15"/>
                <w:szCs w:val="15"/>
                <w:color w:val="auto"/>
              </w:rPr>
            </w:pPr>
          </w:p>
        </w:tc>
        <w:tc>
          <w:tcPr>
            <w:tcW w:w="1740" w:type="dxa"/>
            <w:vAlign w:val="bottom"/>
          </w:tcPr>
          <w:p>
            <w:pPr>
              <w:spacing w:after="0"/>
              <w:rPr>
                <w:sz w:val="15"/>
                <w:szCs w:val="15"/>
                <w:color w:val="auto"/>
              </w:rPr>
            </w:pPr>
          </w:p>
        </w:tc>
        <w:tc>
          <w:tcPr>
            <w:tcW w:w="476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4"/>
                <w:szCs w:val="14"/>
                <w:color w:val="auto"/>
              </w:rPr>
              <w:t>course of business;</w:t>
            </w:r>
          </w:p>
        </w:tc>
        <w:tc>
          <w:tcPr>
            <w:tcW w:w="760" w:type="dxa"/>
            <w:vAlign w:val="bottom"/>
          </w:tcPr>
          <w:p>
            <w:pPr>
              <w:spacing w:after="0"/>
              <w:rPr>
                <w:sz w:val="15"/>
                <w:szCs w:val="15"/>
                <w:color w:val="auto"/>
              </w:rPr>
            </w:pPr>
          </w:p>
        </w:tc>
      </w:tr>
      <w:tr>
        <w:trPr>
          <w:trHeight w:val="422"/>
        </w:trPr>
        <w:tc>
          <w:tcPr>
            <w:tcW w:w="800" w:type="dxa"/>
            <w:vAlign w:val="bottom"/>
            <w:tcBorders>
              <w:right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760" w:type="dxa"/>
            <w:vAlign w:val="bottom"/>
            <w:tcBorders>
              <w:bottom w:val="single" w:sz="8" w:color="auto"/>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7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tcPr>
          <w:p>
            <w:pPr>
              <w:spacing w:after="0"/>
              <w:rPr>
                <w:sz w:val="18"/>
                <w:szCs w:val="18"/>
                <w:color w:val="auto"/>
              </w:rPr>
            </w:pPr>
          </w:p>
        </w:tc>
      </w:tr>
      <w:tr>
        <w:trPr>
          <w:trHeight w:val="305"/>
        </w:trPr>
        <w:tc>
          <w:tcPr>
            <w:tcW w:w="8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-24765</wp:posOffset>
            </wp:positionV>
            <wp:extent cx="3175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-24765</wp:posOffset>
            </wp:positionV>
            <wp:extent cx="3175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8" w:name="page9"/>
    <w:bookmarkEnd w:id="8"/>
    <w:p>
      <w:pPr>
        <w:ind w:left="4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244475</wp:posOffset>
            </wp:positionV>
            <wp:extent cx="4150360" cy="6025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4150360" cy="6025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 have not engaged in, do not intend to engage in, and</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have no arrangement or understanding with any</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person to participate in, a distribution of the</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Registered Notes in violation of the Securities Act;</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and</w:t>
      </w:r>
    </w:p>
    <w:p>
      <w:pPr>
        <w:spacing w:after="0" w:line="1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 you are not an “affiliate” of the Company as defined</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in Rule 405 of the Securities Act or, if you are such</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an “affiliate,” then you will comply with the</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prospectus delivery requirements of the Securities</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Act to the extent applicable in connection with any</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resale of the Registered Notes.</w:t>
      </w:r>
    </w:p>
    <w:p>
      <w:pPr>
        <w:spacing w:after="0" w:line="1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By completing and submitting the letter of transmittal</w:t>
      </w:r>
    </w:p>
    <w:p>
      <w:pPr>
        <w:spacing w:after="0" w:line="1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and exchanging your Restricted Notes for Registered</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Notes, as described below, you will be making</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representations to this effect.</w:t>
      </w:r>
    </w:p>
    <w:p>
      <w:pPr>
        <w:spacing w:after="0" w:line="1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Each participating broker-dealer that receives</w:t>
      </w:r>
    </w:p>
    <w:p>
      <w:pPr>
        <w:spacing w:after="0" w:line="1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Registered Notes for its own account pursuant to the</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exchange offer in exchange for the Restricted Notes</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that were acquired as a result of market-making or</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other trading activity must acknowledge that it will</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deliver a prospectus in connection with any resale of</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the Registered Notes. See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Any holder of Restricted Notes who:</w:t>
      </w:r>
    </w:p>
    <w:p>
      <w:pPr>
        <w:spacing w:after="0" w:line="1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 is an affiliate of the Company as defined in Rule 405</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of the Securities Act;</w:t>
      </w:r>
    </w:p>
    <w:p>
      <w:pPr>
        <w:spacing w:after="0" w:line="1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 does not acquire the Registered Notes in the ordinary</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course of its business; or</w:t>
      </w:r>
    </w:p>
    <w:p>
      <w:pPr>
        <w:spacing w:after="0" w:line="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 cannot rely on the position of the staff of the SEC</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 xml:space="preserve">expressed in the no-action letters issued to </w:t>
      </w:r>
      <w:r>
        <w:rPr>
          <w:rFonts w:ascii="Times New Roman" w:cs="Times New Roman" w:eastAsia="Times New Roman" w:hAnsi="Times New Roman"/>
          <w:sz w:val="14"/>
          <w:szCs w:val="14"/>
          <w:i w:val="1"/>
          <w:iCs w:val="1"/>
          <w:color w:val="auto"/>
        </w:rPr>
        <w:t>Exxon</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i w:val="1"/>
          <w:iCs w:val="1"/>
          <w:color w:val="auto"/>
        </w:rPr>
        <w:t xml:space="preserve">Capital Holdings Corporation </w:t>
      </w:r>
      <w:r>
        <w:rPr>
          <w:rFonts w:ascii="Times New Roman" w:cs="Times New Roman" w:eastAsia="Times New Roman" w:hAnsi="Times New Roman"/>
          <w:sz w:val="14"/>
          <w:szCs w:val="14"/>
          <w:color w:val="auto"/>
        </w:rPr>
        <w:t>(available May 13,</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 xml:space="preserve">1988), </w:t>
      </w:r>
      <w:r>
        <w:rPr>
          <w:rFonts w:ascii="Times New Roman" w:cs="Times New Roman" w:eastAsia="Times New Roman" w:hAnsi="Times New Roman"/>
          <w:sz w:val="14"/>
          <w:szCs w:val="14"/>
          <w:i w:val="1"/>
          <w:iCs w:val="1"/>
          <w:color w:val="auto"/>
        </w:rPr>
        <w:t>Morgan Stanley &amp; Co., Incorporated</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(available June 5, 1991) or similar no-action letters</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must, in the absence of an exemption, comply with</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registration and prospectus delivery requirements of</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the Securities Act in connection with the resale of the</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Registered Notes. The Company will not assume, nor</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will the Company indemnify you against, any</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liability you may incur under the Securities Act or</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state or local securities laws if you transfer any</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Registered Notes issued in the exchange offer absent</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compliance with the applicable registration and</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prospectus delivery requirements or an applicable</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exemption.</w:t>
      </w:r>
    </w:p>
    <w:p>
      <w:pPr>
        <w:spacing w:after="0" w:line="1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If the Company determines that any changes in</w:t>
      </w:r>
    </w:p>
    <w:p>
      <w:pPr>
        <w:spacing w:after="0" w:line="1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applicable law or applicable interpretations of the SEC</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do not permit the Company to effect the exchange</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offer, or a holder of Restricted Notes participating in</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the exchange offer does not receive Registered Notes</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on the date of the exchange that may be sold without</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restriction under state and U.S. federal securities laws</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189865</wp:posOffset>
            </wp:positionV>
            <wp:extent cx="514223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9" w:name="page10"/>
    <w:bookmarkEnd w:id="9"/>
    <w:p>
      <w:pPr>
        <w:ind w:left="480"/>
        <w:spacing w:after="0"/>
        <w:rPr>
          <w:sz w:val="20"/>
          <w:szCs w:val="20"/>
          <w:color w:val="auto"/>
        </w:rPr>
      </w:pPr>
      <w:r>
        <w:rPr>
          <w:rFonts w:ascii="Calibri" w:cs="Calibri" w:eastAsia="Calibri" w:hAnsi="Calibri"/>
          <w:sz w:val="11"/>
          <w:szCs w:val="11"/>
          <w:color w:val="003366"/>
        </w:rPr>
        <w:t>TABLE OF CONTENTS</w:t>
      </w:r>
    </w:p>
    <w:p>
      <w:pPr>
        <w:spacing w:after="0" w:line="365" w:lineRule="exact"/>
        <w:rPr>
          <w:sz w:val="20"/>
          <w:szCs w:val="20"/>
          <w:color w:val="auto"/>
        </w:rPr>
      </w:pPr>
    </w:p>
    <w:tbl>
      <w:tblPr>
        <w:tblLayout w:type="fixed"/>
        <w:tblInd w:w="480" w:type="dxa"/>
        <w:tblCellMar>
          <w:top w:w="0" w:type="dxa"/>
          <w:left w:w="0" w:type="dxa"/>
          <w:bottom w:w="0" w:type="dxa"/>
          <w:right w:w="0" w:type="dxa"/>
        </w:tblCellMar>
      </w:tblPr>
      <w:tr>
        <w:trPr>
          <w:trHeight w:val="398"/>
        </w:trPr>
        <w:tc>
          <w:tcPr>
            <w:tcW w:w="800" w:type="dxa"/>
            <w:vAlign w:val="bottom"/>
            <w:tcBorders>
              <w:right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3920" w:type="dxa"/>
            <w:vAlign w:val="bottom"/>
            <w:tcBorders>
              <w:top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(other than due solely to the status of such holder as an</w:t>
            </w:r>
          </w:p>
        </w:tc>
        <w:tc>
          <w:tcPr>
            <w:tcW w:w="760" w:type="dxa"/>
            <w:vAlign w:val="bottom"/>
          </w:tcPr>
          <w:p>
            <w:pPr>
              <w:spacing w:after="0"/>
              <w:rPr>
                <w:sz w:val="24"/>
                <w:szCs w:val="24"/>
                <w:color w:val="auto"/>
              </w:rPr>
            </w:pPr>
          </w:p>
        </w:tc>
      </w:tr>
      <w:tr>
        <w:trPr>
          <w:trHeight w:val="152"/>
        </w:trPr>
        <w:tc>
          <w:tcPr>
            <w:tcW w:w="800" w:type="dxa"/>
            <w:vAlign w:val="bottom"/>
            <w:tcBorders>
              <w:right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3920" w:type="dxa"/>
            <w:vAlign w:val="bottom"/>
            <w:tcBorders>
              <w:right w:val="single" w:sz="8" w:color="auto"/>
            </w:tcBorders>
          </w:tcPr>
          <w:p>
            <w:pPr>
              <w:ind w:left="560"/>
              <w:spacing w:after="0" w:line="152" w:lineRule="exact"/>
              <w:rPr>
                <w:sz w:val="20"/>
                <w:szCs w:val="20"/>
                <w:color w:val="auto"/>
              </w:rPr>
            </w:pPr>
            <w:r>
              <w:rPr>
                <w:rFonts w:ascii="Times New Roman" w:cs="Times New Roman" w:eastAsia="Times New Roman" w:hAnsi="Times New Roman"/>
                <w:sz w:val="14"/>
                <w:szCs w:val="14"/>
                <w:color w:val="auto"/>
              </w:rPr>
              <w:t>affiliate of the Company within the meaning of the</w:t>
            </w:r>
          </w:p>
        </w:tc>
        <w:tc>
          <w:tcPr>
            <w:tcW w:w="760" w:type="dxa"/>
            <w:vAlign w:val="bottom"/>
          </w:tcPr>
          <w:p>
            <w:pPr>
              <w:spacing w:after="0"/>
              <w:rPr>
                <w:sz w:val="13"/>
                <w:szCs w:val="13"/>
                <w:color w:val="auto"/>
              </w:rPr>
            </w:pPr>
          </w:p>
        </w:tc>
      </w:tr>
      <w:tr>
        <w:trPr>
          <w:trHeight w:val="152"/>
        </w:trPr>
        <w:tc>
          <w:tcPr>
            <w:tcW w:w="800" w:type="dxa"/>
            <w:vAlign w:val="bottom"/>
            <w:tcBorders>
              <w:right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3920" w:type="dxa"/>
            <w:vAlign w:val="bottom"/>
            <w:tcBorders>
              <w:right w:val="single" w:sz="8" w:color="auto"/>
            </w:tcBorders>
          </w:tcPr>
          <w:p>
            <w:pPr>
              <w:ind w:left="560"/>
              <w:spacing w:after="0" w:line="152" w:lineRule="exact"/>
              <w:rPr>
                <w:sz w:val="20"/>
                <w:szCs w:val="20"/>
                <w:color w:val="auto"/>
              </w:rPr>
            </w:pPr>
            <w:r>
              <w:rPr>
                <w:rFonts w:ascii="Times New Roman" w:cs="Times New Roman" w:eastAsia="Times New Roman" w:hAnsi="Times New Roman"/>
                <w:sz w:val="14"/>
                <w:szCs w:val="14"/>
                <w:color w:val="auto"/>
              </w:rPr>
              <w:t>Securities Act) and notifies the Company within</w:t>
            </w:r>
          </w:p>
        </w:tc>
        <w:tc>
          <w:tcPr>
            <w:tcW w:w="760" w:type="dxa"/>
            <w:vAlign w:val="bottom"/>
          </w:tcPr>
          <w:p>
            <w:pPr>
              <w:spacing w:after="0"/>
              <w:rPr>
                <w:sz w:val="13"/>
                <w:szCs w:val="13"/>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30 days after such holder first becomes aware of such</w:t>
            </w:r>
          </w:p>
        </w:tc>
        <w:tc>
          <w:tcPr>
            <w:tcW w:w="760" w:type="dxa"/>
            <w:vAlign w:val="bottom"/>
          </w:tcPr>
          <w:p>
            <w:pPr>
              <w:spacing w:after="0"/>
              <w:rPr>
                <w:sz w:val="14"/>
                <w:szCs w:val="14"/>
                <w:color w:val="auto"/>
              </w:rPr>
            </w:pPr>
          </w:p>
        </w:tc>
      </w:tr>
      <w:tr>
        <w:trPr>
          <w:trHeight w:val="152"/>
        </w:trPr>
        <w:tc>
          <w:tcPr>
            <w:tcW w:w="800" w:type="dxa"/>
            <w:vAlign w:val="bottom"/>
            <w:tcBorders>
              <w:right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3920" w:type="dxa"/>
            <w:vAlign w:val="bottom"/>
            <w:tcBorders>
              <w:right w:val="single" w:sz="8" w:color="auto"/>
            </w:tcBorders>
          </w:tcPr>
          <w:p>
            <w:pPr>
              <w:ind w:left="560"/>
              <w:spacing w:after="0" w:line="152" w:lineRule="exact"/>
              <w:rPr>
                <w:sz w:val="20"/>
                <w:szCs w:val="20"/>
                <w:color w:val="auto"/>
              </w:rPr>
            </w:pPr>
            <w:r>
              <w:rPr>
                <w:rFonts w:ascii="Times New Roman" w:cs="Times New Roman" w:eastAsia="Times New Roman" w:hAnsi="Times New Roman"/>
                <w:sz w:val="14"/>
                <w:szCs w:val="14"/>
                <w:color w:val="auto"/>
              </w:rPr>
              <w:t>restrictions, or the exchange offer, for any other reason,</w:t>
            </w:r>
          </w:p>
        </w:tc>
        <w:tc>
          <w:tcPr>
            <w:tcW w:w="760" w:type="dxa"/>
            <w:vAlign w:val="bottom"/>
          </w:tcPr>
          <w:p>
            <w:pPr>
              <w:spacing w:after="0"/>
              <w:rPr>
                <w:sz w:val="13"/>
                <w:szCs w:val="13"/>
                <w:color w:val="auto"/>
              </w:rPr>
            </w:pPr>
          </w:p>
        </w:tc>
      </w:tr>
      <w:tr>
        <w:trPr>
          <w:trHeight w:val="152"/>
        </w:trPr>
        <w:tc>
          <w:tcPr>
            <w:tcW w:w="800" w:type="dxa"/>
            <w:vAlign w:val="bottom"/>
            <w:tcBorders>
              <w:right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3920" w:type="dxa"/>
            <w:vAlign w:val="bottom"/>
            <w:tcBorders>
              <w:right w:val="single" w:sz="8" w:color="auto"/>
            </w:tcBorders>
          </w:tcPr>
          <w:p>
            <w:pPr>
              <w:ind w:left="560"/>
              <w:spacing w:after="0" w:line="152" w:lineRule="exact"/>
              <w:rPr>
                <w:sz w:val="20"/>
                <w:szCs w:val="20"/>
                <w:color w:val="auto"/>
              </w:rPr>
            </w:pPr>
            <w:r>
              <w:rPr>
                <w:rFonts w:ascii="Times New Roman" w:cs="Times New Roman" w:eastAsia="Times New Roman" w:hAnsi="Times New Roman"/>
                <w:sz w:val="14"/>
                <w:szCs w:val="14"/>
                <w:color w:val="auto"/>
              </w:rPr>
              <w:t>is not completed by November 9, 2025, or the</w:t>
            </w:r>
          </w:p>
        </w:tc>
        <w:tc>
          <w:tcPr>
            <w:tcW w:w="760" w:type="dxa"/>
            <w:vAlign w:val="bottom"/>
          </w:tcPr>
          <w:p>
            <w:pPr>
              <w:spacing w:after="0"/>
              <w:rPr>
                <w:sz w:val="13"/>
                <w:szCs w:val="13"/>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Company receives a written request from any holder of</w:t>
            </w:r>
          </w:p>
        </w:tc>
        <w:tc>
          <w:tcPr>
            <w:tcW w:w="760" w:type="dxa"/>
            <w:vAlign w:val="bottom"/>
          </w:tcPr>
          <w:p>
            <w:pPr>
              <w:spacing w:after="0"/>
              <w:rPr>
                <w:sz w:val="14"/>
                <w:szCs w:val="14"/>
                <w:color w:val="auto"/>
              </w:rPr>
            </w:pPr>
          </w:p>
        </w:tc>
      </w:tr>
      <w:tr>
        <w:trPr>
          <w:trHeight w:val="152"/>
        </w:trPr>
        <w:tc>
          <w:tcPr>
            <w:tcW w:w="800" w:type="dxa"/>
            <w:vAlign w:val="bottom"/>
            <w:tcBorders>
              <w:right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3920" w:type="dxa"/>
            <w:vAlign w:val="bottom"/>
            <w:tcBorders>
              <w:right w:val="single" w:sz="8" w:color="auto"/>
            </w:tcBorders>
          </w:tcPr>
          <w:p>
            <w:pPr>
              <w:ind w:left="560"/>
              <w:spacing w:after="0" w:line="152" w:lineRule="exact"/>
              <w:rPr>
                <w:sz w:val="20"/>
                <w:szCs w:val="20"/>
                <w:color w:val="auto"/>
              </w:rPr>
            </w:pPr>
            <w:r>
              <w:rPr>
                <w:rFonts w:ascii="Times New Roman" w:cs="Times New Roman" w:eastAsia="Times New Roman" w:hAnsi="Times New Roman"/>
                <w:sz w:val="14"/>
                <w:szCs w:val="14"/>
                <w:color w:val="auto"/>
              </w:rPr>
              <w:t>Restricted Notes within 20 business days after the</w:t>
            </w:r>
          </w:p>
        </w:tc>
        <w:tc>
          <w:tcPr>
            <w:tcW w:w="760" w:type="dxa"/>
            <w:vAlign w:val="bottom"/>
          </w:tcPr>
          <w:p>
            <w:pPr>
              <w:spacing w:after="0"/>
              <w:rPr>
                <w:sz w:val="13"/>
                <w:szCs w:val="13"/>
                <w:color w:val="auto"/>
              </w:rPr>
            </w:pPr>
          </w:p>
        </w:tc>
      </w:tr>
      <w:tr>
        <w:trPr>
          <w:trHeight w:val="152"/>
        </w:trPr>
        <w:tc>
          <w:tcPr>
            <w:tcW w:w="800" w:type="dxa"/>
            <w:vAlign w:val="bottom"/>
            <w:tcBorders>
              <w:right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3920" w:type="dxa"/>
            <w:vAlign w:val="bottom"/>
            <w:tcBorders>
              <w:right w:val="single" w:sz="8" w:color="auto"/>
            </w:tcBorders>
          </w:tcPr>
          <w:p>
            <w:pPr>
              <w:ind w:left="560"/>
              <w:spacing w:after="0" w:line="152" w:lineRule="exact"/>
              <w:rPr>
                <w:sz w:val="20"/>
                <w:szCs w:val="20"/>
                <w:color w:val="auto"/>
              </w:rPr>
            </w:pPr>
            <w:r>
              <w:rPr>
                <w:rFonts w:ascii="Times New Roman" w:cs="Times New Roman" w:eastAsia="Times New Roman" w:hAnsi="Times New Roman"/>
                <w:sz w:val="14"/>
                <w:szCs w:val="14"/>
                <w:color w:val="auto"/>
              </w:rPr>
              <w:t>consummation of the exchange offer representing that</w:t>
            </w:r>
          </w:p>
        </w:tc>
        <w:tc>
          <w:tcPr>
            <w:tcW w:w="760" w:type="dxa"/>
            <w:vAlign w:val="bottom"/>
          </w:tcPr>
          <w:p>
            <w:pPr>
              <w:spacing w:after="0"/>
              <w:rPr>
                <w:sz w:val="13"/>
                <w:szCs w:val="13"/>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they hold Restricted Notes that are or were ineligible to</w:t>
            </w:r>
          </w:p>
        </w:tc>
        <w:tc>
          <w:tcPr>
            <w:tcW w:w="760" w:type="dxa"/>
            <w:vAlign w:val="bottom"/>
          </w:tcPr>
          <w:p>
            <w:pPr>
              <w:spacing w:after="0"/>
              <w:rPr>
                <w:sz w:val="14"/>
                <w:szCs w:val="14"/>
                <w:color w:val="auto"/>
              </w:rPr>
            </w:pPr>
          </w:p>
        </w:tc>
      </w:tr>
      <w:tr>
        <w:trPr>
          <w:trHeight w:val="152"/>
        </w:trPr>
        <w:tc>
          <w:tcPr>
            <w:tcW w:w="800" w:type="dxa"/>
            <w:vAlign w:val="bottom"/>
            <w:tcBorders>
              <w:right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3920" w:type="dxa"/>
            <w:vAlign w:val="bottom"/>
            <w:tcBorders>
              <w:right w:val="single" w:sz="8" w:color="auto"/>
            </w:tcBorders>
          </w:tcPr>
          <w:p>
            <w:pPr>
              <w:ind w:left="560"/>
              <w:spacing w:after="0" w:line="152" w:lineRule="exact"/>
              <w:rPr>
                <w:sz w:val="20"/>
                <w:szCs w:val="20"/>
                <w:color w:val="auto"/>
              </w:rPr>
            </w:pPr>
            <w:r>
              <w:rPr>
                <w:rFonts w:ascii="Times New Roman" w:cs="Times New Roman" w:eastAsia="Times New Roman" w:hAnsi="Times New Roman"/>
                <w:sz w:val="14"/>
                <w:szCs w:val="14"/>
                <w:color w:val="auto"/>
              </w:rPr>
              <w:t>be exchanged in the exchange offer then the Company</w:t>
            </w:r>
          </w:p>
        </w:tc>
        <w:tc>
          <w:tcPr>
            <w:tcW w:w="760" w:type="dxa"/>
            <w:vAlign w:val="bottom"/>
          </w:tcPr>
          <w:p>
            <w:pPr>
              <w:spacing w:after="0"/>
              <w:rPr>
                <w:sz w:val="13"/>
                <w:szCs w:val="13"/>
                <w:color w:val="auto"/>
              </w:rPr>
            </w:pPr>
          </w:p>
        </w:tc>
      </w:tr>
      <w:tr>
        <w:trPr>
          <w:trHeight w:val="152"/>
        </w:trPr>
        <w:tc>
          <w:tcPr>
            <w:tcW w:w="800" w:type="dxa"/>
            <w:vAlign w:val="bottom"/>
            <w:tcBorders>
              <w:right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3920" w:type="dxa"/>
            <w:vAlign w:val="bottom"/>
            <w:tcBorders>
              <w:right w:val="single" w:sz="8" w:color="auto"/>
            </w:tcBorders>
          </w:tcPr>
          <w:p>
            <w:pPr>
              <w:ind w:left="560"/>
              <w:spacing w:after="0" w:line="152" w:lineRule="exact"/>
              <w:rPr>
                <w:sz w:val="20"/>
                <w:szCs w:val="20"/>
                <w:color w:val="auto"/>
              </w:rPr>
            </w:pPr>
            <w:r>
              <w:rPr>
                <w:rFonts w:ascii="Times New Roman" w:cs="Times New Roman" w:eastAsia="Times New Roman" w:hAnsi="Times New Roman"/>
                <w:sz w:val="14"/>
                <w:szCs w:val="14"/>
                <w:color w:val="auto"/>
              </w:rPr>
              <w:t>will be required to use commercially reasonable efforts</w:t>
            </w:r>
          </w:p>
        </w:tc>
        <w:tc>
          <w:tcPr>
            <w:tcW w:w="760" w:type="dxa"/>
            <w:vAlign w:val="bottom"/>
          </w:tcPr>
          <w:p>
            <w:pPr>
              <w:spacing w:after="0"/>
              <w:rPr>
                <w:sz w:val="13"/>
                <w:szCs w:val="13"/>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to file as promptly as practicable after the date of such</w:t>
            </w:r>
          </w:p>
        </w:tc>
        <w:tc>
          <w:tcPr>
            <w:tcW w:w="760" w:type="dxa"/>
            <w:vAlign w:val="bottom"/>
          </w:tcPr>
          <w:p>
            <w:pPr>
              <w:spacing w:after="0"/>
              <w:rPr>
                <w:sz w:val="14"/>
                <w:szCs w:val="14"/>
                <w:color w:val="auto"/>
              </w:rPr>
            </w:pPr>
          </w:p>
        </w:tc>
      </w:tr>
      <w:tr>
        <w:trPr>
          <w:trHeight w:val="152"/>
        </w:trPr>
        <w:tc>
          <w:tcPr>
            <w:tcW w:w="800" w:type="dxa"/>
            <w:vAlign w:val="bottom"/>
            <w:tcBorders>
              <w:right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3920" w:type="dxa"/>
            <w:vAlign w:val="bottom"/>
            <w:tcBorders>
              <w:right w:val="single" w:sz="8" w:color="auto"/>
            </w:tcBorders>
          </w:tcPr>
          <w:p>
            <w:pPr>
              <w:ind w:left="560"/>
              <w:spacing w:after="0" w:line="152" w:lineRule="exact"/>
              <w:rPr>
                <w:sz w:val="20"/>
                <w:szCs w:val="20"/>
                <w:color w:val="auto"/>
              </w:rPr>
            </w:pPr>
            <w:r>
              <w:rPr>
                <w:rFonts w:ascii="Times New Roman" w:cs="Times New Roman" w:eastAsia="Times New Roman" w:hAnsi="Times New Roman"/>
                <w:sz w:val="14"/>
                <w:szCs w:val="14"/>
                <w:color w:val="auto"/>
              </w:rPr>
              <w:t>determination, a shelf registration statement under the</w:t>
            </w:r>
          </w:p>
        </w:tc>
        <w:tc>
          <w:tcPr>
            <w:tcW w:w="760" w:type="dxa"/>
            <w:vAlign w:val="bottom"/>
          </w:tcPr>
          <w:p>
            <w:pPr>
              <w:spacing w:after="0"/>
              <w:rPr>
                <w:sz w:val="13"/>
                <w:szCs w:val="13"/>
                <w:color w:val="auto"/>
              </w:rPr>
            </w:pPr>
          </w:p>
        </w:tc>
      </w:tr>
      <w:tr>
        <w:trPr>
          <w:trHeight w:val="152"/>
        </w:trPr>
        <w:tc>
          <w:tcPr>
            <w:tcW w:w="800" w:type="dxa"/>
            <w:vAlign w:val="bottom"/>
            <w:tcBorders>
              <w:right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3920" w:type="dxa"/>
            <w:vAlign w:val="bottom"/>
            <w:tcBorders>
              <w:right w:val="single" w:sz="8" w:color="auto"/>
            </w:tcBorders>
          </w:tcPr>
          <w:p>
            <w:pPr>
              <w:ind w:left="560"/>
              <w:spacing w:after="0" w:line="152" w:lineRule="exact"/>
              <w:rPr>
                <w:sz w:val="20"/>
                <w:szCs w:val="20"/>
                <w:color w:val="auto"/>
              </w:rPr>
            </w:pPr>
            <w:r>
              <w:rPr>
                <w:rFonts w:ascii="Times New Roman" w:cs="Times New Roman" w:eastAsia="Times New Roman" w:hAnsi="Times New Roman"/>
                <w:sz w:val="14"/>
                <w:szCs w:val="14"/>
                <w:color w:val="auto"/>
              </w:rPr>
              <w:t>Securities Act and to have such shelf registration</w:t>
            </w:r>
          </w:p>
        </w:tc>
        <w:tc>
          <w:tcPr>
            <w:tcW w:w="760" w:type="dxa"/>
            <w:vAlign w:val="bottom"/>
          </w:tcPr>
          <w:p>
            <w:pPr>
              <w:spacing w:after="0"/>
              <w:rPr>
                <w:sz w:val="13"/>
                <w:szCs w:val="13"/>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statement become effective, which shelf registration</w:t>
            </w:r>
          </w:p>
        </w:tc>
        <w:tc>
          <w:tcPr>
            <w:tcW w:w="760" w:type="dxa"/>
            <w:vAlign w:val="bottom"/>
          </w:tcPr>
          <w:p>
            <w:pPr>
              <w:spacing w:after="0"/>
              <w:rPr>
                <w:sz w:val="14"/>
                <w:szCs w:val="14"/>
                <w:color w:val="auto"/>
              </w:rPr>
            </w:pPr>
          </w:p>
        </w:tc>
      </w:tr>
      <w:tr>
        <w:trPr>
          <w:trHeight w:val="152"/>
        </w:trPr>
        <w:tc>
          <w:tcPr>
            <w:tcW w:w="800" w:type="dxa"/>
            <w:vAlign w:val="bottom"/>
            <w:tcBorders>
              <w:right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3920" w:type="dxa"/>
            <w:vAlign w:val="bottom"/>
            <w:tcBorders>
              <w:right w:val="single" w:sz="8" w:color="auto"/>
            </w:tcBorders>
          </w:tcPr>
          <w:p>
            <w:pPr>
              <w:ind w:left="560"/>
              <w:spacing w:after="0" w:line="152" w:lineRule="exact"/>
              <w:rPr>
                <w:sz w:val="20"/>
                <w:szCs w:val="20"/>
                <w:color w:val="auto"/>
              </w:rPr>
            </w:pPr>
            <w:r>
              <w:rPr>
                <w:rFonts w:ascii="Times New Roman" w:cs="Times New Roman" w:eastAsia="Times New Roman" w:hAnsi="Times New Roman"/>
                <w:sz w:val="14"/>
                <w:szCs w:val="14"/>
                <w:color w:val="auto"/>
              </w:rPr>
              <w:t>statement would cover resales of the registrable</w:t>
            </w:r>
          </w:p>
        </w:tc>
        <w:tc>
          <w:tcPr>
            <w:tcW w:w="760" w:type="dxa"/>
            <w:vAlign w:val="bottom"/>
          </w:tcPr>
          <w:p>
            <w:pPr>
              <w:spacing w:after="0"/>
              <w:rPr>
                <w:sz w:val="13"/>
                <w:szCs w:val="13"/>
                <w:color w:val="auto"/>
              </w:rPr>
            </w:pPr>
          </w:p>
        </w:tc>
      </w:tr>
      <w:tr>
        <w:trPr>
          <w:trHeight w:val="150"/>
        </w:trPr>
        <w:tc>
          <w:tcPr>
            <w:tcW w:w="800" w:type="dxa"/>
            <w:vAlign w:val="bottom"/>
            <w:tcBorders>
              <w:right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3920" w:type="dxa"/>
            <w:vAlign w:val="bottom"/>
            <w:tcBorders>
              <w:right w:val="single" w:sz="8" w:color="auto"/>
            </w:tcBorders>
          </w:tcPr>
          <w:p>
            <w:pPr>
              <w:ind w:left="560"/>
              <w:spacing w:after="0" w:line="150" w:lineRule="exact"/>
              <w:rPr>
                <w:sz w:val="20"/>
                <w:szCs w:val="20"/>
                <w:color w:val="auto"/>
              </w:rPr>
            </w:pPr>
            <w:r>
              <w:rPr>
                <w:rFonts w:ascii="Times New Roman" w:cs="Times New Roman" w:eastAsia="Times New Roman" w:hAnsi="Times New Roman"/>
                <w:sz w:val="14"/>
                <w:szCs w:val="14"/>
                <w:color w:val="auto"/>
              </w:rPr>
              <w:t>securities of such series held by such persons. See</w:t>
            </w:r>
          </w:p>
        </w:tc>
        <w:tc>
          <w:tcPr>
            <w:tcW w:w="760" w:type="dxa"/>
            <w:vAlign w:val="bottom"/>
          </w:tcPr>
          <w:p>
            <w:pPr>
              <w:spacing w:after="0"/>
              <w:rPr>
                <w:sz w:val="13"/>
                <w:szCs w:val="13"/>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Terms of the Exchange Offer — Additional</w:t>
            </w:r>
          </w:p>
        </w:tc>
        <w:tc>
          <w:tcPr>
            <w:tcW w:w="760" w:type="dxa"/>
            <w:vAlign w:val="bottom"/>
          </w:tcPr>
          <w:p>
            <w:pPr>
              <w:spacing w:after="0"/>
              <w:rPr>
                <w:sz w:val="14"/>
                <w:szCs w:val="14"/>
                <w:color w:val="auto"/>
              </w:rPr>
            </w:pPr>
          </w:p>
        </w:tc>
      </w:tr>
      <w:tr>
        <w:trPr>
          <w:trHeight w:val="177"/>
        </w:trPr>
        <w:tc>
          <w:tcPr>
            <w:tcW w:w="800" w:type="dxa"/>
            <w:vAlign w:val="bottom"/>
            <w:tcBorders>
              <w:right w:val="single" w:sz="8" w:color="auto"/>
            </w:tcBorders>
          </w:tcPr>
          <w:p>
            <w:pPr>
              <w:spacing w:after="0"/>
              <w:rPr>
                <w:sz w:val="15"/>
                <w:szCs w:val="15"/>
                <w:color w:val="auto"/>
              </w:rPr>
            </w:pPr>
          </w:p>
        </w:tc>
        <w:tc>
          <w:tcPr>
            <w:tcW w:w="2580" w:type="dxa"/>
            <w:vAlign w:val="bottom"/>
          </w:tcPr>
          <w:p>
            <w:pPr>
              <w:spacing w:after="0"/>
              <w:rPr>
                <w:sz w:val="15"/>
                <w:szCs w:val="15"/>
                <w:color w:val="auto"/>
              </w:rPr>
            </w:pPr>
          </w:p>
        </w:tc>
        <w:tc>
          <w:tcPr>
            <w:tcW w:w="39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4"/>
                <w:szCs w:val="14"/>
                <w:i w:val="1"/>
                <w:iCs w:val="1"/>
                <w:color w:val="auto"/>
              </w:rPr>
              <w:t>Obligations</w:t>
            </w:r>
            <w:r>
              <w:rPr>
                <w:rFonts w:ascii="Times New Roman" w:cs="Times New Roman" w:eastAsia="Times New Roman" w:hAnsi="Times New Roman"/>
                <w:sz w:val="14"/>
                <w:szCs w:val="14"/>
                <w:color w:val="auto"/>
              </w:rPr>
              <w:t>.”</w:t>
            </w:r>
          </w:p>
        </w:tc>
        <w:tc>
          <w:tcPr>
            <w:tcW w:w="760" w:type="dxa"/>
            <w:vAlign w:val="bottom"/>
          </w:tcPr>
          <w:p>
            <w:pPr>
              <w:spacing w:after="0"/>
              <w:rPr>
                <w:sz w:val="15"/>
                <w:szCs w:val="15"/>
                <w:color w:val="auto"/>
              </w:rPr>
            </w:pPr>
          </w:p>
        </w:tc>
      </w:tr>
      <w:tr>
        <w:trPr>
          <w:trHeight w:val="221"/>
        </w:trPr>
        <w:tc>
          <w:tcPr>
            <w:tcW w:w="800" w:type="dxa"/>
            <w:vAlign w:val="bottom"/>
            <w:tcBorders>
              <w:right w:val="single" w:sz="8" w:color="auto"/>
            </w:tcBorders>
          </w:tcPr>
          <w:p>
            <w:pPr>
              <w:spacing w:after="0"/>
              <w:rPr>
                <w:sz w:val="19"/>
                <w:szCs w:val="19"/>
                <w:color w:val="auto"/>
              </w:rPr>
            </w:pPr>
          </w:p>
        </w:tc>
        <w:tc>
          <w:tcPr>
            <w:tcW w:w="25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Expiration Time</w:t>
            </w:r>
          </w:p>
        </w:tc>
        <w:tc>
          <w:tcPr>
            <w:tcW w:w="39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The exchange offer will expire at 5:00 p.m., New York</w:t>
            </w:r>
          </w:p>
        </w:tc>
        <w:tc>
          <w:tcPr>
            <w:tcW w:w="760" w:type="dxa"/>
            <w:vAlign w:val="bottom"/>
          </w:tcPr>
          <w:p>
            <w:pPr>
              <w:spacing w:after="0"/>
              <w:rPr>
                <w:sz w:val="19"/>
                <w:szCs w:val="19"/>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City time, on                , 2025, or such later date and</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time to which the Company extends it. The Company</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does not currently intend to extend the expiration time</w:t>
            </w:r>
          </w:p>
        </w:tc>
        <w:tc>
          <w:tcPr>
            <w:tcW w:w="760" w:type="dxa"/>
            <w:vAlign w:val="bottom"/>
          </w:tcPr>
          <w:p>
            <w:pPr>
              <w:spacing w:after="0"/>
              <w:rPr>
                <w:sz w:val="14"/>
                <w:szCs w:val="14"/>
                <w:color w:val="auto"/>
              </w:rPr>
            </w:pPr>
          </w:p>
        </w:tc>
      </w:tr>
      <w:tr>
        <w:trPr>
          <w:trHeight w:val="175"/>
        </w:trPr>
        <w:tc>
          <w:tcPr>
            <w:tcW w:w="800" w:type="dxa"/>
            <w:vAlign w:val="bottom"/>
            <w:tcBorders>
              <w:right w:val="single" w:sz="8" w:color="auto"/>
            </w:tcBorders>
          </w:tcPr>
          <w:p>
            <w:pPr>
              <w:spacing w:after="0"/>
              <w:rPr>
                <w:sz w:val="15"/>
                <w:szCs w:val="15"/>
                <w:color w:val="auto"/>
              </w:rPr>
            </w:pPr>
          </w:p>
        </w:tc>
        <w:tc>
          <w:tcPr>
            <w:tcW w:w="2580" w:type="dxa"/>
            <w:vAlign w:val="bottom"/>
          </w:tcPr>
          <w:p>
            <w:pPr>
              <w:spacing w:after="0"/>
              <w:rPr>
                <w:sz w:val="15"/>
                <w:szCs w:val="15"/>
                <w:color w:val="auto"/>
              </w:rPr>
            </w:pPr>
          </w:p>
        </w:tc>
        <w:tc>
          <w:tcPr>
            <w:tcW w:w="39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for the offer.</w:t>
            </w:r>
          </w:p>
        </w:tc>
        <w:tc>
          <w:tcPr>
            <w:tcW w:w="760" w:type="dxa"/>
            <w:vAlign w:val="bottom"/>
          </w:tcPr>
          <w:p>
            <w:pPr>
              <w:spacing w:after="0"/>
              <w:rPr>
                <w:sz w:val="15"/>
                <w:szCs w:val="15"/>
                <w:color w:val="auto"/>
              </w:rPr>
            </w:pPr>
          </w:p>
        </w:tc>
      </w:tr>
      <w:tr>
        <w:trPr>
          <w:trHeight w:val="231"/>
        </w:trPr>
        <w:tc>
          <w:tcPr>
            <w:tcW w:w="800" w:type="dxa"/>
            <w:vAlign w:val="bottom"/>
            <w:tcBorders>
              <w:right w:val="single" w:sz="8" w:color="auto"/>
            </w:tcBorders>
          </w:tcPr>
          <w:p>
            <w:pPr>
              <w:spacing w:after="0"/>
              <w:rPr>
                <w:sz w:val="20"/>
                <w:szCs w:val="20"/>
                <w:color w:val="auto"/>
              </w:rPr>
            </w:pPr>
          </w:p>
        </w:tc>
        <w:tc>
          <w:tcPr>
            <w:tcW w:w="25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Conditions to the Exchange Offer</w:t>
            </w:r>
          </w:p>
        </w:tc>
        <w:tc>
          <w:tcPr>
            <w:tcW w:w="39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The exchange offer is subject to the following</w:t>
            </w:r>
          </w:p>
        </w:tc>
        <w:tc>
          <w:tcPr>
            <w:tcW w:w="760" w:type="dxa"/>
            <w:vAlign w:val="bottom"/>
          </w:tcPr>
          <w:p>
            <w:pPr>
              <w:spacing w:after="0"/>
              <w:rPr>
                <w:sz w:val="20"/>
                <w:szCs w:val="20"/>
                <w:color w:val="auto"/>
              </w:rPr>
            </w:pPr>
          </w:p>
        </w:tc>
      </w:tr>
      <w:tr>
        <w:trPr>
          <w:trHeight w:val="175"/>
        </w:trPr>
        <w:tc>
          <w:tcPr>
            <w:tcW w:w="800" w:type="dxa"/>
            <w:vAlign w:val="bottom"/>
            <w:tcBorders>
              <w:right w:val="single" w:sz="8" w:color="auto"/>
            </w:tcBorders>
          </w:tcPr>
          <w:p>
            <w:pPr>
              <w:spacing w:after="0"/>
              <w:rPr>
                <w:sz w:val="15"/>
                <w:szCs w:val="15"/>
                <w:color w:val="auto"/>
              </w:rPr>
            </w:pPr>
          </w:p>
        </w:tc>
        <w:tc>
          <w:tcPr>
            <w:tcW w:w="2580" w:type="dxa"/>
            <w:vAlign w:val="bottom"/>
          </w:tcPr>
          <w:p>
            <w:pPr>
              <w:spacing w:after="0"/>
              <w:rPr>
                <w:sz w:val="15"/>
                <w:szCs w:val="15"/>
                <w:color w:val="auto"/>
              </w:rPr>
            </w:pPr>
          </w:p>
        </w:tc>
        <w:tc>
          <w:tcPr>
            <w:tcW w:w="39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conditions, which the Company may waive:</w:t>
            </w:r>
          </w:p>
        </w:tc>
        <w:tc>
          <w:tcPr>
            <w:tcW w:w="760" w:type="dxa"/>
            <w:vAlign w:val="bottom"/>
          </w:tcPr>
          <w:p>
            <w:pPr>
              <w:spacing w:after="0"/>
              <w:rPr>
                <w:sz w:val="15"/>
                <w:szCs w:val="15"/>
                <w:color w:val="auto"/>
              </w:rPr>
            </w:pPr>
          </w:p>
        </w:tc>
      </w:tr>
      <w:tr>
        <w:trPr>
          <w:trHeight w:val="252"/>
        </w:trPr>
        <w:tc>
          <w:tcPr>
            <w:tcW w:w="800" w:type="dxa"/>
            <w:vAlign w:val="bottom"/>
            <w:tcBorders>
              <w:right w:val="single" w:sz="8" w:color="auto"/>
            </w:tcBorders>
          </w:tcPr>
          <w:p>
            <w:pPr>
              <w:spacing w:after="0"/>
              <w:rPr>
                <w:sz w:val="21"/>
                <w:szCs w:val="21"/>
                <w:color w:val="auto"/>
              </w:rPr>
            </w:pPr>
          </w:p>
        </w:tc>
        <w:tc>
          <w:tcPr>
            <w:tcW w:w="2580" w:type="dxa"/>
            <w:vAlign w:val="bottom"/>
          </w:tcPr>
          <w:p>
            <w:pPr>
              <w:spacing w:after="0"/>
              <w:rPr>
                <w:sz w:val="21"/>
                <w:szCs w:val="21"/>
                <w:color w:val="auto"/>
              </w:rPr>
            </w:pPr>
          </w:p>
        </w:tc>
        <w:tc>
          <w:tcPr>
            <w:tcW w:w="39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 the exchange offer does not violate applicable law,</w:t>
            </w:r>
          </w:p>
        </w:tc>
        <w:tc>
          <w:tcPr>
            <w:tcW w:w="760" w:type="dxa"/>
            <w:vAlign w:val="bottom"/>
          </w:tcPr>
          <w:p>
            <w:pPr>
              <w:spacing w:after="0"/>
              <w:rPr>
                <w:sz w:val="21"/>
                <w:szCs w:val="21"/>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rule, regulation or applicable interpretations of the</w:t>
            </w:r>
          </w:p>
        </w:tc>
        <w:tc>
          <w:tcPr>
            <w:tcW w:w="760" w:type="dxa"/>
            <w:vAlign w:val="bottom"/>
          </w:tcPr>
          <w:p>
            <w:pPr>
              <w:spacing w:after="0"/>
              <w:rPr>
                <w:sz w:val="14"/>
                <w:szCs w:val="14"/>
                <w:color w:val="auto"/>
              </w:rPr>
            </w:pPr>
          </w:p>
        </w:tc>
      </w:tr>
      <w:tr>
        <w:trPr>
          <w:trHeight w:val="175"/>
        </w:trPr>
        <w:tc>
          <w:tcPr>
            <w:tcW w:w="800" w:type="dxa"/>
            <w:vAlign w:val="bottom"/>
            <w:tcBorders>
              <w:right w:val="single" w:sz="8" w:color="auto"/>
            </w:tcBorders>
          </w:tcPr>
          <w:p>
            <w:pPr>
              <w:spacing w:after="0"/>
              <w:rPr>
                <w:sz w:val="15"/>
                <w:szCs w:val="15"/>
                <w:color w:val="auto"/>
              </w:rPr>
            </w:pPr>
          </w:p>
        </w:tc>
        <w:tc>
          <w:tcPr>
            <w:tcW w:w="2580" w:type="dxa"/>
            <w:vAlign w:val="bottom"/>
          </w:tcPr>
          <w:p>
            <w:pPr>
              <w:spacing w:after="0"/>
              <w:rPr>
                <w:sz w:val="15"/>
                <w:szCs w:val="15"/>
                <w:color w:val="auto"/>
              </w:rPr>
            </w:pPr>
          </w:p>
        </w:tc>
        <w:tc>
          <w:tcPr>
            <w:tcW w:w="39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staff of the SEC;</w:t>
            </w:r>
          </w:p>
        </w:tc>
        <w:tc>
          <w:tcPr>
            <w:tcW w:w="760" w:type="dxa"/>
            <w:vAlign w:val="bottom"/>
          </w:tcPr>
          <w:p>
            <w:pPr>
              <w:spacing w:after="0"/>
              <w:rPr>
                <w:sz w:val="15"/>
                <w:szCs w:val="15"/>
                <w:color w:val="auto"/>
              </w:rPr>
            </w:pPr>
          </w:p>
        </w:tc>
      </w:tr>
      <w:tr>
        <w:trPr>
          <w:trHeight w:val="221"/>
        </w:trPr>
        <w:tc>
          <w:tcPr>
            <w:tcW w:w="800" w:type="dxa"/>
            <w:vAlign w:val="bottom"/>
            <w:tcBorders>
              <w:right w:val="single" w:sz="8" w:color="auto"/>
            </w:tcBorders>
          </w:tcPr>
          <w:p>
            <w:pPr>
              <w:spacing w:after="0"/>
              <w:rPr>
                <w:sz w:val="19"/>
                <w:szCs w:val="19"/>
                <w:color w:val="auto"/>
              </w:rPr>
            </w:pPr>
          </w:p>
        </w:tc>
        <w:tc>
          <w:tcPr>
            <w:tcW w:w="2580" w:type="dxa"/>
            <w:vAlign w:val="bottom"/>
          </w:tcPr>
          <w:p>
            <w:pPr>
              <w:spacing w:after="0"/>
              <w:rPr>
                <w:sz w:val="19"/>
                <w:szCs w:val="19"/>
                <w:color w:val="auto"/>
              </w:rPr>
            </w:pPr>
          </w:p>
        </w:tc>
        <w:tc>
          <w:tcPr>
            <w:tcW w:w="39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 the Restricted Notes shall be validly tendered in</w:t>
            </w:r>
          </w:p>
        </w:tc>
        <w:tc>
          <w:tcPr>
            <w:tcW w:w="760" w:type="dxa"/>
            <w:vAlign w:val="bottom"/>
          </w:tcPr>
          <w:p>
            <w:pPr>
              <w:spacing w:after="0"/>
              <w:rPr>
                <w:sz w:val="19"/>
                <w:szCs w:val="19"/>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accordance with the procedures of the exchange offer</w:t>
            </w:r>
          </w:p>
        </w:tc>
        <w:tc>
          <w:tcPr>
            <w:tcW w:w="760" w:type="dxa"/>
            <w:vAlign w:val="bottom"/>
          </w:tcPr>
          <w:p>
            <w:pPr>
              <w:spacing w:after="0"/>
              <w:rPr>
                <w:sz w:val="14"/>
                <w:szCs w:val="14"/>
                <w:color w:val="auto"/>
              </w:rPr>
            </w:pPr>
          </w:p>
        </w:tc>
      </w:tr>
      <w:tr>
        <w:trPr>
          <w:trHeight w:val="175"/>
        </w:trPr>
        <w:tc>
          <w:tcPr>
            <w:tcW w:w="800" w:type="dxa"/>
            <w:vAlign w:val="bottom"/>
            <w:tcBorders>
              <w:right w:val="single" w:sz="8" w:color="auto"/>
            </w:tcBorders>
          </w:tcPr>
          <w:p>
            <w:pPr>
              <w:spacing w:after="0"/>
              <w:rPr>
                <w:sz w:val="15"/>
                <w:szCs w:val="15"/>
                <w:color w:val="auto"/>
              </w:rPr>
            </w:pPr>
          </w:p>
        </w:tc>
        <w:tc>
          <w:tcPr>
            <w:tcW w:w="2580" w:type="dxa"/>
            <w:vAlign w:val="bottom"/>
          </w:tcPr>
          <w:p>
            <w:pPr>
              <w:spacing w:after="0"/>
              <w:rPr>
                <w:sz w:val="15"/>
                <w:szCs w:val="15"/>
                <w:color w:val="auto"/>
              </w:rPr>
            </w:pPr>
          </w:p>
        </w:tc>
        <w:tc>
          <w:tcPr>
            <w:tcW w:w="39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as described in this prospectus;</w:t>
            </w:r>
          </w:p>
        </w:tc>
        <w:tc>
          <w:tcPr>
            <w:tcW w:w="760" w:type="dxa"/>
            <w:vAlign w:val="bottom"/>
          </w:tcPr>
          <w:p>
            <w:pPr>
              <w:spacing w:after="0"/>
              <w:rPr>
                <w:sz w:val="15"/>
                <w:szCs w:val="15"/>
                <w:color w:val="auto"/>
              </w:rPr>
            </w:pPr>
          </w:p>
        </w:tc>
      </w:tr>
      <w:tr>
        <w:trPr>
          <w:trHeight w:val="211"/>
        </w:trPr>
        <w:tc>
          <w:tcPr>
            <w:tcW w:w="8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39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 each holder of the Restricted Notes shall have made</w:t>
            </w:r>
          </w:p>
        </w:tc>
        <w:tc>
          <w:tcPr>
            <w:tcW w:w="760" w:type="dxa"/>
            <w:vAlign w:val="bottom"/>
          </w:tcPr>
          <w:p>
            <w:pPr>
              <w:spacing w:after="0"/>
              <w:rPr>
                <w:sz w:val="18"/>
                <w:szCs w:val="18"/>
                <w:color w:val="auto"/>
              </w:rPr>
            </w:pPr>
          </w:p>
        </w:tc>
      </w:tr>
      <w:tr>
        <w:trPr>
          <w:trHeight w:val="160"/>
        </w:trPr>
        <w:tc>
          <w:tcPr>
            <w:tcW w:w="800" w:type="dxa"/>
            <w:vAlign w:val="bottom"/>
            <w:tcBorders>
              <w:right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39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those certain representations as set forth below under</w:t>
            </w:r>
          </w:p>
        </w:tc>
        <w:tc>
          <w:tcPr>
            <w:tcW w:w="760" w:type="dxa"/>
            <w:vAlign w:val="bottom"/>
          </w:tcPr>
          <w:p>
            <w:pPr>
              <w:spacing w:after="0"/>
              <w:rPr>
                <w:sz w:val="13"/>
                <w:szCs w:val="13"/>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The Exchange Offer — Procedures for Tendering</w:t>
            </w:r>
          </w:p>
        </w:tc>
        <w:tc>
          <w:tcPr>
            <w:tcW w:w="760" w:type="dxa"/>
            <w:vAlign w:val="bottom"/>
          </w:tcPr>
          <w:p>
            <w:pPr>
              <w:spacing w:after="0"/>
              <w:rPr>
                <w:sz w:val="14"/>
                <w:szCs w:val="14"/>
                <w:color w:val="auto"/>
              </w:rPr>
            </w:pPr>
          </w:p>
        </w:tc>
      </w:tr>
      <w:tr>
        <w:trPr>
          <w:trHeight w:val="177"/>
        </w:trPr>
        <w:tc>
          <w:tcPr>
            <w:tcW w:w="800" w:type="dxa"/>
            <w:vAlign w:val="bottom"/>
            <w:tcBorders>
              <w:right w:val="single" w:sz="8" w:color="auto"/>
            </w:tcBorders>
          </w:tcPr>
          <w:p>
            <w:pPr>
              <w:spacing w:after="0"/>
              <w:rPr>
                <w:sz w:val="15"/>
                <w:szCs w:val="15"/>
                <w:color w:val="auto"/>
              </w:rPr>
            </w:pPr>
          </w:p>
        </w:tc>
        <w:tc>
          <w:tcPr>
            <w:tcW w:w="2580" w:type="dxa"/>
            <w:vAlign w:val="bottom"/>
          </w:tcPr>
          <w:p>
            <w:pPr>
              <w:spacing w:after="0"/>
              <w:rPr>
                <w:sz w:val="15"/>
                <w:szCs w:val="15"/>
                <w:color w:val="auto"/>
              </w:rPr>
            </w:pPr>
          </w:p>
        </w:tc>
        <w:tc>
          <w:tcPr>
            <w:tcW w:w="39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4"/>
                <w:szCs w:val="14"/>
                <w:i w:val="1"/>
                <w:iCs w:val="1"/>
                <w:color w:val="auto"/>
              </w:rPr>
              <w:t>the Restricted Notes</w:t>
            </w:r>
            <w:r>
              <w:rPr>
                <w:rFonts w:ascii="Times New Roman" w:cs="Times New Roman" w:eastAsia="Times New Roman" w:hAnsi="Times New Roman"/>
                <w:sz w:val="14"/>
                <w:szCs w:val="14"/>
                <w:color w:val="auto"/>
              </w:rPr>
              <w:t>”;</w:t>
            </w:r>
          </w:p>
        </w:tc>
        <w:tc>
          <w:tcPr>
            <w:tcW w:w="760" w:type="dxa"/>
            <w:vAlign w:val="bottom"/>
          </w:tcPr>
          <w:p>
            <w:pPr>
              <w:spacing w:after="0"/>
              <w:rPr>
                <w:sz w:val="15"/>
                <w:szCs w:val="15"/>
                <w:color w:val="auto"/>
              </w:rPr>
            </w:pPr>
          </w:p>
        </w:tc>
      </w:tr>
      <w:tr>
        <w:trPr>
          <w:trHeight w:val="211"/>
        </w:trPr>
        <w:tc>
          <w:tcPr>
            <w:tcW w:w="8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39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 there is no action or proceeding instituted or</w:t>
            </w:r>
          </w:p>
        </w:tc>
        <w:tc>
          <w:tcPr>
            <w:tcW w:w="760" w:type="dxa"/>
            <w:vAlign w:val="bottom"/>
          </w:tcPr>
          <w:p>
            <w:pPr>
              <w:spacing w:after="0"/>
              <w:rPr>
                <w:sz w:val="18"/>
                <w:szCs w:val="18"/>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threatened in any court or by any governmental</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agency with respect to the exchange offer, which, in</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the Company’s judgment, could reasonably be</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expected to impair the Company’s ability to proceed</w:t>
            </w:r>
          </w:p>
        </w:tc>
        <w:tc>
          <w:tcPr>
            <w:tcW w:w="760" w:type="dxa"/>
            <w:vAlign w:val="bottom"/>
          </w:tcPr>
          <w:p>
            <w:pPr>
              <w:spacing w:after="0"/>
              <w:rPr>
                <w:sz w:val="14"/>
                <w:szCs w:val="14"/>
                <w:color w:val="auto"/>
              </w:rPr>
            </w:pPr>
          </w:p>
        </w:tc>
      </w:tr>
      <w:tr>
        <w:trPr>
          <w:trHeight w:val="175"/>
        </w:trPr>
        <w:tc>
          <w:tcPr>
            <w:tcW w:w="800" w:type="dxa"/>
            <w:vAlign w:val="bottom"/>
            <w:tcBorders>
              <w:right w:val="single" w:sz="8" w:color="auto"/>
            </w:tcBorders>
          </w:tcPr>
          <w:p>
            <w:pPr>
              <w:spacing w:after="0"/>
              <w:rPr>
                <w:sz w:val="15"/>
                <w:szCs w:val="15"/>
                <w:color w:val="auto"/>
              </w:rPr>
            </w:pPr>
          </w:p>
        </w:tc>
        <w:tc>
          <w:tcPr>
            <w:tcW w:w="2580" w:type="dxa"/>
            <w:vAlign w:val="bottom"/>
          </w:tcPr>
          <w:p>
            <w:pPr>
              <w:spacing w:after="0"/>
              <w:rPr>
                <w:sz w:val="15"/>
                <w:szCs w:val="15"/>
                <w:color w:val="auto"/>
              </w:rPr>
            </w:pPr>
          </w:p>
        </w:tc>
        <w:tc>
          <w:tcPr>
            <w:tcW w:w="39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with the exchange offer; and</w:t>
            </w:r>
          </w:p>
        </w:tc>
        <w:tc>
          <w:tcPr>
            <w:tcW w:w="760" w:type="dxa"/>
            <w:vAlign w:val="bottom"/>
          </w:tcPr>
          <w:p>
            <w:pPr>
              <w:spacing w:after="0"/>
              <w:rPr>
                <w:sz w:val="15"/>
                <w:szCs w:val="15"/>
                <w:color w:val="auto"/>
              </w:rPr>
            </w:pPr>
          </w:p>
        </w:tc>
      </w:tr>
      <w:tr>
        <w:trPr>
          <w:trHeight w:val="221"/>
        </w:trPr>
        <w:tc>
          <w:tcPr>
            <w:tcW w:w="800" w:type="dxa"/>
            <w:vAlign w:val="bottom"/>
            <w:tcBorders>
              <w:right w:val="single" w:sz="8" w:color="auto"/>
            </w:tcBorders>
          </w:tcPr>
          <w:p>
            <w:pPr>
              <w:spacing w:after="0"/>
              <w:rPr>
                <w:sz w:val="19"/>
                <w:szCs w:val="19"/>
                <w:color w:val="auto"/>
              </w:rPr>
            </w:pPr>
          </w:p>
        </w:tc>
        <w:tc>
          <w:tcPr>
            <w:tcW w:w="2580" w:type="dxa"/>
            <w:vAlign w:val="bottom"/>
          </w:tcPr>
          <w:p>
            <w:pPr>
              <w:spacing w:after="0"/>
              <w:rPr>
                <w:sz w:val="19"/>
                <w:szCs w:val="19"/>
                <w:color w:val="auto"/>
              </w:rPr>
            </w:pPr>
          </w:p>
        </w:tc>
        <w:tc>
          <w:tcPr>
            <w:tcW w:w="392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 the exchange offer is made to all holders of</w:t>
            </w:r>
          </w:p>
        </w:tc>
        <w:tc>
          <w:tcPr>
            <w:tcW w:w="760" w:type="dxa"/>
            <w:vAlign w:val="bottom"/>
          </w:tcPr>
          <w:p>
            <w:pPr>
              <w:spacing w:after="0"/>
              <w:rPr>
                <w:sz w:val="19"/>
                <w:szCs w:val="19"/>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Restricted Notes other than any holder of the</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European Economic Area or the United Kingdom to</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whom the exchange offer cannot be made without</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requiring the publication of a prospectus for the</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purposes of Regulation (EU) 2017/1129 or, as the</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case may be, such regulation as it forms part of the</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United Kingdom domestic law by virtue of the</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European Union (Withdrawal) Act 2018 (which may</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580" w:type="dxa"/>
            <w:vAlign w:val="bottom"/>
          </w:tcPr>
          <w:p>
            <w:pPr>
              <w:spacing w:after="0"/>
              <w:rPr>
                <w:sz w:val="14"/>
                <w:szCs w:val="14"/>
                <w:color w:val="auto"/>
              </w:rPr>
            </w:pPr>
          </w:p>
        </w:tc>
        <w:tc>
          <w:tcPr>
            <w:tcW w:w="39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be certified or validated by way of representations</w:t>
            </w:r>
          </w:p>
        </w:tc>
        <w:tc>
          <w:tcPr>
            <w:tcW w:w="760" w:type="dxa"/>
            <w:vAlign w:val="bottom"/>
          </w:tcPr>
          <w:p>
            <w:pPr>
              <w:spacing w:after="0"/>
              <w:rPr>
                <w:sz w:val="14"/>
                <w:szCs w:val="14"/>
                <w:color w:val="auto"/>
              </w:rPr>
            </w:pPr>
          </w:p>
        </w:tc>
      </w:tr>
      <w:tr>
        <w:trPr>
          <w:trHeight w:val="175"/>
        </w:trPr>
        <w:tc>
          <w:tcPr>
            <w:tcW w:w="800" w:type="dxa"/>
            <w:vAlign w:val="bottom"/>
            <w:tcBorders>
              <w:right w:val="single" w:sz="8" w:color="auto"/>
            </w:tcBorders>
          </w:tcPr>
          <w:p>
            <w:pPr>
              <w:spacing w:after="0"/>
              <w:rPr>
                <w:sz w:val="15"/>
                <w:szCs w:val="15"/>
                <w:color w:val="auto"/>
              </w:rPr>
            </w:pPr>
          </w:p>
        </w:tc>
        <w:tc>
          <w:tcPr>
            <w:tcW w:w="2580" w:type="dxa"/>
            <w:vAlign w:val="bottom"/>
          </w:tcPr>
          <w:p>
            <w:pPr>
              <w:spacing w:after="0"/>
              <w:rPr>
                <w:sz w:val="15"/>
                <w:szCs w:val="15"/>
                <w:color w:val="auto"/>
              </w:rPr>
            </w:pPr>
          </w:p>
        </w:tc>
        <w:tc>
          <w:tcPr>
            <w:tcW w:w="392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from holders of the Restricted Notes).</w:t>
            </w:r>
          </w:p>
        </w:tc>
        <w:tc>
          <w:tcPr>
            <w:tcW w:w="760" w:type="dxa"/>
            <w:vAlign w:val="bottom"/>
          </w:tcPr>
          <w:p>
            <w:pPr>
              <w:spacing w:after="0"/>
              <w:rPr>
                <w:sz w:val="15"/>
                <w:szCs w:val="15"/>
                <w:color w:val="auto"/>
              </w:rPr>
            </w:pPr>
          </w:p>
        </w:tc>
      </w:tr>
      <w:tr>
        <w:trPr>
          <w:trHeight w:val="229"/>
        </w:trPr>
        <w:tc>
          <w:tcPr>
            <w:tcW w:w="800" w:type="dxa"/>
            <w:vAlign w:val="bottom"/>
            <w:tcBorders>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3920" w:type="dxa"/>
            <w:vAlign w:val="bottom"/>
            <w:tcBorders>
              <w:bottom w:val="single" w:sz="8" w:color="auto"/>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r>
      <w:tr>
        <w:trPr>
          <w:trHeight w:val="218"/>
        </w:trPr>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9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4</w:t>
            </w:r>
          </w:p>
        </w:tc>
        <w:tc>
          <w:tcPr>
            <w:tcW w:w="760" w:type="dxa"/>
            <w:vAlign w:val="bottom"/>
          </w:tcPr>
          <w:p>
            <w:pPr>
              <w:spacing w:after="0"/>
              <w:rPr>
                <w:sz w:val="18"/>
                <w:szCs w:val="18"/>
                <w:color w:val="auto"/>
              </w:rPr>
            </w:pPr>
          </w:p>
        </w:tc>
      </w:tr>
      <w:tr>
        <w:trPr>
          <w:trHeight w:val="305"/>
        </w:trPr>
        <w:tc>
          <w:tcPr>
            <w:tcW w:w="8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-24765</wp:posOffset>
            </wp:positionV>
            <wp:extent cx="3175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-24765</wp:posOffset>
            </wp:positionV>
            <wp:extent cx="3175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0" w:name="page11"/>
    <w:bookmarkEnd w:id="10"/>
    <w:p>
      <w:pPr>
        <w:ind w:left="4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244475</wp:posOffset>
            </wp:positionV>
            <wp:extent cx="4150360" cy="6115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4150360" cy="611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The exchange offer is not conditioned upon any</w:t>
            </w:r>
          </w:p>
        </w:tc>
      </w:tr>
      <w:tr>
        <w:trPr>
          <w:trHeight w:val="152"/>
        </w:trPr>
        <w:tc>
          <w:tcPr>
            <w:tcW w:w="2760" w:type="dxa"/>
            <w:vAlign w:val="bottom"/>
          </w:tcPr>
          <w:p>
            <w:pPr>
              <w:spacing w:after="0"/>
              <w:rPr>
                <w:sz w:val="13"/>
                <w:szCs w:val="13"/>
                <w:color w:val="auto"/>
              </w:rPr>
            </w:pPr>
          </w:p>
        </w:tc>
        <w:tc>
          <w:tcPr>
            <w:tcW w:w="3400" w:type="dxa"/>
            <w:vAlign w:val="bottom"/>
            <w:gridSpan w:val="2"/>
          </w:tcPr>
          <w:p>
            <w:pPr>
              <w:ind w:left="220"/>
              <w:spacing w:after="0" w:line="152" w:lineRule="exact"/>
              <w:rPr>
                <w:sz w:val="20"/>
                <w:szCs w:val="20"/>
                <w:color w:val="auto"/>
              </w:rPr>
            </w:pPr>
            <w:r>
              <w:rPr>
                <w:rFonts w:ascii="Times New Roman" w:cs="Times New Roman" w:eastAsia="Times New Roman" w:hAnsi="Times New Roman"/>
                <w:sz w:val="14"/>
                <w:szCs w:val="14"/>
                <w:color w:val="auto"/>
              </w:rPr>
              <w:t>minimum aggregate principal amount of the Restricted</w:t>
            </w:r>
          </w:p>
        </w:tc>
      </w:tr>
      <w:tr>
        <w:trPr>
          <w:trHeight w:val="175"/>
        </w:trPr>
        <w:tc>
          <w:tcPr>
            <w:tcW w:w="2760" w:type="dxa"/>
            <w:vAlign w:val="bottom"/>
          </w:tcPr>
          <w:p>
            <w:pPr>
              <w:spacing w:after="0"/>
              <w:rPr>
                <w:sz w:val="15"/>
                <w:szCs w:val="15"/>
                <w:color w:val="auto"/>
              </w:rPr>
            </w:pP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Notes being tendered for exchange.</w:t>
            </w:r>
          </w:p>
        </w:tc>
      </w:tr>
      <w:tr>
        <w:trPr>
          <w:trHeight w:val="240"/>
        </w:trPr>
        <w:tc>
          <w:tcPr>
            <w:tcW w:w="2760" w:type="dxa"/>
            <w:vAlign w:val="bottom"/>
          </w:tcPr>
          <w:p>
            <w:pPr>
              <w:spacing w:after="0"/>
              <w:rPr>
                <w:sz w:val="20"/>
                <w:szCs w:val="20"/>
                <w:color w:val="auto"/>
              </w:rPr>
            </w:pP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Terms of the Exchange Offer — Conditions to the</w:t>
            </w:r>
          </w:p>
        </w:tc>
      </w:tr>
      <w:tr>
        <w:trPr>
          <w:trHeight w:val="177"/>
        </w:trPr>
        <w:tc>
          <w:tcPr>
            <w:tcW w:w="2760" w:type="dxa"/>
            <w:vAlign w:val="bottom"/>
          </w:tcPr>
          <w:p>
            <w:pPr>
              <w:spacing w:after="0"/>
              <w:rPr>
                <w:sz w:val="15"/>
                <w:szCs w:val="15"/>
                <w:color w:val="auto"/>
              </w:rPr>
            </w:pP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Exchange Offer</w:t>
            </w:r>
            <w:r>
              <w:rPr>
                <w:rFonts w:ascii="Times New Roman" w:cs="Times New Roman" w:eastAsia="Times New Roman" w:hAnsi="Times New Roman"/>
                <w:sz w:val="14"/>
                <w:szCs w:val="14"/>
                <w:color w:val="auto"/>
              </w:rPr>
              <w:t>.”</w:t>
            </w:r>
          </w:p>
        </w:tc>
      </w:tr>
      <w:tr>
        <w:trPr>
          <w:trHeight w:val="231"/>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Procedures for Tendering the Restricted Notes</w:t>
            </w: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If you wish to accept and participate in the exchange</w:t>
            </w:r>
          </w:p>
        </w:tc>
      </w:tr>
      <w:tr>
        <w:trPr>
          <w:trHeight w:val="162"/>
        </w:trPr>
        <w:tc>
          <w:tcPr>
            <w:tcW w:w="2760" w:type="dxa"/>
            <w:vAlign w:val="bottom"/>
          </w:tcPr>
          <w:p>
            <w:pPr>
              <w:spacing w:after="0"/>
              <w:rPr>
                <w:sz w:val="14"/>
                <w:szCs w:val="14"/>
                <w:color w:val="auto"/>
              </w:rPr>
            </w:pP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offer, you must complete and submit the accompanying</w:t>
            </w:r>
          </w:p>
        </w:tc>
      </w:tr>
      <w:tr>
        <w:trPr>
          <w:trHeight w:val="162"/>
        </w:trPr>
        <w:tc>
          <w:tcPr>
            <w:tcW w:w="2760" w:type="dxa"/>
            <w:vAlign w:val="bottom"/>
          </w:tcPr>
          <w:p>
            <w:pPr>
              <w:spacing w:after="0"/>
              <w:rPr>
                <w:sz w:val="14"/>
                <w:szCs w:val="14"/>
                <w:color w:val="auto"/>
              </w:rPr>
            </w:pP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letter of transmittal, according to the instructions</w:t>
            </w:r>
          </w:p>
        </w:tc>
      </w:tr>
      <w:tr>
        <w:trPr>
          <w:trHeight w:val="162"/>
        </w:trPr>
        <w:tc>
          <w:tcPr>
            <w:tcW w:w="2760" w:type="dxa"/>
            <w:vAlign w:val="bottom"/>
          </w:tcPr>
          <w:p>
            <w:pPr>
              <w:spacing w:after="0"/>
              <w:rPr>
                <w:sz w:val="14"/>
                <w:szCs w:val="14"/>
                <w:color w:val="auto"/>
              </w:rPr>
            </w:pP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contained in this prospectus and the letter of</w:t>
            </w:r>
          </w:p>
        </w:tc>
      </w:tr>
      <w:tr>
        <w:trPr>
          <w:trHeight w:val="162"/>
        </w:trPr>
        <w:tc>
          <w:tcPr>
            <w:tcW w:w="2760" w:type="dxa"/>
            <w:vAlign w:val="bottom"/>
          </w:tcPr>
          <w:p>
            <w:pPr>
              <w:spacing w:after="0"/>
              <w:rPr>
                <w:sz w:val="14"/>
                <w:szCs w:val="14"/>
                <w:color w:val="auto"/>
              </w:rPr>
            </w:pP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transmittal, together with the Restricted Notes and any</w:t>
            </w:r>
          </w:p>
        </w:tc>
      </w:tr>
      <w:tr>
        <w:trPr>
          <w:trHeight w:val="162"/>
        </w:trPr>
        <w:tc>
          <w:tcPr>
            <w:tcW w:w="2760" w:type="dxa"/>
            <w:vAlign w:val="bottom"/>
          </w:tcPr>
          <w:p>
            <w:pPr>
              <w:spacing w:after="0"/>
              <w:rPr>
                <w:sz w:val="14"/>
                <w:szCs w:val="14"/>
                <w:color w:val="auto"/>
              </w:rPr>
            </w:pP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other required documents, to the exchange agent at the</w:t>
            </w:r>
          </w:p>
        </w:tc>
      </w:tr>
      <w:tr>
        <w:trPr>
          <w:trHeight w:val="162"/>
        </w:trPr>
        <w:tc>
          <w:tcPr>
            <w:tcW w:w="2760" w:type="dxa"/>
            <w:vAlign w:val="bottom"/>
          </w:tcPr>
          <w:p>
            <w:pPr>
              <w:spacing w:after="0"/>
              <w:rPr>
                <w:sz w:val="14"/>
                <w:szCs w:val="14"/>
                <w:color w:val="auto"/>
              </w:rPr>
            </w:pP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address set forth on the cover of the letter of</w:t>
            </w:r>
          </w:p>
        </w:tc>
      </w:tr>
      <w:tr>
        <w:trPr>
          <w:trHeight w:val="160"/>
        </w:trPr>
        <w:tc>
          <w:tcPr>
            <w:tcW w:w="2760" w:type="dxa"/>
            <w:vAlign w:val="bottom"/>
          </w:tcPr>
          <w:p>
            <w:pPr>
              <w:spacing w:after="0"/>
              <w:rPr>
                <w:sz w:val="13"/>
                <w:szCs w:val="13"/>
                <w:color w:val="auto"/>
              </w:rPr>
            </w:pP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transmittal. As you hold Restricted Notes through The</w:t>
            </w:r>
          </w:p>
        </w:tc>
      </w:tr>
      <w:tr>
        <w:trPr>
          <w:trHeight w:val="164"/>
        </w:trPr>
        <w:tc>
          <w:tcPr>
            <w:tcW w:w="2760" w:type="dxa"/>
            <w:vAlign w:val="bottom"/>
          </w:tcPr>
          <w:p>
            <w:pPr>
              <w:spacing w:after="0"/>
              <w:rPr>
                <w:sz w:val="14"/>
                <w:szCs w:val="14"/>
                <w:color w:val="auto"/>
              </w:rPr>
            </w:pP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Depository Trust Company (“</w:t>
            </w:r>
            <w:r>
              <w:rPr>
                <w:rFonts w:ascii="Times New Roman" w:cs="Times New Roman" w:eastAsia="Times New Roman" w:hAnsi="Times New Roman"/>
                <w:sz w:val="14"/>
                <w:szCs w:val="14"/>
                <w:i w:val="1"/>
                <w:iCs w:val="1"/>
                <w:color w:val="auto"/>
              </w:rPr>
              <w:t>DTC</w:t>
            </w:r>
            <w:r>
              <w:rPr>
                <w:rFonts w:ascii="Times New Roman" w:cs="Times New Roman" w:eastAsia="Times New Roman" w:hAnsi="Times New Roman"/>
                <w:sz w:val="14"/>
                <w:szCs w:val="14"/>
                <w:color w:val="auto"/>
              </w:rPr>
              <w:t>”) and wish to</w:t>
            </w:r>
          </w:p>
        </w:tc>
      </w:tr>
      <w:tr>
        <w:trPr>
          <w:trHeight w:val="160"/>
        </w:trPr>
        <w:tc>
          <w:tcPr>
            <w:tcW w:w="2760" w:type="dxa"/>
            <w:vAlign w:val="bottom"/>
          </w:tcPr>
          <w:p>
            <w:pPr>
              <w:spacing w:after="0"/>
              <w:rPr>
                <w:sz w:val="13"/>
                <w:szCs w:val="13"/>
                <w:color w:val="auto"/>
              </w:rPr>
            </w:pP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participate in the exchange offer, you must comply with</w:t>
            </w:r>
          </w:p>
        </w:tc>
      </w:tr>
      <w:tr>
        <w:trPr>
          <w:trHeight w:val="164"/>
        </w:trPr>
        <w:tc>
          <w:tcPr>
            <w:tcW w:w="2760" w:type="dxa"/>
            <w:vAlign w:val="bottom"/>
          </w:tcPr>
          <w:p>
            <w:pPr>
              <w:spacing w:after="0"/>
              <w:rPr>
                <w:sz w:val="14"/>
                <w:szCs w:val="14"/>
                <w:color w:val="auto"/>
              </w:rPr>
            </w:pP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the Automated Tender Offer Program (“</w:t>
            </w:r>
            <w:r>
              <w:rPr>
                <w:rFonts w:ascii="Times New Roman" w:cs="Times New Roman" w:eastAsia="Times New Roman" w:hAnsi="Times New Roman"/>
                <w:sz w:val="14"/>
                <w:szCs w:val="14"/>
                <w:i w:val="1"/>
                <w:iCs w:val="1"/>
                <w:color w:val="auto"/>
              </w:rPr>
              <w:t>ATOP</w:t>
            </w:r>
            <w:r>
              <w:rPr>
                <w:rFonts w:ascii="Times New Roman" w:cs="Times New Roman" w:eastAsia="Times New Roman" w:hAnsi="Times New Roman"/>
                <w:sz w:val="14"/>
                <w:szCs w:val="14"/>
                <w:color w:val="auto"/>
              </w:rPr>
              <w:t>”)</w:t>
            </w:r>
          </w:p>
        </w:tc>
      </w:tr>
      <w:tr>
        <w:trPr>
          <w:trHeight w:val="175"/>
        </w:trPr>
        <w:tc>
          <w:tcPr>
            <w:tcW w:w="2760" w:type="dxa"/>
            <w:vAlign w:val="bottom"/>
          </w:tcPr>
          <w:p>
            <w:pPr>
              <w:spacing w:after="0"/>
              <w:rPr>
                <w:sz w:val="15"/>
                <w:szCs w:val="15"/>
                <w:color w:val="auto"/>
              </w:rPr>
            </w:pP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procedures of DTC described herein.</w:t>
            </w:r>
          </w:p>
        </w:tc>
      </w:tr>
      <w:tr>
        <w:trPr>
          <w:trHeight w:val="252"/>
        </w:trPr>
        <w:tc>
          <w:tcPr>
            <w:tcW w:w="2760" w:type="dxa"/>
            <w:vAlign w:val="bottom"/>
          </w:tcPr>
          <w:p>
            <w:pPr>
              <w:spacing w:after="0"/>
              <w:rPr>
                <w:sz w:val="21"/>
                <w:szCs w:val="21"/>
                <w:color w:val="auto"/>
              </w:rPr>
            </w:pP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By signing or agreeing to be bound by the letter of</w:t>
            </w:r>
          </w:p>
        </w:tc>
      </w:tr>
      <w:tr>
        <w:trPr>
          <w:trHeight w:val="152"/>
        </w:trPr>
        <w:tc>
          <w:tcPr>
            <w:tcW w:w="2760" w:type="dxa"/>
            <w:vAlign w:val="bottom"/>
          </w:tcPr>
          <w:p>
            <w:pPr>
              <w:spacing w:after="0"/>
              <w:rPr>
                <w:sz w:val="13"/>
                <w:szCs w:val="13"/>
                <w:color w:val="auto"/>
              </w:rPr>
            </w:pPr>
          </w:p>
        </w:tc>
        <w:tc>
          <w:tcPr>
            <w:tcW w:w="3400" w:type="dxa"/>
            <w:vAlign w:val="bottom"/>
            <w:gridSpan w:val="2"/>
          </w:tcPr>
          <w:p>
            <w:pPr>
              <w:ind w:left="220"/>
              <w:spacing w:after="0" w:line="152" w:lineRule="exact"/>
              <w:rPr>
                <w:sz w:val="20"/>
                <w:szCs w:val="20"/>
                <w:color w:val="auto"/>
              </w:rPr>
            </w:pPr>
            <w:r>
              <w:rPr>
                <w:rFonts w:ascii="Times New Roman" w:cs="Times New Roman" w:eastAsia="Times New Roman" w:hAnsi="Times New Roman"/>
                <w:sz w:val="14"/>
                <w:szCs w:val="14"/>
                <w:color w:val="auto"/>
              </w:rPr>
              <w:t>transmittal, or, in the case of book-entry transfer, an</w:t>
            </w:r>
          </w:p>
        </w:tc>
      </w:tr>
      <w:tr>
        <w:trPr>
          <w:trHeight w:val="152"/>
        </w:trPr>
        <w:tc>
          <w:tcPr>
            <w:tcW w:w="2760" w:type="dxa"/>
            <w:vAlign w:val="bottom"/>
          </w:tcPr>
          <w:p>
            <w:pPr>
              <w:spacing w:after="0"/>
              <w:rPr>
                <w:sz w:val="13"/>
                <w:szCs w:val="13"/>
                <w:color w:val="auto"/>
              </w:rPr>
            </w:pPr>
          </w:p>
        </w:tc>
        <w:tc>
          <w:tcPr>
            <w:tcW w:w="3400" w:type="dxa"/>
            <w:vAlign w:val="bottom"/>
            <w:gridSpan w:val="2"/>
          </w:tcPr>
          <w:p>
            <w:pPr>
              <w:ind w:left="220"/>
              <w:spacing w:after="0" w:line="152" w:lineRule="exact"/>
              <w:rPr>
                <w:sz w:val="20"/>
                <w:szCs w:val="20"/>
                <w:color w:val="auto"/>
              </w:rPr>
            </w:pPr>
            <w:r>
              <w:rPr>
                <w:rFonts w:ascii="Times New Roman" w:cs="Times New Roman" w:eastAsia="Times New Roman" w:hAnsi="Times New Roman"/>
                <w:sz w:val="14"/>
                <w:szCs w:val="14"/>
                <w:color w:val="auto"/>
              </w:rPr>
              <w:t>agent’s message in lieu of the letter of transmittal, you</w:t>
            </w:r>
          </w:p>
        </w:tc>
      </w:tr>
      <w:tr>
        <w:trPr>
          <w:trHeight w:val="175"/>
        </w:trPr>
        <w:tc>
          <w:tcPr>
            <w:tcW w:w="2760" w:type="dxa"/>
            <w:vAlign w:val="bottom"/>
          </w:tcPr>
          <w:p>
            <w:pPr>
              <w:spacing w:after="0"/>
              <w:rPr>
                <w:sz w:val="15"/>
                <w:szCs w:val="15"/>
                <w:color w:val="auto"/>
              </w:rPr>
            </w:pP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represent to the Company that, among other things:</w:t>
            </w:r>
          </w:p>
        </w:tc>
      </w:tr>
      <w:tr>
        <w:trPr>
          <w:trHeight w:val="252"/>
        </w:trPr>
        <w:tc>
          <w:tcPr>
            <w:tcW w:w="2760" w:type="dxa"/>
            <w:vAlign w:val="bottom"/>
          </w:tcPr>
          <w:p>
            <w:pPr>
              <w:spacing w:after="0"/>
              <w:rPr>
                <w:sz w:val="21"/>
                <w:szCs w:val="21"/>
                <w:color w:val="auto"/>
              </w:rPr>
            </w:pPr>
          </w:p>
        </w:tc>
        <w:tc>
          <w:tcPr>
            <w:tcW w:w="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any Registered Notes that you receive will be</w:t>
            </w:r>
          </w:p>
        </w:tc>
      </w:tr>
      <w:tr>
        <w:trPr>
          <w:trHeight w:val="175"/>
        </w:trPr>
        <w:tc>
          <w:tcPr>
            <w:tcW w:w="2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acquired in the ordinary course of business;</w:t>
            </w:r>
          </w:p>
        </w:tc>
      </w:tr>
      <w:tr>
        <w:trPr>
          <w:trHeight w:val="262"/>
        </w:trPr>
        <w:tc>
          <w:tcPr>
            <w:tcW w:w="2760" w:type="dxa"/>
            <w:vAlign w:val="bottom"/>
          </w:tcPr>
          <w:p>
            <w:pPr>
              <w:spacing w:after="0"/>
              <w:rPr>
                <w:sz w:val="22"/>
                <w:szCs w:val="22"/>
                <w:color w:val="auto"/>
              </w:rPr>
            </w:pPr>
          </w:p>
        </w:tc>
        <w:tc>
          <w:tcPr>
            <w:tcW w:w="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you have not engaged in, do not intend to engage in,</w:t>
            </w:r>
          </w:p>
        </w:tc>
      </w:tr>
      <w:tr>
        <w:trPr>
          <w:trHeight w:val="162"/>
        </w:trPr>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and have no arrangement or understanding with any</w:t>
            </w:r>
          </w:p>
        </w:tc>
      </w:tr>
      <w:tr>
        <w:trPr>
          <w:trHeight w:val="162"/>
        </w:trPr>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person to participate in, a distribution of the</w:t>
            </w:r>
          </w:p>
        </w:tc>
      </w:tr>
      <w:tr>
        <w:trPr>
          <w:trHeight w:val="175"/>
        </w:trPr>
        <w:tc>
          <w:tcPr>
            <w:tcW w:w="2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Registered Notes in violation of the Securities Act;</w:t>
            </w:r>
          </w:p>
        </w:tc>
      </w:tr>
      <w:tr>
        <w:trPr>
          <w:trHeight w:val="252"/>
        </w:trPr>
        <w:tc>
          <w:tcPr>
            <w:tcW w:w="2760" w:type="dxa"/>
            <w:vAlign w:val="bottom"/>
          </w:tcPr>
          <w:p>
            <w:pPr>
              <w:spacing w:after="0"/>
              <w:rPr>
                <w:sz w:val="21"/>
                <w:szCs w:val="21"/>
                <w:color w:val="auto"/>
              </w:rPr>
            </w:pP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if you are a broker-dealer that will receive Registered</w:t>
            </w:r>
          </w:p>
        </w:tc>
      </w:tr>
      <w:tr>
        <w:trPr>
          <w:trHeight w:val="162"/>
        </w:trPr>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Notes for your own account in exchange for</w:t>
            </w:r>
          </w:p>
        </w:tc>
      </w:tr>
      <w:tr>
        <w:trPr>
          <w:trHeight w:val="162"/>
        </w:trPr>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Restricted Notes that were acquired as a result of</w:t>
            </w:r>
          </w:p>
        </w:tc>
      </w:tr>
      <w:tr>
        <w:trPr>
          <w:trHeight w:val="162"/>
        </w:trPr>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market-making or other trading activities, you will</w:t>
            </w:r>
          </w:p>
        </w:tc>
      </w:tr>
      <w:tr>
        <w:trPr>
          <w:trHeight w:val="162"/>
        </w:trPr>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deliver a prospectus, as required by law, in</w:t>
            </w:r>
          </w:p>
        </w:tc>
      </w:tr>
      <w:tr>
        <w:trPr>
          <w:trHeight w:val="175"/>
        </w:trPr>
        <w:tc>
          <w:tcPr>
            <w:tcW w:w="2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connection with any resale of the Registered Notes;</w:t>
            </w:r>
          </w:p>
        </w:tc>
      </w:tr>
      <w:tr>
        <w:trPr>
          <w:trHeight w:val="262"/>
        </w:trPr>
        <w:tc>
          <w:tcPr>
            <w:tcW w:w="2760" w:type="dxa"/>
            <w:vAlign w:val="bottom"/>
          </w:tcPr>
          <w:p>
            <w:pPr>
              <w:spacing w:after="0"/>
              <w:rPr>
                <w:sz w:val="22"/>
                <w:szCs w:val="22"/>
                <w:color w:val="auto"/>
              </w:rPr>
            </w:pPr>
          </w:p>
        </w:tc>
        <w:tc>
          <w:tcPr>
            <w:tcW w:w="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you are not an “affiliate” of the Company as defined</w:t>
            </w:r>
          </w:p>
        </w:tc>
      </w:tr>
      <w:tr>
        <w:trPr>
          <w:trHeight w:val="162"/>
        </w:trPr>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Rule 405 under the Securities Act, or if you are</w:t>
            </w:r>
          </w:p>
        </w:tc>
      </w:tr>
      <w:tr>
        <w:trPr>
          <w:trHeight w:val="162"/>
        </w:trPr>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such an “affiliate,” then you will comply with the</w:t>
            </w:r>
          </w:p>
        </w:tc>
      </w:tr>
      <w:tr>
        <w:trPr>
          <w:trHeight w:val="162"/>
        </w:trPr>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prospectus delivery requirements of the Securities</w:t>
            </w:r>
          </w:p>
        </w:tc>
      </w:tr>
      <w:tr>
        <w:trPr>
          <w:trHeight w:val="162"/>
        </w:trPr>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Act to the extent applicable in connection with any</w:t>
            </w:r>
          </w:p>
        </w:tc>
      </w:tr>
      <w:tr>
        <w:trPr>
          <w:trHeight w:val="175"/>
        </w:trPr>
        <w:tc>
          <w:tcPr>
            <w:tcW w:w="2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resale of the Registered Notes; and</w:t>
            </w:r>
          </w:p>
        </w:tc>
      </w:tr>
      <w:tr>
        <w:trPr>
          <w:trHeight w:val="252"/>
        </w:trPr>
        <w:tc>
          <w:tcPr>
            <w:tcW w:w="2760" w:type="dxa"/>
            <w:vAlign w:val="bottom"/>
          </w:tcPr>
          <w:p>
            <w:pPr>
              <w:spacing w:after="0"/>
              <w:rPr>
                <w:sz w:val="21"/>
                <w:szCs w:val="21"/>
                <w:color w:val="auto"/>
              </w:rPr>
            </w:pPr>
          </w:p>
        </w:tc>
        <w:tc>
          <w:tcPr>
            <w:tcW w:w="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you are not prohibited by law or policy from</w:t>
            </w:r>
          </w:p>
        </w:tc>
      </w:tr>
      <w:tr>
        <w:trPr>
          <w:trHeight w:val="175"/>
        </w:trPr>
        <w:tc>
          <w:tcPr>
            <w:tcW w:w="2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participating in the exchange offer.</w:t>
            </w:r>
          </w:p>
        </w:tc>
      </w:tr>
      <w:tr>
        <w:trPr>
          <w:trHeight w:val="231"/>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Special Procedures for Beneficial Owners</w:t>
            </w: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If you are a beneficial owner whose Restricted Notes</w:t>
            </w:r>
          </w:p>
        </w:tc>
      </w:tr>
      <w:tr>
        <w:trPr>
          <w:trHeight w:val="175"/>
        </w:trPr>
        <w:tc>
          <w:tcPr>
            <w:tcW w:w="2760" w:type="dxa"/>
            <w:vAlign w:val="bottom"/>
          </w:tcPr>
          <w:p>
            <w:pPr>
              <w:spacing w:after="0"/>
              <w:rPr>
                <w:sz w:val="15"/>
                <w:szCs w:val="15"/>
                <w:color w:val="auto"/>
              </w:rPr>
            </w:pP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are registered in the name of a broker, dealer,</w:t>
            </w:r>
          </w:p>
        </w:tc>
      </w:tr>
    </w:tbl>
    <w:p>
      <w:pPr>
        <w:ind w:left="4420"/>
        <w:spacing w:after="0"/>
        <w:rPr>
          <w:sz w:val="20"/>
          <w:szCs w:val="20"/>
          <w:color w:val="auto"/>
        </w:rPr>
      </w:pPr>
      <w:r>
        <w:rPr>
          <w:rFonts w:ascii="Times New Roman" w:cs="Times New Roman" w:eastAsia="Times New Roman" w:hAnsi="Times New Roman"/>
          <w:sz w:val="14"/>
          <w:szCs w:val="14"/>
          <w:color w:val="auto"/>
        </w:rPr>
        <w:t>commercial bank, trust company or other nominee and</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you wish to tender such Restricted Notes in the</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exchange offer, you should promptly contact the person</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in whose name the Restricted Notes are registered and</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instruct that person to tender the Restricted Notes on</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your behalf. If you wish to tender in the exchange offer</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on your own behalf, prior to completing and executing</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the letter of</w:t>
      </w: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1" w:name="page12"/>
    <w:bookmarkEnd w:id="11"/>
    <w:p>
      <w:pPr>
        <w:ind w:left="480"/>
        <w:spacing w:after="0"/>
        <w:rPr>
          <w:sz w:val="20"/>
          <w:szCs w:val="20"/>
          <w:color w:val="auto"/>
        </w:rPr>
      </w:pPr>
      <w:r>
        <w:rPr>
          <w:rFonts w:ascii="Calibri" w:cs="Calibri" w:eastAsia="Calibri" w:hAnsi="Calibri"/>
          <w:sz w:val="11"/>
          <w:szCs w:val="11"/>
          <w:color w:val="003366"/>
        </w:rPr>
        <w:t>TABLE OF CONTENTS</w:t>
      </w:r>
    </w:p>
    <w:p>
      <w:pPr>
        <w:spacing w:after="0" w:line="365" w:lineRule="exact"/>
        <w:rPr>
          <w:sz w:val="20"/>
          <w:szCs w:val="20"/>
          <w:color w:val="auto"/>
        </w:rPr>
      </w:pPr>
    </w:p>
    <w:tbl>
      <w:tblPr>
        <w:tblLayout w:type="fixed"/>
        <w:tblInd w:w="480" w:type="dxa"/>
        <w:tblCellMar>
          <w:top w:w="0" w:type="dxa"/>
          <w:left w:w="0" w:type="dxa"/>
          <w:bottom w:w="0" w:type="dxa"/>
          <w:right w:w="0" w:type="dxa"/>
        </w:tblCellMar>
      </w:tblPr>
      <w:tr>
        <w:trPr>
          <w:trHeight w:val="398"/>
        </w:trPr>
        <w:tc>
          <w:tcPr>
            <w:tcW w:w="800" w:type="dxa"/>
            <w:vAlign w:val="bottom"/>
            <w:tcBorders>
              <w:right w:val="single" w:sz="8" w:color="auto"/>
            </w:tcBorders>
          </w:tcPr>
          <w:p>
            <w:pPr>
              <w:spacing w:after="0"/>
              <w:rPr>
                <w:sz w:val="24"/>
                <w:szCs w:val="24"/>
                <w:color w:val="auto"/>
              </w:rPr>
            </w:pPr>
          </w:p>
        </w:tc>
        <w:tc>
          <w:tcPr>
            <w:tcW w:w="2980" w:type="dxa"/>
            <w:vAlign w:val="bottom"/>
            <w:tcBorders>
              <w:top w:val="single" w:sz="8" w:color="auto"/>
            </w:tcBorders>
          </w:tcPr>
          <w:p>
            <w:pPr>
              <w:spacing w:after="0"/>
              <w:rPr>
                <w:sz w:val="24"/>
                <w:szCs w:val="24"/>
                <w:color w:val="auto"/>
              </w:rPr>
            </w:pPr>
          </w:p>
        </w:tc>
        <w:tc>
          <w:tcPr>
            <w:tcW w:w="352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transmittal and delivering your Restricted Notes, you</w:t>
            </w:r>
          </w:p>
        </w:tc>
        <w:tc>
          <w:tcPr>
            <w:tcW w:w="760" w:type="dxa"/>
            <w:vAlign w:val="bottom"/>
          </w:tcPr>
          <w:p>
            <w:pPr>
              <w:spacing w:after="0"/>
              <w:rPr>
                <w:sz w:val="24"/>
                <w:szCs w:val="2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must either make appropriate arrangements to register</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ownership of the Restricted Notes in your name or</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obtain a properly completed bond power from the</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person in whose name the Restricted Notes are</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registered. The transfer of registered ownership may</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take considerable time and may not be able to be</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completed prior to the expiration time of the exchange</w:t>
            </w:r>
          </w:p>
        </w:tc>
        <w:tc>
          <w:tcPr>
            <w:tcW w:w="760" w:type="dxa"/>
            <w:vAlign w:val="bottom"/>
          </w:tcPr>
          <w:p>
            <w:pPr>
              <w:spacing w:after="0"/>
              <w:rPr>
                <w:sz w:val="14"/>
                <w:szCs w:val="14"/>
                <w:color w:val="auto"/>
              </w:rPr>
            </w:pPr>
          </w:p>
        </w:tc>
      </w:tr>
      <w:tr>
        <w:trPr>
          <w:trHeight w:val="175"/>
        </w:trPr>
        <w:tc>
          <w:tcPr>
            <w:tcW w:w="800" w:type="dxa"/>
            <w:vAlign w:val="bottom"/>
            <w:tcBorders>
              <w:right w:val="single" w:sz="8" w:color="auto"/>
            </w:tcBorders>
          </w:tcPr>
          <w:p>
            <w:pPr>
              <w:spacing w:after="0"/>
              <w:rPr>
                <w:sz w:val="15"/>
                <w:szCs w:val="15"/>
                <w:color w:val="auto"/>
              </w:rPr>
            </w:pPr>
          </w:p>
        </w:tc>
        <w:tc>
          <w:tcPr>
            <w:tcW w:w="2980" w:type="dxa"/>
            <w:vAlign w:val="bottom"/>
          </w:tcPr>
          <w:p>
            <w:pPr>
              <w:spacing w:after="0"/>
              <w:rPr>
                <w:sz w:val="15"/>
                <w:szCs w:val="15"/>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offer.</w:t>
            </w:r>
          </w:p>
        </w:tc>
        <w:tc>
          <w:tcPr>
            <w:tcW w:w="760" w:type="dxa"/>
            <w:vAlign w:val="bottom"/>
          </w:tcPr>
          <w:p>
            <w:pPr>
              <w:spacing w:after="0"/>
              <w:rPr>
                <w:sz w:val="15"/>
                <w:szCs w:val="15"/>
                <w:color w:val="auto"/>
              </w:rPr>
            </w:pPr>
          </w:p>
        </w:tc>
      </w:tr>
      <w:tr>
        <w:trPr>
          <w:trHeight w:val="242"/>
        </w:trPr>
        <w:tc>
          <w:tcPr>
            <w:tcW w:w="800" w:type="dxa"/>
            <w:vAlign w:val="bottom"/>
            <w:tcBorders>
              <w:right w:val="single" w:sz="8" w:color="auto"/>
            </w:tcBorders>
          </w:tcPr>
          <w:p>
            <w:pPr>
              <w:spacing w:after="0"/>
              <w:rPr>
                <w:sz w:val="21"/>
                <w:szCs w:val="21"/>
                <w:color w:val="auto"/>
              </w:rPr>
            </w:pPr>
          </w:p>
        </w:tc>
        <w:tc>
          <w:tcPr>
            <w:tcW w:w="2980" w:type="dxa"/>
            <w:vAlign w:val="bottom"/>
          </w:tcPr>
          <w:p>
            <w:pPr>
              <w:spacing w:after="0"/>
              <w:rPr>
                <w:sz w:val="21"/>
                <w:szCs w:val="21"/>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If you are a beneficial owner that holds Restricted</w:t>
            </w:r>
          </w:p>
        </w:tc>
        <w:tc>
          <w:tcPr>
            <w:tcW w:w="760" w:type="dxa"/>
            <w:vAlign w:val="bottom"/>
          </w:tcPr>
          <w:p>
            <w:pPr>
              <w:spacing w:after="0"/>
              <w:rPr>
                <w:sz w:val="21"/>
                <w:szCs w:val="21"/>
                <w:color w:val="auto"/>
              </w:rPr>
            </w:pPr>
          </w:p>
        </w:tc>
      </w:tr>
      <w:tr>
        <w:trPr>
          <w:trHeight w:val="160"/>
        </w:trPr>
        <w:tc>
          <w:tcPr>
            <w:tcW w:w="800" w:type="dxa"/>
            <w:vAlign w:val="bottom"/>
            <w:tcBorders>
              <w:right w:val="single" w:sz="8" w:color="auto"/>
            </w:tcBorders>
          </w:tcPr>
          <w:p>
            <w:pPr>
              <w:spacing w:after="0"/>
              <w:rPr>
                <w:sz w:val="13"/>
                <w:szCs w:val="13"/>
                <w:color w:val="auto"/>
              </w:rPr>
            </w:pPr>
          </w:p>
        </w:tc>
        <w:tc>
          <w:tcPr>
            <w:tcW w:w="2980" w:type="dxa"/>
            <w:vAlign w:val="bottom"/>
          </w:tcPr>
          <w:p>
            <w:pPr>
              <w:spacing w:after="0"/>
              <w:rPr>
                <w:sz w:val="13"/>
                <w:szCs w:val="13"/>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Notes through Euroclear Bank S.A./N.V., as operator of</w:t>
            </w:r>
          </w:p>
        </w:tc>
        <w:tc>
          <w:tcPr>
            <w:tcW w:w="760" w:type="dxa"/>
            <w:vAlign w:val="bottom"/>
          </w:tcPr>
          <w:p>
            <w:pPr>
              <w:spacing w:after="0"/>
              <w:rPr>
                <w:sz w:val="13"/>
                <w:szCs w:val="13"/>
                <w:color w:val="auto"/>
              </w:rPr>
            </w:pPr>
          </w:p>
        </w:tc>
      </w:tr>
      <w:tr>
        <w:trPr>
          <w:trHeight w:val="152"/>
        </w:trPr>
        <w:tc>
          <w:tcPr>
            <w:tcW w:w="800" w:type="dxa"/>
            <w:vAlign w:val="bottom"/>
            <w:tcBorders>
              <w:right w:val="single" w:sz="8" w:color="auto"/>
            </w:tcBorders>
          </w:tcPr>
          <w:p>
            <w:pPr>
              <w:spacing w:after="0"/>
              <w:rPr>
                <w:sz w:val="13"/>
                <w:szCs w:val="13"/>
                <w:color w:val="auto"/>
              </w:rPr>
            </w:pPr>
          </w:p>
        </w:tc>
        <w:tc>
          <w:tcPr>
            <w:tcW w:w="2980" w:type="dxa"/>
            <w:vAlign w:val="bottom"/>
          </w:tcPr>
          <w:p>
            <w:pPr>
              <w:spacing w:after="0"/>
              <w:rPr>
                <w:sz w:val="13"/>
                <w:szCs w:val="13"/>
                <w:color w:val="auto"/>
              </w:rPr>
            </w:pPr>
          </w:p>
        </w:tc>
        <w:tc>
          <w:tcPr>
            <w:tcW w:w="3520" w:type="dxa"/>
            <w:vAlign w:val="bottom"/>
            <w:tcBorders>
              <w:right w:val="single" w:sz="8" w:color="auto"/>
            </w:tcBorders>
          </w:tcPr>
          <w:p>
            <w:pPr>
              <w:ind w:left="160"/>
              <w:spacing w:after="0" w:line="152" w:lineRule="exact"/>
              <w:rPr>
                <w:sz w:val="20"/>
                <w:szCs w:val="20"/>
                <w:color w:val="auto"/>
              </w:rPr>
            </w:pPr>
            <w:r>
              <w:rPr>
                <w:rFonts w:ascii="Times New Roman" w:cs="Times New Roman" w:eastAsia="Times New Roman" w:hAnsi="Times New Roman"/>
                <w:sz w:val="14"/>
                <w:szCs w:val="14"/>
                <w:color w:val="auto"/>
              </w:rPr>
              <w:t>the Euroclear System (“</w:t>
            </w:r>
            <w:r>
              <w:rPr>
                <w:rFonts w:ascii="Times New Roman" w:cs="Times New Roman" w:eastAsia="Times New Roman" w:hAnsi="Times New Roman"/>
                <w:sz w:val="14"/>
                <w:szCs w:val="14"/>
                <w:i w:val="1"/>
                <w:iCs w:val="1"/>
                <w:color w:val="auto"/>
              </w:rPr>
              <w:t>Euroclear</w:t>
            </w:r>
            <w:r>
              <w:rPr>
                <w:rFonts w:ascii="Times New Roman" w:cs="Times New Roman" w:eastAsia="Times New Roman" w:hAnsi="Times New Roman"/>
                <w:sz w:val="14"/>
                <w:szCs w:val="14"/>
                <w:color w:val="auto"/>
              </w:rPr>
              <w:t>”), or Clearstream</w:t>
            </w:r>
          </w:p>
        </w:tc>
        <w:tc>
          <w:tcPr>
            <w:tcW w:w="760" w:type="dxa"/>
            <w:vAlign w:val="bottom"/>
          </w:tcPr>
          <w:p>
            <w:pPr>
              <w:spacing w:after="0"/>
              <w:rPr>
                <w:sz w:val="13"/>
                <w:szCs w:val="13"/>
                <w:color w:val="auto"/>
              </w:rPr>
            </w:pPr>
          </w:p>
        </w:tc>
      </w:tr>
      <w:tr>
        <w:trPr>
          <w:trHeight w:val="154"/>
        </w:trPr>
        <w:tc>
          <w:tcPr>
            <w:tcW w:w="800" w:type="dxa"/>
            <w:vAlign w:val="bottom"/>
            <w:tcBorders>
              <w:right w:val="single" w:sz="8" w:color="auto"/>
            </w:tcBorders>
          </w:tcPr>
          <w:p>
            <w:pPr>
              <w:spacing w:after="0"/>
              <w:rPr>
                <w:sz w:val="13"/>
                <w:szCs w:val="13"/>
                <w:color w:val="auto"/>
              </w:rPr>
            </w:pPr>
          </w:p>
        </w:tc>
        <w:tc>
          <w:tcPr>
            <w:tcW w:w="2980" w:type="dxa"/>
            <w:vAlign w:val="bottom"/>
          </w:tcPr>
          <w:p>
            <w:pPr>
              <w:spacing w:after="0"/>
              <w:rPr>
                <w:sz w:val="13"/>
                <w:szCs w:val="13"/>
                <w:color w:val="auto"/>
              </w:rPr>
            </w:pPr>
          </w:p>
        </w:tc>
        <w:tc>
          <w:tcPr>
            <w:tcW w:w="3520" w:type="dxa"/>
            <w:vAlign w:val="bottom"/>
            <w:tcBorders>
              <w:right w:val="single" w:sz="8" w:color="auto"/>
            </w:tcBorders>
          </w:tcPr>
          <w:p>
            <w:pPr>
              <w:ind w:left="160"/>
              <w:spacing w:after="0" w:line="154" w:lineRule="exact"/>
              <w:rPr>
                <w:sz w:val="20"/>
                <w:szCs w:val="20"/>
                <w:color w:val="auto"/>
              </w:rPr>
            </w:pPr>
            <w:r>
              <w:rPr>
                <w:rFonts w:ascii="Times New Roman" w:cs="Times New Roman" w:eastAsia="Times New Roman" w:hAnsi="Times New Roman"/>
                <w:sz w:val="14"/>
                <w:szCs w:val="14"/>
                <w:color w:val="auto"/>
              </w:rPr>
              <w:t>Banking, société anonyme (“</w:t>
            </w:r>
            <w:r>
              <w:rPr>
                <w:rFonts w:ascii="Times New Roman" w:cs="Times New Roman" w:eastAsia="Times New Roman" w:hAnsi="Times New Roman"/>
                <w:sz w:val="14"/>
                <w:szCs w:val="14"/>
                <w:i w:val="1"/>
                <w:iCs w:val="1"/>
                <w:color w:val="auto"/>
              </w:rPr>
              <w:t>Clearstream</w:t>
            </w:r>
            <w:r>
              <w:rPr>
                <w:rFonts w:ascii="Times New Roman" w:cs="Times New Roman" w:eastAsia="Times New Roman" w:hAnsi="Times New Roman"/>
                <w:sz w:val="14"/>
                <w:szCs w:val="14"/>
                <w:color w:val="auto"/>
              </w:rPr>
              <w:t>”), and wish</w:t>
            </w:r>
          </w:p>
        </w:tc>
        <w:tc>
          <w:tcPr>
            <w:tcW w:w="760" w:type="dxa"/>
            <w:vAlign w:val="bottom"/>
          </w:tcPr>
          <w:p>
            <w:pPr>
              <w:spacing w:after="0"/>
              <w:rPr>
                <w:sz w:val="13"/>
                <w:szCs w:val="13"/>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to tender your Restricted Notes, contact Euroclear or</w:t>
            </w:r>
          </w:p>
        </w:tc>
        <w:tc>
          <w:tcPr>
            <w:tcW w:w="760" w:type="dxa"/>
            <w:vAlign w:val="bottom"/>
          </w:tcPr>
          <w:p>
            <w:pPr>
              <w:spacing w:after="0"/>
              <w:rPr>
                <w:sz w:val="14"/>
                <w:szCs w:val="14"/>
                <w:color w:val="auto"/>
              </w:rPr>
            </w:pPr>
          </w:p>
        </w:tc>
      </w:tr>
      <w:tr>
        <w:trPr>
          <w:trHeight w:val="152"/>
        </w:trPr>
        <w:tc>
          <w:tcPr>
            <w:tcW w:w="800" w:type="dxa"/>
            <w:vAlign w:val="bottom"/>
            <w:tcBorders>
              <w:right w:val="single" w:sz="8" w:color="auto"/>
            </w:tcBorders>
          </w:tcPr>
          <w:p>
            <w:pPr>
              <w:spacing w:after="0"/>
              <w:rPr>
                <w:sz w:val="13"/>
                <w:szCs w:val="13"/>
                <w:color w:val="auto"/>
              </w:rPr>
            </w:pPr>
          </w:p>
        </w:tc>
        <w:tc>
          <w:tcPr>
            <w:tcW w:w="2980" w:type="dxa"/>
            <w:vAlign w:val="bottom"/>
          </w:tcPr>
          <w:p>
            <w:pPr>
              <w:spacing w:after="0"/>
              <w:rPr>
                <w:sz w:val="13"/>
                <w:szCs w:val="13"/>
                <w:color w:val="auto"/>
              </w:rPr>
            </w:pPr>
          </w:p>
        </w:tc>
        <w:tc>
          <w:tcPr>
            <w:tcW w:w="3520" w:type="dxa"/>
            <w:vAlign w:val="bottom"/>
            <w:tcBorders>
              <w:right w:val="single" w:sz="8" w:color="auto"/>
            </w:tcBorders>
          </w:tcPr>
          <w:p>
            <w:pPr>
              <w:ind w:left="160"/>
              <w:spacing w:after="0" w:line="152" w:lineRule="exact"/>
              <w:rPr>
                <w:sz w:val="20"/>
                <w:szCs w:val="20"/>
                <w:color w:val="auto"/>
              </w:rPr>
            </w:pPr>
            <w:r>
              <w:rPr>
                <w:rFonts w:ascii="Times New Roman" w:cs="Times New Roman" w:eastAsia="Times New Roman" w:hAnsi="Times New Roman"/>
                <w:sz w:val="14"/>
                <w:szCs w:val="14"/>
                <w:color w:val="auto"/>
              </w:rPr>
              <w:t>Clearstream directly to ascertain the procedures for</w:t>
            </w:r>
          </w:p>
        </w:tc>
        <w:tc>
          <w:tcPr>
            <w:tcW w:w="760" w:type="dxa"/>
            <w:vAlign w:val="bottom"/>
          </w:tcPr>
          <w:p>
            <w:pPr>
              <w:spacing w:after="0"/>
              <w:rPr>
                <w:sz w:val="13"/>
                <w:szCs w:val="13"/>
                <w:color w:val="auto"/>
              </w:rPr>
            </w:pPr>
          </w:p>
        </w:tc>
      </w:tr>
      <w:tr>
        <w:trPr>
          <w:trHeight w:val="152"/>
        </w:trPr>
        <w:tc>
          <w:tcPr>
            <w:tcW w:w="800" w:type="dxa"/>
            <w:vAlign w:val="bottom"/>
            <w:tcBorders>
              <w:right w:val="single" w:sz="8" w:color="auto"/>
            </w:tcBorders>
          </w:tcPr>
          <w:p>
            <w:pPr>
              <w:spacing w:after="0"/>
              <w:rPr>
                <w:sz w:val="13"/>
                <w:szCs w:val="13"/>
                <w:color w:val="auto"/>
              </w:rPr>
            </w:pPr>
          </w:p>
        </w:tc>
        <w:tc>
          <w:tcPr>
            <w:tcW w:w="2980" w:type="dxa"/>
            <w:vAlign w:val="bottom"/>
          </w:tcPr>
          <w:p>
            <w:pPr>
              <w:spacing w:after="0"/>
              <w:rPr>
                <w:sz w:val="13"/>
                <w:szCs w:val="13"/>
                <w:color w:val="auto"/>
              </w:rPr>
            </w:pPr>
          </w:p>
        </w:tc>
        <w:tc>
          <w:tcPr>
            <w:tcW w:w="3520" w:type="dxa"/>
            <w:vAlign w:val="bottom"/>
            <w:tcBorders>
              <w:right w:val="single" w:sz="8" w:color="auto"/>
            </w:tcBorders>
          </w:tcPr>
          <w:p>
            <w:pPr>
              <w:ind w:left="160"/>
              <w:spacing w:after="0" w:line="152" w:lineRule="exact"/>
              <w:rPr>
                <w:sz w:val="20"/>
                <w:szCs w:val="20"/>
                <w:color w:val="auto"/>
              </w:rPr>
            </w:pPr>
            <w:r>
              <w:rPr>
                <w:rFonts w:ascii="Times New Roman" w:cs="Times New Roman" w:eastAsia="Times New Roman" w:hAnsi="Times New Roman"/>
                <w:sz w:val="14"/>
                <w:szCs w:val="14"/>
                <w:color w:val="auto"/>
              </w:rPr>
              <w:t>tendering Restricted Notes and comply with such</w:t>
            </w:r>
          </w:p>
        </w:tc>
        <w:tc>
          <w:tcPr>
            <w:tcW w:w="760" w:type="dxa"/>
            <w:vAlign w:val="bottom"/>
          </w:tcPr>
          <w:p>
            <w:pPr>
              <w:spacing w:after="0"/>
              <w:rPr>
                <w:sz w:val="13"/>
                <w:szCs w:val="13"/>
                <w:color w:val="auto"/>
              </w:rPr>
            </w:pPr>
          </w:p>
        </w:tc>
      </w:tr>
      <w:tr>
        <w:trPr>
          <w:trHeight w:val="175"/>
        </w:trPr>
        <w:tc>
          <w:tcPr>
            <w:tcW w:w="800" w:type="dxa"/>
            <w:vAlign w:val="bottom"/>
            <w:tcBorders>
              <w:right w:val="single" w:sz="8" w:color="auto"/>
            </w:tcBorders>
          </w:tcPr>
          <w:p>
            <w:pPr>
              <w:spacing w:after="0"/>
              <w:rPr>
                <w:sz w:val="15"/>
                <w:szCs w:val="15"/>
                <w:color w:val="auto"/>
              </w:rPr>
            </w:pPr>
          </w:p>
        </w:tc>
        <w:tc>
          <w:tcPr>
            <w:tcW w:w="2980" w:type="dxa"/>
            <w:vAlign w:val="bottom"/>
          </w:tcPr>
          <w:p>
            <w:pPr>
              <w:spacing w:after="0"/>
              <w:rPr>
                <w:sz w:val="15"/>
                <w:szCs w:val="15"/>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procedures.</w:t>
            </w:r>
          </w:p>
        </w:tc>
        <w:tc>
          <w:tcPr>
            <w:tcW w:w="760" w:type="dxa"/>
            <w:vAlign w:val="bottom"/>
          </w:tcPr>
          <w:p>
            <w:pPr>
              <w:spacing w:after="0"/>
              <w:rPr>
                <w:sz w:val="15"/>
                <w:szCs w:val="15"/>
                <w:color w:val="auto"/>
              </w:rPr>
            </w:pPr>
          </w:p>
        </w:tc>
      </w:tr>
      <w:tr>
        <w:trPr>
          <w:trHeight w:val="231"/>
        </w:trPr>
        <w:tc>
          <w:tcPr>
            <w:tcW w:w="800" w:type="dxa"/>
            <w:vAlign w:val="bottom"/>
            <w:tcBorders>
              <w:right w:val="single" w:sz="8" w:color="auto"/>
            </w:tcBorders>
          </w:tcPr>
          <w:p>
            <w:pPr>
              <w:spacing w:after="0"/>
              <w:rPr>
                <w:sz w:val="20"/>
                <w:szCs w:val="20"/>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Withdrawal of Tenders</w:t>
            </w: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Tenders of the Restricted Notes pursuant to the</w:t>
            </w:r>
          </w:p>
        </w:tc>
        <w:tc>
          <w:tcPr>
            <w:tcW w:w="760" w:type="dxa"/>
            <w:vAlign w:val="bottom"/>
          </w:tcPr>
          <w:p>
            <w:pPr>
              <w:spacing w:after="0"/>
              <w:rPr>
                <w:sz w:val="20"/>
                <w:szCs w:val="20"/>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exchange offer may be withdrawn at any time prior to</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the expiration time. To withdraw, you must send a</w:t>
            </w:r>
          </w:p>
        </w:tc>
        <w:tc>
          <w:tcPr>
            <w:tcW w:w="760" w:type="dxa"/>
            <w:vAlign w:val="bottom"/>
          </w:tcPr>
          <w:p>
            <w:pPr>
              <w:spacing w:after="0"/>
              <w:rPr>
                <w:sz w:val="14"/>
                <w:szCs w:val="14"/>
                <w:color w:val="auto"/>
              </w:rPr>
            </w:pPr>
          </w:p>
        </w:tc>
      </w:tr>
      <w:tr>
        <w:trPr>
          <w:trHeight w:val="160"/>
        </w:trPr>
        <w:tc>
          <w:tcPr>
            <w:tcW w:w="800" w:type="dxa"/>
            <w:vAlign w:val="bottom"/>
            <w:tcBorders>
              <w:right w:val="single" w:sz="8" w:color="auto"/>
            </w:tcBorders>
          </w:tcPr>
          <w:p>
            <w:pPr>
              <w:spacing w:after="0"/>
              <w:rPr>
                <w:sz w:val="13"/>
                <w:szCs w:val="13"/>
                <w:color w:val="auto"/>
              </w:rPr>
            </w:pPr>
          </w:p>
        </w:tc>
        <w:tc>
          <w:tcPr>
            <w:tcW w:w="2980" w:type="dxa"/>
            <w:vAlign w:val="bottom"/>
          </w:tcPr>
          <w:p>
            <w:pPr>
              <w:spacing w:after="0"/>
              <w:rPr>
                <w:sz w:val="13"/>
                <w:szCs w:val="13"/>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written notice of withdrawal to the exchange agent at</w:t>
            </w:r>
          </w:p>
        </w:tc>
        <w:tc>
          <w:tcPr>
            <w:tcW w:w="760" w:type="dxa"/>
            <w:vAlign w:val="bottom"/>
          </w:tcPr>
          <w:p>
            <w:pPr>
              <w:spacing w:after="0"/>
              <w:rPr>
                <w:sz w:val="13"/>
                <w:szCs w:val="13"/>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its address indicated under “</w:t>
            </w:r>
            <w:r>
              <w:rPr>
                <w:rFonts w:ascii="Times New Roman" w:cs="Times New Roman" w:eastAsia="Times New Roman" w:hAnsi="Times New Roman"/>
                <w:sz w:val="14"/>
                <w:szCs w:val="14"/>
                <w:i w:val="1"/>
                <w:iCs w:val="1"/>
                <w:color w:val="auto"/>
              </w:rPr>
              <w:t>Terms of the Exchange</w:t>
            </w:r>
          </w:p>
        </w:tc>
        <w:tc>
          <w:tcPr>
            <w:tcW w:w="760" w:type="dxa"/>
            <w:vAlign w:val="bottom"/>
          </w:tcPr>
          <w:p>
            <w:pPr>
              <w:spacing w:after="0"/>
              <w:rPr>
                <w:sz w:val="14"/>
                <w:szCs w:val="14"/>
                <w:color w:val="auto"/>
              </w:rPr>
            </w:pPr>
          </w:p>
        </w:tc>
      </w:tr>
      <w:tr>
        <w:trPr>
          <w:trHeight w:val="164"/>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i w:val="1"/>
                <w:iCs w:val="1"/>
                <w:color w:val="auto"/>
              </w:rPr>
              <w:t>Offer — Exchange Agent</w:t>
            </w:r>
            <w:r>
              <w:rPr>
                <w:rFonts w:ascii="Times New Roman" w:cs="Times New Roman" w:eastAsia="Times New Roman" w:hAnsi="Times New Roman"/>
                <w:sz w:val="14"/>
                <w:szCs w:val="14"/>
                <w:color w:val="auto"/>
              </w:rPr>
              <w:t>” before the expiration time of</w:t>
            </w:r>
          </w:p>
        </w:tc>
        <w:tc>
          <w:tcPr>
            <w:tcW w:w="760" w:type="dxa"/>
            <w:vAlign w:val="bottom"/>
          </w:tcPr>
          <w:p>
            <w:pPr>
              <w:spacing w:after="0"/>
              <w:rPr>
                <w:sz w:val="14"/>
                <w:szCs w:val="14"/>
                <w:color w:val="auto"/>
              </w:rPr>
            </w:pPr>
          </w:p>
        </w:tc>
      </w:tr>
      <w:tr>
        <w:trPr>
          <w:trHeight w:val="175"/>
        </w:trPr>
        <w:tc>
          <w:tcPr>
            <w:tcW w:w="800" w:type="dxa"/>
            <w:vAlign w:val="bottom"/>
            <w:tcBorders>
              <w:right w:val="single" w:sz="8" w:color="auto"/>
            </w:tcBorders>
          </w:tcPr>
          <w:p>
            <w:pPr>
              <w:spacing w:after="0"/>
              <w:rPr>
                <w:sz w:val="15"/>
                <w:szCs w:val="15"/>
                <w:color w:val="auto"/>
              </w:rPr>
            </w:pPr>
          </w:p>
        </w:tc>
        <w:tc>
          <w:tcPr>
            <w:tcW w:w="2980" w:type="dxa"/>
            <w:vAlign w:val="bottom"/>
          </w:tcPr>
          <w:p>
            <w:pPr>
              <w:spacing w:after="0"/>
              <w:rPr>
                <w:sz w:val="15"/>
                <w:szCs w:val="15"/>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the exchange offer.</w:t>
            </w:r>
          </w:p>
        </w:tc>
        <w:tc>
          <w:tcPr>
            <w:tcW w:w="760" w:type="dxa"/>
            <w:vAlign w:val="bottom"/>
          </w:tcPr>
          <w:p>
            <w:pPr>
              <w:spacing w:after="0"/>
              <w:rPr>
                <w:sz w:val="15"/>
                <w:szCs w:val="15"/>
                <w:color w:val="auto"/>
              </w:rPr>
            </w:pPr>
          </w:p>
        </w:tc>
      </w:tr>
      <w:tr>
        <w:trPr>
          <w:trHeight w:val="217"/>
        </w:trPr>
        <w:tc>
          <w:tcPr>
            <w:tcW w:w="800" w:type="dxa"/>
            <w:vAlign w:val="bottom"/>
            <w:tcBorders>
              <w:right w:val="single" w:sz="8" w:color="auto"/>
            </w:tcBorders>
          </w:tcPr>
          <w:p>
            <w:pPr>
              <w:spacing w:after="0"/>
              <w:rPr>
                <w:sz w:val="18"/>
                <w:szCs w:val="18"/>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7"/>
              </w:rPr>
              <w:t>Acceptance of the Restricted Notes and Delivery</w:t>
            </w:r>
          </w:p>
        </w:tc>
        <w:tc>
          <w:tcPr>
            <w:tcW w:w="35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r>
      <w:tr>
        <w:trPr>
          <w:trHeight w:val="166"/>
        </w:trPr>
        <w:tc>
          <w:tcPr>
            <w:tcW w:w="800" w:type="dxa"/>
            <w:vAlign w:val="bottom"/>
            <w:tcBorders>
              <w:right w:val="single" w:sz="8" w:color="auto"/>
            </w:tcBorders>
          </w:tcPr>
          <w:p>
            <w:pPr>
              <w:spacing w:after="0"/>
              <w:rPr>
                <w:sz w:val="14"/>
                <w:szCs w:val="14"/>
                <w:color w:val="auto"/>
              </w:rPr>
            </w:pPr>
          </w:p>
        </w:tc>
        <w:tc>
          <w:tcPr>
            <w:tcW w:w="29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of the Registered Notes</w:t>
            </w: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If all of the conditions to the completion of the</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exchange offer are satisfied, the Company will accept</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any and all Restricted Notes that are properly tendered</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in the exchange offer and not properly withdrawn</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before the expiration time. The Company will return</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any Restricted Notes that the Company does not accept</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for exchange to its registered holder at the Company’s</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expense promptly after the expiration time. The</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Company will deliver the Registered Notes to the</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registered holders of Restricted Notes accepted for</w:t>
            </w:r>
          </w:p>
        </w:tc>
        <w:tc>
          <w:tcPr>
            <w:tcW w:w="760" w:type="dxa"/>
            <w:vAlign w:val="bottom"/>
          </w:tcPr>
          <w:p>
            <w:pPr>
              <w:spacing w:after="0"/>
              <w:rPr>
                <w:sz w:val="14"/>
                <w:szCs w:val="14"/>
                <w:color w:val="auto"/>
              </w:rPr>
            </w:pPr>
          </w:p>
        </w:tc>
      </w:tr>
      <w:tr>
        <w:trPr>
          <w:trHeight w:val="160"/>
        </w:trPr>
        <w:tc>
          <w:tcPr>
            <w:tcW w:w="800" w:type="dxa"/>
            <w:vAlign w:val="bottom"/>
            <w:tcBorders>
              <w:right w:val="single" w:sz="8" w:color="auto"/>
            </w:tcBorders>
          </w:tcPr>
          <w:p>
            <w:pPr>
              <w:spacing w:after="0"/>
              <w:rPr>
                <w:sz w:val="13"/>
                <w:szCs w:val="13"/>
                <w:color w:val="auto"/>
              </w:rPr>
            </w:pPr>
          </w:p>
        </w:tc>
        <w:tc>
          <w:tcPr>
            <w:tcW w:w="2980" w:type="dxa"/>
            <w:vAlign w:val="bottom"/>
          </w:tcPr>
          <w:p>
            <w:pPr>
              <w:spacing w:after="0"/>
              <w:rPr>
                <w:sz w:val="13"/>
                <w:szCs w:val="13"/>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exchange promptly after the expiration time and</w:t>
            </w:r>
          </w:p>
        </w:tc>
        <w:tc>
          <w:tcPr>
            <w:tcW w:w="760" w:type="dxa"/>
            <w:vAlign w:val="bottom"/>
          </w:tcPr>
          <w:p>
            <w:pPr>
              <w:spacing w:after="0"/>
              <w:rPr>
                <w:sz w:val="13"/>
                <w:szCs w:val="13"/>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acceptance of such Restricted Notes. See “</w:t>
            </w:r>
            <w:r>
              <w:rPr>
                <w:rFonts w:ascii="Times New Roman" w:cs="Times New Roman" w:eastAsia="Times New Roman" w:hAnsi="Times New Roman"/>
                <w:sz w:val="14"/>
                <w:szCs w:val="14"/>
                <w:i w:val="1"/>
                <w:iCs w:val="1"/>
                <w:color w:val="auto"/>
              </w:rPr>
              <w:t>Terms of the</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i w:val="1"/>
                <w:iCs w:val="1"/>
                <w:color w:val="auto"/>
              </w:rPr>
              <w:t>Exchange Offer — Acceptance of Restricted Notes for</w:t>
            </w:r>
          </w:p>
        </w:tc>
        <w:tc>
          <w:tcPr>
            <w:tcW w:w="760" w:type="dxa"/>
            <w:vAlign w:val="bottom"/>
          </w:tcPr>
          <w:p>
            <w:pPr>
              <w:spacing w:after="0"/>
              <w:rPr>
                <w:sz w:val="14"/>
                <w:szCs w:val="14"/>
                <w:color w:val="auto"/>
              </w:rPr>
            </w:pPr>
          </w:p>
        </w:tc>
      </w:tr>
      <w:tr>
        <w:trPr>
          <w:trHeight w:val="177"/>
        </w:trPr>
        <w:tc>
          <w:tcPr>
            <w:tcW w:w="800" w:type="dxa"/>
            <w:vAlign w:val="bottom"/>
            <w:tcBorders>
              <w:right w:val="single" w:sz="8" w:color="auto"/>
            </w:tcBorders>
          </w:tcPr>
          <w:p>
            <w:pPr>
              <w:spacing w:after="0"/>
              <w:rPr>
                <w:sz w:val="15"/>
                <w:szCs w:val="15"/>
                <w:color w:val="auto"/>
              </w:rPr>
            </w:pPr>
          </w:p>
        </w:tc>
        <w:tc>
          <w:tcPr>
            <w:tcW w:w="2980" w:type="dxa"/>
            <w:vAlign w:val="bottom"/>
          </w:tcPr>
          <w:p>
            <w:pPr>
              <w:spacing w:after="0"/>
              <w:rPr>
                <w:sz w:val="15"/>
                <w:szCs w:val="15"/>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i w:val="1"/>
                <w:iCs w:val="1"/>
                <w:color w:val="auto"/>
              </w:rPr>
              <w:t>Exchange; Delivery of Registered Notes</w:t>
            </w:r>
            <w:r>
              <w:rPr>
                <w:rFonts w:ascii="Times New Roman" w:cs="Times New Roman" w:eastAsia="Times New Roman" w:hAnsi="Times New Roman"/>
                <w:sz w:val="14"/>
                <w:szCs w:val="14"/>
                <w:color w:val="auto"/>
              </w:rPr>
              <w:t>.”</w:t>
            </w:r>
          </w:p>
        </w:tc>
        <w:tc>
          <w:tcPr>
            <w:tcW w:w="760" w:type="dxa"/>
            <w:vAlign w:val="bottom"/>
          </w:tcPr>
          <w:p>
            <w:pPr>
              <w:spacing w:after="0"/>
              <w:rPr>
                <w:sz w:val="15"/>
                <w:szCs w:val="15"/>
                <w:color w:val="auto"/>
              </w:rPr>
            </w:pPr>
          </w:p>
        </w:tc>
      </w:tr>
      <w:tr>
        <w:trPr>
          <w:trHeight w:val="231"/>
        </w:trPr>
        <w:tc>
          <w:tcPr>
            <w:tcW w:w="800" w:type="dxa"/>
            <w:vAlign w:val="bottom"/>
            <w:tcBorders>
              <w:right w:val="single" w:sz="8" w:color="auto"/>
            </w:tcBorders>
          </w:tcPr>
          <w:p>
            <w:pPr>
              <w:spacing w:after="0"/>
              <w:rPr>
                <w:sz w:val="20"/>
                <w:szCs w:val="20"/>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Effect on Holders of the Restricted Notes</w:t>
            </w: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As a result of making, and upon acceptance for</w:t>
            </w:r>
          </w:p>
        </w:tc>
        <w:tc>
          <w:tcPr>
            <w:tcW w:w="760" w:type="dxa"/>
            <w:vAlign w:val="bottom"/>
          </w:tcPr>
          <w:p>
            <w:pPr>
              <w:spacing w:after="0"/>
              <w:rPr>
                <w:sz w:val="20"/>
                <w:szCs w:val="20"/>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exchange of all validly tendered Restricted Notes</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pursuant to the terms of, the exchange offer, the</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Company will have fulfilled a covenant contained in</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the Registration Rights Agreement. If a holder of</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Restricted Notes does not tender its Restricted Notes in</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the exchange offer, such holder will continue to hold its</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Restricted Notes and such holder will be entitled to all</w:t>
            </w:r>
          </w:p>
        </w:tc>
        <w:tc>
          <w:tcPr>
            <w:tcW w:w="760" w:type="dxa"/>
            <w:vAlign w:val="bottom"/>
          </w:tcPr>
          <w:p>
            <w:pPr>
              <w:spacing w:after="0"/>
              <w:rPr>
                <w:sz w:val="14"/>
                <w:szCs w:val="14"/>
                <w:color w:val="auto"/>
              </w:rPr>
            </w:pPr>
          </w:p>
        </w:tc>
      </w:tr>
      <w:tr>
        <w:trPr>
          <w:trHeight w:val="160"/>
        </w:trPr>
        <w:tc>
          <w:tcPr>
            <w:tcW w:w="800" w:type="dxa"/>
            <w:vAlign w:val="bottom"/>
            <w:tcBorders>
              <w:right w:val="single" w:sz="8" w:color="auto"/>
            </w:tcBorders>
          </w:tcPr>
          <w:p>
            <w:pPr>
              <w:spacing w:after="0"/>
              <w:rPr>
                <w:sz w:val="13"/>
                <w:szCs w:val="13"/>
                <w:color w:val="auto"/>
              </w:rPr>
            </w:pPr>
          </w:p>
        </w:tc>
        <w:tc>
          <w:tcPr>
            <w:tcW w:w="2980" w:type="dxa"/>
            <w:vAlign w:val="bottom"/>
          </w:tcPr>
          <w:p>
            <w:pPr>
              <w:spacing w:after="0"/>
              <w:rPr>
                <w:sz w:val="13"/>
                <w:szCs w:val="13"/>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the rights and limitations applicable to the Restricted</w:t>
            </w:r>
          </w:p>
        </w:tc>
        <w:tc>
          <w:tcPr>
            <w:tcW w:w="760" w:type="dxa"/>
            <w:vAlign w:val="bottom"/>
          </w:tcPr>
          <w:p>
            <w:pPr>
              <w:spacing w:after="0"/>
              <w:rPr>
                <w:sz w:val="13"/>
                <w:szCs w:val="13"/>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Notes in the Indenture (as defined below in “</w:t>
            </w:r>
            <w:r>
              <w:rPr>
                <w:rFonts w:ascii="Times New Roman" w:cs="Times New Roman" w:eastAsia="Times New Roman" w:hAnsi="Times New Roman"/>
                <w:sz w:val="14"/>
                <w:szCs w:val="14"/>
                <w:i w:val="1"/>
                <w:iCs w:val="1"/>
                <w:color w:val="auto"/>
              </w:rPr>
              <w:t>The</w:t>
            </w:r>
          </w:p>
        </w:tc>
        <w:tc>
          <w:tcPr>
            <w:tcW w:w="760" w:type="dxa"/>
            <w:vAlign w:val="bottom"/>
          </w:tcPr>
          <w:p>
            <w:pPr>
              <w:spacing w:after="0"/>
              <w:rPr>
                <w:sz w:val="14"/>
                <w:szCs w:val="14"/>
                <w:color w:val="auto"/>
              </w:rPr>
            </w:pPr>
          </w:p>
        </w:tc>
      </w:tr>
      <w:tr>
        <w:trPr>
          <w:trHeight w:val="164"/>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i w:val="1"/>
                <w:iCs w:val="1"/>
                <w:color w:val="auto"/>
              </w:rPr>
              <w:t>Registered Notes</w:t>
            </w:r>
            <w:r>
              <w:rPr>
                <w:rFonts w:ascii="Times New Roman" w:cs="Times New Roman" w:eastAsia="Times New Roman" w:hAnsi="Times New Roman"/>
                <w:sz w:val="14"/>
                <w:szCs w:val="14"/>
                <w:color w:val="auto"/>
              </w:rPr>
              <w:t>”), except for any rights under the</w:t>
            </w:r>
          </w:p>
        </w:tc>
        <w:tc>
          <w:tcPr>
            <w:tcW w:w="760" w:type="dxa"/>
            <w:vAlign w:val="bottom"/>
          </w:tcPr>
          <w:p>
            <w:pPr>
              <w:spacing w:after="0"/>
              <w:rPr>
                <w:sz w:val="14"/>
                <w:szCs w:val="14"/>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Registration Rights Agreement that by their terms</w:t>
            </w:r>
          </w:p>
        </w:tc>
        <w:tc>
          <w:tcPr>
            <w:tcW w:w="760" w:type="dxa"/>
            <w:vAlign w:val="bottom"/>
          </w:tcPr>
          <w:p>
            <w:pPr>
              <w:spacing w:after="0"/>
              <w:rPr>
                <w:sz w:val="14"/>
                <w:szCs w:val="14"/>
                <w:color w:val="auto"/>
              </w:rPr>
            </w:pPr>
          </w:p>
        </w:tc>
      </w:tr>
      <w:tr>
        <w:trPr>
          <w:trHeight w:val="160"/>
        </w:trPr>
        <w:tc>
          <w:tcPr>
            <w:tcW w:w="800" w:type="dxa"/>
            <w:vAlign w:val="bottom"/>
            <w:tcBorders>
              <w:right w:val="single" w:sz="8" w:color="auto"/>
            </w:tcBorders>
          </w:tcPr>
          <w:p>
            <w:pPr>
              <w:spacing w:after="0"/>
              <w:rPr>
                <w:sz w:val="13"/>
                <w:szCs w:val="13"/>
                <w:color w:val="auto"/>
              </w:rPr>
            </w:pPr>
          </w:p>
        </w:tc>
        <w:tc>
          <w:tcPr>
            <w:tcW w:w="2980" w:type="dxa"/>
            <w:vAlign w:val="bottom"/>
          </w:tcPr>
          <w:p>
            <w:pPr>
              <w:spacing w:after="0"/>
              <w:rPr>
                <w:sz w:val="13"/>
                <w:szCs w:val="13"/>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terminate upon the consummation of the exchange</w:t>
            </w:r>
          </w:p>
        </w:tc>
        <w:tc>
          <w:tcPr>
            <w:tcW w:w="760" w:type="dxa"/>
            <w:vAlign w:val="bottom"/>
          </w:tcPr>
          <w:p>
            <w:pPr>
              <w:spacing w:after="0"/>
              <w:rPr>
                <w:sz w:val="13"/>
                <w:szCs w:val="13"/>
                <w:color w:val="auto"/>
              </w:rPr>
            </w:pPr>
          </w:p>
        </w:tc>
      </w:tr>
      <w:tr>
        <w:trPr>
          <w:trHeight w:val="162"/>
        </w:trPr>
        <w:tc>
          <w:tcPr>
            <w:tcW w:w="800" w:type="dxa"/>
            <w:vAlign w:val="bottom"/>
            <w:tcBorders>
              <w:right w:val="single" w:sz="8" w:color="auto"/>
            </w:tcBorders>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offer. See “</w:t>
            </w:r>
            <w:r>
              <w:rPr>
                <w:rFonts w:ascii="Times New Roman" w:cs="Times New Roman" w:eastAsia="Times New Roman" w:hAnsi="Times New Roman"/>
                <w:sz w:val="14"/>
                <w:szCs w:val="14"/>
                <w:i w:val="1"/>
                <w:iCs w:val="1"/>
                <w:color w:val="auto"/>
              </w:rPr>
              <w:t>Terms of the Exchange Offer — Purpose and</w:t>
            </w:r>
          </w:p>
        </w:tc>
        <w:tc>
          <w:tcPr>
            <w:tcW w:w="760" w:type="dxa"/>
            <w:vAlign w:val="bottom"/>
          </w:tcPr>
          <w:p>
            <w:pPr>
              <w:spacing w:after="0"/>
              <w:rPr>
                <w:sz w:val="14"/>
                <w:szCs w:val="14"/>
                <w:color w:val="auto"/>
              </w:rPr>
            </w:pPr>
          </w:p>
        </w:tc>
      </w:tr>
      <w:tr>
        <w:trPr>
          <w:trHeight w:val="177"/>
        </w:trPr>
        <w:tc>
          <w:tcPr>
            <w:tcW w:w="800" w:type="dxa"/>
            <w:vAlign w:val="bottom"/>
            <w:tcBorders>
              <w:right w:val="single" w:sz="8" w:color="auto"/>
            </w:tcBorders>
          </w:tcPr>
          <w:p>
            <w:pPr>
              <w:spacing w:after="0"/>
              <w:rPr>
                <w:sz w:val="15"/>
                <w:szCs w:val="15"/>
                <w:color w:val="auto"/>
              </w:rPr>
            </w:pPr>
          </w:p>
        </w:tc>
        <w:tc>
          <w:tcPr>
            <w:tcW w:w="2980" w:type="dxa"/>
            <w:vAlign w:val="bottom"/>
          </w:tcPr>
          <w:p>
            <w:pPr>
              <w:spacing w:after="0"/>
              <w:rPr>
                <w:sz w:val="15"/>
                <w:szCs w:val="15"/>
                <w:color w:val="auto"/>
              </w:rPr>
            </w:pPr>
          </w:p>
        </w:tc>
        <w:tc>
          <w:tcPr>
            <w:tcW w:w="3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i w:val="1"/>
                <w:iCs w:val="1"/>
                <w:color w:val="auto"/>
              </w:rPr>
              <w:t>Effect of the Exchange Offer</w:t>
            </w:r>
            <w:r>
              <w:rPr>
                <w:rFonts w:ascii="Times New Roman" w:cs="Times New Roman" w:eastAsia="Times New Roman" w:hAnsi="Times New Roman"/>
                <w:sz w:val="14"/>
                <w:szCs w:val="14"/>
                <w:color w:val="auto"/>
              </w:rPr>
              <w:t>.”</w:t>
            </w:r>
          </w:p>
        </w:tc>
        <w:tc>
          <w:tcPr>
            <w:tcW w:w="760" w:type="dxa"/>
            <w:vAlign w:val="bottom"/>
          </w:tcPr>
          <w:p>
            <w:pPr>
              <w:spacing w:after="0"/>
              <w:rPr>
                <w:sz w:val="15"/>
                <w:szCs w:val="15"/>
                <w:color w:val="auto"/>
              </w:rPr>
            </w:pPr>
          </w:p>
        </w:tc>
      </w:tr>
      <w:tr>
        <w:trPr>
          <w:trHeight w:val="229"/>
        </w:trPr>
        <w:tc>
          <w:tcPr>
            <w:tcW w:w="800" w:type="dxa"/>
            <w:vAlign w:val="bottom"/>
            <w:tcBorders>
              <w:right w:val="single" w:sz="8" w:color="auto"/>
            </w:tcBorders>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3520" w:type="dxa"/>
            <w:vAlign w:val="bottom"/>
            <w:tcBorders>
              <w:bottom w:val="single" w:sz="8" w:color="auto"/>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r>
      <w:tr>
        <w:trPr>
          <w:trHeight w:val="228"/>
        </w:trPr>
        <w:tc>
          <w:tcPr>
            <w:tcW w:w="8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6</w:t>
            </w:r>
          </w:p>
        </w:tc>
        <w:tc>
          <w:tcPr>
            <w:tcW w:w="760" w:type="dxa"/>
            <w:vAlign w:val="bottom"/>
          </w:tcPr>
          <w:p>
            <w:pPr>
              <w:spacing w:after="0"/>
              <w:rPr>
                <w:sz w:val="19"/>
                <w:szCs w:val="19"/>
                <w:color w:val="auto"/>
              </w:rPr>
            </w:pPr>
          </w:p>
        </w:tc>
      </w:tr>
      <w:tr>
        <w:trPr>
          <w:trHeight w:val="295"/>
        </w:trPr>
        <w:tc>
          <w:tcPr>
            <w:tcW w:w="80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-24765</wp:posOffset>
            </wp:positionV>
            <wp:extent cx="3175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-24765</wp:posOffset>
            </wp:positionV>
            <wp:extent cx="3175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2" w:name="page13"/>
    <w:bookmarkEnd w:id="12"/>
    <w:p>
      <w:pPr>
        <w:ind w:left="48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247650</wp:posOffset>
            </wp:positionV>
            <wp:extent cx="4150360" cy="59867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4150360" cy="598678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b w:val="1"/>
          <w:bCs w:val="1"/>
          <w:color w:val="auto"/>
        </w:rPr>
        <w:t>Consequences of Failure to Exchange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419"/>
        <w:spacing w:after="0" w:line="243" w:lineRule="auto"/>
        <w:rPr>
          <w:sz w:val="20"/>
          <w:szCs w:val="20"/>
          <w:color w:val="auto"/>
        </w:rPr>
      </w:pPr>
      <w:r>
        <w:rPr>
          <w:rFonts w:ascii="Times New Roman" w:cs="Times New Roman" w:eastAsia="Times New Roman" w:hAnsi="Times New Roman"/>
          <w:sz w:val="14"/>
          <w:szCs w:val="14"/>
          <w:color w:val="auto"/>
        </w:rPr>
        <w:t>All untendered Restricted Notes will continue to be subject to the restrictions on transfer provided for in the Restricted Notes and in the Indenture. In general, the Restricted Notes may not be offered or sold unless registered under the Securities Act, except pursuant to an exemption from, or in a transaction not subject to, the Securities Act and applicable state or local securities laws. The trading market for your Restricted Notes will likely become more limited to the extent that other holders of Restricted Notes participate in the exchange offer. Following consummation of the exchange offer, the Company will not be required to register under the Securities Act any Restricted Notes that remain outstanding, except in the limited circumstances in which it is obligated to file a shelf registration statement for certain holders of Restricted Notes not eligible to participate in the exchange offer pursuant to the Registration Rights Agreement. If your Restricted Notes are not tendered and accepted in the exchange offer, it may become more difficult to sell or transfer the Restricted Notes. See “</w:t>
      </w:r>
      <w:r>
        <w:rPr>
          <w:rFonts w:ascii="Times New Roman" w:cs="Times New Roman" w:eastAsia="Times New Roman" w:hAnsi="Times New Roman"/>
          <w:sz w:val="14"/>
          <w:szCs w:val="14"/>
          <w:i w:val="1"/>
          <w:iCs w:val="1"/>
          <w:color w:val="auto"/>
        </w:rPr>
        <w:t>Terms of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Exchange Offer — Additional Obligations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ectPr>
          <w:pgSz w:w="11900" w:h="16838" w:orient="portrait"/>
          <w:cols w:equalWidth="0" w:num="2">
            <w:col w:w="3700" w:space="720"/>
            <w:col w:w="4599"/>
          </w:cols>
          <w:pgMar w:left="1440" w:top="110" w:right="1440" w:bottom="1440" w:gutter="0" w:footer="0" w:header="0"/>
          <w:type w:val="continuous"/>
        </w:sectPr>
      </w:pPr>
    </w:p>
    <w:p>
      <w:pPr>
        <w:spacing w:after="0" w:line="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b w:val="1"/>
          <w:bCs w:val="1"/>
          <w:color w:val="auto"/>
        </w:rPr>
        <w:t>Material U.S. Federal Income Tax</w:t>
      </w:r>
    </w:p>
    <w:p>
      <w:pPr>
        <w:spacing w:after="0" w:line="4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Considerations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1479"/>
        <w:spacing w:after="0" w:line="248" w:lineRule="auto"/>
        <w:rPr>
          <w:sz w:val="20"/>
          <w:szCs w:val="20"/>
          <w:color w:val="auto"/>
        </w:rPr>
      </w:pPr>
      <w:r>
        <w:rPr>
          <w:rFonts w:ascii="Times New Roman" w:cs="Times New Roman" w:eastAsia="Times New Roman" w:hAnsi="Times New Roman"/>
          <w:sz w:val="14"/>
          <w:szCs w:val="14"/>
          <w:color w:val="auto"/>
        </w:rPr>
        <w:t>The exchange of Restricted Notes for Registered Notes in the exchange offer will not constitute a taxable exchange for U.S. federal income tax purposes. See “</w:t>
      </w:r>
      <w:r>
        <w:rPr>
          <w:rFonts w:ascii="Times New Roman" w:cs="Times New Roman" w:eastAsia="Times New Roman" w:hAnsi="Times New Roman"/>
          <w:sz w:val="14"/>
          <w:szCs w:val="14"/>
          <w:i w:val="1"/>
          <w:iCs w:val="1"/>
          <w:color w:val="auto"/>
        </w:rPr>
        <w:t>Material U.S. Federal Income Tax Considerations</w:t>
      </w:r>
      <w:r>
        <w:rPr>
          <w:rFonts w:ascii="Times New Roman" w:cs="Times New Roman" w:eastAsia="Times New Roman" w:hAnsi="Times New Roman"/>
          <w:sz w:val="14"/>
          <w:szCs w:val="14"/>
          <w:color w:val="auto"/>
        </w:rPr>
        <w:t>.”</w:t>
      </w:r>
    </w:p>
    <w:p>
      <w:pPr>
        <w:spacing w:after="0" w:line="61" w:lineRule="exact"/>
        <w:rPr>
          <w:sz w:val="20"/>
          <w:szCs w:val="20"/>
          <w:color w:val="auto"/>
        </w:rPr>
      </w:pPr>
    </w:p>
    <w:p>
      <w:pPr>
        <w:sectPr>
          <w:pgSz w:w="11900" w:h="16838" w:orient="portrait"/>
          <w:cols w:equalWidth="0" w:num="2">
            <w:col w:w="3700" w:space="720"/>
            <w:col w:w="4599"/>
          </w:cols>
          <w:pgMar w:left="1440" w:top="110" w:right="1440"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2"/>
          <w:szCs w:val="12"/>
          <w:b w:val="1"/>
          <w:bCs w:val="1"/>
          <w:color w:val="auto"/>
        </w:rPr>
        <w:t>Exchange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The Bank of New York Mellon Trust Company, N.A. is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exchange agent for the exchange offer. The address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telephone number of the exchange agent are set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forth under the heading “</w:t>
      </w:r>
      <w:r>
        <w:rPr>
          <w:rFonts w:ascii="Times New Roman" w:cs="Times New Roman" w:eastAsia="Times New Roman" w:hAnsi="Times New Roman"/>
          <w:sz w:val="14"/>
          <w:szCs w:val="14"/>
          <w:i w:val="1"/>
          <w:iCs w:val="1"/>
          <w:color w:val="auto"/>
        </w:rPr>
        <w:t>Terms of the Exchange Offer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Exchange Agent</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ectPr>
          <w:pgSz w:w="11900" w:h="16838" w:orient="portrait"/>
          <w:cols w:equalWidth="0" w:num="2">
            <w:col w:w="3700" w:space="720"/>
            <w:col w:w="4599"/>
          </w:cols>
          <w:pgMar w:left="1440" w:top="11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197485</wp:posOffset>
            </wp:positionV>
            <wp:extent cx="514223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type w:val="continuous"/>
        </w:sectPr>
      </w:pPr>
    </w:p>
    <w:bookmarkStart w:id="13" w:name="page14"/>
    <w:bookmarkEnd w:id="13"/>
    <w:p>
      <w:pPr>
        <w:ind w:left="4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244475</wp:posOffset>
            </wp:positionV>
            <wp:extent cx="4150360" cy="5999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4150360" cy="599948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THE REGISTERED NOTES</w:t>
      </w:r>
    </w:p>
    <w:p>
      <w:pPr>
        <w:spacing w:after="0" w:line="115" w:lineRule="exact"/>
        <w:rPr>
          <w:sz w:val="20"/>
          <w:szCs w:val="20"/>
          <w:color w:val="auto"/>
        </w:rPr>
      </w:pPr>
    </w:p>
    <w:p>
      <w:pPr>
        <w:ind w:left="1440" w:right="1479" w:firstLine="270"/>
        <w:spacing w:after="0" w:line="246" w:lineRule="auto"/>
        <w:rPr>
          <w:sz w:val="20"/>
          <w:szCs w:val="20"/>
          <w:color w:val="auto"/>
        </w:rPr>
      </w:pPr>
      <w:r>
        <w:rPr>
          <w:rFonts w:ascii="Times New Roman" w:cs="Times New Roman" w:eastAsia="Times New Roman" w:hAnsi="Times New Roman"/>
          <w:sz w:val="14"/>
          <w:szCs w:val="14"/>
          <w:i w:val="1"/>
          <w:iCs w:val="1"/>
          <w:color w:val="auto"/>
        </w:rPr>
        <w:t>The terms of the Registered Notes are summarized below. This summary is not a complete description of the Registered Notes. For a more detailed description of the Registered Notes, see the discussion under the heading “Description of the Registered Notes.” In this section, the terms “WM,” “Company,” the “Issuer,” “we” and “our” refer only to Waste Management, Inc. and not any of its subsidiaries. Other than the restrictions on transfer, registration rights and additional interest provisions, the Registered Notes will have the same terms as the Restricted Notes.</w:t>
      </w:r>
    </w:p>
    <w:p>
      <w:pPr>
        <w:spacing w:after="0" w:line="98" w:lineRule="exact"/>
        <w:rPr>
          <w:sz w:val="20"/>
          <w:szCs w:val="20"/>
          <w:color w:val="auto"/>
        </w:rPr>
      </w:pPr>
    </w:p>
    <w:p>
      <w:pPr>
        <w:ind w:left="1440" w:right="1439" w:firstLine="270"/>
        <w:spacing w:after="0" w:line="244" w:lineRule="auto"/>
        <w:rPr>
          <w:sz w:val="20"/>
          <w:szCs w:val="20"/>
          <w:color w:val="auto"/>
        </w:rPr>
      </w:pPr>
      <w:r>
        <w:rPr>
          <w:rFonts w:ascii="Times New Roman" w:cs="Times New Roman" w:eastAsia="Times New Roman" w:hAnsi="Times New Roman"/>
          <w:sz w:val="14"/>
          <w:szCs w:val="14"/>
          <w:color w:val="auto"/>
        </w:rPr>
        <w:t>The Restricted Notes were, and the Registered Notes will be, issued by Waste Management, Inc. The following table sets forth the title (including interest rate), CUSIP numbers of the Restricted Notes, maturity date, aggregate principal amount and interest payment dates of the Registered Notes offered hereby. The Restricted Notes were, and the Registered Notes will be, issued under and pursuant to an Indenture dated as of September 10, 1997 (the “</w:t>
      </w:r>
      <w:r>
        <w:rPr>
          <w:rFonts w:ascii="Times New Roman" w:cs="Times New Roman" w:eastAsia="Times New Roman" w:hAnsi="Times New Roman"/>
          <w:sz w:val="14"/>
          <w:szCs w:val="14"/>
          <w:i w:val="1"/>
          <w:iCs w:val="1"/>
          <w:color w:val="auto"/>
        </w:rPr>
        <w:t>Indenture</w:t>
      </w:r>
      <w:r>
        <w:rPr>
          <w:rFonts w:ascii="Times New Roman" w:cs="Times New Roman" w:eastAsia="Times New Roman" w:hAnsi="Times New Roman"/>
          <w:sz w:val="14"/>
          <w:szCs w:val="14"/>
          <w:color w:val="auto"/>
        </w:rPr>
        <w:t>”), between us and The Bank of New York Mellon Trust Company, N.A. (the current successor to the initial trustee, Texas Commerce Bank National Association), as trustee (the “</w:t>
      </w:r>
      <w:r>
        <w:rPr>
          <w:rFonts w:ascii="Times New Roman" w:cs="Times New Roman" w:eastAsia="Times New Roman" w:hAnsi="Times New Roman"/>
          <w:sz w:val="14"/>
          <w:szCs w:val="14"/>
          <w:i w:val="1"/>
          <w:iCs w:val="1"/>
          <w:color w:val="auto"/>
        </w:rPr>
        <w:t>Trustee</w:t>
      </w:r>
      <w:r>
        <w:rPr>
          <w:rFonts w:ascii="Times New Roman" w:cs="Times New Roman" w:eastAsia="Times New Roman" w:hAnsi="Times New Roman"/>
          <w:sz w:val="14"/>
          <w:szCs w:val="14"/>
          <w:color w:val="auto"/>
        </w:rPr>
        <w:t>”) and a corresponding resolution of the Company’s board of directors and an accompanying officers’ certificate setting forth the specific terms applicable to the Restricted Notes and the Registered Notes (the “</w:t>
      </w:r>
      <w:r>
        <w:rPr>
          <w:rFonts w:ascii="Times New Roman" w:cs="Times New Roman" w:eastAsia="Times New Roman" w:hAnsi="Times New Roman"/>
          <w:sz w:val="14"/>
          <w:szCs w:val="14"/>
          <w:i w:val="1"/>
          <w:iCs w:val="1"/>
          <w:color w:val="auto"/>
        </w:rPr>
        <w:t>Indenture Officers’ Certificate</w:t>
      </w:r>
      <w:r>
        <w:rPr>
          <w:rFonts w:ascii="Times New Roman" w:cs="Times New Roman" w:eastAsia="Times New Roman" w:hAnsi="Times New Roman"/>
          <w:sz w:val="14"/>
          <w:szCs w:val="14"/>
          <w:color w:val="auto"/>
        </w:rPr>
        <w:t>”), which have been filed as an exhibit to the registration statement of which this prospectus forms a part.</w:t>
      </w:r>
    </w:p>
    <w:p>
      <w:pPr>
        <w:sectPr>
          <w:pgSz w:w="11900" w:h="16838" w:orient="portrait"/>
          <w:cols w:equalWidth="0" w:num="1">
            <w:col w:w="9019"/>
          </w:cols>
          <w:pgMar w:left="1440" w:top="102" w:right="1440" w:bottom="1440" w:gutter="0" w:footer="0" w:header="0"/>
        </w:sectPr>
      </w:pPr>
    </w:p>
    <w:p>
      <w:pPr>
        <w:spacing w:after="0" w:line="23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1"/>
          <w:szCs w:val="11"/>
          <w:b w:val="1"/>
          <w:bCs w:val="1"/>
          <w:color w:val="auto"/>
        </w:rPr>
        <w:t>Title (Including Interest Rate)</w:t>
      </w:r>
    </w:p>
    <w:p>
      <w:pPr>
        <w:spacing w:after="0" w:line="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3.875% Senior Notes due</w:t>
      </w:r>
    </w:p>
    <w:p>
      <w:pPr>
        <w:spacing w:after="0" w:line="1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2029</w:t>
      </w:r>
    </w:p>
    <w:p>
      <w:pPr>
        <w:spacing w:after="0" w:line="8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Subsidiary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Interest Payment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b w:val="1"/>
          <w:bCs w:val="1"/>
          <w:color w:val="auto"/>
        </w:rPr>
        <w:t>Change of Control Offer</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CUSIP Nos. of</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40" w:type="dxa"/>
            <w:vAlign w:val="bottom"/>
          </w:tcPr>
          <w:p>
            <w:pPr>
              <w:spacing w:after="0"/>
              <w:rPr>
                <w:sz w:val="11"/>
                <w:szCs w:val="11"/>
                <w:color w:val="auto"/>
              </w:rPr>
            </w:pPr>
          </w:p>
        </w:tc>
      </w:tr>
      <w:tr>
        <w:trPr>
          <w:trHeight w:val="161"/>
        </w:trPr>
        <w:tc>
          <w:tcPr>
            <w:tcW w:w="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Restricted Notes</w:t>
            </w:r>
          </w:p>
        </w:tc>
        <w:tc>
          <w:tcPr>
            <w:tcW w:w="2260" w:type="dxa"/>
            <w:vAlign w:val="bottom"/>
            <w:gridSpan w:val="5"/>
          </w:tcPr>
          <w:p>
            <w:pPr>
              <w:ind w:left="40"/>
              <w:spacing w:after="0" w:line="161" w:lineRule="exact"/>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   Maturity Date    </w:t>
            </w: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 Principal Amount </w:t>
            </w:r>
            <w:r>
              <w:rPr>
                <w:rFonts w:ascii="Times New Roman" w:cs="Times New Roman" w:eastAsia="Times New Roman" w:hAnsi="Times New Roman"/>
                <w:sz w:val="18"/>
                <w:szCs w:val="18"/>
                <w:b w:val="1"/>
                <w:bCs w:val="1"/>
                <w:color w:val="auto"/>
                <w:vertAlign w:val="subscript"/>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Payment Dates</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0"/>
        </w:trPr>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94106LBZ1 and</w:t>
            </w:r>
          </w:p>
        </w:tc>
        <w:tc>
          <w:tcPr>
            <w:tcW w:w="16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January 15 and</w:t>
            </w:r>
          </w:p>
        </w:tc>
        <w:tc>
          <w:tcPr>
            <w:tcW w:w="40" w:type="dxa"/>
            <w:vAlign w:val="bottom"/>
          </w:tcPr>
          <w:p>
            <w:pPr>
              <w:spacing w:after="0"/>
              <w:rPr>
                <w:sz w:val="13"/>
                <w:szCs w:val="13"/>
                <w:color w:val="auto"/>
              </w:rPr>
            </w:pPr>
          </w:p>
        </w:tc>
      </w:tr>
      <w:tr>
        <w:trPr>
          <w:trHeight w:val="195"/>
        </w:trPr>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U94106AK4</w:t>
            </w:r>
          </w:p>
        </w:tc>
        <w:tc>
          <w:tcPr>
            <w:tcW w:w="226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 ​January 15, 2029 ​ ​ $485,084,000 ​ ​</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July 15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line="69" w:lineRule="exact"/>
        <w:rPr>
          <w:sz w:val="20"/>
          <w:szCs w:val="20"/>
          <w:color w:val="auto"/>
        </w:rPr>
      </w:pPr>
    </w:p>
    <w:p>
      <w:pPr>
        <w:ind w:left="1060" w:right="1439"/>
        <w:spacing w:after="0" w:line="246" w:lineRule="auto"/>
        <w:rPr>
          <w:sz w:val="20"/>
          <w:szCs w:val="20"/>
          <w:color w:val="auto"/>
        </w:rPr>
      </w:pPr>
      <w:r>
        <w:rPr>
          <w:rFonts w:ascii="Times New Roman" w:cs="Times New Roman" w:eastAsia="Times New Roman" w:hAnsi="Times New Roman"/>
          <w:sz w:val="14"/>
          <w:szCs w:val="14"/>
          <w:color w:val="auto"/>
        </w:rPr>
        <w:t>WM Holdings will fully and unconditionally guarantee, on a senior unsecured basis, the full and prompt payment of the principal and any premium and interest on the Registered Notes, when and as they become due and payable, whether at maturity or otherwise (the “</w:t>
      </w:r>
      <w:r>
        <w:rPr>
          <w:rFonts w:ascii="Times New Roman" w:cs="Times New Roman" w:eastAsia="Times New Roman" w:hAnsi="Times New Roman"/>
          <w:sz w:val="14"/>
          <w:szCs w:val="14"/>
          <w:i w:val="1"/>
          <w:iCs w:val="1"/>
          <w:color w:val="auto"/>
        </w:rPr>
        <w:t>Guarantee</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1060" w:right="1459"/>
        <w:spacing w:after="0" w:line="243" w:lineRule="auto"/>
        <w:rPr>
          <w:sz w:val="20"/>
          <w:szCs w:val="20"/>
          <w:color w:val="auto"/>
        </w:rPr>
      </w:pPr>
      <w:r>
        <w:rPr>
          <w:rFonts w:ascii="Times New Roman" w:cs="Times New Roman" w:eastAsia="Times New Roman" w:hAnsi="Times New Roman"/>
          <w:sz w:val="14"/>
          <w:szCs w:val="14"/>
          <w:color w:val="auto"/>
        </w:rPr>
        <w:t>Interest on the Registered Notes will be payable semi-annually on January 15 and July 15, and will accrue from the most recent interest payment date of the Restricted Notes, which was January 15, 2025. The holders of the Restricted Notes that are accepted for exchange will be deemed to have waived the right to receive payment of accrued interest on those Restricted Notes from the last interest payment date on which interest was paid on such Restricted Notes to the date of issuance of the Registered Notes. Interest on the Restricted Notes accepted for exchange will cease to accrue upon issuance of the Registered Notes. Interest is payable on the Registered Notes beginning with the first interest payment date following the consummation of the exchange offer.</w:t>
      </w:r>
    </w:p>
    <w:p>
      <w:pPr>
        <w:spacing w:after="0" w:line="72" w:lineRule="exact"/>
        <w:rPr>
          <w:sz w:val="20"/>
          <w:szCs w:val="20"/>
          <w:color w:val="auto"/>
        </w:rPr>
      </w:pPr>
    </w:p>
    <w:p>
      <w:pPr>
        <w:ind w:left="1060" w:right="1459"/>
        <w:spacing w:after="0" w:line="245" w:lineRule="auto"/>
        <w:rPr>
          <w:sz w:val="20"/>
          <w:szCs w:val="20"/>
          <w:color w:val="auto"/>
        </w:rPr>
      </w:pPr>
      <w:r>
        <w:rPr>
          <w:rFonts w:ascii="Times New Roman" w:cs="Times New Roman" w:eastAsia="Times New Roman" w:hAnsi="Times New Roman"/>
          <w:sz w:val="14"/>
          <w:szCs w:val="14"/>
          <w:color w:val="auto"/>
        </w:rPr>
        <w:t>If a change of control triggering event occurs, holders of the Registered Notes may require the Company to purchase all or a portion of such holders’ Registered Notes at a price equal to 101% of the principal amount, plus accrued interest, if any, to the date of purchase. See “</w:t>
      </w:r>
      <w:r>
        <w:rPr>
          <w:rFonts w:ascii="Times New Roman" w:cs="Times New Roman" w:eastAsia="Times New Roman" w:hAnsi="Times New Roman"/>
          <w:sz w:val="14"/>
          <w:szCs w:val="14"/>
          <w:i w:val="1"/>
          <w:iCs w:val="1"/>
          <w:color w:val="auto"/>
        </w:rPr>
        <w:t>Description of the Registered Notes — Change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Control Offer</w:t>
      </w:r>
      <w:r>
        <w:rPr>
          <w:rFonts w:ascii="Times New Roman" w:cs="Times New Roman" w:eastAsia="Times New Roman" w:hAnsi="Times New Roman"/>
          <w:sz w:val="14"/>
          <w:szCs w:val="14"/>
          <w:color w:val="auto"/>
        </w:rPr>
        <w:t>” in this prospectus.</w:t>
      </w:r>
    </w:p>
    <w:p>
      <w:pPr>
        <w:spacing w:after="0" w:line="63" w:lineRule="exact"/>
        <w:rPr>
          <w:sz w:val="20"/>
          <w:szCs w:val="20"/>
          <w:color w:val="auto"/>
        </w:rPr>
      </w:pPr>
    </w:p>
    <w:p>
      <w:pPr>
        <w:sectPr>
          <w:pgSz w:w="11900" w:h="16838" w:orient="portrait"/>
          <w:cols w:equalWidth="0" w:num="2">
            <w:col w:w="2880" w:space="480"/>
            <w:col w:w="5659"/>
          </w:cols>
          <w:pgMar w:left="1440" w:top="102" w:right="1440" w:bottom="1440" w:gutter="0" w:footer="0" w:header="0"/>
          <w:type w:val="continuous"/>
        </w:sectPr>
      </w:pPr>
    </w:p>
    <w:tbl>
      <w:tblPr>
        <w:tblLayout w:type="fixed"/>
        <w:tblInd w:w="480" w:type="dxa"/>
        <w:tblCellMar>
          <w:top w:w="0" w:type="dxa"/>
          <w:left w:w="0" w:type="dxa"/>
          <w:bottom w:w="0" w:type="dxa"/>
          <w:right w:w="0" w:type="dxa"/>
        </w:tblCellMar>
      </w:tblPr>
      <w:tr>
        <w:trPr>
          <w:trHeight w:val="166"/>
        </w:trPr>
        <w:tc>
          <w:tcPr>
            <w:tcW w:w="780" w:type="dxa"/>
            <w:vAlign w:val="bottom"/>
          </w:tcPr>
          <w:p>
            <w:pPr>
              <w:spacing w:after="0"/>
              <w:rPr>
                <w:sz w:val="14"/>
                <w:szCs w:val="14"/>
                <w:color w:val="auto"/>
              </w:rPr>
            </w:pPr>
          </w:p>
        </w:tc>
        <w:tc>
          <w:tcPr>
            <w:tcW w:w="19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Ranking</w:t>
            </w:r>
          </w:p>
        </w:tc>
        <w:tc>
          <w:tcPr>
            <w:tcW w:w="462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The Registered Notes and the Guarantee will constitute</w:t>
            </w:r>
          </w:p>
        </w:tc>
        <w:tc>
          <w:tcPr>
            <w:tcW w:w="760" w:type="dxa"/>
            <w:vAlign w:val="bottom"/>
          </w:tcPr>
          <w:p>
            <w:pPr>
              <w:spacing w:after="0"/>
              <w:rPr>
                <w:sz w:val="14"/>
                <w:szCs w:val="14"/>
                <w:color w:val="auto"/>
              </w:rPr>
            </w:pPr>
          </w:p>
        </w:tc>
      </w:tr>
      <w:tr>
        <w:trPr>
          <w:trHeight w:val="175"/>
        </w:trPr>
        <w:tc>
          <w:tcPr>
            <w:tcW w:w="7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62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the senior unsecured debt of Waste Management, Inc.</w:t>
            </w:r>
          </w:p>
        </w:tc>
        <w:tc>
          <w:tcPr>
            <w:tcW w:w="760" w:type="dxa"/>
            <w:vAlign w:val="bottom"/>
          </w:tcPr>
          <w:p>
            <w:pPr>
              <w:spacing w:after="0"/>
              <w:rPr>
                <w:sz w:val="15"/>
                <w:szCs w:val="15"/>
                <w:color w:val="auto"/>
              </w:rPr>
            </w:pPr>
          </w:p>
        </w:tc>
      </w:tr>
      <w:tr>
        <w:trPr>
          <w:trHeight w:val="229"/>
        </w:trPr>
        <w:tc>
          <w:tcPr>
            <w:tcW w:w="78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r>
      <w:tr>
        <w:trPr>
          <w:trHeight w:val="228"/>
        </w:trPr>
        <w:tc>
          <w:tcPr>
            <w:tcW w:w="7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620" w:type="dxa"/>
            <w:vAlign w:val="bottom"/>
          </w:tcPr>
          <w:p>
            <w:pPr>
              <w:jc w:val="right"/>
              <w:ind w:right="3192"/>
              <w:spacing w:after="0"/>
              <w:rPr>
                <w:sz w:val="20"/>
                <w:szCs w:val="20"/>
                <w:color w:val="auto"/>
              </w:rPr>
            </w:pPr>
            <w:r>
              <w:rPr>
                <w:rFonts w:ascii="Times New Roman" w:cs="Times New Roman" w:eastAsia="Times New Roman" w:hAnsi="Times New Roman"/>
                <w:sz w:val="14"/>
                <w:szCs w:val="14"/>
                <w:color w:val="auto"/>
              </w:rPr>
              <w:t>8</w:t>
            </w:r>
          </w:p>
        </w:tc>
        <w:tc>
          <w:tcPr>
            <w:tcW w:w="760" w:type="dxa"/>
            <w:vAlign w:val="bottom"/>
          </w:tcPr>
          <w:p>
            <w:pPr>
              <w:spacing w:after="0"/>
              <w:rPr>
                <w:sz w:val="19"/>
                <w:szCs w:val="19"/>
                <w:color w:val="auto"/>
              </w:rPr>
            </w:pPr>
          </w:p>
        </w:tc>
      </w:tr>
      <w:tr>
        <w:trPr>
          <w:trHeight w:val="295"/>
        </w:trPr>
        <w:tc>
          <w:tcPr>
            <w:tcW w:w="7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-24765</wp:posOffset>
            </wp:positionV>
            <wp:extent cx="3175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-24765</wp:posOffset>
            </wp:positionV>
            <wp:extent cx="3175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type w:val="continuous"/>
        </w:sectPr>
      </w:pPr>
    </w:p>
    <w:bookmarkStart w:id="14" w:name="page15"/>
    <w:bookmarkEnd w:id="14"/>
    <w:p>
      <w:pPr>
        <w:ind w:left="4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244475</wp:posOffset>
            </wp:positionV>
            <wp:extent cx="4150360" cy="59867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4150360" cy="5986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and WM Holdings, respectively, and will rank equally</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with all of our and its other existing and future senior</w:t>
            </w:r>
          </w:p>
        </w:tc>
      </w:tr>
      <w:tr>
        <w:trPr>
          <w:trHeight w:val="160"/>
        </w:trPr>
        <w:tc>
          <w:tcPr>
            <w:tcW w:w="2080" w:type="dxa"/>
            <w:vAlign w:val="bottom"/>
          </w:tcPr>
          <w:p>
            <w:pPr>
              <w:spacing w:after="0"/>
              <w:rPr>
                <w:sz w:val="13"/>
                <w:szCs w:val="13"/>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obligations from time to time outstanding. See</w:t>
            </w:r>
          </w:p>
        </w:tc>
      </w:tr>
      <w:tr>
        <w:trPr>
          <w:trHeight w:val="177"/>
        </w:trPr>
        <w:tc>
          <w:tcPr>
            <w:tcW w:w="2080" w:type="dxa"/>
            <w:vAlign w:val="bottom"/>
          </w:tcPr>
          <w:p>
            <w:pPr>
              <w:spacing w:after="0"/>
              <w:rPr>
                <w:sz w:val="15"/>
                <w:szCs w:val="15"/>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Description of the Registered Notes — Ranking.</w:t>
            </w:r>
            <w:r>
              <w:rPr>
                <w:rFonts w:ascii="Times New Roman" w:cs="Times New Roman" w:eastAsia="Times New Roman" w:hAnsi="Times New Roman"/>
                <w:sz w:val="14"/>
                <w:szCs w:val="14"/>
                <w:color w:val="auto"/>
              </w:rPr>
              <w:t>”</w:t>
            </w:r>
          </w:p>
        </w:tc>
      </w:tr>
      <w:tr>
        <w:trPr>
          <w:trHeight w:val="231"/>
        </w:trPr>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Optional Redemption</w:t>
            </w: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We may elect to redeem and repay any or all of the</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WM Notes at any time and from time to time in</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minimum principal amounts of $2,000 or any integral</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multiple of $1,000 in excess thereof. Prior to</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December 15, 2028, we may redeem the Registered</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Notes at our option, in whole or in part, at any time and</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from time to time, at a redemption price (expressed as</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a percentage of principal amount and rounded to three</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decimal places) equal to the greater of: (1) (a) the sum</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of the present values of the remaining scheduled</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payments of principal and interest on the Registered</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Notes to be redeemed discounted to the redemption</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date (assuming the Registered Notes matured on</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December 15, 2028) on a semi-annual basis (assuming</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a 360-day year consisting of twelve 30-day months) at</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the Treasury Rate plus 10 basis points, less (b) interest</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accrued to the redemption date, and (2) 100% of the</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principal amount of the Registered Notes to be</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redeemed, plus, in either case, accrued and unpaid</w:t>
            </w:r>
          </w:p>
        </w:tc>
      </w:tr>
      <w:tr>
        <w:trPr>
          <w:trHeight w:val="175"/>
        </w:trPr>
        <w:tc>
          <w:tcPr>
            <w:tcW w:w="2080" w:type="dxa"/>
            <w:vAlign w:val="bottom"/>
          </w:tcPr>
          <w:p>
            <w:pPr>
              <w:spacing w:after="0"/>
              <w:rPr>
                <w:sz w:val="15"/>
                <w:szCs w:val="15"/>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interest thereon to the redemption date.</w:t>
            </w:r>
          </w:p>
        </w:tc>
      </w:tr>
      <w:tr>
        <w:trPr>
          <w:trHeight w:val="252"/>
        </w:trPr>
        <w:tc>
          <w:tcPr>
            <w:tcW w:w="2080" w:type="dxa"/>
            <w:vAlign w:val="bottom"/>
          </w:tcPr>
          <w:p>
            <w:pPr>
              <w:spacing w:after="0"/>
              <w:rPr>
                <w:sz w:val="21"/>
                <w:szCs w:val="21"/>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On or after the December 15, 2028, we may redeem the</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Registered Notes at our option, in whole or in part, at</w:t>
            </w:r>
          </w:p>
        </w:tc>
      </w:tr>
      <w:tr>
        <w:trPr>
          <w:trHeight w:val="152"/>
        </w:trPr>
        <w:tc>
          <w:tcPr>
            <w:tcW w:w="2080" w:type="dxa"/>
            <w:vAlign w:val="bottom"/>
          </w:tcPr>
          <w:p>
            <w:pPr>
              <w:spacing w:after="0"/>
              <w:rPr>
                <w:sz w:val="13"/>
                <w:szCs w:val="13"/>
                <w:color w:val="auto"/>
              </w:rPr>
            </w:pPr>
          </w:p>
        </w:tc>
        <w:tc>
          <w:tcPr>
            <w:tcW w:w="4080" w:type="dxa"/>
            <w:vAlign w:val="bottom"/>
            <w:gridSpan w:val="2"/>
          </w:tcPr>
          <w:p>
            <w:pPr>
              <w:ind w:left="900"/>
              <w:spacing w:after="0" w:line="152" w:lineRule="exact"/>
              <w:rPr>
                <w:sz w:val="20"/>
                <w:szCs w:val="20"/>
                <w:color w:val="auto"/>
              </w:rPr>
            </w:pPr>
            <w:r>
              <w:rPr>
                <w:rFonts w:ascii="Times New Roman" w:cs="Times New Roman" w:eastAsia="Times New Roman" w:hAnsi="Times New Roman"/>
                <w:sz w:val="14"/>
                <w:szCs w:val="14"/>
                <w:color w:val="auto"/>
              </w:rPr>
              <w:t>any time and from time to time, at a redemption price</w:t>
            </w:r>
          </w:p>
        </w:tc>
      </w:tr>
      <w:tr>
        <w:trPr>
          <w:trHeight w:val="152"/>
        </w:trPr>
        <w:tc>
          <w:tcPr>
            <w:tcW w:w="2080" w:type="dxa"/>
            <w:vAlign w:val="bottom"/>
          </w:tcPr>
          <w:p>
            <w:pPr>
              <w:spacing w:after="0"/>
              <w:rPr>
                <w:sz w:val="13"/>
                <w:szCs w:val="13"/>
                <w:color w:val="auto"/>
              </w:rPr>
            </w:pPr>
          </w:p>
        </w:tc>
        <w:tc>
          <w:tcPr>
            <w:tcW w:w="4080" w:type="dxa"/>
            <w:vAlign w:val="bottom"/>
            <w:gridSpan w:val="2"/>
          </w:tcPr>
          <w:p>
            <w:pPr>
              <w:ind w:left="900"/>
              <w:spacing w:after="0" w:line="152" w:lineRule="exact"/>
              <w:rPr>
                <w:sz w:val="20"/>
                <w:szCs w:val="20"/>
                <w:color w:val="auto"/>
              </w:rPr>
            </w:pPr>
            <w:r>
              <w:rPr>
                <w:rFonts w:ascii="Times New Roman" w:cs="Times New Roman" w:eastAsia="Times New Roman" w:hAnsi="Times New Roman"/>
                <w:sz w:val="14"/>
                <w:szCs w:val="14"/>
                <w:color w:val="auto"/>
              </w:rPr>
              <w:t>equal to 100% of the principal amount of the</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Registered Notes to be redeemed, plus accrued and</w:t>
            </w:r>
          </w:p>
        </w:tc>
      </w:tr>
      <w:tr>
        <w:trPr>
          <w:trHeight w:val="152"/>
        </w:trPr>
        <w:tc>
          <w:tcPr>
            <w:tcW w:w="2080" w:type="dxa"/>
            <w:vAlign w:val="bottom"/>
          </w:tcPr>
          <w:p>
            <w:pPr>
              <w:spacing w:after="0"/>
              <w:rPr>
                <w:sz w:val="13"/>
                <w:szCs w:val="13"/>
                <w:color w:val="auto"/>
              </w:rPr>
            </w:pPr>
          </w:p>
        </w:tc>
        <w:tc>
          <w:tcPr>
            <w:tcW w:w="4080" w:type="dxa"/>
            <w:vAlign w:val="bottom"/>
            <w:gridSpan w:val="2"/>
          </w:tcPr>
          <w:p>
            <w:pPr>
              <w:ind w:left="900"/>
              <w:spacing w:after="0" w:line="152" w:lineRule="exact"/>
              <w:rPr>
                <w:sz w:val="20"/>
                <w:szCs w:val="20"/>
                <w:color w:val="auto"/>
              </w:rPr>
            </w:pPr>
            <w:r>
              <w:rPr>
                <w:rFonts w:ascii="Times New Roman" w:cs="Times New Roman" w:eastAsia="Times New Roman" w:hAnsi="Times New Roman"/>
                <w:sz w:val="14"/>
                <w:szCs w:val="14"/>
                <w:color w:val="auto"/>
              </w:rPr>
              <w:t>unpaid interest on the Registered Notes to be redeemed</w:t>
            </w:r>
          </w:p>
        </w:tc>
      </w:tr>
      <w:tr>
        <w:trPr>
          <w:trHeight w:val="175"/>
        </w:trPr>
        <w:tc>
          <w:tcPr>
            <w:tcW w:w="2080" w:type="dxa"/>
            <w:vAlign w:val="bottom"/>
          </w:tcPr>
          <w:p>
            <w:pPr>
              <w:spacing w:after="0"/>
              <w:rPr>
                <w:sz w:val="15"/>
                <w:szCs w:val="15"/>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to the redemption date.</w:t>
            </w:r>
          </w:p>
        </w:tc>
      </w:tr>
      <w:tr>
        <w:trPr>
          <w:trHeight w:val="240"/>
        </w:trPr>
        <w:tc>
          <w:tcPr>
            <w:tcW w:w="2080" w:type="dxa"/>
            <w:vAlign w:val="bottom"/>
          </w:tcPr>
          <w:p>
            <w:pPr>
              <w:spacing w:after="0"/>
              <w:rPr>
                <w:sz w:val="20"/>
                <w:szCs w:val="20"/>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For more information on the redemption provisions of</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the Registered Notes of each series, see “</w:t>
            </w:r>
            <w:r>
              <w:rPr>
                <w:rFonts w:ascii="Times New Roman" w:cs="Times New Roman" w:eastAsia="Times New Roman" w:hAnsi="Times New Roman"/>
                <w:sz w:val="14"/>
                <w:szCs w:val="14"/>
                <w:i w:val="1"/>
                <w:iCs w:val="1"/>
                <w:color w:val="auto"/>
              </w:rPr>
              <w:t>Description of</w:t>
            </w:r>
          </w:p>
        </w:tc>
      </w:tr>
      <w:tr>
        <w:trPr>
          <w:trHeight w:val="154"/>
        </w:trPr>
        <w:tc>
          <w:tcPr>
            <w:tcW w:w="2080" w:type="dxa"/>
            <w:vAlign w:val="bottom"/>
          </w:tcPr>
          <w:p>
            <w:pPr>
              <w:spacing w:after="0"/>
              <w:rPr>
                <w:sz w:val="13"/>
                <w:szCs w:val="13"/>
                <w:color w:val="auto"/>
              </w:rPr>
            </w:pPr>
          </w:p>
        </w:tc>
        <w:tc>
          <w:tcPr>
            <w:tcW w:w="4080" w:type="dxa"/>
            <w:vAlign w:val="bottom"/>
            <w:gridSpan w:val="2"/>
          </w:tcPr>
          <w:p>
            <w:pPr>
              <w:ind w:left="900"/>
              <w:spacing w:after="0" w:line="154" w:lineRule="exact"/>
              <w:rPr>
                <w:sz w:val="20"/>
                <w:szCs w:val="20"/>
                <w:color w:val="auto"/>
              </w:rPr>
            </w:pPr>
            <w:r>
              <w:rPr>
                <w:rFonts w:ascii="Times New Roman" w:cs="Times New Roman" w:eastAsia="Times New Roman" w:hAnsi="Times New Roman"/>
                <w:sz w:val="14"/>
                <w:szCs w:val="14"/>
                <w:i w:val="1"/>
                <w:iCs w:val="1"/>
                <w:color w:val="auto"/>
              </w:rPr>
              <w:t>the Registered Notes — Optional Redemption</w:t>
            </w:r>
            <w:r>
              <w:rPr>
                <w:rFonts w:ascii="Times New Roman" w:cs="Times New Roman" w:eastAsia="Times New Roman" w:hAnsi="Times New Roman"/>
                <w:sz w:val="14"/>
                <w:szCs w:val="14"/>
                <w:color w:val="auto"/>
              </w:rPr>
              <w:t>.” These</w:t>
            </w:r>
          </w:p>
        </w:tc>
      </w:tr>
      <w:tr>
        <w:trPr>
          <w:trHeight w:val="152"/>
        </w:trPr>
        <w:tc>
          <w:tcPr>
            <w:tcW w:w="2080" w:type="dxa"/>
            <w:vAlign w:val="bottom"/>
          </w:tcPr>
          <w:p>
            <w:pPr>
              <w:spacing w:after="0"/>
              <w:rPr>
                <w:sz w:val="13"/>
                <w:szCs w:val="13"/>
                <w:color w:val="auto"/>
              </w:rPr>
            </w:pPr>
          </w:p>
        </w:tc>
        <w:tc>
          <w:tcPr>
            <w:tcW w:w="4080" w:type="dxa"/>
            <w:vAlign w:val="bottom"/>
            <w:gridSpan w:val="2"/>
          </w:tcPr>
          <w:p>
            <w:pPr>
              <w:ind w:left="900"/>
              <w:spacing w:after="0" w:line="152" w:lineRule="exact"/>
              <w:rPr>
                <w:sz w:val="20"/>
                <w:szCs w:val="20"/>
                <w:color w:val="auto"/>
              </w:rPr>
            </w:pPr>
            <w:r>
              <w:rPr>
                <w:rFonts w:ascii="Times New Roman" w:cs="Times New Roman" w:eastAsia="Times New Roman" w:hAnsi="Times New Roman"/>
                <w:sz w:val="14"/>
                <w:szCs w:val="14"/>
                <w:color w:val="auto"/>
              </w:rPr>
              <w:t>redemption provisions are identical to those applicable</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to the Restricted Notes to be exchanged in the exchange</w:t>
            </w:r>
          </w:p>
        </w:tc>
      </w:tr>
      <w:tr>
        <w:trPr>
          <w:trHeight w:val="175"/>
        </w:trPr>
        <w:tc>
          <w:tcPr>
            <w:tcW w:w="2080" w:type="dxa"/>
            <w:vAlign w:val="bottom"/>
          </w:tcPr>
          <w:p>
            <w:pPr>
              <w:spacing w:after="0"/>
              <w:rPr>
                <w:sz w:val="15"/>
                <w:szCs w:val="15"/>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offer.</w:t>
            </w:r>
          </w:p>
        </w:tc>
      </w:tr>
      <w:tr>
        <w:trPr>
          <w:trHeight w:val="221"/>
        </w:trPr>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Certain Covenants</w:t>
            </w: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We will issue the Registered Notes under the Indenture,</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which contains covenants for your benefit. These</w:t>
            </w:r>
          </w:p>
        </w:tc>
      </w:tr>
      <w:tr>
        <w:trPr>
          <w:trHeight w:val="162"/>
        </w:trPr>
        <w:tc>
          <w:tcPr>
            <w:tcW w:w="2080" w:type="dxa"/>
            <w:vAlign w:val="bottom"/>
          </w:tcPr>
          <w:p>
            <w:pPr>
              <w:spacing w:after="0"/>
              <w:rPr>
                <w:sz w:val="14"/>
                <w:szCs w:val="14"/>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covenants restrict our ability, with certain exceptions,</w:t>
            </w:r>
          </w:p>
        </w:tc>
      </w:tr>
      <w:tr>
        <w:trPr>
          <w:trHeight w:val="175"/>
        </w:trPr>
        <w:tc>
          <w:tcPr>
            <w:tcW w:w="2080" w:type="dxa"/>
            <w:vAlign w:val="bottom"/>
          </w:tcPr>
          <w:p>
            <w:pPr>
              <w:spacing w:after="0"/>
              <w:rPr>
                <w:sz w:val="15"/>
                <w:szCs w:val="15"/>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to,</w:t>
            </w:r>
          </w:p>
        </w:tc>
      </w:tr>
      <w:tr>
        <w:trPr>
          <w:trHeight w:val="274"/>
        </w:trPr>
        <w:tc>
          <w:tcPr>
            <w:tcW w:w="2080" w:type="dxa"/>
            <w:vAlign w:val="bottom"/>
          </w:tcPr>
          <w:p>
            <w:pPr>
              <w:spacing w:after="0"/>
              <w:rPr>
                <w:sz w:val="23"/>
                <w:szCs w:val="23"/>
                <w:color w:val="auto"/>
              </w:rPr>
            </w:pPr>
          </w:p>
        </w:tc>
        <w:tc>
          <w:tcPr>
            <w:tcW w:w="10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create, incur or assume debt secured by liens;</w:t>
            </w:r>
          </w:p>
        </w:tc>
      </w:tr>
      <w:tr>
        <w:trPr>
          <w:trHeight w:val="264"/>
        </w:trPr>
        <w:tc>
          <w:tcPr>
            <w:tcW w:w="2080" w:type="dxa"/>
            <w:vAlign w:val="bottom"/>
          </w:tcPr>
          <w:p>
            <w:pPr>
              <w:spacing w:after="0"/>
              <w:rPr>
                <w:sz w:val="22"/>
                <w:szCs w:val="22"/>
                <w:color w:val="auto"/>
              </w:rPr>
            </w:pPr>
          </w:p>
        </w:tc>
        <w:tc>
          <w:tcPr>
            <w:tcW w:w="10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engage in sale and leaseback transactions; and</w:t>
            </w:r>
          </w:p>
        </w:tc>
      </w:tr>
      <w:tr>
        <w:trPr>
          <w:trHeight w:val="262"/>
        </w:trPr>
        <w:tc>
          <w:tcPr>
            <w:tcW w:w="2080" w:type="dxa"/>
            <w:vAlign w:val="bottom"/>
          </w:tcPr>
          <w:p>
            <w:pPr>
              <w:spacing w:after="0"/>
              <w:rPr>
                <w:sz w:val="22"/>
                <w:szCs w:val="22"/>
                <w:color w:val="auto"/>
              </w:rPr>
            </w:pPr>
          </w:p>
        </w:tc>
        <w:tc>
          <w:tcPr>
            <w:tcW w:w="40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 merge, consolidate or transfer all or substantially all</w:t>
            </w:r>
          </w:p>
        </w:tc>
      </w:tr>
      <w:tr>
        <w:trPr>
          <w:trHeight w:val="175"/>
        </w:trPr>
        <w:tc>
          <w:tcPr>
            <w:tcW w:w="2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of our assets.</w:t>
            </w:r>
          </w:p>
        </w:tc>
      </w:tr>
    </w:tbl>
    <w:p>
      <w:pPr>
        <w:spacing w:after="0" w:line="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Description of the Registered Notes — Certain</w:t>
      </w:r>
    </w:p>
    <w:p>
      <w:pPr>
        <w:spacing w:after="0" w:line="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i w:val="1"/>
          <w:iCs w:val="1"/>
          <w:color w:val="auto"/>
        </w:rPr>
        <w:t>Covenants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These covenants are identical to those applicable to the</w:t>
      </w:r>
    </w:p>
    <w:p>
      <w:pPr>
        <w:ind w:left="4420"/>
        <w:spacing w:after="0" w:line="234" w:lineRule="auto"/>
        <w:rPr>
          <w:sz w:val="20"/>
          <w:szCs w:val="20"/>
          <w:color w:val="auto"/>
        </w:rPr>
      </w:pPr>
      <w:r>
        <w:rPr>
          <w:rFonts w:ascii="Times New Roman" w:cs="Times New Roman" w:eastAsia="Times New Roman" w:hAnsi="Times New Roman"/>
          <w:sz w:val="14"/>
          <w:szCs w:val="14"/>
          <w:color w:val="auto"/>
        </w:rPr>
        <w:t>equivalent Restricted Notes to be exchanged in the</w:t>
      </w:r>
    </w:p>
    <w:p>
      <w:pPr>
        <w:ind w:left="4420"/>
        <w:spacing w:after="0"/>
        <w:rPr>
          <w:sz w:val="20"/>
          <w:szCs w:val="20"/>
          <w:color w:val="auto"/>
        </w:rPr>
      </w:pPr>
      <w:r>
        <w:rPr>
          <w:rFonts w:ascii="Times New Roman" w:cs="Times New Roman" w:eastAsia="Times New Roman" w:hAnsi="Times New Roman"/>
          <w:sz w:val="14"/>
          <w:szCs w:val="14"/>
          <w:color w:val="auto"/>
        </w:rPr>
        <w:t>exchange offer.</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189865</wp:posOffset>
            </wp:positionV>
            <wp:extent cx="514223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5" w:name="page16"/>
    <w:bookmarkEnd w:id="15"/>
    <w:p>
      <w:pPr>
        <w:ind w:left="4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244475</wp:posOffset>
            </wp:positionV>
            <wp:extent cx="4150360" cy="59867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4150360" cy="598678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1440" w:type="dxa"/>
        <w:tblCellMar>
          <w:top w:w="0" w:type="dxa"/>
          <w:left w:w="0" w:type="dxa"/>
          <w:bottom w:w="0" w:type="dxa"/>
          <w:right w:w="0" w:type="dxa"/>
        </w:tblCellMar>
      </w:tblPr>
      <w:tr>
        <w:trPr>
          <w:trHeight w:val="166"/>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Company will not receive any cash proceeds from</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issuance of the Registered Notes. In consideration</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for issuing the Registered Notes as contemplated in this</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prospectus, the Company will receive in exchange</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Restricted Notes in like principal amount, which will</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be cancelled and, as such, issuing the Registered Notes</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will not result in any increase in the Company’s</w:t>
            </w:r>
          </w:p>
        </w:tc>
      </w:tr>
      <w:tr>
        <w:trPr>
          <w:trHeight w:val="175"/>
        </w:trPr>
        <w:tc>
          <w:tcPr>
            <w:tcW w:w="2980" w:type="dxa"/>
            <w:vAlign w:val="bottom"/>
          </w:tcPr>
          <w:p>
            <w:pPr>
              <w:spacing w:after="0"/>
              <w:rPr>
                <w:sz w:val="15"/>
                <w:szCs w:val="15"/>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indebtedness.</w:t>
            </w:r>
          </w:p>
        </w:tc>
      </w:tr>
      <w:tr>
        <w:trPr>
          <w:trHeight w:val="244"/>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Trustee, Registrar and Paying Agent</w:t>
            </w: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Bank of New York Mellon Trust Company, N.A.</w:t>
            </w:r>
          </w:p>
        </w:tc>
      </w:tr>
      <w:tr>
        <w:trPr>
          <w:trHeight w:val="231"/>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Form and Denominations</w:t>
            </w: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We will issue the Registered Notes in the form of one</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or more fully registered global securities registered in</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name of the nominee of DTC. Beneficial interests</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 the Registered Notes will be represented through</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book-entry accounts of financial institutions acting on</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behalf of beneficial owners as direct and indirect</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participants in DTC. Clearstream Banking S.A. and</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Euroclear Bank SA/NV will hold interests on behalf of</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their participants through their respective U.S.</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depositaries, which in turn will hold such interests in</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accounts as participants of DTC. Except in limited</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circumstances, owners of beneficial interests in the</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Registered Notes will not be entitled to have Registered</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Notes registered in their names, will not receive or be</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entitled to receive Registered Notes in definitive form</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and will not be considered holders of Registered Notes</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under the Indenture. The Registered Notes will be</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issued only in minimum denominations of $2,000 and</w:t>
            </w:r>
          </w:p>
        </w:tc>
      </w:tr>
      <w:tr>
        <w:trPr>
          <w:trHeight w:val="175"/>
        </w:trPr>
        <w:tc>
          <w:tcPr>
            <w:tcW w:w="2980" w:type="dxa"/>
            <w:vAlign w:val="bottom"/>
          </w:tcPr>
          <w:p>
            <w:pPr>
              <w:spacing w:after="0"/>
              <w:rPr>
                <w:sz w:val="15"/>
                <w:szCs w:val="15"/>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integral multiples of $1,000 in excess thereof.</w:t>
            </w:r>
          </w:p>
        </w:tc>
      </w:tr>
      <w:tr>
        <w:trPr>
          <w:trHeight w:val="231"/>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For a discussion of factors you should carefully</w:t>
            </w:r>
          </w:p>
        </w:tc>
      </w:tr>
      <w:tr>
        <w:trPr>
          <w:trHeight w:val="160"/>
        </w:trPr>
        <w:tc>
          <w:tcPr>
            <w:tcW w:w="2980" w:type="dxa"/>
            <w:vAlign w:val="bottom"/>
          </w:tcPr>
          <w:p>
            <w:pPr>
              <w:spacing w:after="0"/>
              <w:rPr>
                <w:sz w:val="13"/>
                <w:szCs w:val="13"/>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consider before deciding to invest in the Registered</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Notes, see “</w:t>
            </w:r>
            <w:r>
              <w:rPr>
                <w:rFonts w:ascii="Times New Roman" w:cs="Times New Roman" w:eastAsia="Times New Roman" w:hAnsi="Times New Roman"/>
                <w:sz w:val="14"/>
                <w:szCs w:val="14"/>
                <w:i w:val="1"/>
                <w:iCs w:val="1"/>
                <w:color w:val="auto"/>
              </w:rPr>
              <w:t>Cautionary Note Regarding Forward-</w:t>
            </w:r>
          </w:p>
        </w:tc>
      </w:tr>
      <w:tr>
        <w:trPr>
          <w:trHeight w:val="164"/>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i w:val="1"/>
                <w:iCs w:val="1"/>
                <w:color w:val="auto"/>
              </w:rPr>
              <w:t>Looking Statements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beginning on</w:t>
            </w:r>
          </w:p>
        </w:tc>
      </w:tr>
      <w:tr>
        <w:trPr>
          <w:trHeight w:val="145"/>
        </w:trPr>
        <w:tc>
          <w:tcPr>
            <w:tcW w:w="2980" w:type="dxa"/>
            <w:vAlign w:val="bottom"/>
          </w:tcPr>
          <w:p>
            <w:pPr>
              <w:spacing w:after="0"/>
              <w:rPr>
                <w:sz w:val="12"/>
                <w:szCs w:val="12"/>
                <w:color w:val="auto"/>
              </w:rPr>
            </w:pPr>
          </w:p>
        </w:tc>
        <w:tc>
          <w:tcPr>
            <w:tcW w:w="3180" w:type="dxa"/>
            <w:vAlign w:val="bottom"/>
            <w:gridSpan w:val="7"/>
          </w:tcPr>
          <w:p>
            <w:pPr>
              <w:spacing w:after="0" w:line="145" w:lineRule="exact"/>
              <w:rPr>
                <w:sz w:val="20"/>
                <w:szCs w:val="20"/>
                <w:color w:val="auto"/>
              </w:rPr>
            </w:pPr>
            <w:r>
              <w:rPr>
                <w:rFonts w:ascii="Times New Roman" w:cs="Times New Roman" w:eastAsia="Times New Roman" w:hAnsi="Times New Roman"/>
                <w:sz w:val="14"/>
                <w:szCs w:val="14"/>
                <w:color w:val="auto"/>
              </w:rPr>
              <w:t xml:space="preserve">pages iii and </w:t>
            </w:r>
            <w:r>
              <w:rPr>
                <w:rFonts w:ascii="Times New Roman" w:cs="Times New Roman" w:eastAsia="Times New Roman" w:hAnsi="Times New Roman"/>
                <w:sz w:val="14"/>
                <w:szCs w:val="14"/>
                <w:color w:val="0000EE"/>
              </w:rPr>
              <w:t>11</w:t>
            </w:r>
            <w:r>
              <w:rPr>
                <w:rFonts w:ascii="Times New Roman" w:cs="Times New Roman" w:eastAsia="Times New Roman" w:hAnsi="Times New Roman"/>
                <w:sz w:val="14"/>
                <w:szCs w:val="14"/>
                <w:color w:val="auto"/>
              </w:rPr>
              <w:t>, respectively, of this prospectus and the</w:t>
            </w:r>
          </w:p>
        </w:tc>
      </w:tr>
      <w:tr>
        <w:trPr>
          <w:trHeight w:val="20"/>
        </w:trPr>
        <w:tc>
          <w:tcPr>
            <w:tcW w:w="2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2980" w:type="dxa"/>
            <w:vAlign w:val="bottom"/>
          </w:tcPr>
          <w:p>
            <w:pPr>
              <w:spacing w:after="0"/>
              <w:rPr>
                <w:sz w:val="12"/>
                <w:szCs w:val="12"/>
                <w:color w:val="auto"/>
              </w:rPr>
            </w:pPr>
          </w:p>
        </w:tc>
        <w:tc>
          <w:tcPr>
            <w:tcW w:w="3180" w:type="dxa"/>
            <w:vAlign w:val="bottom"/>
            <w:gridSpan w:val="7"/>
          </w:tcPr>
          <w:p>
            <w:pPr>
              <w:spacing w:after="0" w:line="143" w:lineRule="exact"/>
              <w:rPr>
                <w:rFonts w:ascii="Times New Roman" w:cs="Times New Roman" w:eastAsia="Times New Roman" w:hAnsi="Times New Roman"/>
                <w:sz w:val="14"/>
                <w:szCs w:val="14"/>
                <w:color w:val="auto"/>
              </w:rPr>
            </w:pPr>
            <w:hyperlink r:id="rId27">
              <w:r>
                <w:rPr>
                  <w:rFonts w:ascii="Times New Roman" w:cs="Times New Roman" w:eastAsia="Times New Roman" w:hAnsi="Times New Roman"/>
                  <w:sz w:val="14"/>
                  <w:szCs w:val="14"/>
                  <w:color w:val="auto"/>
                </w:rPr>
                <w:t xml:space="preserve">“Risk Factors” discussed in the Company’s </w:t>
              </w:r>
              <w:r>
                <w:rPr>
                  <w:rFonts w:ascii="Times New Roman" w:cs="Times New Roman" w:eastAsia="Times New Roman" w:hAnsi="Times New Roman"/>
                  <w:sz w:val="14"/>
                  <w:szCs w:val="14"/>
                  <w:color w:val="0000EE"/>
                </w:rPr>
                <w:t>Annual</w:t>
              </w:r>
            </w:hyperlink>
          </w:p>
        </w:tc>
      </w:tr>
      <w:tr>
        <w:trPr>
          <w:trHeight w:val="20"/>
        </w:trPr>
        <w:tc>
          <w:tcPr>
            <w:tcW w:w="2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2980" w:type="dxa"/>
            <w:vAlign w:val="bottom"/>
          </w:tcPr>
          <w:p>
            <w:pPr>
              <w:spacing w:after="0"/>
              <w:rPr>
                <w:sz w:val="12"/>
                <w:szCs w:val="12"/>
                <w:color w:val="auto"/>
              </w:rPr>
            </w:pPr>
          </w:p>
        </w:tc>
        <w:tc>
          <w:tcPr>
            <w:tcW w:w="3180" w:type="dxa"/>
            <w:vAlign w:val="bottom"/>
            <w:gridSpan w:val="7"/>
          </w:tcPr>
          <w:p>
            <w:pPr>
              <w:spacing w:after="0" w:line="143" w:lineRule="exact"/>
              <w:rPr>
                <w:rFonts w:ascii="Times New Roman" w:cs="Times New Roman" w:eastAsia="Times New Roman" w:hAnsi="Times New Roman"/>
                <w:sz w:val="14"/>
                <w:szCs w:val="14"/>
                <w:color w:val="0000EE"/>
              </w:rPr>
            </w:pPr>
            <w:hyperlink r:id="rId27">
              <w:r>
                <w:rPr>
                  <w:rFonts w:ascii="Times New Roman" w:cs="Times New Roman" w:eastAsia="Times New Roman" w:hAnsi="Times New Roman"/>
                  <w:sz w:val="14"/>
                  <w:szCs w:val="14"/>
                  <w:color w:val="0000EE"/>
                </w:rPr>
                <w:t>Report on Form 10-K for the year ended December 31,</w:t>
              </w:r>
            </w:hyperlink>
          </w:p>
        </w:tc>
      </w:tr>
      <w:tr>
        <w:trPr>
          <w:trHeight w:val="20"/>
        </w:trPr>
        <w:tc>
          <w:tcPr>
            <w:tcW w:w="29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4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2980" w:type="dxa"/>
            <w:vAlign w:val="bottom"/>
          </w:tcPr>
          <w:p>
            <w:pPr>
              <w:spacing w:after="0"/>
              <w:rPr>
                <w:sz w:val="12"/>
                <w:szCs w:val="12"/>
                <w:color w:val="auto"/>
              </w:rPr>
            </w:pPr>
          </w:p>
        </w:tc>
        <w:tc>
          <w:tcPr>
            <w:tcW w:w="3180" w:type="dxa"/>
            <w:vAlign w:val="bottom"/>
            <w:gridSpan w:val="7"/>
          </w:tcPr>
          <w:p>
            <w:pPr>
              <w:spacing w:after="0" w:line="143" w:lineRule="exact"/>
              <w:rPr>
                <w:rFonts w:ascii="Times New Roman" w:cs="Times New Roman" w:eastAsia="Times New Roman" w:hAnsi="Times New Roman"/>
                <w:sz w:val="14"/>
                <w:szCs w:val="14"/>
                <w:color w:val="0000EE"/>
              </w:rPr>
            </w:pPr>
            <w:hyperlink r:id="rId27">
              <w:r>
                <w:rPr>
                  <w:rFonts w:ascii="Times New Roman" w:cs="Times New Roman" w:eastAsia="Times New Roman" w:hAnsi="Times New Roman"/>
                  <w:sz w:val="14"/>
                  <w:szCs w:val="14"/>
                  <w:color w:val="0000EE"/>
                </w:rPr>
                <w:t>2024</w:t>
              </w:r>
              <w:r>
                <w:rPr>
                  <w:rFonts w:ascii="Times New Roman" w:cs="Times New Roman" w:eastAsia="Times New Roman" w:hAnsi="Times New Roman"/>
                  <w:sz w:val="14"/>
                  <w:szCs w:val="14"/>
                  <w:color w:val="000000"/>
                </w:rPr>
                <w:t>, and subsequent Quarterly Reports on Form 10-Q,</w:t>
              </w:r>
            </w:hyperlink>
          </w:p>
        </w:tc>
      </w:tr>
      <w:tr>
        <w:trPr>
          <w:trHeight w:val="20"/>
        </w:trPr>
        <w:tc>
          <w:tcPr>
            <w:tcW w:w="29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r>
      <w:tr>
        <w:trPr>
          <w:trHeight w:val="160"/>
        </w:trPr>
        <w:tc>
          <w:tcPr>
            <w:tcW w:w="2980" w:type="dxa"/>
            <w:vAlign w:val="bottom"/>
          </w:tcPr>
          <w:p>
            <w:pPr>
              <w:spacing w:after="0"/>
              <w:rPr>
                <w:sz w:val="13"/>
                <w:szCs w:val="13"/>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which documents are incorporated by reference in this</w:t>
            </w:r>
          </w:p>
        </w:tc>
      </w:tr>
      <w:tr>
        <w:trPr>
          <w:trHeight w:val="175"/>
        </w:trPr>
        <w:tc>
          <w:tcPr>
            <w:tcW w:w="2980" w:type="dxa"/>
            <w:vAlign w:val="bottom"/>
          </w:tcPr>
          <w:p>
            <w:pPr>
              <w:spacing w:after="0"/>
              <w:rPr>
                <w:sz w:val="15"/>
                <w:szCs w:val="15"/>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prospectus.</w:t>
            </w:r>
          </w:p>
        </w:tc>
      </w:tr>
      <w:tr>
        <w:trPr>
          <w:trHeight w:val="231"/>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 Public Market</w:t>
            </w: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Registered Notes are new securities, and there is</w:t>
            </w:r>
          </w:p>
        </w:tc>
      </w:tr>
      <w:tr>
        <w:trPr>
          <w:trHeight w:val="160"/>
        </w:trPr>
        <w:tc>
          <w:tcPr>
            <w:tcW w:w="2980" w:type="dxa"/>
            <w:vAlign w:val="bottom"/>
          </w:tcPr>
          <w:p>
            <w:pPr>
              <w:spacing w:after="0"/>
              <w:rPr>
                <w:sz w:val="13"/>
                <w:szCs w:val="13"/>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currently no established trading market for the</w:t>
            </w:r>
          </w:p>
        </w:tc>
      </w:tr>
      <w:tr>
        <w:trPr>
          <w:trHeight w:val="164"/>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Registered Notes. 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 active</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trading market may not develop for the Registered</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Notes, and we do not intend to apply to list the</w:t>
            </w:r>
          </w:p>
        </w:tc>
      </w:tr>
      <w:tr>
        <w:trPr>
          <w:trHeight w:val="162"/>
        </w:trPr>
        <w:tc>
          <w:tcPr>
            <w:tcW w:w="2980" w:type="dxa"/>
            <w:vAlign w:val="bottom"/>
          </w:tcPr>
          <w:p>
            <w:pPr>
              <w:spacing w:after="0"/>
              <w:rPr>
                <w:sz w:val="14"/>
                <w:szCs w:val="14"/>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Registered Notes on any securities exchange or for</w:t>
            </w:r>
          </w:p>
        </w:tc>
      </w:tr>
      <w:tr>
        <w:trPr>
          <w:trHeight w:val="175"/>
        </w:trPr>
        <w:tc>
          <w:tcPr>
            <w:tcW w:w="2980" w:type="dxa"/>
            <w:vAlign w:val="bottom"/>
          </w:tcPr>
          <w:p>
            <w:pPr>
              <w:spacing w:after="0"/>
              <w:rPr>
                <w:sz w:val="15"/>
                <w:szCs w:val="15"/>
                <w:color w:val="auto"/>
              </w:rPr>
            </w:pP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quotation in any automated dealer quotation system.</w:t>
            </w:r>
          </w:p>
        </w:tc>
      </w:tr>
      <w:tr>
        <w:trPr>
          <w:trHeight w:val="244"/>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Governing Law</w:t>
            </w:r>
          </w:p>
        </w:tc>
        <w:tc>
          <w:tcPr>
            <w:tcW w:w="3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State of New York.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6" w:name="page17"/>
    <w:bookmarkEnd w:id="16"/>
    <w:p>
      <w:pPr>
        <w:ind w:left="4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15" w:lineRule="exact"/>
        <w:rPr>
          <w:sz w:val="20"/>
          <w:szCs w:val="20"/>
          <w:color w:val="auto"/>
        </w:rPr>
      </w:pPr>
    </w:p>
    <w:p>
      <w:pPr>
        <w:ind w:left="1420" w:right="1459" w:firstLine="271"/>
        <w:spacing w:after="0" w:line="236" w:lineRule="auto"/>
        <w:rPr>
          <w:rFonts w:ascii="Times New Roman" w:cs="Times New Roman" w:eastAsia="Times New Roman" w:hAnsi="Times New Roman"/>
          <w:sz w:val="14"/>
          <w:szCs w:val="14"/>
          <w:i w:val="1"/>
          <w:iCs w:val="1"/>
          <w:color w:val="0000EE"/>
        </w:rPr>
      </w:pPr>
      <w:r>
        <w:rPr>
          <w:rFonts w:ascii="Times New Roman" w:cs="Times New Roman" w:eastAsia="Times New Roman" w:hAnsi="Times New Roman"/>
          <w:sz w:val="14"/>
          <w:szCs w:val="14"/>
          <w:i w:val="1"/>
          <w:iCs w:val="1"/>
          <w:color w:val="auto"/>
        </w:rPr>
        <w:t xml:space="preserve">Participating in the exchange offer and investing in the Registered Notes involves risks, which risks are substantially equivalent to those applicable to the Restricted Notes exchanged therefor except that the Registered Notes will be registered. You should carefully consider the following risk factors and all of the information contained in or incorporated by reference in this prospectus, including, but not limited to, the </w:t>
      </w:r>
      <w:hyperlink r:id="rId27">
        <w:r>
          <w:rPr>
            <w:rFonts w:ascii="Times New Roman" w:cs="Times New Roman" w:eastAsia="Times New Roman" w:hAnsi="Times New Roman"/>
            <w:sz w:val="14"/>
            <w:szCs w:val="14"/>
            <w:i w:val="1"/>
            <w:iCs w:val="1"/>
            <w:color w:val="auto"/>
          </w:rPr>
          <w:t xml:space="preserve">matters discussed under “Item 1(A). Risk Factors” of our </w:t>
        </w:r>
        <w:r>
          <w:rPr>
            <w:rFonts w:ascii="Times New Roman" w:cs="Times New Roman" w:eastAsia="Times New Roman" w:hAnsi="Times New Roman"/>
            <w:sz w:val="14"/>
            <w:szCs w:val="14"/>
            <w:i w:val="1"/>
            <w:iCs w:val="1"/>
            <w:u w:val="single" w:color="auto"/>
            <w:color w:val="0000EE"/>
          </w:rPr>
          <w:t>Annual Report on Form 10-K for the year ended</w:t>
        </w:r>
      </w:hyperlink>
      <w:r>
        <w:rPr>
          <w:rFonts w:ascii="Times New Roman" w:cs="Times New Roman" w:eastAsia="Times New Roman" w:hAnsi="Times New Roman"/>
          <w:sz w:val="14"/>
          <w:szCs w:val="14"/>
          <w:i w:val="1"/>
          <w:iCs w:val="1"/>
          <w:color w:val="auto"/>
        </w:rPr>
        <w:t xml:space="preserve"> </w:t>
      </w:r>
      <w:hyperlink r:id="rId27">
        <w:r>
          <w:rPr>
            <w:rFonts w:ascii="Times New Roman" w:cs="Times New Roman" w:eastAsia="Times New Roman" w:hAnsi="Times New Roman"/>
            <w:sz w:val="14"/>
            <w:szCs w:val="14"/>
            <w:i w:val="1"/>
            <w:iCs w:val="1"/>
            <w:u w:val="single" w:color="auto"/>
            <w:color w:val="0000EE"/>
          </w:rPr>
          <w:t>December 31, 2024</w:t>
        </w:r>
        <w:r>
          <w:rPr>
            <w:rFonts w:ascii="Times New Roman" w:cs="Times New Roman" w:eastAsia="Times New Roman" w:hAnsi="Times New Roman"/>
            <w:sz w:val="14"/>
            <w:szCs w:val="14"/>
            <w:i w:val="1"/>
            <w:iCs w:val="1"/>
            <w:color w:val="000000"/>
          </w:rPr>
          <w:t>, as updated by Part II, Item 1A of our Quarterly Reports on Form 10-Q, and other</w:t>
        </w:r>
      </w:hyperlink>
      <w:r>
        <w:rPr>
          <w:rFonts w:ascii="Times New Roman" w:cs="Times New Roman" w:eastAsia="Times New Roman" w:hAnsi="Times New Roman"/>
          <w:sz w:val="14"/>
          <w:szCs w:val="14"/>
          <w:i w:val="1"/>
          <w:iCs w:val="1"/>
          <w:color w:val="0000EE"/>
        </w:rPr>
        <w:t xml:space="preserve"> </w:t>
      </w:r>
      <w:r>
        <w:rPr>
          <w:rFonts w:ascii="Times New Roman" w:cs="Times New Roman" w:eastAsia="Times New Roman" w:hAnsi="Times New Roman"/>
          <w:sz w:val="14"/>
          <w:szCs w:val="14"/>
          <w:i w:val="1"/>
          <w:iCs w:val="1"/>
          <w:color w:val="000000"/>
        </w:rPr>
        <w:t>information which may be incorporated by reference in this prospectus after the date hereof.</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Risks Related to the Registered Notes</w:t>
      </w:r>
    </w:p>
    <w:p>
      <w:pPr>
        <w:spacing w:after="0" w:line="164" w:lineRule="exact"/>
        <w:rPr>
          <w:sz w:val="20"/>
          <w:szCs w:val="20"/>
          <w:color w:val="auto"/>
        </w:rPr>
      </w:pPr>
    </w:p>
    <w:p>
      <w:pPr>
        <w:ind w:left="1420" w:right="169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Our substantial indebtedness could impair our financial condition and our ability to fulfill our debt obligations, including our obligations under the Registered Notes.</w:t>
      </w:r>
    </w:p>
    <w:p>
      <w:pPr>
        <w:spacing w:after="0" w:line="71" w:lineRule="exact"/>
        <w:rPr>
          <w:sz w:val="20"/>
          <w:szCs w:val="20"/>
          <w:color w:val="auto"/>
        </w:rPr>
      </w:pPr>
    </w:p>
    <w:p>
      <w:pPr>
        <w:ind w:left="1420" w:right="1479" w:firstLine="271"/>
        <w:spacing w:after="0" w:line="234" w:lineRule="auto"/>
        <w:rPr>
          <w:sz w:val="20"/>
          <w:szCs w:val="20"/>
          <w:color w:val="auto"/>
        </w:rPr>
      </w:pPr>
      <w:r>
        <w:rPr>
          <w:rFonts w:ascii="Times New Roman" w:cs="Times New Roman" w:eastAsia="Times New Roman" w:hAnsi="Times New Roman"/>
          <w:sz w:val="14"/>
          <w:szCs w:val="14"/>
          <w:color w:val="auto"/>
        </w:rPr>
        <w:t>We have substantial indebtedness. At March 31, 2025, our ratio of total debt to total capitalization was 73.4%, and we had $23.8 billion of total debt. In addition, as of March 31, 2025, we had approximately $1.1 billion of total letters of credit outstanding under our various facilities and certain bi-lateral agreements, including $224 million of such outstanding letters of credit that were issued under and supported by our $3.5 billion revolving credit facility. Our indebtedness that bears interest at a floating rate makes us vulnerable to changes in interest rates. As of March 31, 2025, we had approximately $3.8 billion of debt maturing within the next 12 months, including: (i) $1.5 billion of short-term borrowings under our commercial paper program (net of related discount on issuance); (ii) $1.3 billion of tax-exempt bonds with term interest rate periods that expire within the next 12 months, which is prior to their scheduled maturities;</w:t>
      </w:r>
    </w:p>
    <w:p>
      <w:pPr>
        <w:ind w:left="1420" w:right="1459" w:hanging="1"/>
        <w:spacing w:after="0" w:line="234" w:lineRule="auto"/>
        <w:tabs>
          <w:tab w:leader="none" w:pos="1673"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 million of 0.75% senior notes that mature in November 2025 and (iv) $454 million of other debt with scheduled maturities within the next 12 months, including $298 million of tax-exempt bonds. Our level of indebtedness and the covenants contained in the agreements governing our debt could have important consequences, including:</w:t>
      </w:r>
    </w:p>
    <w:p>
      <w:pPr>
        <w:spacing w:after="0" w:line="60" w:lineRule="exact"/>
        <w:rPr>
          <w:rFonts w:ascii="Times New Roman" w:cs="Times New Roman" w:eastAsia="Times New Roman" w:hAnsi="Times New Roman"/>
          <w:sz w:val="14"/>
          <w:szCs w:val="14"/>
          <w:color w:val="auto"/>
        </w:rPr>
      </w:pPr>
    </w:p>
    <w:p>
      <w:pPr>
        <w:ind w:left="1820" w:right="1479" w:hanging="131"/>
        <w:spacing w:after="0" w:line="252" w:lineRule="auto"/>
        <w:tabs>
          <w:tab w:leader="none" w:pos="182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it more difficult for us to satisfy our obligations with respect to the Registered Notes and our other indebtedness, which could in turn result in an event of default on such other indebtedness or the Registered Notes;</w:t>
      </w:r>
    </w:p>
    <w:p>
      <w:pPr>
        <w:spacing w:after="0" w:line="51" w:lineRule="exact"/>
        <w:rPr>
          <w:rFonts w:ascii="Times New Roman" w:cs="Times New Roman" w:eastAsia="Times New Roman" w:hAnsi="Times New Roman"/>
          <w:sz w:val="14"/>
          <w:szCs w:val="14"/>
          <w:color w:val="auto"/>
        </w:rPr>
      </w:pPr>
    </w:p>
    <w:p>
      <w:pPr>
        <w:ind w:left="1820" w:right="1999" w:hanging="131"/>
        <w:spacing w:after="0" w:line="262" w:lineRule="auto"/>
        <w:tabs>
          <w:tab w:leader="none" w:pos="182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impairing our ability to obtain additional financing in the future for working capital, capital expenditures, acquisitions, general corporate purposes or other purposes;</w:t>
      </w:r>
    </w:p>
    <w:p>
      <w:pPr>
        <w:spacing w:after="0" w:line="54" w:lineRule="exact"/>
        <w:rPr>
          <w:rFonts w:ascii="Times New Roman" w:cs="Times New Roman" w:eastAsia="Times New Roman" w:hAnsi="Times New Roman"/>
          <w:sz w:val="14"/>
          <w:szCs w:val="14"/>
          <w:color w:val="auto"/>
        </w:rPr>
      </w:pPr>
    </w:p>
    <w:p>
      <w:pPr>
        <w:jc w:val="both"/>
        <w:ind w:left="1820" w:right="1899" w:hanging="131"/>
        <w:spacing w:after="0" w:line="252" w:lineRule="auto"/>
        <w:tabs>
          <w:tab w:leader="none" w:pos="182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61" w:lineRule="exact"/>
        <w:rPr>
          <w:rFonts w:ascii="Times New Roman" w:cs="Times New Roman" w:eastAsia="Times New Roman" w:hAnsi="Times New Roman"/>
          <w:sz w:val="14"/>
          <w:szCs w:val="14"/>
          <w:color w:val="auto"/>
        </w:rPr>
      </w:pPr>
    </w:p>
    <w:p>
      <w:pPr>
        <w:ind w:left="1820" w:right="1699" w:hanging="131"/>
        <w:spacing w:after="0" w:line="262" w:lineRule="auto"/>
        <w:tabs>
          <w:tab w:leader="none" w:pos="182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in planning for, or reacting to, changes in our business and the industry in which we operate; and</w:t>
      </w:r>
    </w:p>
    <w:p>
      <w:pPr>
        <w:spacing w:after="0" w:line="44" w:lineRule="exact"/>
        <w:rPr>
          <w:rFonts w:ascii="Times New Roman" w:cs="Times New Roman" w:eastAsia="Times New Roman" w:hAnsi="Times New Roman"/>
          <w:sz w:val="14"/>
          <w:szCs w:val="14"/>
          <w:color w:val="auto"/>
        </w:rPr>
      </w:pPr>
    </w:p>
    <w:p>
      <w:pPr>
        <w:ind w:left="1820" w:right="1519" w:hanging="131"/>
        <w:spacing w:after="0" w:line="262" w:lineRule="auto"/>
        <w:tabs>
          <w:tab w:leader="none" w:pos="182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placing us at a competitive disadvantage compared to our competitors that have proportionately less debt.</w:t>
      </w:r>
    </w:p>
    <w:p>
      <w:pPr>
        <w:spacing w:after="0" w:line="85" w:lineRule="exact"/>
        <w:rPr>
          <w:sz w:val="20"/>
          <w:szCs w:val="20"/>
          <w:color w:val="auto"/>
        </w:rPr>
      </w:pPr>
    </w:p>
    <w:p>
      <w:pPr>
        <w:ind w:left="1420" w:right="1519" w:firstLine="271"/>
        <w:spacing w:after="0" w:line="236" w:lineRule="auto"/>
        <w:rPr>
          <w:sz w:val="20"/>
          <w:szCs w:val="20"/>
          <w:color w:val="auto"/>
        </w:rPr>
      </w:pPr>
      <w:r>
        <w:rPr>
          <w:rFonts w:ascii="Times New Roman" w:cs="Times New Roman" w:eastAsia="Times New Roman" w:hAnsi="Times New Roman"/>
          <w:sz w:val="14"/>
          <w:szCs w:val="14"/>
          <w:color w:val="auto"/>
        </w:rPr>
        <w:t>We are not prohibited under the Indenture that will govern the Registered Notes from incurring additional indebtedness. Although our $3.5 billion revolving credit facility requires us to maintain a specified ratio of Total Debt to EBITDA (as defined in our $3.5 billion revolving credit facility), following the exchange offer we expect to have the ability to incur additional indebtedness while remaining in compliance with this covenant. Our incurrence of additional indebtedness would exacerbate the negative consequences mentioned above and could adversely affect our ability to service and repay the Registered Notes.</w:t>
      </w:r>
    </w:p>
    <w:p>
      <w:pPr>
        <w:spacing w:after="0" w:line="1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2"/>
          <w:szCs w:val="12"/>
          <w:b w:val="1"/>
          <w:bCs w:val="1"/>
          <w:i w:val="1"/>
          <w:iCs w:val="1"/>
          <w:color w:val="auto"/>
        </w:rPr>
        <w:t>We are a holding company and we depend upon cash distributions from our subsidiaries to service our debt.</w:t>
      </w:r>
    </w:p>
    <w:p>
      <w:pPr>
        <w:spacing w:after="0" w:line="140" w:lineRule="exact"/>
        <w:rPr>
          <w:sz w:val="20"/>
          <w:szCs w:val="20"/>
          <w:color w:val="auto"/>
        </w:rPr>
      </w:pPr>
    </w:p>
    <w:p>
      <w:pPr>
        <w:ind w:left="1420" w:right="1479" w:firstLine="271"/>
        <w:spacing w:after="0" w:line="237" w:lineRule="auto"/>
        <w:rPr>
          <w:sz w:val="20"/>
          <w:szCs w:val="20"/>
          <w:color w:val="auto"/>
        </w:rPr>
      </w:pPr>
      <w:r>
        <w:rPr>
          <w:rFonts w:ascii="Times New Roman" w:cs="Times New Roman" w:eastAsia="Times New Roman" w:hAnsi="Times New Roman"/>
          <w:sz w:val="14"/>
          <w:szCs w:val="14"/>
          <w:color w:val="auto"/>
        </w:rPr>
        <w:t>As a holding company, we conduct our operations through our operating subsidiaries, and our only significant assets are the capital stock of our subsidiaries. Accordingly, our ability to meet our cash obligations, including our obligations under the Registered Notes, depends in part upon the ability of our subsidiaries to make cash distributions to us. Any of our subsidiaries’ declaration of bankruptcy, liquidation or reorganization could materially adversely affect their ability to make cash distributions to us. Additionally,</w:t>
      </w: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7" w:name="page18"/>
    <w:bookmarkEnd w:id="17"/>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20" w:right="1499"/>
        <w:spacing w:after="0" w:line="247" w:lineRule="auto"/>
        <w:rPr>
          <w:sz w:val="20"/>
          <w:szCs w:val="20"/>
          <w:color w:val="auto"/>
        </w:rPr>
      </w:pPr>
      <w:r>
        <w:rPr>
          <w:rFonts w:ascii="Times New Roman" w:cs="Times New Roman" w:eastAsia="Times New Roman" w:hAnsi="Times New Roman"/>
          <w:sz w:val="14"/>
          <w:szCs w:val="14"/>
          <w:color w:val="auto"/>
        </w:rPr>
        <w:t>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Registered Notes.</w:t>
      </w:r>
    </w:p>
    <w:p>
      <w:pPr>
        <w:spacing w:after="0" w:line="142" w:lineRule="exact"/>
        <w:rPr>
          <w:sz w:val="20"/>
          <w:szCs w:val="20"/>
          <w:color w:val="auto"/>
        </w:rPr>
      </w:pPr>
    </w:p>
    <w:p>
      <w:pPr>
        <w:ind w:left="1420" w:right="18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Downgrades in our credit ratings or changes in the debt markets may adversely affect the market price of the Registered Notes.</w:t>
      </w:r>
    </w:p>
    <w:p>
      <w:pPr>
        <w:spacing w:after="0" w:line="8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The market price for the Registered Notes will depend on a number of factors, including:</w:t>
      </w:r>
    </w:p>
    <w:p>
      <w:pPr>
        <w:spacing w:after="0" w:line="83" w:lineRule="exact"/>
        <w:rPr>
          <w:sz w:val="20"/>
          <w:szCs w:val="20"/>
          <w:color w:val="auto"/>
        </w:rPr>
      </w:pPr>
    </w:p>
    <w:p>
      <w:pPr>
        <w:ind w:left="1820" w:hanging="131"/>
        <w:spacing w:after="0"/>
        <w:tabs>
          <w:tab w:leader="none" w:pos="1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credit ratings with major credit rating agencies;</w:t>
      </w:r>
    </w:p>
    <w:p>
      <w:pPr>
        <w:spacing w:after="0" w:line="82"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prevailing interest rates being paid by other companies similar to us;</w:t>
      </w:r>
    </w:p>
    <w:p>
      <w:pPr>
        <w:spacing w:after="0" w:line="82"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our common stock;</w:t>
      </w:r>
    </w:p>
    <w:p>
      <w:pPr>
        <w:spacing w:after="0" w:line="82"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condition, operating performance and future prospects; and</w:t>
      </w:r>
    </w:p>
    <w:p>
      <w:pPr>
        <w:spacing w:after="0" w:line="92"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overall condition of the financial markets and global and domestic economies.</w:t>
      </w:r>
    </w:p>
    <w:p>
      <w:pPr>
        <w:spacing w:after="0" w:line="103" w:lineRule="exact"/>
        <w:rPr>
          <w:sz w:val="20"/>
          <w:szCs w:val="20"/>
          <w:color w:val="auto"/>
        </w:rPr>
      </w:pPr>
    </w:p>
    <w:p>
      <w:pPr>
        <w:ind w:left="1420" w:right="1439" w:firstLine="271"/>
        <w:spacing w:after="0" w:line="246" w:lineRule="auto"/>
        <w:rPr>
          <w:sz w:val="20"/>
          <w:szCs w:val="20"/>
          <w:color w:val="auto"/>
        </w:rPr>
      </w:pPr>
      <w:r>
        <w:rPr>
          <w:rFonts w:ascii="Times New Roman" w:cs="Times New Roman" w:eastAsia="Times New Roman" w:hAnsi="Times New Roman"/>
          <w:sz w:val="14"/>
          <w:szCs w:val="14"/>
          <w:color w:val="auto"/>
        </w:rPr>
        <w:t>The condition of the financial markets and prevailing interest rates have fluctuated in the past and are likely to fluctuate in the future. Such fluctuations could have an adverse effect on the price of the Registered Notes. In addition, credit rating agencies continually review their ratings for the companies that they follow, including us. The credit rating agencies also evaluate the industries in which we operate as a whole and may change their credit rating for us based on their overall view of such industries. A negative change in our rating could have an adverse effect on the price of the Registered Notes.</w:t>
      </w:r>
    </w:p>
    <w:p>
      <w:pPr>
        <w:spacing w:after="0" w:line="14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2"/>
          <w:szCs w:val="12"/>
          <w:b w:val="1"/>
          <w:bCs w:val="1"/>
          <w:i w:val="1"/>
          <w:iCs w:val="1"/>
          <w:color w:val="auto"/>
        </w:rPr>
        <w:t>The Registered Notes will be effectively subordinated to certain of our subsidiaries’ debt and our secured debt.</w:t>
      </w:r>
    </w:p>
    <w:p>
      <w:pPr>
        <w:spacing w:after="0" w:line="140" w:lineRule="exact"/>
        <w:rPr>
          <w:sz w:val="20"/>
          <w:szCs w:val="20"/>
          <w:color w:val="auto"/>
        </w:rPr>
      </w:pPr>
    </w:p>
    <w:p>
      <w:pPr>
        <w:ind w:left="1420" w:right="1439" w:firstLine="271"/>
        <w:spacing w:after="0" w:line="243" w:lineRule="auto"/>
        <w:rPr>
          <w:sz w:val="20"/>
          <w:szCs w:val="20"/>
          <w:color w:val="auto"/>
        </w:rPr>
      </w:pPr>
      <w:r>
        <w:rPr>
          <w:rFonts w:ascii="Times New Roman" w:cs="Times New Roman" w:eastAsia="Times New Roman" w:hAnsi="Times New Roman"/>
          <w:sz w:val="14"/>
          <w:szCs w:val="14"/>
          <w:color w:val="auto"/>
        </w:rPr>
        <w:t>While the Registered Notes will be guaranteed by WM Holdings and will rank equally with all of our and WM Holdings’ existing and future senior indebtedness and will have the same interest payment dates, maturity date and interest rate as the Restricted Notes, the Registered Notes will be structurally subordinated to all obligations of our subsidiaries other than WM Holdings, including trade payables of our operating subsidiaries. This means that holders of the Registered Notes will have a junior position to the claims of creditors of our operating subsidiaries on their assets and earnings. The Registered Notes will also be effectively subordinated to any secured debt we have or may incur, to the extent of the value of the assets securing that debt, including, without limitation, indebtedness under our $3.5 billion revolving credit facility. The Indenture governing the Registered Notes does not limit the amount of debt our subsidiaries can incur, and it permits us to incur some secured debt. Our debt balances are generally unsecured, except for capital leases and notes payable associated with our investment in federal low-income housing tax credits. The balance on such notes payable as of March 31, 2025 was $655 million. As of March 31, 2025, our operating subsidiaries had $2.7 billion of indebtedness and WM Holdings had $223 million of long-term debt (excluding guarantees of $17.8 billion of our senior debt), in each case excluding intercompany loans. For a description of the ranking of the Registered Notes, see “</w:t>
      </w:r>
      <w:r>
        <w:rPr>
          <w:rFonts w:ascii="Times New Roman" w:cs="Times New Roman" w:eastAsia="Times New Roman" w:hAnsi="Times New Roman"/>
          <w:sz w:val="14"/>
          <w:szCs w:val="14"/>
          <w:i w:val="1"/>
          <w:iCs w:val="1"/>
          <w:color w:val="auto"/>
        </w:rPr>
        <w:t>Description of the Registered Notes — Brief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Description of the Registered Notes and the Guarantee</w:t>
      </w:r>
      <w:r>
        <w:rPr>
          <w:rFonts w:ascii="Times New Roman" w:cs="Times New Roman" w:eastAsia="Times New Roman" w:hAnsi="Times New Roman"/>
          <w:sz w:val="14"/>
          <w:szCs w:val="14"/>
          <w:color w:val="auto"/>
        </w:rPr>
        <w:t>” in this prospectus.</w:t>
      </w:r>
    </w:p>
    <w:p>
      <w:pPr>
        <w:spacing w:after="0" w:line="14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Fraudulent transfer statutes may limit your rights under the guarantees of the Registered Notes.</w:t>
      </w:r>
    </w:p>
    <w:p>
      <w:pPr>
        <w:spacing w:after="0" w:line="117" w:lineRule="exact"/>
        <w:rPr>
          <w:sz w:val="20"/>
          <w:szCs w:val="20"/>
          <w:color w:val="auto"/>
        </w:rPr>
      </w:pPr>
    </w:p>
    <w:p>
      <w:pPr>
        <w:ind w:left="1420" w:right="1479" w:firstLine="271"/>
        <w:spacing w:after="0" w:line="244" w:lineRule="auto"/>
        <w:rPr>
          <w:sz w:val="20"/>
          <w:szCs w:val="20"/>
          <w:color w:val="auto"/>
        </w:rPr>
      </w:pPr>
      <w:r>
        <w:rPr>
          <w:rFonts w:ascii="Times New Roman" w:cs="Times New Roman" w:eastAsia="Times New Roman" w:hAnsi="Times New Roman"/>
          <w:sz w:val="14"/>
          <w:szCs w:val="14"/>
          <w:color w:val="auto"/>
        </w:rPr>
        <w:t>Our obligations under the Registered Notes will be guaranteed by our wholly owned subsidiary, WM Holdings. The guarantees may be subject to review under various laws for the protection of creditors. It is possible that the creditors of WM Holdings may challenge the guarantees as fraudulent transfers under relevant federal and state laws. Under certain circumstances, including a finding that WM Holdings was insolvent at the time its guarantees were issued, a court could hold that the obligations of WM Holdings under the guarantees may be voided or are subordinate to other obligations of WM Holdings, or that the amount for which WM Holdings is liable under its guarantees of the Registered Notes may be limited. Different jurisdictions define “insolvency” differently, and we cannot assure you as to what standard a court would apply to determine whether WM Holdings was insolvent. If a court determined that WM Holdings was insolvent on the date the guarantees of the Registered Notes were issued, or that the guarantees</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8" w:name="page19"/>
    <w:bookmarkEnd w:id="18"/>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20" w:right="1459"/>
        <w:spacing w:after="0" w:line="244" w:lineRule="auto"/>
        <w:rPr>
          <w:sz w:val="20"/>
          <w:szCs w:val="20"/>
          <w:color w:val="auto"/>
        </w:rPr>
      </w:pPr>
      <w:r>
        <w:rPr>
          <w:rFonts w:ascii="Times New Roman" w:cs="Times New Roman" w:eastAsia="Times New Roman" w:hAnsi="Times New Roman"/>
          <w:sz w:val="14"/>
          <w:szCs w:val="14"/>
          <w:color w:val="auto"/>
        </w:rPr>
        <w:t>constituted a fraudulent transfer on another ground, the claims of creditors of WM Holdings would effectively have priority with respect to WM Holdings’ assets and earnings over the claims of the holders of the Registered Notes.</w:t>
      </w:r>
    </w:p>
    <w:p>
      <w:pPr>
        <w:spacing w:after="0" w:line="134" w:lineRule="exact"/>
        <w:rPr>
          <w:sz w:val="20"/>
          <w:szCs w:val="20"/>
          <w:color w:val="auto"/>
        </w:rPr>
      </w:pPr>
    </w:p>
    <w:p>
      <w:pPr>
        <w:ind w:left="1420" w:right="1559"/>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We may not have sufficient funds to purchase the Registered Notes upon a change of control triggering event, and this covenant provides limited protection to investors.</w:t>
      </w:r>
    </w:p>
    <w:p>
      <w:pPr>
        <w:spacing w:after="0" w:line="81" w:lineRule="exact"/>
        <w:rPr>
          <w:sz w:val="20"/>
          <w:szCs w:val="20"/>
          <w:color w:val="auto"/>
        </w:rPr>
      </w:pPr>
    </w:p>
    <w:p>
      <w:pPr>
        <w:ind w:left="1420" w:right="1439" w:firstLine="271"/>
        <w:spacing w:after="0" w:line="237" w:lineRule="auto"/>
        <w:rPr>
          <w:sz w:val="20"/>
          <w:szCs w:val="20"/>
          <w:color w:val="auto"/>
        </w:rPr>
      </w:pPr>
      <w:r>
        <w:rPr>
          <w:rFonts w:ascii="Times New Roman" w:cs="Times New Roman" w:eastAsia="Times New Roman" w:hAnsi="Times New Roman"/>
          <w:sz w:val="14"/>
          <w:szCs w:val="14"/>
          <w:color w:val="auto"/>
        </w:rPr>
        <w:t>Holders of the Registered Notes may require us to purchase their Registered Notes upon a change of control triggering event, as set forth under “</w:t>
      </w:r>
      <w:r>
        <w:rPr>
          <w:rFonts w:ascii="Times New Roman" w:cs="Times New Roman" w:eastAsia="Times New Roman" w:hAnsi="Times New Roman"/>
          <w:sz w:val="14"/>
          <w:szCs w:val="14"/>
          <w:i w:val="1"/>
          <w:iCs w:val="1"/>
          <w:color w:val="auto"/>
        </w:rPr>
        <w:t>Description of the Registered Notes — Change of Control Offer</w:t>
      </w:r>
      <w:r>
        <w:rPr>
          <w:rFonts w:ascii="Times New Roman" w:cs="Times New Roman" w:eastAsia="Times New Roman" w:hAnsi="Times New Roman"/>
          <w:sz w:val="14"/>
          <w:szCs w:val="14"/>
          <w:color w:val="auto"/>
        </w:rPr>
        <w:t>” in this prospectus. We cannot assure you that we will have sufficient financial resources, or will be able to arrange sufficient financing, to pay the purchase price of the Registered Notes, particularly if a change of control event triggers a similar repurchase requirement for, or results in the acceleration of, our other then-existing debt.</w:t>
      </w:r>
    </w:p>
    <w:p>
      <w:pPr>
        <w:spacing w:after="0" w:line="90" w:lineRule="exact"/>
        <w:rPr>
          <w:sz w:val="20"/>
          <w:szCs w:val="20"/>
          <w:color w:val="auto"/>
        </w:rPr>
      </w:pPr>
    </w:p>
    <w:p>
      <w:pPr>
        <w:ind w:left="1420" w:right="1499" w:firstLine="271"/>
        <w:spacing w:after="0" w:line="236" w:lineRule="auto"/>
        <w:rPr>
          <w:sz w:val="20"/>
          <w:szCs w:val="20"/>
          <w:color w:val="auto"/>
        </w:rPr>
      </w:pPr>
      <w:r>
        <w:rPr>
          <w:rFonts w:ascii="Times New Roman" w:cs="Times New Roman" w:eastAsia="Times New Roman" w:hAnsi="Times New Roman"/>
          <w:sz w:val="14"/>
          <w:szCs w:val="14"/>
          <w:color w:val="auto"/>
        </w:rPr>
        <w:t>The change of control offer covenant is limited to the transactions specified in “</w:t>
      </w:r>
      <w:r>
        <w:rPr>
          <w:rFonts w:ascii="Times New Roman" w:cs="Times New Roman" w:eastAsia="Times New Roman" w:hAnsi="Times New Roman"/>
          <w:sz w:val="14"/>
          <w:szCs w:val="14"/>
          <w:i w:val="1"/>
          <w:iCs w:val="1"/>
          <w:color w:val="auto"/>
        </w:rPr>
        <w:t>Description of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Registered Notes — Change of Control Offer.” </w:t>
      </w:r>
      <w:r>
        <w:rPr>
          <w:rFonts w:ascii="Times New Roman" w:cs="Times New Roman" w:eastAsia="Times New Roman" w:hAnsi="Times New Roman"/>
          <w:sz w:val="14"/>
          <w:szCs w:val="14"/>
          <w:color w:val="auto"/>
        </w:rPr>
        <w:t>We have no present intention to engage in a transaction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Registered Notes, but that could increase the amount of indebtedness outstanding at such time or otherwise materially adversely affect our capital structure or credit ratings.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You may not be able to sell the Registered Notes for a profit or at all.</w:t>
      </w:r>
    </w:p>
    <w:p>
      <w:pPr>
        <w:spacing w:after="0" w:line="107" w:lineRule="exact"/>
        <w:rPr>
          <w:sz w:val="20"/>
          <w:szCs w:val="20"/>
          <w:color w:val="auto"/>
        </w:rPr>
      </w:pPr>
    </w:p>
    <w:p>
      <w:pPr>
        <w:ind w:left="1420" w:right="1599" w:firstLine="271"/>
        <w:spacing w:after="0" w:line="236" w:lineRule="auto"/>
        <w:rPr>
          <w:sz w:val="20"/>
          <w:szCs w:val="20"/>
          <w:color w:val="auto"/>
        </w:rPr>
      </w:pPr>
      <w:r>
        <w:rPr>
          <w:rFonts w:ascii="Times New Roman" w:cs="Times New Roman" w:eastAsia="Times New Roman" w:hAnsi="Times New Roman"/>
          <w:sz w:val="14"/>
          <w:szCs w:val="14"/>
          <w:color w:val="auto"/>
        </w:rPr>
        <w:t>There is no existing active trading market for the Registered Notes, and a market may never develop. We do not currently intend to apply for listing of the Registered Notes on any securities exchange. If a market does not develop, you may be unable to resell the Registered Notes for a long time, if at all. If the Registered Notes are traded after their initial issuance, they may trade at a discount from initial offering prices. Factors that could cause the Registered Notes to trade at a discount include increases in then prevailing interest rates, a decline in our credit worthiness based on our business, operating results or financial condition, weakness in the markets for similar securities and declining general economic conditions.</w:t>
      </w:r>
    </w:p>
    <w:p>
      <w:pPr>
        <w:spacing w:after="0" w:line="13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Holders will be required to include original issue discount on the Registered Notes in income as it accrues.</w:t>
      </w:r>
    </w:p>
    <w:p>
      <w:pPr>
        <w:spacing w:after="0" w:line="117" w:lineRule="exact"/>
        <w:rPr>
          <w:sz w:val="20"/>
          <w:szCs w:val="20"/>
          <w:color w:val="auto"/>
        </w:rPr>
      </w:pPr>
    </w:p>
    <w:p>
      <w:pPr>
        <w:ind w:left="1420" w:right="1459" w:firstLine="271"/>
        <w:spacing w:after="0" w:line="236" w:lineRule="auto"/>
        <w:rPr>
          <w:sz w:val="20"/>
          <w:szCs w:val="20"/>
          <w:color w:val="auto"/>
        </w:rPr>
      </w:pPr>
      <w:r>
        <w:rPr>
          <w:rFonts w:ascii="Times New Roman" w:cs="Times New Roman" w:eastAsia="Times New Roman" w:hAnsi="Times New Roman"/>
          <w:sz w:val="14"/>
          <w:szCs w:val="14"/>
          <w:color w:val="auto"/>
        </w:rPr>
        <w:t>The Registered Notes will be treated as having been issued with original issue discount for U.S. federal income tax purposes. A holder of a Registered Note who is subject to U.S. federal income tax generally is required to include any original issue discount in gross income (as ordinary income) as it accrues, in advance of the receipt of cash attributable to that income and regardless of such holder’s regular method of accounting for U.S. federal income tax purposes.</w:t>
      </w:r>
    </w:p>
    <w:p>
      <w:pPr>
        <w:spacing w:after="0" w:line="138" w:lineRule="exact"/>
        <w:rPr>
          <w:sz w:val="20"/>
          <w:szCs w:val="20"/>
          <w:color w:val="auto"/>
        </w:rPr>
      </w:pPr>
    </w:p>
    <w:p>
      <w:pPr>
        <w:ind w:left="1420" w:right="1539"/>
        <w:spacing w:after="0" w:line="335" w:lineRule="auto"/>
        <w:rPr>
          <w:sz w:val="20"/>
          <w:szCs w:val="20"/>
          <w:color w:val="auto"/>
        </w:rPr>
      </w:pPr>
      <w:r>
        <w:rPr>
          <w:rFonts w:ascii="Times New Roman" w:cs="Times New Roman" w:eastAsia="Times New Roman" w:hAnsi="Times New Roman"/>
          <w:sz w:val="12"/>
          <w:szCs w:val="12"/>
          <w:b w:val="1"/>
          <w:bCs w:val="1"/>
          <w:i w:val="1"/>
          <w:iCs w:val="1"/>
          <w:color w:val="auto"/>
        </w:rPr>
        <w:t>If a bankruptcy petition were filed by or against the Company, holders of the Registered Notes may receive a lesser amount for their claim than they would have been entitled to receive under the Indenture.</w:t>
      </w:r>
    </w:p>
    <w:p>
      <w:pPr>
        <w:spacing w:after="0" w:line="35" w:lineRule="exact"/>
        <w:rPr>
          <w:sz w:val="20"/>
          <w:szCs w:val="20"/>
          <w:color w:val="auto"/>
        </w:rPr>
      </w:pPr>
    </w:p>
    <w:p>
      <w:pPr>
        <w:ind w:left="1420" w:right="1439" w:firstLine="271"/>
        <w:spacing w:after="0" w:line="234" w:lineRule="auto"/>
        <w:rPr>
          <w:sz w:val="20"/>
          <w:szCs w:val="20"/>
          <w:color w:val="auto"/>
        </w:rPr>
      </w:pPr>
      <w:r>
        <w:rPr>
          <w:rFonts w:ascii="Times New Roman" w:cs="Times New Roman" w:eastAsia="Times New Roman" w:hAnsi="Times New Roman"/>
          <w:sz w:val="14"/>
          <w:szCs w:val="14"/>
          <w:color w:val="auto"/>
        </w:rPr>
        <w:t>If a bankruptcy petition were filed by or against the Company under Title 11 of the United States Bankruptcy Code (“</w:t>
      </w:r>
      <w:r>
        <w:rPr>
          <w:rFonts w:ascii="Times New Roman" w:cs="Times New Roman" w:eastAsia="Times New Roman" w:hAnsi="Times New Roman"/>
          <w:sz w:val="14"/>
          <w:szCs w:val="14"/>
          <w:i w:val="1"/>
          <w:iCs w:val="1"/>
          <w:color w:val="auto"/>
        </w:rPr>
        <w:t>U.S. Bankruptcy Code</w:t>
      </w:r>
      <w:r>
        <w:rPr>
          <w:rFonts w:ascii="Times New Roman" w:cs="Times New Roman" w:eastAsia="Times New Roman" w:hAnsi="Times New Roman"/>
          <w:sz w:val="14"/>
          <w:szCs w:val="14"/>
          <w:color w:val="auto"/>
        </w:rPr>
        <w:t>”) after the issuance of the Registered Notes, the claim by any holder of the Registered Notes for the principal amount of the Registered Notes may be limited to an amount equal to the sum of: (i) the original issue price for the Registered Notes (which is the same as the original issue price for the Restricted Notes); and (ii) that portion of the original issue discount that does not constitute “unmatured interest” for purposes of the U.S. Bankruptcy Code. Any original issue discount that was not amortized as of the date of the bankruptcy filing would constitute unmatured interest. Accordingly, holders of the Registered Notes under these circumstances may receive a lesser amount than they would be entitled to receive under the terms of the indenture governing the Registered Notes, even if sufficient funds are available.</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Risks Related to the Exchange Offer</w:t>
      </w:r>
    </w:p>
    <w:p>
      <w:pPr>
        <w:spacing w:after="0" w:line="16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You may have difficulty selling the Restricted Notes that you do not exchange.</w:t>
      </w:r>
    </w:p>
    <w:p>
      <w:pPr>
        <w:spacing w:after="0" w:line="117" w:lineRule="exact"/>
        <w:rPr>
          <w:sz w:val="20"/>
          <w:szCs w:val="20"/>
          <w:color w:val="auto"/>
        </w:rPr>
      </w:pPr>
    </w:p>
    <w:p>
      <w:pPr>
        <w:ind w:left="1420" w:right="1739" w:firstLine="271"/>
        <w:spacing w:after="0" w:line="247" w:lineRule="auto"/>
        <w:rPr>
          <w:sz w:val="20"/>
          <w:szCs w:val="20"/>
          <w:color w:val="auto"/>
        </w:rPr>
      </w:pPr>
      <w:r>
        <w:rPr>
          <w:rFonts w:ascii="Times New Roman" w:cs="Times New Roman" w:eastAsia="Times New Roman" w:hAnsi="Times New Roman"/>
          <w:sz w:val="14"/>
          <w:szCs w:val="14"/>
          <w:color w:val="auto"/>
        </w:rPr>
        <w:t>If you do not exchange your Restricted Notes for Registered Notes in the exchange offer, you will continue to be subject to the restrictions on transfer of your Restricted Notes described in the legend on</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9" w:name="page20"/>
    <w:bookmarkEnd w:id="19"/>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20" w:right="1439"/>
        <w:spacing w:after="0" w:line="234" w:lineRule="auto"/>
        <w:rPr>
          <w:sz w:val="20"/>
          <w:szCs w:val="20"/>
          <w:color w:val="auto"/>
        </w:rPr>
      </w:pPr>
      <w:r>
        <w:rPr>
          <w:rFonts w:ascii="Times New Roman" w:cs="Times New Roman" w:eastAsia="Times New Roman" w:hAnsi="Times New Roman"/>
          <w:sz w:val="14"/>
          <w:szCs w:val="14"/>
          <w:color w:val="auto"/>
        </w:rPr>
        <w:t>your Restricted Notes and we will not be required to offer another opportunity for you to exchange your Restricted Notes for registered notes, except in limited circumstances. The restrictions on transfer of your Restricted Notes arise because we issued the Restricted Notes under exemptions from, or in transactions not subject to, the registration requirements of the Securities Act and applicable state securities laws. In general, you may offer or sell the Restricted Notes only if they are registered under the Securities Act and applicable state securities laws or are offered and sold under an exemption from these requirements. We do not intend to register the Restricted Notes under the Securities Act. We may in the future seek to acquire untendered Restricted Notes in the open market or privately negotiated transactions, through subsequent exchange offers or otherwise. We have no present plans to acquire any Restricted Notes that are not tendered in the exchange offer or to file a registration statement to permit resales of any untendered Restricted Notes. To the extent Restricted Notes are tendered and accepted in the exchange offer, the trading market, if any, for the remaining Restricted Notes would likely be adversely affected. See “</w:t>
      </w:r>
      <w:r>
        <w:rPr>
          <w:rFonts w:ascii="Times New Roman" w:cs="Times New Roman" w:eastAsia="Times New Roman" w:hAnsi="Times New Roman"/>
          <w:sz w:val="14"/>
          <w:szCs w:val="14"/>
          <w:i w:val="1"/>
          <w:iCs w:val="1"/>
          <w:color w:val="auto"/>
        </w:rPr>
        <w:t>Terms of the Exchange Offer —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Consequences of Failure to Exchange</w:t>
      </w:r>
      <w:r>
        <w:rPr>
          <w:rFonts w:ascii="Times New Roman" w:cs="Times New Roman" w:eastAsia="Times New Roman" w:hAnsi="Times New Roman"/>
          <w:sz w:val="14"/>
          <w:szCs w:val="14"/>
          <w:color w:val="auto"/>
        </w:rPr>
        <w:t>” for a discussion of the possible consequences of failing to exchange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your Restricted Notes.</w:t>
      </w:r>
    </w:p>
    <w:p>
      <w:pPr>
        <w:spacing w:after="0" w:line="96" w:lineRule="exact"/>
        <w:rPr>
          <w:sz w:val="20"/>
          <w:szCs w:val="20"/>
          <w:color w:val="auto"/>
        </w:rPr>
      </w:pPr>
    </w:p>
    <w:p>
      <w:pPr>
        <w:ind w:left="1420" w:right="1459" w:firstLine="271"/>
        <w:spacing w:after="0" w:line="236" w:lineRule="auto"/>
        <w:rPr>
          <w:sz w:val="20"/>
          <w:szCs w:val="20"/>
          <w:color w:val="auto"/>
        </w:rPr>
      </w:pPr>
      <w:r>
        <w:rPr>
          <w:rFonts w:ascii="Times New Roman" w:cs="Times New Roman" w:eastAsia="Times New Roman" w:hAnsi="Times New Roman"/>
          <w:sz w:val="14"/>
          <w:szCs w:val="14"/>
          <w:color w:val="auto"/>
        </w:rPr>
        <w:t>Because we anticipate that most holders of the Restricted Notes will elect to exchange their Restricted Notes, we expect that the liquidity of the market for any Restricted Notes remaining after the completion of the exchange offer will be substantially limited. Any Restricted Notes tendered and exchanged in the exchange offer will reduce the aggregate principal amount of the Restricted Notes of the applicable series outstanding. Following the exchange offer, if you do not tender your Restricted Notes you generally will not have any further registration rights, and your Restricted Notes will continue to be subject to certain transfer restrictions. Accordingly, the liquidity of the market for the Restricted Notes could be adversely affected.</w:t>
      </w:r>
    </w:p>
    <w:p>
      <w:pPr>
        <w:spacing w:after="0" w:line="136" w:lineRule="exact"/>
        <w:rPr>
          <w:sz w:val="20"/>
          <w:szCs w:val="20"/>
          <w:color w:val="auto"/>
        </w:rPr>
      </w:pPr>
    </w:p>
    <w:p>
      <w:pPr>
        <w:ind w:left="1420" w:right="1579"/>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Broker-dealers or noteholders may become subject to the registration and prospectus delivery requirements of the Securities Act.</w:t>
      </w:r>
    </w:p>
    <w:p>
      <w:pPr>
        <w:spacing w:after="0" w:line="81" w:lineRule="exact"/>
        <w:rPr>
          <w:sz w:val="20"/>
          <w:szCs w:val="20"/>
          <w:color w:val="auto"/>
        </w:rPr>
      </w:pPr>
    </w:p>
    <w:p>
      <w:pPr>
        <w:ind w:left="1420" w:right="1519" w:firstLine="271"/>
        <w:spacing w:after="0" w:line="236" w:lineRule="auto"/>
        <w:rPr>
          <w:sz w:val="20"/>
          <w:szCs w:val="20"/>
          <w:color w:val="auto"/>
        </w:rPr>
      </w:pPr>
      <w:r>
        <w:rPr>
          <w:rFonts w:ascii="Times New Roman" w:cs="Times New Roman" w:eastAsia="Times New Roman" w:hAnsi="Times New Roman"/>
          <w:sz w:val="14"/>
          <w:szCs w:val="14"/>
          <w:color w:val="auto"/>
        </w:rPr>
        <w:t>Any broker-dealer that exchanges its Restricted Notes in the exchange offer for the purpose of participating in a distribution of the Registered Notes, or resells Registered Notes that were received by it for its own account in the exchange offer, may be deemed to have received restricted securities and may be required to comply with the registration and prospectus delivery requirements of the Securities Act in connection with any resale transaction by that broker-dealer. Any profit on the resale of the Registered Notes and any commission or concessions received by a broker-dealer may be deemed to be underwriting compensation under the Securities Act.</w:t>
      </w:r>
    </w:p>
    <w:p>
      <w:pPr>
        <w:spacing w:after="0" w:line="89" w:lineRule="exact"/>
        <w:rPr>
          <w:sz w:val="20"/>
          <w:szCs w:val="20"/>
          <w:color w:val="auto"/>
        </w:rPr>
      </w:pPr>
    </w:p>
    <w:p>
      <w:pPr>
        <w:ind w:left="1420" w:right="1539" w:firstLine="271"/>
        <w:spacing w:after="0" w:line="239" w:lineRule="auto"/>
        <w:rPr>
          <w:sz w:val="20"/>
          <w:szCs w:val="20"/>
          <w:color w:val="auto"/>
        </w:rPr>
      </w:pPr>
      <w:r>
        <w:rPr>
          <w:rFonts w:ascii="Times New Roman" w:cs="Times New Roman" w:eastAsia="Times New Roman" w:hAnsi="Times New Roman"/>
          <w:sz w:val="14"/>
          <w:szCs w:val="14"/>
          <w:color w:val="auto"/>
        </w:rPr>
        <w:t>In addition to broker-dealers, any noteholder that exchanges its Restricted Notes in the exchange offer for the purpose of participating in a distribution of the Registered Notes may be deemed to have received restricted securities and may be required to comply with the registration and prospectus delivery requirements of the Securities Act in connection with any resale transaction by that noteholder.</w:t>
      </w:r>
    </w:p>
    <w:p>
      <w:pPr>
        <w:spacing w:after="0" w:line="1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2"/>
          <w:szCs w:val="12"/>
          <w:b w:val="1"/>
          <w:bCs w:val="1"/>
          <w:i w:val="1"/>
          <w:iCs w:val="1"/>
          <w:color w:val="auto"/>
        </w:rPr>
        <w:t>You must follow the exchange offer procedures carefully in order to receive freely tradable Registered Notes.</w:t>
      </w:r>
    </w:p>
    <w:p>
      <w:pPr>
        <w:spacing w:after="0" w:line="14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Delivery of the Registered Notes in exchange for the Restricted Notes tendered and accepted for</w:t>
      </w:r>
    </w:p>
    <w:p>
      <w:pPr>
        <w:spacing w:after="0" w:line="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exchange pursuant to the exchange offer will be made only if such tenders comply with the exchange offer</w:t>
      </w:r>
    </w:p>
    <w:p>
      <w:pPr>
        <w:ind w:left="1420"/>
        <w:spacing w:after="0" w:line="229" w:lineRule="auto"/>
        <w:rPr>
          <w:sz w:val="20"/>
          <w:szCs w:val="20"/>
          <w:color w:val="auto"/>
        </w:rPr>
      </w:pPr>
      <w:r>
        <w:rPr>
          <w:rFonts w:ascii="Times New Roman" w:cs="Times New Roman" w:eastAsia="Times New Roman" w:hAnsi="Times New Roman"/>
          <w:sz w:val="14"/>
          <w:szCs w:val="14"/>
          <w:color w:val="auto"/>
        </w:rPr>
        <w:t>procedures described herein, including the timely receipt by the exchange agent of book-entry transfer of</w:t>
      </w:r>
    </w:p>
    <w:p>
      <w:pPr>
        <w:ind w:left="1420"/>
        <w:spacing w:after="0" w:line="227" w:lineRule="auto"/>
        <w:rPr>
          <w:sz w:val="20"/>
          <w:szCs w:val="20"/>
          <w:color w:val="auto"/>
        </w:rPr>
      </w:pPr>
      <w:r>
        <w:rPr>
          <w:rFonts w:ascii="Times New Roman" w:cs="Times New Roman" w:eastAsia="Times New Roman" w:hAnsi="Times New Roman"/>
          <w:sz w:val="14"/>
          <w:szCs w:val="14"/>
          <w:color w:val="auto"/>
        </w:rPr>
        <w:t>the Restricted Notes into such exchange agent’s account at DTC, as depositary, including an agent’s</w:t>
      </w:r>
    </w:p>
    <w:p>
      <w:pPr>
        <w:ind w:left="1420"/>
        <w:spacing w:after="0"/>
        <w:rPr>
          <w:sz w:val="20"/>
          <w:szCs w:val="20"/>
          <w:color w:val="auto"/>
        </w:rPr>
      </w:pPr>
      <w:r>
        <w:rPr>
          <w:rFonts w:ascii="Times New Roman" w:cs="Times New Roman" w:eastAsia="Times New Roman" w:hAnsi="Times New Roman"/>
          <w:sz w:val="14"/>
          <w:szCs w:val="14"/>
          <w:color w:val="auto"/>
        </w:rPr>
        <w:t>message. We are not required to notify you of defects or irregularities in tenders of Restricted Notes for</w:t>
      </w:r>
    </w:p>
    <w:p>
      <w:pPr>
        <w:ind w:left="1420"/>
        <w:spacing w:after="0" w:line="229" w:lineRule="auto"/>
        <w:rPr>
          <w:sz w:val="20"/>
          <w:szCs w:val="20"/>
          <w:color w:val="auto"/>
        </w:rPr>
      </w:pPr>
      <w:r>
        <w:rPr>
          <w:rFonts w:ascii="Times New Roman" w:cs="Times New Roman" w:eastAsia="Times New Roman" w:hAnsi="Times New Roman"/>
          <w:sz w:val="14"/>
          <w:szCs w:val="14"/>
          <w:color w:val="auto"/>
        </w:rPr>
        <w:t>exchange. The method of delivery of Restricted Notes and the letter of transmittal and all other required</w:t>
      </w:r>
    </w:p>
    <w:p>
      <w:pPr>
        <w:ind w:left="1420"/>
        <w:spacing w:after="0" w:line="227" w:lineRule="auto"/>
        <w:rPr>
          <w:sz w:val="20"/>
          <w:szCs w:val="20"/>
          <w:color w:val="auto"/>
        </w:rPr>
      </w:pPr>
      <w:r>
        <w:rPr>
          <w:rFonts w:ascii="Times New Roman" w:cs="Times New Roman" w:eastAsia="Times New Roman" w:hAnsi="Times New Roman"/>
          <w:sz w:val="14"/>
          <w:szCs w:val="14"/>
          <w:color w:val="auto"/>
        </w:rPr>
        <w:t>documents to the exchange agent is at the election and risk of the holders of the Restricted Notes. See</w:t>
      </w:r>
    </w:p>
    <w:p>
      <w:pPr>
        <w:ind w:left="1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Terms of the Exchange Offer — Procedures for Tendering the Restricted Notes</w:t>
      </w:r>
      <w:r>
        <w:rPr>
          <w:rFonts w:ascii="Times New Roman" w:cs="Times New Roman" w:eastAsia="Times New Roman" w:hAnsi="Times New Roman"/>
          <w:sz w:val="14"/>
          <w:szCs w:val="14"/>
          <w:color w:val="auto"/>
        </w:rPr>
        <w:t>” for additional information.</w:t>
      </w:r>
    </w:p>
    <w:p>
      <w:pPr>
        <w:spacing w:after="0" w:line="14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Consummation of the exchange offer may not occur.</w:t>
      </w:r>
    </w:p>
    <w:p>
      <w:pPr>
        <w:spacing w:after="0" w:line="105" w:lineRule="exact"/>
        <w:rPr>
          <w:sz w:val="20"/>
          <w:szCs w:val="20"/>
          <w:color w:val="auto"/>
        </w:rPr>
      </w:pPr>
    </w:p>
    <w:p>
      <w:pPr>
        <w:ind w:left="1420" w:right="1499" w:firstLine="271"/>
        <w:spacing w:after="0" w:line="238" w:lineRule="auto"/>
        <w:rPr>
          <w:sz w:val="20"/>
          <w:szCs w:val="20"/>
          <w:color w:val="auto"/>
        </w:rPr>
      </w:pPr>
      <w:r>
        <w:rPr>
          <w:rFonts w:ascii="Times New Roman" w:cs="Times New Roman" w:eastAsia="Times New Roman" w:hAnsi="Times New Roman"/>
          <w:sz w:val="14"/>
          <w:szCs w:val="14"/>
          <w:color w:val="auto"/>
        </w:rPr>
        <w:t>The exchange offer is subject to the satisfaction of certain conditions. See “</w:t>
      </w:r>
      <w:r>
        <w:rPr>
          <w:rFonts w:ascii="Times New Roman" w:cs="Times New Roman" w:eastAsia="Times New Roman" w:hAnsi="Times New Roman"/>
          <w:sz w:val="14"/>
          <w:szCs w:val="14"/>
          <w:i w:val="1"/>
          <w:iCs w:val="1"/>
          <w:color w:val="auto"/>
        </w:rPr>
        <w:t>Terms of the Exchange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Offer — Conditions to the Exchange Offer</w:t>
      </w:r>
      <w:r>
        <w:rPr>
          <w:rFonts w:ascii="Times New Roman" w:cs="Times New Roman" w:eastAsia="Times New Roman" w:hAnsi="Times New Roman"/>
          <w:sz w:val="14"/>
          <w:szCs w:val="14"/>
          <w:color w:val="auto"/>
        </w:rPr>
        <w:t>.” Even if the exchange offer is completed, it may not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completed on the timing described in this prospectus. Accordingly, holders participating in the exchange offer may have to wait longer than expected to receive their Registered Notes, during which time such holders will not be able to effect transfers of their Restricted Notes tendered in the exchange offer. Until we announce</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0" w:name="page21"/>
    <w:bookmarkEnd w:id="20"/>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20" w:right="1479"/>
        <w:spacing w:after="0" w:line="246" w:lineRule="auto"/>
        <w:rPr>
          <w:sz w:val="20"/>
          <w:szCs w:val="20"/>
          <w:color w:val="auto"/>
        </w:rPr>
      </w:pPr>
      <w:r>
        <w:rPr>
          <w:rFonts w:ascii="Times New Roman" w:cs="Times New Roman" w:eastAsia="Times New Roman" w:hAnsi="Times New Roman"/>
          <w:sz w:val="14"/>
          <w:szCs w:val="14"/>
          <w:color w:val="auto"/>
        </w:rPr>
        <w:t>whether we have accepted valid tenders of Restricted Notes for exchange pursuant to the exchange offer, no assurance can be given that the exchange offer will be completed. In addition, subject to applicable law and as provided in this prospectus, we may, in our sole discretion, extend, re-open, amend, waive any condition of or terminate the exchange offer at any time before our announcement of whether we will accept valid tenders of Restricted Notes for exchange pursuant to exchange offer, which we expect to make as soon as reasonably practicable after the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1" w:name="page22"/>
    <w:bookmarkEnd w:id="21"/>
    <w:p>
      <w:pPr>
        <w:ind w:left="4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17" w:lineRule="exact"/>
        <w:rPr>
          <w:sz w:val="20"/>
          <w:szCs w:val="20"/>
          <w:color w:val="auto"/>
        </w:rPr>
      </w:pPr>
    </w:p>
    <w:p>
      <w:pPr>
        <w:ind w:left="1420" w:right="1559" w:firstLine="271"/>
        <w:spacing w:after="0" w:line="248" w:lineRule="auto"/>
        <w:rPr>
          <w:sz w:val="20"/>
          <w:szCs w:val="20"/>
          <w:color w:val="auto"/>
        </w:rPr>
      </w:pPr>
      <w:r>
        <w:rPr>
          <w:rFonts w:ascii="Times New Roman" w:cs="Times New Roman" w:eastAsia="Times New Roman" w:hAnsi="Times New Roman"/>
          <w:sz w:val="14"/>
          <w:szCs w:val="14"/>
          <w:color w:val="auto"/>
        </w:rPr>
        <w:t>We will not receive any cash proceeds from the issuance of the Registered Notes. In consideration for issuing the Registered Notes as contemplated in this prospectus, the Company will receive in exchange Restricted Notes in like principal amount, which will be cancelled, and, as such, issuing the Registered Notes will not result in any increase in the Company’s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2" w:name="page23"/>
    <w:bookmarkEnd w:id="22"/>
    <w:p>
      <w:pPr>
        <w:ind w:left="4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TERMS OF THE EXCHANGE OFFER</w:t>
      </w:r>
    </w:p>
    <w:p>
      <w:pPr>
        <w:spacing w:after="0" w:line="16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Purpose and Effect of the Exchange Offer</w:t>
      </w:r>
    </w:p>
    <w:p>
      <w:pPr>
        <w:spacing w:after="0" w:line="117" w:lineRule="exact"/>
        <w:rPr>
          <w:sz w:val="20"/>
          <w:szCs w:val="20"/>
          <w:color w:val="auto"/>
        </w:rPr>
      </w:pPr>
    </w:p>
    <w:p>
      <w:pPr>
        <w:ind w:left="1420" w:right="1439" w:firstLine="271"/>
        <w:spacing w:after="0" w:line="243" w:lineRule="auto"/>
        <w:rPr>
          <w:sz w:val="20"/>
          <w:szCs w:val="20"/>
          <w:color w:val="auto"/>
        </w:rPr>
      </w:pPr>
      <w:r>
        <w:rPr>
          <w:rFonts w:ascii="Times New Roman" w:cs="Times New Roman" w:eastAsia="Times New Roman" w:hAnsi="Times New Roman"/>
          <w:sz w:val="14"/>
          <w:szCs w:val="14"/>
          <w:color w:val="auto"/>
        </w:rPr>
        <w:t>We and the dealer managers entered into a Registration Rights Agreement with respect to the Restricted Notes on November 8, 2024. Pursuant to the Registration Rights Agreement, we agreed, among other things, to use commercially reasonable efforts to (1) file a registration statement on Form S-4 with respect to a registered offer to exchange the Restricted Notes for a like aggregate principal amount of Registered Notes, with terms substantially identical in all material respects to the Restricted Notes (except that the Registered Notes will not contain terms with respect to transfer restrictions or any increase in annual interest rate) and (2) cause the registration statement to be declared effective under the Securities Act by November 9, 2025. In furtherance of the foregoing, we have filed with the SEC a registration statement on Form S-4 (File No. 333-        ) with respect to the exchange offer and the Registered Notes. We agreed to use commercially reasonable efforts to complete the exchange offer by November 9, 2025. If the Company determines that any changes in applicable law or applicable interpretations of the SEC do not permit the Company to effect the exchange offer, or a holder of Restricted Notes participating in the exchange offer does not receive Registered Notes on the date of the exchange that may be sold without restriction under state and U.S. federal securities laws (other than due solely to the status of such holder as an affiliate of the Company within the meaning of the Securities Act) and notifies the Company within 30 days after such holder first becomes aware of such restrictions, or the exchange offer, for any other reason, is not completed by November 9, 2025, or the Company receives a written request from any holder of Restricted Notes within 20 business days after the consummation of the exchange offer representing that they hold Restricted Notes that are or were ineligible to be exchanged in the exchange offer then the Company will be required to use commercially reasonable efforts to file as promptly as practicable after the date of such determination, a shelf registration statement under the Securities Act and to have such shelf registration statement become effective, which shelf registration statement would cover resales of the registrable securities of such series held by such persons.</w:t>
      </w:r>
    </w:p>
    <w:p>
      <w:pPr>
        <w:spacing w:after="0" w:line="260" w:lineRule="exact"/>
        <w:rPr>
          <w:sz w:val="20"/>
          <w:szCs w:val="20"/>
          <w:color w:val="auto"/>
        </w:rPr>
      </w:pPr>
    </w:p>
    <w:p>
      <w:pPr>
        <w:ind w:left="1420" w:right="1459" w:firstLine="271"/>
        <w:spacing w:after="0" w:line="244" w:lineRule="auto"/>
        <w:rPr>
          <w:sz w:val="20"/>
          <w:szCs w:val="20"/>
          <w:color w:val="auto"/>
        </w:rPr>
      </w:pPr>
      <w:r>
        <w:rPr>
          <w:rFonts w:ascii="Times New Roman" w:cs="Times New Roman" w:eastAsia="Times New Roman" w:hAnsi="Times New Roman"/>
          <w:sz w:val="14"/>
          <w:szCs w:val="14"/>
          <w:color w:val="auto"/>
        </w:rPr>
        <w:t>After the SEC declares this exchange offer registration statement effective, we will offer the Registered Notes in return for the Restricted Notes. The exchange offer will remain open for no fewer than 20 business days (or longer if required by applicable law) from the date the prospectus is mailed or made available to the holders of the Restricted Notes. For each Restricted Note surrendered to us pursuant to an exchange offer, the holder of the Restricted Note will receive a Registered Note having a principal amount equal to that of the surrendered Restricted Note. Interest on the Registered Notes will be payable semi-annually on January 15 and July 15 and will accrue from the most recent interest payment date of the Restricted Notes, which was January 15, 2025.</w:t>
      </w:r>
    </w:p>
    <w:p>
      <w:pPr>
        <w:spacing w:after="0" w:line="91" w:lineRule="exact"/>
        <w:rPr>
          <w:sz w:val="20"/>
          <w:szCs w:val="20"/>
          <w:color w:val="auto"/>
        </w:rPr>
      </w:pPr>
    </w:p>
    <w:p>
      <w:pPr>
        <w:ind w:left="1420" w:right="1439" w:firstLine="271"/>
        <w:spacing w:after="0" w:line="243" w:lineRule="auto"/>
        <w:rPr>
          <w:sz w:val="20"/>
          <w:szCs w:val="20"/>
          <w:color w:val="auto"/>
        </w:rPr>
      </w:pPr>
      <w:r>
        <w:rPr>
          <w:rFonts w:ascii="Times New Roman" w:cs="Times New Roman" w:eastAsia="Times New Roman" w:hAnsi="Times New Roman"/>
          <w:sz w:val="14"/>
          <w:szCs w:val="14"/>
          <w:color w:val="auto"/>
        </w:rPr>
        <w:t>Under existing SEC interpretations, the Registered Notes acquired in the exchange offer by holders of Restricted Notes will be freely transferable without further registration under the Securities Act if the holder of the Registered Notes is acquiring the Registered Notes in the ordinary course of its business, that it has no arrangement or understanding to participate in the distribution of the Registered Notes and that it is not an affiliate of the Company (or, if the holder such an “affiliate,” then the holder will comply with the prospectus delivery requirements of the Securities Act to the extent applicable in connection with any resale of the Registered Notes), as such terms are interpreted by the SEC; however, broker-dealers (“</w:t>
      </w:r>
      <w:r>
        <w:rPr>
          <w:rFonts w:ascii="Times New Roman" w:cs="Times New Roman" w:eastAsia="Times New Roman" w:hAnsi="Times New Roman"/>
          <w:sz w:val="14"/>
          <w:szCs w:val="14"/>
          <w:i w:val="1"/>
          <w:iCs w:val="1"/>
          <w:color w:val="auto"/>
        </w:rPr>
        <w:t>participating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broker-dealers</w:t>
      </w:r>
      <w:r>
        <w:rPr>
          <w:rFonts w:ascii="Times New Roman" w:cs="Times New Roman" w:eastAsia="Times New Roman" w:hAnsi="Times New Roman"/>
          <w:sz w:val="14"/>
          <w:szCs w:val="14"/>
          <w:color w:val="auto"/>
        </w:rPr>
        <w:t>”) receiving Registered Notes in a registered exchange offer will also have a prospectus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delivery requirement with respect to resales of such Registered Notes. The SEC has taken the position that participating broker-dealers may fulfill their prospectus delivery requirements with respect to Registered Notes (other than a resale of an unsold allotment from the original sale of the Restricted Notes) with the prospectus contained in the exchange offer registration statement relating to such Registered Notes.</w:t>
      </w:r>
    </w:p>
    <w:p>
      <w:pPr>
        <w:spacing w:after="0" w:line="104" w:lineRule="exact"/>
        <w:rPr>
          <w:sz w:val="20"/>
          <w:szCs w:val="20"/>
          <w:color w:val="auto"/>
        </w:rPr>
      </w:pPr>
    </w:p>
    <w:p>
      <w:pPr>
        <w:ind w:left="1420" w:right="1459" w:firstLine="271"/>
        <w:spacing w:after="0" w:line="244" w:lineRule="auto"/>
        <w:rPr>
          <w:sz w:val="20"/>
          <w:szCs w:val="20"/>
          <w:color w:val="auto"/>
        </w:rPr>
      </w:pPr>
      <w:r>
        <w:rPr>
          <w:rFonts w:ascii="Times New Roman" w:cs="Times New Roman" w:eastAsia="Times New Roman" w:hAnsi="Times New Roman"/>
          <w:sz w:val="14"/>
          <w:szCs w:val="14"/>
          <w:color w:val="auto"/>
        </w:rPr>
        <w:t>This prospectus, as it may be amended or supplemented from time to time, may be used by a broker-dealer in connection with resales of Registered Notes received in exchange for Restricted Notes that were acquired by such broker-dealer as a result of market-making or other trading activities. We have agreed that, for a period ending on the earlier of (A) 180 days after the expiration date of the exchange offer and (B) the date on which each broker-dealer is no longer required to deliver a prospectus in connection with market marking or other trading activities, in each case to the extent necessary to ensure that the exchange offer registrations statement is available for resale of the Restricted Securities and if requested by one or more such</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3" w:name="page24"/>
    <w:bookmarkEnd w:id="23"/>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20" w:right="1719"/>
        <w:spacing w:after="0" w:line="244" w:lineRule="auto"/>
        <w:rPr>
          <w:sz w:val="20"/>
          <w:szCs w:val="20"/>
          <w:color w:val="auto"/>
        </w:rPr>
      </w:pPr>
      <w:r>
        <w:rPr>
          <w:rFonts w:ascii="Times New Roman" w:cs="Times New Roman" w:eastAsia="Times New Roman" w:hAnsi="Times New Roman"/>
          <w:sz w:val="14"/>
          <w:szCs w:val="14"/>
          <w:color w:val="auto"/>
        </w:rPr>
        <w:t>broker-dealers, the Company will use commercially reasonable efforts to amend or supplement this prospectus in order to expedite or facilitate the disposition of any Registered Notes by any such broker-dealers.</w:t>
      </w:r>
    </w:p>
    <w:p>
      <w:pPr>
        <w:spacing w:after="0" w:line="87" w:lineRule="exact"/>
        <w:rPr>
          <w:sz w:val="20"/>
          <w:szCs w:val="20"/>
          <w:color w:val="auto"/>
        </w:rPr>
      </w:pPr>
    </w:p>
    <w:p>
      <w:pPr>
        <w:ind w:left="1420" w:right="1439" w:firstLine="271"/>
        <w:spacing w:after="0" w:line="233" w:lineRule="auto"/>
        <w:rPr>
          <w:sz w:val="20"/>
          <w:szCs w:val="20"/>
          <w:color w:val="auto"/>
        </w:rPr>
      </w:pPr>
      <w:r>
        <w:rPr>
          <w:rFonts w:ascii="Times New Roman" w:cs="Times New Roman" w:eastAsia="Times New Roman" w:hAnsi="Times New Roman"/>
          <w:sz w:val="14"/>
          <w:szCs w:val="14"/>
          <w:color w:val="auto"/>
        </w:rPr>
        <w:t>A holder of Restricted Notes who wishes to exchange its Restricted Notes for Registered Notes in the exchange offer will be required to represent that (1) any Registered Notes to be received by it will be acquired in the ordinary course of its business, (2) at the time of the commencement of the exchange offer, it is not engaged in, does not intend to engage in and it has no arrangement or understanding with any person to participate in the distribution (within the meaning of the Securities Act) of the Registered Notes in violation of the provisions of the Securities Act and it is not engaged in, and does not intend to engage in, the distribution of the Registered Notes, (3) it is not an “affiliate” ​(within the meaning of Rule 405 under the Securities Act) of the Company, or if it is such an “affiliate”, such holder will comply with the prospectus delivery requirements of the Securities Act to the extent applicable in connection with any resale of the Exchange Securities, (4) if such holder is a broker-dealer that will receive the Registered Notes for its own account in exchange for the Restricted Notes that were acquired as a result of market-making or other trading activities, then such holder will deliver a prospectus (or, to the extent permitted by law, make available a prospectus to purchasers) in connection with any resale of such Registered Notes and (5) it is not prohibited by any law of policy from participating in the exchange offer. See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ind w:left="1420" w:right="1459" w:firstLine="271"/>
        <w:spacing w:after="0" w:line="234" w:lineRule="auto"/>
        <w:rPr>
          <w:sz w:val="20"/>
          <w:szCs w:val="20"/>
          <w:color w:val="auto"/>
        </w:rPr>
      </w:pPr>
      <w:r>
        <w:rPr>
          <w:rFonts w:ascii="Times New Roman" w:cs="Times New Roman" w:eastAsia="Times New Roman" w:hAnsi="Times New Roman"/>
          <w:sz w:val="14"/>
          <w:szCs w:val="14"/>
          <w:color w:val="auto"/>
        </w:rPr>
        <w:t>The Registration Rights Agreement provides, among other things, that if we have not exchanged Registered Notes for all Restricted Notes validly tendered in accordance with the terms of the exchange offer on or prior to November 9, 2025, or if a shelf registration statement is required under the limited circumstances set forth in the Registration Rights Agreement and such shelf registration statement is not declared effective on or prior to the 60th day after the later of November 9, 2025 and the date on which the Company receives a duly executed request from certain holders of Restricted Notes for the filing of a shelf registration, then, subject to certain exceptions, the annual interest rate on the Restricted Notes will increase initially by 0.25% per annum beginning on the day immediately following the occurrence of such registration default. The additional interest will cease to accrue when all registration defaults are cured. See “</w:t>
      </w:r>
      <w:r>
        <w:rPr>
          <w:rFonts w:ascii="Times New Roman" w:cs="Times New Roman" w:eastAsia="Times New Roman" w:hAnsi="Times New Roman"/>
          <w:sz w:val="14"/>
          <w:szCs w:val="14"/>
          <w:i w:val="1"/>
          <w:iCs w:val="1"/>
          <w:color w:val="auto"/>
        </w:rPr>
        <w:t>Exchange Offer; Registration Rights</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Resale of Registered Notes</w:t>
      </w:r>
    </w:p>
    <w:p>
      <w:pPr>
        <w:spacing w:after="0" w:line="11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 xml:space="preserve">Based on the position that the staff of the SEC enunciated in the no-action letters issued to </w:t>
      </w:r>
      <w:r>
        <w:rPr>
          <w:rFonts w:ascii="Times New Roman" w:cs="Times New Roman" w:eastAsia="Times New Roman" w:hAnsi="Times New Roman"/>
          <w:sz w:val="14"/>
          <w:szCs w:val="14"/>
          <w:i w:val="1"/>
          <w:iCs w:val="1"/>
          <w:color w:val="auto"/>
        </w:rPr>
        <w:t>Exxon</w:t>
      </w:r>
    </w:p>
    <w:p>
      <w:pPr>
        <w:spacing w:after="0" w:line="16" w:lineRule="exact"/>
        <w:rPr>
          <w:sz w:val="20"/>
          <w:szCs w:val="20"/>
          <w:color w:val="auto"/>
        </w:rPr>
      </w:pPr>
    </w:p>
    <w:p>
      <w:pPr>
        <w:ind w:left="1420" w:right="1459"/>
        <w:spacing w:after="0" w:line="242" w:lineRule="auto"/>
        <w:rPr>
          <w:sz w:val="20"/>
          <w:szCs w:val="20"/>
          <w:color w:val="auto"/>
        </w:rPr>
      </w:pPr>
      <w:r>
        <w:rPr>
          <w:rFonts w:ascii="Times New Roman" w:cs="Times New Roman" w:eastAsia="Times New Roman" w:hAnsi="Times New Roman"/>
          <w:sz w:val="14"/>
          <w:szCs w:val="14"/>
          <w:i w:val="1"/>
          <w:iCs w:val="1"/>
          <w:color w:val="auto"/>
        </w:rPr>
        <w:t xml:space="preserve">Capital Holdings Corporation </w:t>
      </w:r>
      <w:r>
        <w:rPr>
          <w:rFonts w:ascii="Times New Roman" w:cs="Times New Roman" w:eastAsia="Times New Roman" w:hAnsi="Times New Roman"/>
          <w:sz w:val="14"/>
          <w:szCs w:val="14"/>
          <w:color w:val="auto"/>
        </w:rPr>
        <w:t>(available May 13, 1988),</w:t>
      </w:r>
      <w:r>
        <w:rPr>
          <w:rFonts w:ascii="Times New Roman" w:cs="Times New Roman" w:eastAsia="Times New Roman" w:hAnsi="Times New Roman"/>
          <w:sz w:val="14"/>
          <w:szCs w:val="14"/>
          <w:i w:val="1"/>
          <w:iCs w:val="1"/>
          <w:color w:val="auto"/>
        </w:rPr>
        <w:t xml:space="preserve"> Morgan Stanley &amp; Co., Incorporated </w:t>
      </w:r>
      <w:r>
        <w:rPr>
          <w:rFonts w:ascii="Times New Roman" w:cs="Times New Roman" w:eastAsia="Times New Roman" w:hAnsi="Times New Roman"/>
          <w:sz w:val="14"/>
          <w:szCs w:val="14"/>
          <w:color w:val="auto"/>
        </w:rPr>
        <w:t>(available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June 5, 1991) and </w:t>
      </w:r>
      <w:r>
        <w:rPr>
          <w:rFonts w:ascii="Times New Roman" w:cs="Times New Roman" w:eastAsia="Times New Roman" w:hAnsi="Times New Roman"/>
          <w:sz w:val="14"/>
          <w:szCs w:val="14"/>
          <w:i w:val="1"/>
          <w:iCs w:val="1"/>
          <w:color w:val="auto"/>
        </w:rPr>
        <w:t>Shearman &amp; Sterling</w:t>
      </w:r>
      <w:r>
        <w:rPr>
          <w:rFonts w:ascii="Times New Roman" w:cs="Times New Roman" w:eastAsia="Times New Roman" w:hAnsi="Times New Roman"/>
          <w:sz w:val="14"/>
          <w:szCs w:val="14"/>
          <w:color w:val="auto"/>
        </w:rPr>
        <w:t xml:space="preserve"> (available July 2, 1993), the Registered Notes issued in the exchange offer may be offered for resale, resold and otherwise transferred without registration under the Securities Act, and without delivering a prospectus that satisfies the requirements of Section 10 of the Securities Act, if the holder of the Restricted Notes who wishes to exchange its Restricted Notes for Registered Notes can make the representations set forth below under “— </w:t>
      </w:r>
      <w:r>
        <w:rPr>
          <w:rFonts w:ascii="Times New Roman" w:cs="Times New Roman" w:eastAsia="Times New Roman" w:hAnsi="Times New Roman"/>
          <w:sz w:val="14"/>
          <w:szCs w:val="14"/>
          <w:i w:val="1"/>
          <w:iCs w:val="1"/>
          <w:color w:val="auto"/>
        </w:rPr>
        <w:t>Procedures for Tendering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Restricted Notes</w:t>
      </w:r>
      <w:r>
        <w:rPr>
          <w:rFonts w:ascii="Times New Roman" w:cs="Times New Roman" w:eastAsia="Times New Roman" w:hAnsi="Times New Roman"/>
          <w:sz w:val="14"/>
          <w:szCs w:val="14"/>
          <w:color w:val="auto"/>
        </w:rPr>
        <w:t>.” However, if such holder intends to participate in a distribution of the Registered Notes,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 broker-dealer that acquired the Restricted Notes directly from us for its own account in the initial offering of the Restricted Notes and not as a result of market-making activities or other trading activities or is an “affiliate” of the Company as defined in Rule 405 under the Securities Act, such holder will not be eligible to participate in the exchange offer, and must comply with the registration and prospectus delivery requirements of the Securities Act in connection with the resale of its Restricted Notes. See “— </w:t>
      </w:r>
      <w:r>
        <w:rPr>
          <w:rFonts w:ascii="Times New Roman" w:cs="Times New Roman" w:eastAsia="Times New Roman" w:hAnsi="Times New Roman"/>
          <w:sz w:val="14"/>
          <w:szCs w:val="14"/>
          <w:i w:val="1"/>
          <w:iCs w:val="1"/>
          <w:color w:val="auto"/>
        </w:rPr>
        <w:t>Additional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Obligations</w:t>
      </w:r>
      <w:r>
        <w:rPr>
          <w:rFonts w:ascii="Times New Roman" w:cs="Times New Roman" w:eastAsia="Times New Roman" w:hAnsi="Times New Roman"/>
          <w:sz w:val="14"/>
          <w:szCs w:val="14"/>
          <w:color w:val="auto"/>
        </w:rPr>
        <w:t>” below.</w:t>
      </w:r>
    </w:p>
    <w:p>
      <w:pPr>
        <w:spacing w:after="0" w:line="263" w:lineRule="exact"/>
        <w:rPr>
          <w:sz w:val="20"/>
          <w:szCs w:val="20"/>
          <w:color w:val="auto"/>
        </w:rPr>
      </w:pPr>
    </w:p>
    <w:p>
      <w:pPr>
        <w:ind w:left="1420" w:right="1479" w:firstLine="271"/>
        <w:spacing w:after="0" w:line="243" w:lineRule="auto"/>
        <w:rPr>
          <w:sz w:val="20"/>
          <w:szCs w:val="20"/>
          <w:color w:val="auto"/>
        </w:rPr>
      </w:pPr>
      <w:r>
        <w:rPr>
          <w:rFonts w:ascii="Times New Roman" w:cs="Times New Roman" w:eastAsia="Times New Roman" w:hAnsi="Times New Roman"/>
          <w:sz w:val="14"/>
          <w:szCs w:val="14"/>
          <w:color w:val="auto"/>
        </w:rPr>
        <w:t>A broker-dealer that has acquired Restricted Notes as a result of market-making or other trading activities has to deliver a prospectus in order to resell any Registered Notes it receives for its own account in the exchange offer. This prospectus, as it may be amended or supplemented from time to time, may be used by a broker-dealer in connection with resales of Registered Notes received in exchange for Restricted Notes that were acquired by such broker-dealer as a result of market-making or other trading activities. We have agreed that, for a period ending on the earlier of (A) 180 days after the expiration date of the exchange offer and (B) the date on which each broker-dealer is no longer required to deliver a prospectus in connection with market marking or other trading activities, in each case to the extent necessary to ensure that the exchange offer registrations statement is available for resale of the Restricted Securities and if requested by one or more such broker-dealers, the Company will use commercially reasonable efforts to amend or supplement this prospectus in order to expedite or facilitate the disposition of any Registered Notes by any such broker-dealers. See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for more information regarding broker-dealers.</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4" w:name="page25"/>
    <w:bookmarkEnd w:id="24"/>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1420" w:right="1699" w:firstLine="271"/>
        <w:spacing w:after="0" w:line="244" w:lineRule="auto"/>
        <w:rPr>
          <w:sz w:val="20"/>
          <w:szCs w:val="20"/>
          <w:color w:val="auto"/>
        </w:rPr>
      </w:pPr>
      <w:r>
        <w:rPr>
          <w:rFonts w:ascii="Times New Roman" w:cs="Times New Roman" w:eastAsia="Times New Roman" w:hAnsi="Times New Roman"/>
          <w:sz w:val="14"/>
          <w:szCs w:val="14"/>
          <w:color w:val="auto"/>
        </w:rPr>
        <w:t>The exchange offer is not being made to, nor will we accept tenders for exchange from, holders of Restricted Notes in any jurisdiction in which the exchange offer or the acceptance of the exchange offer would not be in compliance with the securities or blue sky laws.</w:t>
      </w:r>
    </w:p>
    <w:p>
      <w:pPr>
        <w:spacing w:after="0" w:line="13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Terms of the Exchange Offer</w:t>
      </w:r>
    </w:p>
    <w:p>
      <w:pPr>
        <w:spacing w:after="0" w:line="117" w:lineRule="exact"/>
        <w:rPr>
          <w:sz w:val="20"/>
          <w:szCs w:val="20"/>
          <w:color w:val="auto"/>
        </w:rPr>
      </w:pPr>
    </w:p>
    <w:p>
      <w:pPr>
        <w:ind w:left="1420" w:right="1499" w:firstLine="271"/>
        <w:spacing w:after="0" w:line="236" w:lineRule="auto"/>
        <w:rPr>
          <w:sz w:val="20"/>
          <w:szCs w:val="20"/>
          <w:color w:val="auto"/>
        </w:rPr>
      </w:pPr>
      <w:r>
        <w:rPr>
          <w:rFonts w:ascii="Times New Roman" w:cs="Times New Roman" w:eastAsia="Times New Roman" w:hAnsi="Times New Roman"/>
          <w:sz w:val="14"/>
          <w:szCs w:val="14"/>
          <w:color w:val="auto"/>
        </w:rPr>
        <w:t>Upon the terms and subject to the conditions set forth in this prospectus and in the letter of transmittal, we will accept for exchange any and all Restricted Notes properly tendered and not withdrawn prior to the expiration time. The Restricted Notes may only be tendered in minimum denominations of $2,000 and integral multiples of $1,000 in excess of $2,000. We will issue $2,000 principal amount or an integral multiple of $1,000 in excess thereof of Registered Notes in exchange for a corresponding principal amount of Restricted Notes surrendered in the exchange offer. In exchange for each Restricted Note surrendered in the exchange offer, we will issue a Registered Note with a like principal amount.</w:t>
      </w:r>
    </w:p>
    <w:p>
      <w:pPr>
        <w:spacing w:after="0" w:line="89" w:lineRule="exact"/>
        <w:rPr>
          <w:sz w:val="20"/>
          <w:szCs w:val="20"/>
          <w:color w:val="auto"/>
        </w:rPr>
      </w:pPr>
    </w:p>
    <w:p>
      <w:pPr>
        <w:ind w:left="1420" w:right="1459" w:firstLine="271"/>
        <w:spacing w:after="0" w:line="239" w:lineRule="auto"/>
        <w:rPr>
          <w:sz w:val="20"/>
          <w:szCs w:val="20"/>
          <w:color w:val="auto"/>
        </w:rPr>
      </w:pPr>
      <w:r>
        <w:rPr>
          <w:rFonts w:ascii="Times New Roman" w:cs="Times New Roman" w:eastAsia="Times New Roman" w:hAnsi="Times New Roman"/>
          <w:sz w:val="14"/>
          <w:szCs w:val="14"/>
          <w:color w:val="auto"/>
        </w:rPr>
        <w:t>The form and terms of the Registered Notes will be substantially identical in all material respects to the form and terms of the Restricted Notes, except that the Registered Notes will not be subject to restrictions on transfer or to any increase in annual interest rate for failure to comply with the Registration Rights Agreement.</w:t>
      </w:r>
    </w:p>
    <w:p>
      <w:pPr>
        <w:spacing w:after="0" w:line="89" w:lineRule="exact"/>
        <w:rPr>
          <w:sz w:val="20"/>
          <w:szCs w:val="20"/>
          <w:color w:val="auto"/>
        </w:rPr>
      </w:pPr>
    </w:p>
    <w:p>
      <w:pPr>
        <w:ind w:left="1420" w:right="1459" w:firstLine="271"/>
        <w:spacing w:after="0" w:line="236" w:lineRule="auto"/>
        <w:rPr>
          <w:sz w:val="20"/>
          <w:szCs w:val="20"/>
          <w:color w:val="auto"/>
        </w:rPr>
      </w:pPr>
      <w:r>
        <w:rPr>
          <w:rFonts w:ascii="Times New Roman" w:cs="Times New Roman" w:eastAsia="Times New Roman" w:hAnsi="Times New Roman"/>
          <w:sz w:val="14"/>
          <w:szCs w:val="14"/>
          <w:color w:val="auto"/>
        </w:rPr>
        <w:t>The Registered Notes will evidence the same debt as the Restricted Notes. The Registered Notes will be issued under and entitled to the benefits of the same Indenture that authorized the issuance of the Restricted Notes. Consequently, the Registered Notes and the Restricted Notes that are not exchanged in the exchange offer will be treated as a single series of debt securities under the Indenture for all purposes of the Indenture, along with any additional notes of any applicable series issued pursuant to the Indenture.</w:t>
      </w:r>
    </w:p>
    <w:p>
      <w:pPr>
        <w:spacing w:after="0" w:line="91" w:lineRule="exact"/>
        <w:rPr>
          <w:sz w:val="20"/>
          <w:szCs w:val="20"/>
          <w:color w:val="auto"/>
        </w:rPr>
      </w:pPr>
    </w:p>
    <w:p>
      <w:pPr>
        <w:ind w:left="1420" w:right="1659" w:firstLine="271"/>
        <w:spacing w:after="0" w:line="262" w:lineRule="auto"/>
        <w:rPr>
          <w:sz w:val="20"/>
          <w:szCs w:val="20"/>
          <w:color w:val="auto"/>
        </w:rPr>
      </w:pPr>
      <w:r>
        <w:rPr>
          <w:rFonts w:ascii="Times New Roman" w:cs="Times New Roman" w:eastAsia="Times New Roman" w:hAnsi="Times New Roman"/>
          <w:sz w:val="14"/>
          <w:szCs w:val="14"/>
          <w:color w:val="auto"/>
        </w:rPr>
        <w:t>The exchange offer is not conditioned upon any minimum aggregate principal amount of Registered Notes being tendered for exchange.</w:t>
      </w:r>
    </w:p>
    <w:p>
      <w:pPr>
        <w:spacing w:after="0" w:line="65" w:lineRule="exact"/>
        <w:rPr>
          <w:sz w:val="20"/>
          <w:szCs w:val="20"/>
          <w:color w:val="auto"/>
        </w:rPr>
      </w:pPr>
    </w:p>
    <w:p>
      <w:pPr>
        <w:ind w:left="1420" w:right="1679" w:firstLine="271"/>
        <w:spacing w:after="0" w:line="262" w:lineRule="auto"/>
        <w:rPr>
          <w:sz w:val="20"/>
          <w:szCs w:val="20"/>
          <w:color w:val="auto"/>
        </w:rPr>
      </w:pPr>
      <w:r>
        <w:rPr>
          <w:rFonts w:ascii="Times New Roman" w:cs="Times New Roman" w:eastAsia="Times New Roman" w:hAnsi="Times New Roman"/>
          <w:sz w:val="14"/>
          <w:szCs w:val="14"/>
          <w:color w:val="auto"/>
        </w:rPr>
        <w:t>There will be no fixed record date for determining registered holders of Restricted Notes entitled to participate in the exchange offer.</w:t>
      </w:r>
    </w:p>
    <w:p>
      <w:pPr>
        <w:spacing w:after="0" w:line="75" w:lineRule="exact"/>
        <w:rPr>
          <w:sz w:val="20"/>
          <w:szCs w:val="20"/>
          <w:color w:val="auto"/>
        </w:rPr>
      </w:pPr>
    </w:p>
    <w:p>
      <w:pPr>
        <w:ind w:left="1420" w:right="1459" w:firstLine="271"/>
        <w:spacing w:after="0" w:line="235" w:lineRule="auto"/>
        <w:rPr>
          <w:sz w:val="20"/>
          <w:szCs w:val="20"/>
          <w:color w:val="auto"/>
        </w:rPr>
      </w:pPr>
      <w:r>
        <w:rPr>
          <w:rFonts w:ascii="Times New Roman" w:cs="Times New Roman" w:eastAsia="Times New Roman" w:hAnsi="Times New Roman"/>
          <w:sz w:val="14"/>
          <w:szCs w:val="14"/>
          <w:color w:val="auto"/>
        </w:rPr>
        <w:t>We intend to conduct the exchange offer in accordance with the provisions of the Registration Rights Agreement, the applicable requirements of the Securities Act and the Securities Exchange Act of 1934, as amended (the “</w:t>
      </w:r>
      <w:r>
        <w:rPr>
          <w:rFonts w:ascii="Times New Roman" w:cs="Times New Roman" w:eastAsia="Times New Roman" w:hAnsi="Times New Roman"/>
          <w:sz w:val="14"/>
          <w:szCs w:val="14"/>
          <w:i w:val="1"/>
          <w:iCs w:val="1"/>
          <w:color w:val="auto"/>
        </w:rPr>
        <w:t>Exchange Act</w:t>
      </w:r>
      <w:r>
        <w:rPr>
          <w:rFonts w:ascii="Times New Roman" w:cs="Times New Roman" w:eastAsia="Times New Roman" w:hAnsi="Times New Roman"/>
          <w:sz w:val="14"/>
          <w:szCs w:val="14"/>
          <w:color w:val="auto"/>
        </w:rPr>
        <w:t>”), and the rules and regulations of the SEC. Restricted Notes that are not tendered for exchange in the exchange offer will remain outstanding and continue to accrue interest and will be entitled to the rights and benefits such holders have under the Indenture, but will not retain any rights under the Registration Rights Agreement.</w:t>
      </w:r>
    </w:p>
    <w:p>
      <w:pPr>
        <w:spacing w:after="0" w:line="89" w:lineRule="exact"/>
        <w:rPr>
          <w:sz w:val="20"/>
          <w:szCs w:val="20"/>
          <w:color w:val="auto"/>
        </w:rPr>
      </w:pPr>
    </w:p>
    <w:p>
      <w:pPr>
        <w:ind w:left="1420" w:right="1559" w:firstLine="271"/>
        <w:spacing w:after="0" w:line="246" w:lineRule="auto"/>
        <w:rPr>
          <w:sz w:val="20"/>
          <w:szCs w:val="20"/>
          <w:color w:val="auto"/>
        </w:rPr>
      </w:pPr>
      <w:r>
        <w:rPr>
          <w:rFonts w:ascii="Times New Roman" w:cs="Times New Roman" w:eastAsia="Times New Roman" w:hAnsi="Times New Roman"/>
          <w:sz w:val="14"/>
          <w:szCs w:val="14"/>
          <w:color w:val="auto"/>
        </w:rPr>
        <w:t>We will be deemed to have accepted for exchange properly tendered Restricted Notes when we have given written notice of the acceptance to the exchange agent. The exchange agent will act as agent for the tendering holders for the purposes of receiving the Registered Notes from the Company and delivering the Registered Notes to such holders. Subject to the terms of the exchange offer and the Registration Rights Agreement, we expressly reserve the right to amend or terminate the exchange offer, and to not accept for exchange any Restricted Notes not previously accepted for exchange.</w:t>
      </w:r>
    </w:p>
    <w:p>
      <w:pPr>
        <w:spacing w:after="0" w:line="96" w:lineRule="exact"/>
        <w:rPr>
          <w:sz w:val="20"/>
          <w:szCs w:val="20"/>
          <w:color w:val="auto"/>
        </w:rPr>
      </w:pPr>
    </w:p>
    <w:p>
      <w:pPr>
        <w:ind w:left="1420" w:right="1519" w:firstLine="271"/>
        <w:spacing w:after="0" w:line="248" w:lineRule="auto"/>
        <w:rPr>
          <w:sz w:val="20"/>
          <w:szCs w:val="20"/>
          <w:color w:val="auto"/>
        </w:rPr>
      </w:pPr>
      <w:r>
        <w:rPr>
          <w:rFonts w:ascii="Times New Roman" w:cs="Times New Roman" w:eastAsia="Times New Roman" w:hAnsi="Times New Roman"/>
          <w:sz w:val="14"/>
          <w:szCs w:val="14"/>
          <w:color w:val="auto"/>
        </w:rPr>
        <w:t xml:space="preserve">We will pay all charges and expenses, other than those brokerage commissions or fees or transfer or other taxes described below, in connection with the exchange offer. It is important that you read the section titled “— </w:t>
      </w:r>
      <w:r>
        <w:rPr>
          <w:rFonts w:ascii="Times New Roman" w:cs="Times New Roman" w:eastAsia="Times New Roman" w:hAnsi="Times New Roman"/>
          <w:sz w:val="14"/>
          <w:szCs w:val="14"/>
          <w:i w:val="1"/>
          <w:iCs w:val="1"/>
          <w:color w:val="auto"/>
        </w:rPr>
        <w:t>Fees and Expenses</w:t>
      </w:r>
      <w:r>
        <w:rPr>
          <w:rFonts w:ascii="Times New Roman" w:cs="Times New Roman" w:eastAsia="Times New Roman" w:hAnsi="Times New Roman"/>
          <w:sz w:val="14"/>
          <w:szCs w:val="14"/>
          <w:color w:val="auto"/>
        </w:rPr>
        <w:t>” below for more details regarding fees and expenses incurred in the exchange offer.</w:t>
      </w:r>
    </w:p>
    <w:p>
      <w:pPr>
        <w:spacing w:after="0" w:line="14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Expiration Time; Extensions; Amendments</w:t>
      </w:r>
    </w:p>
    <w:p>
      <w:pPr>
        <w:spacing w:after="0" w:line="117" w:lineRule="exact"/>
        <w:rPr>
          <w:sz w:val="20"/>
          <w:szCs w:val="20"/>
          <w:color w:val="auto"/>
        </w:rPr>
      </w:pPr>
    </w:p>
    <w:p>
      <w:pPr>
        <w:ind w:left="1420" w:right="1479" w:firstLine="271"/>
        <w:spacing w:after="0" w:line="262" w:lineRule="auto"/>
        <w:rPr>
          <w:sz w:val="20"/>
          <w:szCs w:val="20"/>
          <w:color w:val="auto"/>
        </w:rPr>
      </w:pPr>
      <w:r>
        <w:rPr>
          <w:rFonts w:ascii="Times New Roman" w:cs="Times New Roman" w:eastAsia="Times New Roman" w:hAnsi="Times New Roman"/>
          <w:sz w:val="14"/>
          <w:szCs w:val="14"/>
          <w:color w:val="auto"/>
        </w:rPr>
        <w:t>The exchange offer will expire at 5:00 p.m., New York City time, on                      , 2025, unless, in our sole discretion, we extend the expiration time of the exchange offer.</w:t>
      </w:r>
    </w:p>
    <w:p>
      <w:pPr>
        <w:spacing w:after="0" w:line="75" w:lineRule="exact"/>
        <w:rPr>
          <w:sz w:val="20"/>
          <w:szCs w:val="20"/>
          <w:color w:val="auto"/>
        </w:rPr>
      </w:pPr>
    </w:p>
    <w:p>
      <w:pPr>
        <w:ind w:left="1420" w:right="1519" w:firstLine="271"/>
        <w:spacing w:after="0" w:line="248" w:lineRule="auto"/>
        <w:rPr>
          <w:sz w:val="20"/>
          <w:szCs w:val="20"/>
          <w:color w:val="auto"/>
        </w:rPr>
      </w:pPr>
      <w:r>
        <w:rPr>
          <w:rFonts w:ascii="Times New Roman" w:cs="Times New Roman" w:eastAsia="Times New Roman" w:hAnsi="Times New Roman"/>
          <w:sz w:val="14"/>
          <w:szCs w:val="14"/>
          <w:color w:val="auto"/>
        </w:rPr>
        <w:t>In order to extend the exchange offer, we will notify the exchange agent in writing of any extension of the exchange offer. We will notify registered holders of the Restricted Notes in writing or by public announcement of the extension, if any, of the expiration time by no later than 9:00 a.m., New York City time, on the business day after the previously scheduled expiration time.</w:t>
      </w: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5" w:name="page26"/>
    <w:bookmarkEnd w:id="25"/>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We expressly reserve the right, in our sole discretion:</w:t>
      </w:r>
    </w:p>
    <w:p>
      <w:pPr>
        <w:spacing w:after="0" w:line="83" w:lineRule="exact"/>
        <w:rPr>
          <w:sz w:val="20"/>
          <w:szCs w:val="20"/>
          <w:color w:val="auto"/>
        </w:rPr>
      </w:pPr>
    </w:p>
    <w:p>
      <w:pPr>
        <w:ind w:left="1820" w:hanging="131"/>
        <w:spacing w:after="0"/>
        <w:tabs>
          <w:tab w:leader="none" w:pos="18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delay accepting for exchange any Restricted Notes due to an extension of the exchange offer;</w:t>
      </w:r>
    </w:p>
    <w:p>
      <w:pPr>
        <w:spacing w:after="0" w:line="82" w:lineRule="exact"/>
        <w:rPr>
          <w:rFonts w:ascii="Times New Roman" w:cs="Times New Roman" w:eastAsia="Times New Roman" w:hAnsi="Times New Roman"/>
          <w:sz w:val="14"/>
          <w:szCs w:val="14"/>
          <w:color w:val="auto"/>
        </w:rPr>
      </w:pPr>
    </w:p>
    <w:p>
      <w:pPr>
        <w:ind w:left="1820" w:right="1499" w:hanging="131"/>
        <w:spacing w:after="0" w:line="248" w:lineRule="auto"/>
        <w:tabs>
          <w:tab w:leader="none" w:pos="18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extend the exchange offer or to terminate the exchange offer and to refuse to accept Restricted Notes not previously accepted if any of the conditions set forth under “— </w:t>
      </w:r>
      <w:r>
        <w:rPr>
          <w:rFonts w:ascii="Times New Roman" w:cs="Times New Roman" w:eastAsia="Times New Roman" w:hAnsi="Times New Roman"/>
          <w:sz w:val="14"/>
          <w:szCs w:val="14"/>
          <w:i w:val="1"/>
          <w:iCs w:val="1"/>
          <w:color w:val="auto"/>
        </w:rPr>
        <w:t>Conditions to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Exchange Offer</w:t>
      </w:r>
      <w:r>
        <w:rPr>
          <w:rFonts w:ascii="Times New Roman" w:cs="Times New Roman" w:eastAsia="Times New Roman" w:hAnsi="Times New Roman"/>
          <w:sz w:val="14"/>
          <w:szCs w:val="14"/>
          <w:color w:val="auto"/>
        </w:rPr>
        <w:t>” have not been satisfied by giving written notice of such extension or termination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exchange agent; or</w:t>
      </w:r>
    </w:p>
    <w:p>
      <w:pPr>
        <w:spacing w:after="0" w:line="65" w:lineRule="exact"/>
        <w:rPr>
          <w:rFonts w:ascii="Times New Roman" w:cs="Times New Roman" w:eastAsia="Times New Roman" w:hAnsi="Times New Roman"/>
          <w:sz w:val="14"/>
          <w:szCs w:val="14"/>
          <w:color w:val="auto"/>
        </w:rPr>
      </w:pPr>
    </w:p>
    <w:p>
      <w:pPr>
        <w:ind w:left="1820" w:right="1519" w:hanging="131"/>
        <w:spacing w:after="0" w:line="262" w:lineRule="auto"/>
        <w:tabs>
          <w:tab w:leader="none" w:pos="18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terms of the Registration Rights Agreement, to amend the terms of the exchange offer in any manner.</w:t>
      </w:r>
    </w:p>
    <w:p>
      <w:pPr>
        <w:spacing w:after="0" w:line="75" w:lineRule="exact"/>
        <w:rPr>
          <w:sz w:val="20"/>
          <w:szCs w:val="20"/>
          <w:color w:val="auto"/>
        </w:rPr>
      </w:pPr>
    </w:p>
    <w:p>
      <w:pPr>
        <w:ind w:left="1420" w:right="1439" w:firstLine="271"/>
        <w:spacing w:after="0" w:line="239" w:lineRule="auto"/>
        <w:rPr>
          <w:sz w:val="20"/>
          <w:szCs w:val="20"/>
          <w:color w:val="auto"/>
        </w:rPr>
      </w:pPr>
      <w:r>
        <w:rPr>
          <w:rFonts w:ascii="Times New Roman" w:cs="Times New Roman" w:eastAsia="Times New Roman" w:hAnsi="Times New Roman"/>
          <w:sz w:val="14"/>
          <w:szCs w:val="14"/>
          <w:color w:val="auto"/>
        </w:rPr>
        <w:t>Any such delay in acceptance, extension or termination will be followed as promptly as practicable by written notice or public announcement thereof to the registered holders of Restricted Notes. If we amend the exchange offer in a manner that we determine to constitute a material change, we will promptly disclose such amendment in a manner reasonably calculated to inform the holders of the Restricted Notes of such amendment.</w:t>
      </w:r>
    </w:p>
    <w:p>
      <w:pPr>
        <w:spacing w:after="0" w:line="92" w:lineRule="exact"/>
        <w:rPr>
          <w:sz w:val="20"/>
          <w:szCs w:val="20"/>
          <w:color w:val="auto"/>
        </w:rPr>
      </w:pPr>
    </w:p>
    <w:p>
      <w:pPr>
        <w:ind w:left="1420" w:right="1499" w:firstLine="271"/>
        <w:spacing w:after="0" w:line="234" w:lineRule="auto"/>
        <w:rPr>
          <w:sz w:val="20"/>
          <w:szCs w:val="20"/>
          <w:color w:val="auto"/>
        </w:rPr>
      </w:pPr>
      <w:r>
        <w:rPr>
          <w:rFonts w:ascii="Times New Roman" w:cs="Times New Roman" w:eastAsia="Times New Roman" w:hAnsi="Times New Roman"/>
          <w:sz w:val="14"/>
          <w:szCs w:val="14"/>
          <w:color w:val="auto"/>
        </w:rPr>
        <w:t>Without limiting the manner in which we may choose to make public announcements of any delay in acceptance, extension, termination or amendment of the exchange offer, we shall have no obligation to publish, advertise or otherwise communicate any such public announcement other than by issuing a timely press release to a financial news service. If we make any material change to the exchange offer, we will disclose this change by means of a post-effective amendment to the registration statement that includes this prospectus and will distribute an amended or supplemented prospectus to each registered holder of Restricted Notes. In addition, we will extend the exchange offer for an additional five to ten business days as required by the Exchange Act, depending on the significance of the amendment, if the exchange offer would otherwise expire during that period. We will promptly notify the exchange agent by written notice of any delay in acceptance, extension, termination or amendment of the exchange offer.</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Conditions to the Exchange Offer</w:t>
      </w:r>
    </w:p>
    <w:p>
      <w:pPr>
        <w:spacing w:after="0" w:line="117" w:lineRule="exact"/>
        <w:rPr>
          <w:sz w:val="20"/>
          <w:szCs w:val="20"/>
          <w:color w:val="auto"/>
        </w:rPr>
      </w:pPr>
    </w:p>
    <w:p>
      <w:pPr>
        <w:ind w:left="1420" w:right="1499" w:firstLine="271"/>
        <w:spacing w:after="0" w:line="238" w:lineRule="auto"/>
        <w:rPr>
          <w:sz w:val="20"/>
          <w:szCs w:val="20"/>
          <w:color w:val="auto"/>
        </w:rPr>
      </w:pPr>
      <w:r>
        <w:rPr>
          <w:rFonts w:ascii="Times New Roman" w:cs="Times New Roman" w:eastAsia="Times New Roman" w:hAnsi="Times New Roman"/>
          <w:sz w:val="14"/>
          <w:szCs w:val="14"/>
          <w:color w:val="auto"/>
        </w:rPr>
        <w:t>Notwithstanding any other terms of the exchange offer, we will not be required to accept for exchange, or exchange any Registered Notes for, any Restricted Notes, and we may terminate the exchange offer as provided in this prospectus before accepting any Restricted Notes for exchange, if:</w:t>
      </w:r>
    </w:p>
    <w:p>
      <w:pPr>
        <w:spacing w:after="0" w:line="59" w:lineRule="exact"/>
        <w:rPr>
          <w:sz w:val="20"/>
          <w:szCs w:val="20"/>
          <w:color w:val="auto"/>
        </w:rPr>
      </w:pPr>
    </w:p>
    <w:p>
      <w:pPr>
        <w:ind w:left="1820" w:right="1519" w:hanging="131"/>
        <w:spacing w:after="0" w:line="262" w:lineRule="auto"/>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offer would violate any applicable law, rule, regulation or applicable interpretations of the staff of the SEC;</w:t>
      </w:r>
    </w:p>
    <w:p>
      <w:pPr>
        <w:spacing w:after="0" w:line="54"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Securities are not validly tendered in accordance with the exchange offer;</w:t>
      </w:r>
    </w:p>
    <w:p>
      <w:pPr>
        <w:spacing w:after="0" w:line="82" w:lineRule="exact"/>
        <w:rPr>
          <w:rFonts w:ascii="Times New Roman" w:cs="Times New Roman" w:eastAsia="Times New Roman" w:hAnsi="Times New Roman"/>
          <w:sz w:val="14"/>
          <w:szCs w:val="14"/>
          <w:color w:val="auto"/>
        </w:rPr>
      </w:pPr>
    </w:p>
    <w:p>
      <w:pPr>
        <w:ind w:left="1820" w:right="1519" w:hanging="131"/>
        <w:spacing w:after="0" w:line="247" w:lineRule="auto"/>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offer is made to any holder of the European Economic Area or the United Kingdom to whom the exchange offer cannot be made without requiring the publication of a prospectus for the purposes of Regulation (EU) 2017/1129 or, as the case may be, such regulation as it forms part of United Kingdom domestic law by virtue of the European Union (Withdrawal) Act 2018 (which may be certified or validated by way of representations from holders of Restricted Notes); and</w:t>
      </w:r>
    </w:p>
    <w:p>
      <w:pPr>
        <w:spacing w:after="0" w:line="64" w:lineRule="exact"/>
        <w:rPr>
          <w:rFonts w:ascii="Times New Roman" w:cs="Times New Roman" w:eastAsia="Times New Roman" w:hAnsi="Times New Roman"/>
          <w:sz w:val="14"/>
          <w:szCs w:val="14"/>
          <w:color w:val="auto"/>
        </w:rPr>
      </w:pPr>
    </w:p>
    <w:p>
      <w:pPr>
        <w:ind w:left="1820" w:right="1459" w:hanging="131"/>
        <w:spacing w:after="0" w:line="252" w:lineRule="auto"/>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or proceeding has been instituted or threatened in any court or by or before any governmental agency with respect to the exchange offer which, in our judgment, could reasonably be expected to impair our ability to proceed with the exchange offer.</w:t>
      </w:r>
    </w:p>
    <w:p>
      <w:pPr>
        <w:spacing w:after="0" w:line="92" w:lineRule="exact"/>
        <w:rPr>
          <w:sz w:val="20"/>
          <w:szCs w:val="20"/>
          <w:color w:val="auto"/>
        </w:rPr>
      </w:pPr>
    </w:p>
    <w:p>
      <w:pPr>
        <w:ind w:left="1420" w:right="1499" w:firstLine="271"/>
        <w:spacing w:after="0" w:line="235" w:lineRule="auto"/>
        <w:rPr>
          <w:sz w:val="20"/>
          <w:szCs w:val="20"/>
          <w:color w:val="auto"/>
        </w:rPr>
      </w:pPr>
      <w:r>
        <w:rPr>
          <w:rFonts w:ascii="Times New Roman" w:cs="Times New Roman" w:eastAsia="Times New Roman" w:hAnsi="Times New Roman"/>
          <w:sz w:val="14"/>
          <w:szCs w:val="14"/>
          <w:color w:val="auto"/>
        </w:rPr>
        <w:t xml:space="preserve">In addition, we will not be obligated to accept for exchange the Restricted Notes of any holder that has not made the representations described in the letter of transmittal and under “— </w:t>
      </w:r>
      <w:r>
        <w:rPr>
          <w:rFonts w:ascii="Times New Roman" w:cs="Times New Roman" w:eastAsia="Times New Roman" w:hAnsi="Times New Roman"/>
          <w:sz w:val="14"/>
          <w:szCs w:val="14"/>
          <w:i w:val="1"/>
          <w:iCs w:val="1"/>
          <w:color w:val="auto"/>
        </w:rPr>
        <w:t>Purpose and Effect of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Exchange Offer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 xml:space="preserve"> Procedures for Tendering the Restricted Notes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and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representations as may be reasonably necessary under applicable SEC rules, regulations or interpretations to make available to it an appropriate form for registration of the Registered Notes under the Securities Act.</w:t>
      </w:r>
    </w:p>
    <w:p>
      <w:pPr>
        <w:spacing w:after="0" w:line="89" w:lineRule="exact"/>
        <w:rPr>
          <w:sz w:val="20"/>
          <w:szCs w:val="20"/>
          <w:color w:val="auto"/>
        </w:rPr>
      </w:pPr>
    </w:p>
    <w:p>
      <w:pPr>
        <w:ind w:left="1420" w:right="1519" w:firstLine="271"/>
        <w:spacing w:after="0" w:line="239" w:lineRule="auto"/>
        <w:rPr>
          <w:sz w:val="20"/>
          <w:szCs w:val="20"/>
          <w:color w:val="auto"/>
        </w:rPr>
      </w:pPr>
      <w:r>
        <w:rPr>
          <w:rFonts w:ascii="Times New Roman" w:cs="Times New Roman" w:eastAsia="Times New Roman" w:hAnsi="Times New Roman"/>
          <w:sz w:val="14"/>
          <w:szCs w:val="14"/>
          <w:color w:val="auto"/>
        </w:rPr>
        <w:t>We expressly reserve the right, at any time or at various times, to extend the period of time during which the exchange offer is open. Consequently, we may delay acceptance of any Restricted Notes by giving written notice (including by public announcement) of such extension to the registered holders of the Restricted Notes as promptly as practicable. During any such extensions, all Restricted Notes previously</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6" w:name="page27"/>
    <w:bookmarkEnd w:id="26"/>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1420" w:right="1499"/>
        <w:spacing w:after="0" w:line="239" w:lineRule="auto"/>
        <w:rPr>
          <w:sz w:val="20"/>
          <w:szCs w:val="20"/>
          <w:color w:val="auto"/>
        </w:rPr>
      </w:pPr>
      <w:r>
        <w:rPr>
          <w:rFonts w:ascii="Times New Roman" w:cs="Times New Roman" w:eastAsia="Times New Roman" w:hAnsi="Times New Roman"/>
          <w:sz w:val="14"/>
          <w:szCs w:val="14"/>
          <w:color w:val="auto"/>
        </w:rPr>
        <w:t>tendered will remain subject to the exchange offer, and we may accept them for exchange unless they have been previously withdrawn. We will return any Restricted Notes that we do not accept for exchange for any reason without expense to the tendering holder promptly after the expiration or termination of the exchange offer.</w:t>
      </w:r>
    </w:p>
    <w:p>
      <w:pPr>
        <w:spacing w:after="0" w:line="89" w:lineRule="exact"/>
        <w:rPr>
          <w:sz w:val="20"/>
          <w:szCs w:val="20"/>
          <w:color w:val="auto"/>
        </w:rPr>
      </w:pPr>
    </w:p>
    <w:p>
      <w:pPr>
        <w:ind w:left="1420" w:right="1459" w:firstLine="271"/>
        <w:spacing w:after="0" w:line="237" w:lineRule="auto"/>
        <w:rPr>
          <w:sz w:val="20"/>
          <w:szCs w:val="20"/>
          <w:color w:val="auto"/>
        </w:rPr>
      </w:pPr>
      <w:r>
        <w:rPr>
          <w:rFonts w:ascii="Times New Roman" w:cs="Times New Roman" w:eastAsia="Times New Roman" w:hAnsi="Times New Roman"/>
          <w:sz w:val="14"/>
          <w:szCs w:val="14"/>
          <w:color w:val="auto"/>
        </w:rPr>
        <w:t>We expressly reserve the right to amend or terminate the exchange offer, and to reject for exchange any Restricted Notes not previously accepted for exchange, upon the occurrence of any of the conditions of the exchange offer specified above. We will give written notice or public announcement of any extension, amendment, non-acceptance or termination to the registered holders of the Restricted Notes as promptly as practicable. In the case of any extension, such notice will be issued no later than 9:00 a.m., New York City time, on the business day after the previously scheduled expiration time.</w:t>
      </w:r>
    </w:p>
    <w:p>
      <w:pPr>
        <w:spacing w:after="0" w:line="92" w:lineRule="exact"/>
        <w:rPr>
          <w:sz w:val="20"/>
          <w:szCs w:val="20"/>
          <w:color w:val="auto"/>
        </w:rPr>
      </w:pPr>
    </w:p>
    <w:p>
      <w:pPr>
        <w:ind w:left="1420" w:right="1539" w:firstLine="271"/>
        <w:spacing w:after="0" w:line="237" w:lineRule="auto"/>
        <w:rPr>
          <w:sz w:val="20"/>
          <w:szCs w:val="20"/>
          <w:color w:val="auto"/>
        </w:rPr>
      </w:pPr>
      <w:r>
        <w:rPr>
          <w:rFonts w:ascii="Times New Roman" w:cs="Times New Roman" w:eastAsia="Times New Roman" w:hAnsi="Times New Roman"/>
          <w:sz w:val="14"/>
          <w:szCs w:val="14"/>
          <w:color w:val="auto"/>
        </w:rPr>
        <w:t xml:space="preserve">These conditions are for our sole benefit, and we may assert them regardless of the circumstances that may give rise to them or waive them in whole or in part at any or at various times in our sole discretion; </w:t>
      </w: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any waiver of a condition of tender with respect to the exchange offer will apply to all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outstanding Restricted Notes and not only to particular Restricted Notes. If we fail at any time to exercise any of the foregoing rights, that failure will not constitute a waiver of such right. Each such right will be deemed an ongoing right that we may assert at any time or at various times.</w:t>
      </w:r>
    </w:p>
    <w:p>
      <w:pPr>
        <w:spacing w:after="0" w:line="92" w:lineRule="exact"/>
        <w:rPr>
          <w:sz w:val="20"/>
          <w:szCs w:val="20"/>
          <w:color w:val="auto"/>
        </w:rPr>
      </w:pPr>
    </w:p>
    <w:p>
      <w:pPr>
        <w:ind w:left="1420" w:right="1519" w:firstLine="271"/>
        <w:spacing w:after="0" w:line="236" w:lineRule="auto"/>
        <w:rPr>
          <w:sz w:val="20"/>
          <w:szCs w:val="20"/>
          <w:color w:val="auto"/>
        </w:rPr>
      </w:pPr>
      <w:r>
        <w:rPr>
          <w:rFonts w:ascii="Times New Roman" w:cs="Times New Roman" w:eastAsia="Times New Roman" w:hAnsi="Times New Roman"/>
          <w:sz w:val="14"/>
          <w:szCs w:val="14"/>
          <w:color w:val="auto"/>
        </w:rPr>
        <w:t>In addition, we will not accept for exchange any Restricted Notes tendered, and will not issue Registered Notes in exchange for any such Restricted Notes, if at such time any stop order will be threatened or in effect with respect to the Registration Statement of which this prospectus constitutes a part or the qualification of the Indenture under the Trust Indenture Act of 1939, as amended (the “</w:t>
      </w:r>
      <w:r>
        <w:rPr>
          <w:rFonts w:ascii="Times New Roman" w:cs="Times New Roman" w:eastAsia="Times New Roman" w:hAnsi="Times New Roman"/>
          <w:sz w:val="14"/>
          <w:szCs w:val="14"/>
          <w:i w:val="1"/>
          <w:iCs w:val="1"/>
          <w:color w:val="auto"/>
        </w:rPr>
        <w:t>Trust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Indenture Act</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Procedures for Tendering the Restricted Notes</w:t>
      </w:r>
    </w:p>
    <w:p>
      <w:pPr>
        <w:spacing w:after="0" w:line="117" w:lineRule="exact"/>
        <w:rPr>
          <w:sz w:val="20"/>
          <w:szCs w:val="20"/>
          <w:color w:val="auto"/>
        </w:rPr>
      </w:pPr>
    </w:p>
    <w:p>
      <w:pPr>
        <w:ind w:left="1420" w:right="1439" w:firstLine="271"/>
        <w:spacing w:after="0" w:line="247" w:lineRule="auto"/>
        <w:rPr>
          <w:sz w:val="20"/>
          <w:szCs w:val="20"/>
          <w:color w:val="auto"/>
        </w:rPr>
      </w:pPr>
      <w:r>
        <w:rPr>
          <w:rFonts w:ascii="Times New Roman" w:cs="Times New Roman" w:eastAsia="Times New Roman" w:hAnsi="Times New Roman"/>
          <w:sz w:val="14"/>
          <w:szCs w:val="14"/>
          <w:color w:val="auto"/>
        </w:rPr>
        <w:t>Except as described below, a holder tendering Restricted Notes must, prior to 5:00 p.m., New York City time, on the expiration date:</w:t>
      </w:r>
    </w:p>
    <w:p>
      <w:pPr>
        <w:spacing w:after="0" w:line="54" w:lineRule="exact"/>
        <w:rPr>
          <w:sz w:val="20"/>
          <w:szCs w:val="20"/>
          <w:color w:val="auto"/>
        </w:rPr>
      </w:pPr>
    </w:p>
    <w:p>
      <w:pPr>
        <w:ind w:left="1820" w:right="1539" w:hanging="131"/>
        <w:spacing w:after="0" w:line="262" w:lineRule="auto"/>
        <w:tabs>
          <w:tab w:leader="none" w:pos="18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transmit a properly completed and duly executed letter of transmittal, including all other documents required by the letter of transmittal, to the exchange agent, or</w:t>
      </w:r>
    </w:p>
    <w:p>
      <w:pPr>
        <w:spacing w:after="0" w:line="44" w:lineRule="exact"/>
        <w:rPr>
          <w:rFonts w:ascii="Times New Roman" w:cs="Times New Roman" w:eastAsia="Times New Roman" w:hAnsi="Times New Roman"/>
          <w:sz w:val="14"/>
          <w:szCs w:val="14"/>
          <w:color w:val="auto"/>
        </w:rPr>
      </w:pPr>
    </w:p>
    <w:p>
      <w:pPr>
        <w:ind w:left="1820" w:right="1579" w:hanging="131"/>
        <w:spacing w:after="0" w:line="262" w:lineRule="auto"/>
        <w:tabs>
          <w:tab w:leader="none" w:pos="18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Restricted Notes are tendered in accordance with the book-entry procedures described below, the tendering holder must transmit an agent’s message (described below) to the exchange agent.</w:t>
      </w:r>
    </w:p>
    <w:p>
      <w:pPr>
        <w:spacing w:after="0" w:line="8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Transmittal will be deemed made only when actually received or confirmed by the exchange agent.</w:t>
      </w:r>
    </w:p>
    <w:p>
      <w:pPr>
        <w:spacing w:after="0" w:line="103" w:lineRule="exact"/>
        <w:rPr>
          <w:sz w:val="20"/>
          <w:szCs w:val="20"/>
          <w:color w:val="auto"/>
        </w:rPr>
      </w:pPr>
    </w:p>
    <w:p>
      <w:pPr>
        <w:jc w:val="both"/>
        <w:ind w:left="1420" w:right="1539" w:firstLine="271"/>
        <w:spacing w:after="0" w:line="244" w:lineRule="auto"/>
        <w:rPr>
          <w:sz w:val="20"/>
          <w:szCs w:val="20"/>
          <w:color w:val="auto"/>
        </w:rPr>
      </w:pPr>
      <w:r>
        <w:rPr>
          <w:rFonts w:ascii="Times New Roman" w:cs="Times New Roman" w:eastAsia="Times New Roman" w:hAnsi="Times New Roman"/>
          <w:sz w:val="14"/>
          <w:szCs w:val="14"/>
          <w:color w:val="auto"/>
        </w:rPr>
        <w:t>In addition, the exchange agent must receive, before 5:00 p.m., New York City time, on the expiration date book-entry transfer of the Restricted Notes into the exchange agent’s account at DTC, the book-entry transfer facility.</w:t>
      </w:r>
    </w:p>
    <w:p>
      <w:pPr>
        <w:spacing w:after="0" w:line="85" w:lineRule="exact"/>
        <w:rPr>
          <w:sz w:val="20"/>
          <w:szCs w:val="20"/>
          <w:color w:val="auto"/>
        </w:rPr>
      </w:pPr>
    </w:p>
    <w:p>
      <w:pPr>
        <w:ind w:left="1420" w:right="1459" w:firstLine="271"/>
        <w:spacing w:after="0" w:line="237"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i w:val="1"/>
          <w:iCs w:val="1"/>
          <w:color w:val="auto"/>
        </w:rPr>
        <w:t>agent’s message</w:t>
      </w:r>
      <w:r>
        <w:rPr>
          <w:rFonts w:ascii="Times New Roman" w:cs="Times New Roman" w:eastAsia="Times New Roman" w:hAnsi="Times New Roman"/>
          <w:sz w:val="14"/>
          <w:szCs w:val="14"/>
          <w:color w:val="auto"/>
        </w:rPr>
        <w:t>” means a computer-generated message, transmitted by DTC to, and received by, the exchange agent and forming a part of a book-entry confirmation, which states that DTC has received an express acknowledgment from the tendering participant that such participant has received and agrees to be bound by, and makes the representations and warranties contained in, the letter of transmittal and that we may enforce the letter of transmittal against such participant.</w:t>
      </w:r>
    </w:p>
    <w:p>
      <w:pPr>
        <w:spacing w:after="0" w:line="90" w:lineRule="exact"/>
        <w:rPr>
          <w:sz w:val="20"/>
          <w:szCs w:val="20"/>
          <w:color w:val="auto"/>
        </w:rPr>
      </w:pPr>
    </w:p>
    <w:p>
      <w:pPr>
        <w:ind w:left="1420" w:right="1479" w:firstLine="271"/>
        <w:spacing w:after="0" w:line="236" w:lineRule="auto"/>
        <w:rPr>
          <w:sz w:val="20"/>
          <w:szCs w:val="20"/>
          <w:color w:val="auto"/>
        </w:rPr>
      </w:pPr>
      <w:r>
        <w:rPr>
          <w:rFonts w:ascii="Times New Roman" w:cs="Times New Roman" w:eastAsia="Times New Roman" w:hAnsi="Times New Roman"/>
          <w:sz w:val="14"/>
          <w:szCs w:val="14"/>
          <w:color w:val="auto"/>
        </w:rPr>
        <w:t>The method of delivery of Restricted Notes, letters of transmittal and all other required documents is at the holder’s election and risk. If delivery is by mail, we recommend that holders use registered mail, properly insured, with return receipt requested. In all cases, holders should allow sufficient time to assure timely delivery. Holders should not send letters of transmittal or Restricted Notes to anyone other than the exchange agent.</w:t>
      </w:r>
    </w:p>
    <w:p>
      <w:pPr>
        <w:spacing w:after="0" w:line="91" w:lineRule="exact"/>
        <w:rPr>
          <w:sz w:val="20"/>
          <w:szCs w:val="20"/>
          <w:color w:val="auto"/>
        </w:rPr>
      </w:pPr>
    </w:p>
    <w:p>
      <w:pPr>
        <w:ind w:left="1420" w:right="1439" w:firstLine="271"/>
        <w:spacing w:after="0" w:line="239" w:lineRule="auto"/>
        <w:rPr>
          <w:sz w:val="20"/>
          <w:szCs w:val="20"/>
          <w:color w:val="auto"/>
        </w:rPr>
      </w:pPr>
      <w:r>
        <w:rPr>
          <w:rFonts w:ascii="Times New Roman" w:cs="Times New Roman" w:eastAsia="Times New Roman" w:hAnsi="Times New Roman"/>
          <w:sz w:val="14"/>
          <w:szCs w:val="14"/>
          <w:color w:val="auto"/>
        </w:rPr>
        <w:t>If the holder is a beneficial owner whose Restricted Notes are registered in the name of a broker, dealer, commercial bank, trust company or other nominee and wishes to tender, such holder should promptly instruct the registered holder to tender on its behalf. Any registered holder that is a participant in DTC’s book-entry transfer facility system may make book-entry delivery of the Restricted Notes by causing DTC to transfer the Restricted Notes into the exchange agent’s account.</w:t>
      </w:r>
    </w:p>
    <w:p>
      <w:pPr>
        <w:spacing w:after="0" w:line="92" w:lineRule="exact"/>
        <w:rPr>
          <w:sz w:val="20"/>
          <w:szCs w:val="20"/>
          <w:color w:val="auto"/>
        </w:rPr>
      </w:pPr>
    </w:p>
    <w:p>
      <w:pPr>
        <w:ind w:left="1420" w:right="1519" w:firstLine="271"/>
        <w:spacing w:after="0" w:line="247" w:lineRule="auto"/>
        <w:rPr>
          <w:sz w:val="20"/>
          <w:szCs w:val="20"/>
          <w:color w:val="auto"/>
        </w:rPr>
      </w:pPr>
      <w:r>
        <w:rPr>
          <w:rFonts w:ascii="Times New Roman" w:cs="Times New Roman" w:eastAsia="Times New Roman" w:hAnsi="Times New Roman"/>
          <w:sz w:val="14"/>
          <w:szCs w:val="14"/>
          <w:color w:val="auto"/>
        </w:rPr>
        <w:t>Signatures on a letter of transmittal or a notice of withdrawal must be guaranteed unless the Restricted Notes surrendered for exchange are tendered:</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7" w:name="page28"/>
    <w:bookmarkEnd w:id="27"/>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20" w:right="1859" w:hanging="131"/>
        <w:spacing w:after="0" w:line="262" w:lineRule="auto"/>
        <w:tabs>
          <w:tab w:leader="none" w:pos="18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 registered holder of the Restricted Notes that has not completed the box entitled “Special Issuance Instructions” or “Special Delivery Instructions” on the letter of transmittal; or</w:t>
      </w:r>
    </w:p>
    <w:p>
      <w:pPr>
        <w:spacing w:after="0" w:line="34"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account of an “eligible institution.”</w:t>
      </w:r>
    </w:p>
    <w:p>
      <w:pPr>
        <w:spacing w:after="0" w:line="113" w:lineRule="exact"/>
        <w:rPr>
          <w:sz w:val="20"/>
          <w:szCs w:val="20"/>
          <w:color w:val="auto"/>
        </w:rPr>
      </w:pPr>
    </w:p>
    <w:p>
      <w:pPr>
        <w:ind w:left="1420" w:right="1539" w:firstLine="271"/>
        <w:spacing w:after="0" w:line="239" w:lineRule="auto"/>
        <w:rPr>
          <w:sz w:val="20"/>
          <w:szCs w:val="20"/>
          <w:color w:val="auto"/>
        </w:rPr>
      </w:pPr>
      <w:r>
        <w:rPr>
          <w:rFonts w:ascii="Times New Roman" w:cs="Times New Roman" w:eastAsia="Times New Roman" w:hAnsi="Times New Roman"/>
          <w:sz w:val="14"/>
          <w:szCs w:val="14"/>
          <w:color w:val="auto"/>
        </w:rPr>
        <w:t>If signatures on a letter of transmittal or a notice of withdrawal are required to be guaranteed, the guarantees must be by an “eligible institution.” An “</w:t>
      </w:r>
      <w:r>
        <w:rPr>
          <w:rFonts w:ascii="Times New Roman" w:cs="Times New Roman" w:eastAsia="Times New Roman" w:hAnsi="Times New Roman"/>
          <w:sz w:val="14"/>
          <w:szCs w:val="14"/>
          <w:i w:val="1"/>
          <w:iCs w:val="1"/>
          <w:color w:val="auto"/>
        </w:rPr>
        <w:t>eligible institution</w:t>
      </w:r>
      <w:r>
        <w:rPr>
          <w:rFonts w:ascii="Times New Roman" w:cs="Times New Roman" w:eastAsia="Times New Roman" w:hAnsi="Times New Roman"/>
          <w:sz w:val="14"/>
          <w:szCs w:val="14"/>
          <w:color w:val="auto"/>
        </w:rPr>
        <w:t>” is a financial institution, including most banks, savings and loan associations and brokerage houses, that is a participant in the Securities Transfer Agents Medallion Program or the New York Stock Exchange Medallion Signature Program.</w:t>
      </w:r>
    </w:p>
    <w:p>
      <w:pPr>
        <w:spacing w:after="0" w:line="89" w:lineRule="exact"/>
        <w:rPr>
          <w:sz w:val="20"/>
          <w:szCs w:val="20"/>
          <w:color w:val="auto"/>
        </w:rPr>
      </w:pPr>
    </w:p>
    <w:p>
      <w:pPr>
        <w:ind w:left="1420" w:right="1539" w:firstLine="271"/>
        <w:spacing w:after="0" w:line="244" w:lineRule="auto"/>
        <w:rPr>
          <w:sz w:val="20"/>
          <w:szCs w:val="20"/>
          <w:color w:val="auto"/>
        </w:rPr>
      </w:pPr>
      <w:r>
        <w:rPr>
          <w:rFonts w:ascii="Times New Roman" w:cs="Times New Roman" w:eastAsia="Times New Roman" w:hAnsi="Times New Roman"/>
          <w:sz w:val="14"/>
          <w:szCs w:val="14"/>
          <w:color w:val="auto"/>
        </w:rPr>
        <w:t>We will reasonably determine all questions as to the validity, form and eligibility of Restricted Notes tendered for exchange and all questions concerning the timing of receipts and acceptance of tenders. These determinations will be final and binding.</w:t>
      </w:r>
    </w:p>
    <w:p>
      <w:pPr>
        <w:spacing w:after="0" w:line="87" w:lineRule="exact"/>
        <w:rPr>
          <w:sz w:val="20"/>
          <w:szCs w:val="20"/>
          <w:color w:val="auto"/>
        </w:rPr>
      </w:pPr>
    </w:p>
    <w:p>
      <w:pPr>
        <w:ind w:left="1420" w:right="1439" w:firstLine="271"/>
        <w:spacing w:after="0" w:line="234" w:lineRule="auto"/>
        <w:rPr>
          <w:sz w:val="20"/>
          <w:szCs w:val="20"/>
          <w:color w:val="auto"/>
        </w:rPr>
      </w:pPr>
      <w:r>
        <w:rPr>
          <w:rFonts w:ascii="Times New Roman" w:cs="Times New Roman" w:eastAsia="Times New Roman" w:hAnsi="Times New Roman"/>
          <w:sz w:val="14"/>
          <w:szCs w:val="14"/>
          <w:color w:val="auto"/>
        </w:rPr>
        <w:t>We reserve the right to reject any particular Restricted Note not validly tendered, or any acceptance that might, in our judgment, be unlawful. We also reserve the right to waive any defects or irregularities with respect to the form of, or procedures applicable to, the tender of any particular Restricted Note before the expiration time. Unless waived, any defects or irregularities in connection with tenders of Restricted Notes must be cured before the expiration time of the exchange offer. None of the Company, the exchange agent or any other person will be under any duty to give notification of any defect or irregularity in any tender of the Restricted Notes. None of the Company, the exchange agent or any other person will incur any liability for failing to give notification of any defect or irregularity.</w:t>
      </w:r>
    </w:p>
    <w:p>
      <w:pPr>
        <w:spacing w:after="0" w:line="94" w:lineRule="exact"/>
        <w:rPr>
          <w:sz w:val="20"/>
          <w:szCs w:val="20"/>
          <w:color w:val="auto"/>
        </w:rPr>
      </w:pPr>
    </w:p>
    <w:p>
      <w:pPr>
        <w:ind w:left="1420" w:right="1559" w:firstLine="271"/>
        <w:spacing w:after="0" w:line="237" w:lineRule="auto"/>
        <w:rPr>
          <w:sz w:val="20"/>
          <w:szCs w:val="20"/>
          <w:color w:val="auto"/>
        </w:rPr>
      </w:pPr>
      <w:r>
        <w:rPr>
          <w:rFonts w:ascii="Times New Roman" w:cs="Times New Roman" w:eastAsia="Times New Roman" w:hAnsi="Times New Roman"/>
          <w:sz w:val="14"/>
          <w:szCs w:val="14"/>
          <w:color w:val="auto"/>
        </w:rPr>
        <w:t>If the letter of transmittal is executed by a person other than the registered holder of Restricted Notes, the letter of transmittal must be accompanied by the Restricted Notes endorsed by the registered holder or written instrument of transfer or exchange in satisfactory form, duly executed by the registered holder, in either case with the signature guaranteed by an eligible institution. In addition, in either case, the original endorsement or the instrument of transfer must be signed exactly as the name of any registered holder appears on the Restricted Notes.</w:t>
      </w:r>
    </w:p>
    <w:p>
      <w:pPr>
        <w:spacing w:after="0" w:line="81" w:lineRule="exact"/>
        <w:rPr>
          <w:sz w:val="20"/>
          <w:szCs w:val="20"/>
          <w:color w:val="auto"/>
        </w:rPr>
      </w:pPr>
    </w:p>
    <w:p>
      <w:pPr>
        <w:ind w:left="1420" w:right="1639" w:firstLine="271"/>
        <w:spacing w:after="0" w:line="239" w:lineRule="auto"/>
        <w:rPr>
          <w:sz w:val="20"/>
          <w:szCs w:val="20"/>
          <w:color w:val="auto"/>
        </w:rPr>
      </w:pPr>
      <w:r>
        <w:rPr>
          <w:rFonts w:ascii="Times New Roman" w:cs="Times New Roman" w:eastAsia="Times New Roman" w:hAnsi="Times New Roman"/>
          <w:sz w:val="14"/>
          <w:szCs w:val="14"/>
          <w:color w:val="auto"/>
        </w:rPr>
        <w:t>If the letter of transmittal or any Restricted Notes or powers of attorney are signed by trustees, executors, administrators, guardians, attorneys-in- fact, officers of corporations or others acting in a fiduciary or representative capacity, these persons should so indicate when signing. Unless waived by us, proper evidence satisfactory to us of their authority to so act must be submitted.</w:t>
      </w:r>
    </w:p>
    <w:p>
      <w:pPr>
        <w:spacing w:after="0" w:line="89" w:lineRule="exact"/>
        <w:rPr>
          <w:sz w:val="20"/>
          <w:szCs w:val="20"/>
          <w:color w:val="auto"/>
        </w:rPr>
      </w:pPr>
    </w:p>
    <w:p>
      <w:pPr>
        <w:ind w:left="1420" w:right="1579" w:firstLine="271"/>
        <w:spacing w:after="0" w:line="244" w:lineRule="auto"/>
        <w:rPr>
          <w:sz w:val="20"/>
          <w:szCs w:val="20"/>
          <w:color w:val="auto"/>
        </w:rPr>
      </w:pPr>
      <w:r>
        <w:rPr>
          <w:rFonts w:ascii="Times New Roman" w:cs="Times New Roman" w:eastAsia="Times New Roman" w:hAnsi="Times New Roman"/>
          <w:sz w:val="14"/>
          <w:szCs w:val="14"/>
          <w:color w:val="auto"/>
        </w:rPr>
        <w:t>All questions as to the form of documents and validity, eligibility (including time of receipt), acceptance for exchange and withdrawal of tendered Restricted Notes will be determined by the Company in its sole discretion, and its determination will be final and binding.</w:t>
      </w:r>
    </w:p>
    <w:p>
      <w:pPr>
        <w:spacing w:after="0" w:line="87" w:lineRule="exact"/>
        <w:rPr>
          <w:sz w:val="20"/>
          <w:szCs w:val="20"/>
          <w:color w:val="auto"/>
        </w:rPr>
      </w:pPr>
    </w:p>
    <w:p>
      <w:pPr>
        <w:ind w:left="1420" w:right="1739" w:firstLine="271"/>
        <w:spacing w:after="0" w:line="247" w:lineRule="auto"/>
        <w:rPr>
          <w:sz w:val="20"/>
          <w:szCs w:val="20"/>
          <w:color w:val="auto"/>
        </w:rPr>
      </w:pPr>
      <w:r>
        <w:rPr>
          <w:rFonts w:ascii="Times New Roman" w:cs="Times New Roman" w:eastAsia="Times New Roman" w:hAnsi="Times New Roman"/>
          <w:sz w:val="14"/>
          <w:szCs w:val="14"/>
          <w:color w:val="auto"/>
        </w:rPr>
        <w:t>By signing or agreeing to be bound by the letter of transmittal, each tendering holder of Restricted Notes will represent, among other things, that:</w:t>
      </w:r>
    </w:p>
    <w:p>
      <w:pPr>
        <w:spacing w:after="0" w:line="54" w:lineRule="exact"/>
        <w:rPr>
          <w:sz w:val="20"/>
          <w:szCs w:val="20"/>
          <w:color w:val="auto"/>
        </w:rPr>
      </w:pPr>
    </w:p>
    <w:p>
      <w:pPr>
        <w:ind w:left="1820" w:right="1479" w:hanging="131"/>
        <w:spacing w:after="0" w:line="252" w:lineRule="auto"/>
        <w:tabs>
          <w:tab w:leader="none" w:pos="18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not an affiliate of ours or, if an affiliate of ours, will comply with the registration and prospectus delivery requirements of the Securities Act to the extent applicable in connection with the resale of the Registered Notes;</w:t>
      </w:r>
    </w:p>
    <w:p>
      <w:pPr>
        <w:spacing w:after="0" w:line="40"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Notes will be acquired in the ordinary course of its business;</w:t>
      </w:r>
    </w:p>
    <w:p>
      <w:pPr>
        <w:spacing w:after="0" w:line="62" w:lineRule="exact"/>
        <w:rPr>
          <w:rFonts w:ascii="Times New Roman" w:cs="Times New Roman" w:eastAsia="Times New Roman" w:hAnsi="Times New Roman"/>
          <w:sz w:val="14"/>
          <w:szCs w:val="14"/>
          <w:color w:val="auto"/>
        </w:rPr>
      </w:pPr>
    </w:p>
    <w:p>
      <w:pPr>
        <w:ind w:left="1820" w:right="1519" w:hanging="131"/>
        <w:spacing w:after="0" w:line="252" w:lineRule="auto"/>
        <w:tabs>
          <w:tab w:leader="none" w:pos="18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of the commencement of the exchange offer, it is not engaged in, and does not intend to engage in, and it has no arrangement or understanding with anyone to participate, in the distribution (within the meaning of the Securities Act) of the Registered Notes;</w:t>
      </w:r>
    </w:p>
    <w:p>
      <w:pPr>
        <w:spacing w:after="0" w:line="40" w:lineRule="exact"/>
        <w:rPr>
          <w:rFonts w:ascii="Times New Roman" w:cs="Times New Roman" w:eastAsia="Times New Roman" w:hAnsi="Times New Roman"/>
          <w:sz w:val="14"/>
          <w:szCs w:val="14"/>
          <w:color w:val="auto"/>
        </w:rPr>
      </w:pPr>
    </w:p>
    <w:p>
      <w:pPr>
        <w:ind w:left="1820" w:right="1579" w:hanging="131"/>
        <w:spacing w:after="0" w:line="248" w:lineRule="auto"/>
        <w:tabs>
          <w:tab w:leader="none" w:pos="18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holder is a broker-dealer that will receive Registered Notes for its own account in exchange for Restricted Notes that were acquired as a result of market-making activities or other trading activities, that it will deliver a prospectus (or to the extent permitted by law, make available a prospectus to purchasers) in connection with any resale of such Registered Notes; and</w:t>
      </w:r>
    </w:p>
    <w:p>
      <w:pPr>
        <w:spacing w:after="0" w:line="43" w:lineRule="exact"/>
        <w:rPr>
          <w:rFonts w:ascii="Times New Roman" w:cs="Times New Roman" w:eastAsia="Times New Roman" w:hAnsi="Times New Roman"/>
          <w:sz w:val="14"/>
          <w:szCs w:val="14"/>
          <w:color w:val="auto"/>
        </w:rPr>
      </w:pPr>
    </w:p>
    <w:p>
      <w:pPr>
        <w:ind w:left="1820" w:right="1859" w:hanging="131"/>
        <w:spacing w:after="0" w:line="265" w:lineRule="auto"/>
        <w:tabs>
          <w:tab w:leader="none" w:pos="18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not prohibited by any law or policy from participating in the exchange offer. See “</w:t>
      </w:r>
      <w:r>
        <w:rPr>
          <w:rFonts w:ascii="Times New Roman" w:cs="Times New Roman" w:eastAsia="Times New Roman" w:hAnsi="Times New Roman"/>
          <w:sz w:val="14"/>
          <w:szCs w:val="14"/>
          <w:i w:val="1"/>
          <w:iCs w:val="1"/>
          <w:color w:val="auto"/>
        </w:rPr>
        <w:t>Plan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Distribution</w:t>
      </w:r>
      <w:r>
        <w:rPr>
          <w:rFonts w:ascii="Times New Roman" w:cs="Times New Roman" w:eastAsia="Times New Roman" w:hAnsi="Times New Roman"/>
          <w:sz w:val="14"/>
          <w:szCs w:val="14"/>
          <w:color w:val="auto"/>
        </w:rPr>
        <w:t>.”</w:t>
      </w:r>
    </w:p>
    <w:p>
      <w:pPr>
        <w:spacing w:after="0" w:line="1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Acceptance of Restricted Notes for Exchange; Delivery of Registered Notes</w:t>
      </w:r>
    </w:p>
    <w:p>
      <w:pPr>
        <w:spacing w:after="0" w:line="107" w:lineRule="exact"/>
        <w:rPr>
          <w:sz w:val="20"/>
          <w:szCs w:val="20"/>
          <w:color w:val="auto"/>
        </w:rPr>
      </w:pPr>
    </w:p>
    <w:p>
      <w:pPr>
        <w:ind w:left="1420" w:right="1779" w:firstLine="271"/>
        <w:spacing w:after="0" w:line="244" w:lineRule="auto"/>
        <w:rPr>
          <w:sz w:val="20"/>
          <w:szCs w:val="20"/>
          <w:color w:val="auto"/>
        </w:rPr>
      </w:pPr>
      <w:r>
        <w:rPr>
          <w:rFonts w:ascii="Times New Roman" w:cs="Times New Roman" w:eastAsia="Times New Roman" w:hAnsi="Times New Roman"/>
          <w:sz w:val="14"/>
          <w:szCs w:val="14"/>
          <w:color w:val="auto"/>
        </w:rPr>
        <w:t>Upon satisfaction of all of the conditions to the exchange offer, we will accept, promptly after the expiration date, all Restricted Notes validly tendered and not validly withdrawn. We will issue the Registered</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8" w:name="page29"/>
    <w:bookmarkEnd w:id="28"/>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20" w:right="1599"/>
        <w:spacing w:after="0" w:line="239" w:lineRule="auto"/>
        <w:rPr>
          <w:sz w:val="20"/>
          <w:szCs w:val="20"/>
          <w:color w:val="auto"/>
        </w:rPr>
      </w:pPr>
      <w:r>
        <w:rPr>
          <w:rFonts w:ascii="Times New Roman" w:cs="Times New Roman" w:eastAsia="Times New Roman" w:hAnsi="Times New Roman"/>
          <w:sz w:val="14"/>
          <w:szCs w:val="14"/>
          <w:color w:val="auto"/>
        </w:rPr>
        <w:t xml:space="preserve">Notes promptly after the expiration of the exchange offer and acceptance of the Restricted Notes. See “— </w:t>
      </w:r>
      <w:r>
        <w:rPr>
          <w:rFonts w:ascii="Times New Roman" w:cs="Times New Roman" w:eastAsia="Times New Roman" w:hAnsi="Times New Roman"/>
          <w:sz w:val="14"/>
          <w:szCs w:val="14"/>
          <w:i w:val="1"/>
          <w:iCs w:val="1"/>
          <w:color w:val="auto"/>
        </w:rPr>
        <w:t>Conditions to the Exchange Offer</w:t>
      </w:r>
      <w:r>
        <w:rPr>
          <w:rFonts w:ascii="Times New Roman" w:cs="Times New Roman" w:eastAsia="Times New Roman" w:hAnsi="Times New Roman"/>
          <w:sz w:val="14"/>
          <w:szCs w:val="14"/>
          <w:color w:val="auto"/>
        </w:rPr>
        <w:t>” above. For purposes of the exchange offer, we will be deemed to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accepted validly tendered Restricted Notes for exchange when, as and if we have given written notice of such acceptance to the exchange agent.</w:t>
      </w:r>
    </w:p>
    <w:p>
      <w:pPr>
        <w:spacing w:after="0" w:line="89" w:lineRule="exact"/>
        <w:rPr>
          <w:sz w:val="20"/>
          <w:szCs w:val="20"/>
          <w:color w:val="auto"/>
        </w:rPr>
      </w:pPr>
    </w:p>
    <w:p>
      <w:pPr>
        <w:ind w:left="1420" w:right="1479" w:firstLine="271"/>
        <w:spacing w:after="0" w:line="236" w:lineRule="auto"/>
        <w:rPr>
          <w:sz w:val="20"/>
          <w:szCs w:val="20"/>
          <w:color w:val="auto"/>
        </w:rPr>
      </w:pPr>
      <w:r>
        <w:rPr>
          <w:rFonts w:ascii="Times New Roman" w:cs="Times New Roman" w:eastAsia="Times New Roman" w:hAnsi="Times New Roman"/>
          <w:sz w:val="14"/>
          <w:szCs w:val="14"/>
          <w:color w:val="auto"/>
        </w:rPr>
        <w:t>For each Restricted Note accepted for exchange, the holder of the Restricted Note will receive a Registered Note having a principal amount equal to that of the surrendered Restricted Note. Restricted Notes accepted for exchange will cease to accrue interest from and after the date of completion of the exchange offer. Holders of Restricted Notes whose Restricted Notes are accepted for exchange will not receive any payment for accrued interest on the Restricted Notes otherwise payable on any interest payment date, the record date for which occurs on or after completion of the exchange offer and will be deemed to have waived their rights to receive such accrued interest on the Restricted Notes.</w:t>
      </w:r>
    </w:p>
    <w:p>
      <w:pPr>
        <w:spacing w:after="0" w:line="89" w:lineRule="exact"/>
        <w:rPr>
          <w:sz w:val="20"/>
          <w:szCs w:val="20"/>
          <w:color w:val="auto"/>
        </w:rPr>
      </w:pPr>
    </w:p>
    <w:p>
      <w:pPr>
        <w:ind w:left="1420" w:right="1459" w:firstLine="271"/>
        <w:spacing w:after="0" w:line="262" w:lineRule="auto"/>
        <w:rPr>
          <w:sz w:val="20"/>
          <w:szCs w:val="20"/>
          <w:color w:val="auto"/>
        </w:rPr>
      </w:pPr>
      <w:r>
        <w:rPr>
          <w:rFonts w:ascii="Times New Roman" w:cs="Times New Roman" w:eastAsia="Times New Roman" w:hAnsi="Times New Roman"/>
          <w:sz w:val="14"/>
          <w:szCs w:val="14"/>
          <w:color w:val="auto"/>
        </w:rPr>
        <w:t>In all cases, issuance of Registered Notes for Restricted Notes will be made only after timely receipt by the exchange agent of:</w:t>
      </w:r>
    </w:p>
    <w:p>
      <w:pPr>
        <w:spacing w:after="0" w:line="54" w:lineRule="exact"/>
        <w:rPr>
          <w:sz w:val="20"/>
          <w:szCs w:val="20"/>
          <w:color w:val="auto"/>
        </w:rPr>
      </w:pPr>
    </w:p>
    <w:p>
      <w:pPr>
        <w:ind w:left="1820" w:right="1559" w:hanging="131"/>
        <w:spacing w:after="0" w:line="262" w:lineRule="auto"/>
        <w:tabs>
          <w:tab w:leader="none" w:pos="1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book-entry confirmation of the deposit of the Restricted Notes into the exchange agent’s account at the book-entry transfer facility;</w:t>
      </w:r>
    </w:p>
    <w:p>
      <w:pPr>
        <w:spacing w:after="0" w:line="54"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properly completed and duly executed letter of transmittal or a transmitted agent’s message; and</w:t>
      </w:r>
    </w:p>
    <w:p>
      <w:pPr>
        <w:spacing w:after="0" w:line="82"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required documents.</w:t>
      </w:r>
    </w:p>
    <w:p>
      <w:pPr>
        <w:spacing w:after="0" w:line="113" w:lineRule="exact"/>
        <w:rPr>
          <w:sz w:val="20"/>
          <w:szCs w:val="20"/>
          <w:color w:val="auto"/>
        </w:rPr>
      </w:pPr>
    </w:p>
    <w:p>
      <w:pPr>
        <w:ind w:left="1420" w:right="1459" w:firstLine="271"/>
        <w:spacing w:after="0" w:line="247" w:lineRule="auto"/>
        <w:rPr>
          <w:sz w:val="20"/>
          <w:szCs w:val="20"/>
          <w:color w:val="auto"/>
        </w:rPr>
      </w:pPr>
      <w:r>
        <w:rPr>
          <w:rFonts w:ascii="Times New Roman" w:cs="Times New Roman" w:eastAsia="Times New Roman" w:hAnsi="Times New Roman"/>
          <w:sz w:val="14"/>
          <w:szCs w:val="14"/>
          <w:color w:val="auto"/>
        </w:rPr>
        <w:t>Unaccepted or non-exchanged Restricted Notes will be returned without expense to the tendering holder of the Restricted Notes promptly after the expiration of the exchange offer. In the case of Restricted Notes tendered by book-entry transfer in accordance with the book-entry procedures described below, the non-exchanged Restricted Notes will be returned or recredited promptly after the expiration of the exchange offer.</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Book-Entry Transfer</w:t>
      </w:r>
    </w:p>
    <w:p>
      <w:pPr>
        <w:spacing w:after="0" w:line="117" w:lineRule="exact"/>
        <w:rPr>
          <w:sz w:val="20"/>
          <w:szCs w:val="20"/>
          <w:color w:val="auto"/>
        </w:rPr>
      </w:pPr>
    </w:p>
    <w:p>
      <w:pPr>
        <w:ind w:left="1420" w:right="1459" w:firstLine="271"/>
        <w:spacing w:after="0" w:line="243" w:lineRule="auto"/>
        <w:rPr>
          <w:sz w:val="20"/>
          <w:szCs w:val="20"/>
          <w:color w:val="auto"/>
        </w:rPr>
      </w:pPr>
      <w:r>
        <w:rPr>
          <w:rFonts w:ascii="Times New Roman" w:cs="Times New Roman" w:eastAsia="Times New Roman" w:hAnsi="Times New Roman"/>
          <w:sz w:val="14"/>
          <w:szCs w:val="14"/>
          <w:color w:val="auto"/>
        </w:rPr>
        <w:t xml:space="preserve">The exchange agent will make a request to establish an account for the Restricted Notes at DTC for purposes of the exchange offer within two business days after the date of this prospectus. Any financial institution that is a participant in DTC’s systems and is tendering Restricted Notes must make book-entry delivery of the Restricted Notes by causing DTC to transfer those Restricted Notes into the exchange agent’s account at DTC in accordance with DTC’s procedures for transfer, including its ATOP procedures. The participant should transmit its acceptance to DTC prior to 5:00 p.m., New York City time, on the expiration date. DTC will verify this acceptance, execute a book-entry transfer of the tendered Restricted Notes into the exchange agent’s account at DTC and then send to the exchange agent confirmation of this book-entry transfer, which confirmation must be received prior to 5:00 p.m., New York City time, on the expiration date. The confirmation of this book-entry transfer will include an agent’s message confirming that DTC has received an express acknowledgment from the participant that the participant has received and agrees to be bound by the letter of transmittal and that we may enforce the letter of transmittal against the participant. Delivery of Registered Notes issued in the exchange offer may be effected through book-entry transfer at DTC. However, the letter of transmittal (or an agent’s message in lieu thereof), with any required signature guarantees and any other required documents, must be transmitted to, and received by, the exchange agent at the address listed below under “— </w:t>
      </w:r>
      <w:r>
        <w:rPr>
          <w:rFonts w:ascii="Times New Roman" w:cs="Times New Roman" w:eastAsia="Times New Roman" w:hAnsi="Times New Roman"/>
          <w:sz w:val="14"/>
          <w:szCs w:val="14"/>
          <w:i w:val="1"/>
          <w:iCs w:val="1"/>
          <w:color w:val="auto"/>
        </w:rPr>
        <w:t>Exchange Agent</w:t>
      </w:r>
      <w:r>
        <w:rPr>
          <w:rFonts w:ascii="Times New Roman" w:cs="Times New Roman" w:eastAsia="Times New Roman" w:hAnsi="Times New Roman"/>
          <w:sz w:val="14"/>
          <w:szCs w:val="14"/>
          <w:color w:val="auto"/>
        </w:rPr>
        <w:t>” (or​ its account at DTC with respect to an agent’s message) prior to 5:00 p.m., New York City time, on the expiration date.</w:t>
      </w:r>
    </w:p>
    <w:p>
      <w:pPr>
        <w:spacing w:after="0" w:line="14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Withdrawal of Tenders</w:t>
      </w:r>
    </w:p>
    <w:p>
      <w:pPr>
        <w:spacing w:after="0" w:line="107" w:lineRule="exact"/>
        <w:rPr>
          <w:sz w:val="20"/>
          <w:szCs w:val="20"/>
          <w:color w:val="auto"/>
        </w:rPr>
      </w:pPr>
    </w:p>
    <w:p>
      <w:pPr>
        <w:ind w:left="1420" w:right="1619" w:firstLine="271"/>
        <w:spacing w:after="0" w:line="247" w:lineRule="auto"/>
        <w:rPr>
          <w:sz w:val="20"/>
          <w:szCs w:val="20"/>
          <w:color w:val="auto"/>
        </w:rPr>
      </w:pPr>
      <w:r>
        <w:rPr>
          <w:rFonts w:ascii="Times New Roman" w:cs="Times New Roman" w:eastAsia="Times New Roman" w:hAnsi="Times New Roman"/>
          <w:sz w:val="14"/>
          <w:szCs w:val="14"/>
          <w:color w:val="auto"/>
        </w:rPr>
        <w:t xml:space="preserve">Except as otherwise provided in this prospectus, holders of Restricted Notes may withdraw (and resubmit) their tenders at any time prior to the expiration of the exchange offer. For a withdrawal to be effective, the exchange agent must receive a written notice of withdrawal at one of the addresses set forth below under “— </w:t>
      </w:r>
      <w:r>
        <w:rPr>
          <w:rFonts w:ascii="Times New Roman" w:cs="Times New Roman" w:eastAsia="Times New Roman" w:hAnsi="Times New Roman"/>
          <w:sz w:val="14"/>
          <w:szCs w:val="14"/>
          <w:i w:val="1"/>
          <w:iCs w:val="1"/>
          <w:color w:val="auto"/>
        </w:rPr>
        <w:t>Exchange Agent</w:t>
      </w:r>
      <w:r>
        <w:rPr>
          <w:rFonts w:ascii="Times New Roman" w:cs="Times New Roman" w:eastAsia="Times New Roman" w:hAnsi="Times New Roman"/>
          <w:sz w:val="14"/>
          <w:szCs w:val="14"/>
          <w:color w:val="auto"/>
        </w:rPr>
        <w:t>,” or the holder must comply with the appropriate procedure of DTC’s ATOP system.</w:t>
      </w:r>
    </w:p>
    <w:p>
      <w:pPr>
        <w:spacing w:after="0" w:line="95" w:lineRule="exact"/>
        <w:rPr>
          <w:sz w:val="20"/>
          <w:szCs w:val="20"/>
          <w:color w:val="auto"/>
        </w:rPr>
      </w:pPr>
    </w:p>
    <w:p>
      <w:pPr>
        <w:ind w:left="1420" w:right="1519" w:firstLine="271"/>
        <w:spacing w:after="0" w:line="262" w:lineRule="auto"/>
        <w:rPr>
          <w:sz w:val="20"/>
          <w:szCs w:val="20"/>
          <w:color w:val="auto"/>
        </w:rPr>
      </w:pPr>
      <w:r>
        <w:rPr>
          <w:rFonts w:ascii="Times New Roman" w:cs="Times New Roman" w:eastAsia="Times New Roman" w:hAnsi="Times New Roman"/>
          <w:sz w:val="14"/>
          <w:szCs w:val="14"/>
          <w:color w:val="auto"/>
        </w:rPr>
        <w:t>Any such notice of withdrawal must specify the name of the person who tendered the Restricted Notes to be withdrawn, identify the Restricted Notes to be withdrawn (including the principal amount of such</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9" w:name="page30"/>
    <w:bookmarkEnd w:id="29"/>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20" w:right="1539"/>
        <w:spacing w:after="0" w:line="235" w:lineRule="auto"/>
        <w:rPr>
          <w:sz w:val="20"/>
          <w:szCs w:val="20"/>
          <w:color w:val="auto"/>
        </w:rPr>
      </w:pPr>
      <w:r>
        <w:rPr>
          <w:rFonts w:ascii="Times New Roman" w:cs="Times New Roman" w:eastAsia="Times New Roman" w:hAnsi="Times New Roman"/>
          <w:sz w:val="14"/>
          <w:szCs w:val="14"/>
          <w:color w:val="auto"/>
        </w:rPr>
        <w:t>Restricted Notes and the CUSIP numbers and total principal amount of such Restricted Notes) and, where Restricted Notes have been transmitted via ATOP, specify the name in which such Restricted Notes were registered if different from that of the withdrawing holder. Any such notice of withdrawal must also be signed by the person having tendered the Restricted Notes to be withdrawn in the same manner as the original signature on the letter of transmittal by which these Restricted Notes were tendered, including any required signature guarantees, or be accompanied by documents of transfer sufficient to permit the Trustee for the Restricted Notes to register the transfer of these notes into the name of the person having made the original tender and withdrawing the tender and, if applicable because the Restricted Notes have been tendered through the book-entry procedure, specify the name and number of the participant’s account at DTC to be credited if different than that of the person having tendered the Restricted Notes to be withdrawn.</w:t>
      </w:r>
    </w:p>
    <w:p>
      <w:pPr>
        <w:spacing w:after="0" w:line="93" w:lineRule="exact"/>
        <w:rPr>
          <w:sz w:val="20"/>
          <w:szCs w:val="20"/>
          <w:color w:val="auto"/>
        </w:rPr>
      </w:pPr>
    </w:p>
    <w:p>
      <w:pPr>
        <w:ind w:left="1420" w:right="1439" w:firstLine="271"/>
        <w:spacing w:after="0" w:line="234" w:lineRule="auto"/>
        <w:rPr>
          <w:sz w:val="20"/>
          <w:szCs w:val="20"/>
          <w:color w:val="auto"/>
        </w:rPr>
      </w:pPr>
      <w:r>
        <w:rPr>
          <w:rFonts w:ascii="Times New Roman" w:cs="Times New Roman" w:eastAsia="Times New Roman" w:hAnsi="Times New Roman"/>
          <w:sz w:val="14"/>
          <w:szCs w:val="14"/>
          <w:color w:val="auto"/>
        </w:rPr>
        <w:t>If Restricted Notes have been tendered pursuant to the procedure for book-entry transfer described above, any notice of withdrawal must specify the name and number of the account at DTC to be credited with the withdrawn Restricted Notes and otherwise comply with the procedures of such facility. We will determine all questions as to the validity, form and eligibility (including time of receipt) of such notices, and our determination shall be final and binding on all parties. We will deem any Restricted Notes so withdrawn not to have been validly tendered for exchange for purposes of the exchange offer. Any Restricted Notes that have been tendered for exchange but that are not exchanged for any reason will be returned to their holder without cost to the holder (or, in the case of Restricted Notes tendered by book-entry transfer into the exchange agent’s account of DTC according to the procedures described above, such Restricted Notes will be credited to an account maintained with DTC for Restricted Notes) promptly after withdrawal, rejection of tender or termination of the exchange offer. Properly withdrawn Restricted Notes may be retendered by following one of the procedures described under “Procedures for Tendering the Restricted Notes” above at any time prior to the expiration time.</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Exchange Agent</w:t>
      </w:r>
    </w:p>
    <w:p>
      <w:pPr>
        <w:spacing w:after="0" w:line="117" w:lineRule="exact"/>
        <w:rPr>
          <w:sz w:val="20"/>
          <w:szCs w:val="20"/>
          <w:color w:val="auto"/>
        </w:rPr>
      </w:pPr>
    </w:p>
    <w:p>
      <w:pPr>
        <w:ind w:left="1420" w:right="1559" w:firstLine="271"/>
        <w:spacing w:after="0" w:line="238" w:lineRule="auto"/>
        <w:rPr>
          <w:sz w:val="20"/>
          <w:szCs w:val="20"/>
          <w:color w:val="auto"/>
        </w:rPr>
      </w:pPr>
      <w:r>
        <w:rPr>
          <w:rFonts w:ascii="Times New Roman" w:cs="Times New Roman" w:eastAsia="Times New Roman" w:hAnsi="Times New Roman"/>
          <w:sz w:val="14"/>
          <w:szCs w:val="14"/>
          <w:color w:val="auto"/>
        </w:rPr>
        <w:t>The Bank of New York Mellon Trust Company, N.A. has been appointed as exchange agent for the exchange offer. You should direct questions and requests for assistance or requests for additional copies of this prospectus, or the letter of transmittal, to the exchange agent addressed as follows:</w:t>
      </w:r>
    </w:p>
    <w:p>
      <w:pPr>
        <w:spacing w:after="0" w:line="13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The Bank of New York Mellon Trust Company, N.A.</w:t>
      </w:r>
    </w:p>
    <w:p>
      <w:pPr>
        <w:spacing w:after="0" w:line="11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i w:val="1"/>
          <w:iCs w:val="1"/>
          <w:color w:val="auto"/>
        </w:rPr>
        <w:t>By Registered or Certified Mail, Overnight Delivery:</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The Bank of New York Mellon Trust Company, N.A., as Exchange Agent</w:t>
      </w:r>
    </w:p>
    <w:p>
      <w:pPr>
        <w:jc w:val="center"/>
        <w:ind w:right="59"/>
        <w:spacing w:after="0" w:line="234" w:lineRule="auto"/>
        <w:rPr>
          <w:sz w:val="20"/>
          <w:szCs w:val="20"/>
          <w:color w:val="auto"/>
        </w:rPr>
      </w:pPr>
      <w:r>
        <w:rPr>
          <w:rFonts w:ascii="Times New Roman" w:cs="Times New Roman" w:eastAsia="Times New Roman" w:hAnsi="Times New Roman"/>
          <w:sz w:val="14"/>
          <w:szCs w:val="14"/>
          <w:color w:val="auto"/>
        </w:rPr>
        <w:t>c/o The Bank of New York Mellon</w:t>
      </w:r>
    </w:p>
    <w:p>
      <w:pPr>
        <w:jc w:val="center"/>
        <w:ind w:right="59"/>
        <w:spacing w:after="0"/>
        <w:rPr>
          <w:sz w:val="20"/>
          <w:szCs w:val="20"/>
          <w:color w:val="auto"/>
        </w:rPr>
      </w:pPr>
      <w:r>
        <w:rPr>
          <w:rFonts w:ascii="Times New Roman" w:cs="Times New Roman" w:eastAsia="Times New Roman" w:hAnsi="Times New Roman"/>
          <w:sz w:val="14"/>
          <w:szCs w:val="14"/>
          <w:color w:val="auto"/>
        </w:rPr>
        <w:t>Corporate Trust Reorg Unit</w:t>
      </w:r>
    </w:p>
    <w:p>
      <w:pPr>
        <w:jc w:val="center"/>
        <w:ind w:right="59"/>
        <w:spacing w:after="0" w:line="229" w:lineRule="auto"/>
        <w:rPr>
          <w:sz w:val="20"/>
          <w:szCs w:val="20"/>
          <w:color w:val="auto"/>
        </w:rPr>
      </w:pPr>
      <w:r>
        <w:rPr>
          <w:rFonts w:ascii="Times New Roman" w:cs="Times New Roman" w:eastAsia="Times New Roman" w:hAnsi="Times New Roman"/>
          <w:sz w:val="14"/>
          <w:szCs w:val="14"/>
          <w:color w:val="auto"/>
        </w:rPr>
        <w:t>500 Ross Street, Suite 625</w:t>
      </w:r>
    </w:p>
    <w:p>
      <w:pPr>
        <w:jc w:val="center"/>
        <w:ind w:right="59"/>
        <w:spacing w:after="0" w:line="227" w:lineRule="auto"/>
        <w:rPr>
          <w:sz w:val="20"/>
          <w:szCs w:val="20"/>
          <w:color w:val="auto"/>
        </w:rPr>
      </w:pPr>
      <w:r>
        <w:rPr>
          <w:rFonts w:ascii="Times New Roman" w:cs="Times New Roman" w:eastAsia="Times New Roman" w:hAnsi="Times New Roman"/>
          <w:sz w:val="14"/>
          <w:szCs w:val="14"/>
          <w:color w:val="auto"/>
        </w:rPr>
        <w:t>Pittsburgh, PA 15262</w:t>
      </w:r>
    </w:p>
    <w:p>
      <w:pPr>
        <w:jc w:val="center"/>
        <w:ind w:right="59"/>
        <w:spacing w:after="0"/>
        <w:rPr>
          <w:sz w:val="20"/>
          <w:szCs w:val="20"/>
          <w:color w:val="auto"/>
        </w:rPr>
      </w:pPr>
      <w:r>
        <w:rPr>
          <w:rFonts w:ascii="Times New Roman" w:cs="Times New Roman" w:eastAsia="Times New Roman" w:hAnsi="Times New Roman"/>
          <w:sz w:val="14"/>
          <w:szCs w:val="14"/>
          <w:color w:val="auto"/>
        </w:rPr>
        <w:t>CT_REORG_UNIT_INQUIRIES@bnymellon.com</w:t>
      </w:r>
    </w:p>
    <w:p>
      <w:pPr>
        <w:jc w:val="center"/>
        <w:ind w:right="59"/>
        <w:spacing w:after="0" w:line="229" w:lineRule="auto"/>
        <w:rPr>
          <w:sz w:val="20"/>
          <w:szCs w:val="20"/>
          <w:color w:val="auto"/>
        </w:rPr>
      </w:pPr>
      <w:r>
        <w:rPr>
          <w:rFonts w:ascii="Times New Roman" w:cs="Times New Roman" w:eastAsia="Times New Roman" w:hAnsi="Times New Roman"/>
          <w:sz w:val="14"/>
          <w:szCs w:val="14"/>
          <w:color w:val="auto"/>
        </w:rPr>
        <w:t>Attn: (Raman) Uthandaraman K.</w:t>
      </w:r>
    </w:p>
    <w:p>
      <w:pPr>
        <w:jc w:val="center"/>
        <w:ind w:right="19"/>
        <w:spacing w:after="0"/>
        <w:rPr>
          <w:sz w:val="20"/>
          <w:szCs w:val="20"/>
          <w:color w:val="auto"/>
        </w:rPr>
      </w:pPr>
      <w:r>
        <w:rPr>
          <w:rFonts w:ascii="Times New Roman" w:cs="Times New Roman" w:eastAsia="Times New Roman" w:hAnsi="Times New Roman"/>
          <w:sz w:val="14"/>
          <w:szCs w:val="14"/>
          <w:color w:val="auto"/>
        </w:rPr>
        <w:t>615-381-1655</w:t>
      </w:r>
    </w:p>
    <w:p>
      <w:pPr>
        <w:spacing w:after="0" w:line="89" w:lineRule="exact"/>
        <w:rPr>
          <w:sz w:val="20"/>
          <w:szCs w:val="20"/>
          <w:color w:val="auto"/>
        </w:rPr>
      </w:pPr>
    </w:p>
    <w:p>
      <w:pPr>
        <w:ind w:left="1420" w:right="1459" w:firstLine="271"/>
        <w:spacing w:after="0" w:line="247" w:lineRule="auto"/>
        <w:rPr>
          <w:sz w:val="20"/>
          <w:szCs w:val="20"/>
          <w:color w:val="auto"/>
        </w:rPr>
      </w:pPr>
      <w:r>
        <w:rPr>
          <w:rFonts w:ascii="Times New Roman" w:cs="Times New Roman" w:eastAsia="Times New Roman" w:hAnsi="Times New Roman"/>
          <w:sz w:val="14"/>
          <w:szCs w:val="14"/>
          <w:color w:val="auto"/>
        </w:rPr>
        <w:t>Delivery to an address other than as set forth above does not constitute a valid delivery to the exchange agent.</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1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We will not make any payment to brokers, dealers or others soliciting acceptances of the exchange</w:t>
      </w:r>
    </w:p>
    <w:p>
      <w:pPr>
        <w:spacing w:after="0" w:line="14" w:lineRule="exact"/>
        <w:rPr>
          <w:sz w:val="20"/>
          <w:szCs w:val="20"/>
          <w:color w:val="auto"/>
        </w:rPr>
      </w:pPr>
    </w:p>
    <w:p>
      <w:pPr>
        <w:ind w:left="1420" w:right="1459"/>
        <w:spacing w:after="0" w:line="232" w:lineRule="auto"/>
        <w:rPr>
          <w:sz w:val="20"/>
          <w:szCs w:val="20"/>
          <w:color w:val="auto"/>
        </w:rPr>
      </w:pPr>
      <w:r>
        <w:rPr>
          <w:rFonts w:ascii="Times New Roman" w:cs="Times New Roman" w:eastAsia="Times New Roman" w:hAnsi="Times New Roman"/>
          <w:sz w:val="14"/>
          <w:szCs w:val="14"/>
          <w:color w:val="auto"/>
        </w:rPr>
        <w:t>offer. We have agreed under the Registration Rights Agreement to pay all expenses incident to the exchange offer other than fees, expenses, commissions or concessions of any counsel, advisors and broker-dealers and we will indemnify and hold harmless the holders of the Restricted Notes and the Registered Notes (including any broker-dealers, among other persons) against certain liabilities, including liabilities under the Securities Act. The cash expenses to be incurred in connection with the exchange offer, including out-of-pocket expenses for the exchange agent, will be paid by the Company. We will not pay for underwriting discounts and commissions, brokerage commissions and transfer taxes, if any, relating to the sale or disposition of Restricted Notes by a holder.</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0" w:name="page31"/>
    <w:bookmarkEnd w:id="30"/>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Consequences of Failure to Exchange</w:t>
      </w:r>
    </w:p>
    <w:p>
      <w:pPr>
        <w:spacing w:after="0" w:line="107" w:lineRule="exact"/>
        <w:rPr>
          <w:sz w:val="20"/>
          <w:szCs w:val="20"/>
          <w:color w:val="auto"/>
        </w:rPr>
      </w:pPr>
    </w:p>
    <w:p>
      <w:pPr>
        <w:ind w:left="1420" w:right="1459" w:firstLine="271"/>
        <w:spacing w:after="0" w:line="227" w:lineRule="auto"/>
        <w:rPr>
          <w:sz w:val="20"/>
          <w:szCs w:val="20"/>
          <w:color w:val="auto"/>
        </w:rPr>
      </w:pPr>
      <w:r>
        <w:rPr>
          <w:rFonts w:ascii="Times New Roman" w:cs="Times New Roman" w:eastAsia="Times New Roman" w:hAnsi="Times New Roman"/>
          <w:sz w:val="14"/>
          <w:szCs w:val="14"/>
          <w:color w:val="auto"/>
        </w:rPr>
        <w:t>Holders of Restricted Notes who do not exchange their Restricted Notes for Registered Notes under the exchange offer will remain subject to the restrictions on transfer of such Restricted Notes as set forth in the legend printed on the Restricted Notes as a consequence of the issuance of the Restricted Notes pursuant to the exemptions from, or in transactions not subject to, the registration requirements of the Securities Act and applicable state securities laws and otherwise as set forth in the offering memorandum distributed in connection with the private placement offering of the Restricted Notes.</w:t>
      </w:r>
    </w:p>
    <w:p>
      <w:pPr>
        <w:spacing w:after="0" w:line="91" w:lineRule="exact"/>
        <w:rPr>
          <w:sz w:val="20"/>
          <w:szCs w:val="20"/>
          <w:color w:val="auto"/>
        </w:rPr>
      </w:pPr>
    </w:p>
    <w:p>
      <w:pPr>
        <w:ind w:left="1420" w:right="1459" w:firstLine="271"/>
        <w:spacing w:after="0" w:line="223" w:lineRule="auto"/>
        <w:rPr>
          <w:sz w:val="20"/>
          <w:szCs w:val="20"/>
          <w:color w:val="auto"/>
        </w:rPr>
      </w:pPr>
      <w:r>
        <w:rPr>
          <w:rFonts w:ascii="Times New Roman" w:cs="Times New Roman" w:eastAsia="Times New Roman" w:hAnsi="Times New Roman"/>
          <w:sz w:val="14"/>
          <w:szCs w:val="14"/>
          <w:color w:val="auto"/>
        </w:rPr>
        <w:t>In general, you may not offer or sell the Restricted Notes unless they are registered under the Securities Act or if the offer or sale is exempt from registration under the Securities Act and applicable state securities laws. Except as required by the Registration Rights Agreement, we do not intend to register resales of the Restricted Notes under the Securities Act. Based on interpretations of the SEC staff, Registered Notes issued pursuant to the exchange offer may be offered for resale, resold or otherwise transferred by their holders (other than any such holder that is the Company’s “affiliate” within the meaning of Rule 405 under the Securities Act) without compliance with the registration and prospectus delivery provisions of the Securities Act; so long as the holders acquired the Registered Notes in the ordinary course of the holders’ business and the holders have no arrangement or understanding with respect to the distribution of the Registered Notes to be acquired in the exchange offer. Any holder who tenders in the exchange offer for the purpose of participating in a distribution of the Registered Notes could not rely on the applicable interpretations of the SEC and must comply with the registration and prospectus delivery requirements of the Securities Act in connection with a secondary resale transaction.</w:t>
      </w:r>
    </w:p>
    <w:p>
      <w:pPr>
        <w:spacing w:after="0" w:line="95" w:lineRule="exact"/>
        <w:rPr>
          <w:sz w:val="20"/>
          <w:szCs w:val="20"/>
          <w:color w:val="auto"/>
        </w:rPr>
      </w:pPr>
    </w:p>
    <w:p>
      <w:pPr>
        <w:ind w:left="1420" w:right="1579" w:firstLine="271"/>
        <w:spacing w:after="0" w:line="229" w:lineRule="auto"/>
        <w:rPr>
          <w:sz w:val="20"/>
          <w:szCs w:val="20"/>
          <w:color w:val="auto"/>
        </w:rPr>
      </w:pPr>
      <w:r>
        <w:rPr>
          <w:rFonts w:ascii="Times New Roman" w:cs="Times New Roman" w:eastAsia="Times New Roman" w:hAnsi="Times New Roman"/>
          <w:sz w:val="14"/>
          <w:szCs w:val="14"/>
          <w:color w:val="auto"/>
        </w:rPr>
        <w:t>We do not currently anticipate that we will register under the Securities Act any Restricted Notes that remain outstanding after completion of the exchange offer. See “</w:t>
      </w:r>
      <w:r>
        <w:rPr>
          <w:rFonts w:ascii="Times New Roman" w:cs="Times New Roman" w:eastAsia="Times New Roman" w:hAnsi="Times New Roman"/>
          <w:sz w:val="14"/>
          <w:szCs w:val="14"/>
          <w:i w:val="1"/>
          <w:iCs w:val="1"/>
          <w:color w:val="auto"/>
        </w:rPr>
        <w:t>Risk Factors — Risks Related to the</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Exchange Offer — You may have difficulty selling the Restricted Notes that you do not exchange</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Accounting Treatment</w:t>
      </w:r>
    </w:p>
    <w:p>
      <w:pPr>
        <w:spacing w:after="0" w:line="97" w:lineRule="exact"/>
        <w:rPr>
          <w:sz w:val="20"/>
          <w:szCs w:val="20"/>
          <w:color w:val="auto"/>
        </w:rPr>
      </w:pPr>
    </w:p>
    <w:p>
      <w:pPr>
        <w:ind w:left="1420" w:right="1499" w:firstLine="271"/>
        <w:spacing w:after="0" w:line="229" w:lineRule="auto"/>
        <w:rPr>
          <w:sz w:val="20"/>
          <w:szCs w:val="20"/>
          <w:color w:val="auto"/>
        </w:rPr>
      </w:pPr>
      <w:r>
        <w:rPr>
          <w:rFonts w:ascii="Times New Roman" w:cs="Times New Roman" w:eastAsia="Times New Roman" w:hAnsi="Times New Roman"/>
          <w:sz w:val="14"/>
          <w:szCs w:val="14"/>
          <w:color w:val="auto"/>
        </w:rPr>
        <w:t>We will record the Registered Notes in our accounting records at the same carrying value as the Restricted Notes for which they were exchanged in respect of the offer made pursuant to this prospectus, as reflected in our accounting records on the date of exchange. Accordingly, we will not recognize any gain or loss for accounting purposes in connection with the exchange offer. We will expense the costs of the exchange offer and amortize the remaining unamortized expenses related to the issuance of the Restricted Notes over the term of the Registered Notes.</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Additional Obligations</w:t>
      </w:r>
    </w:p>
    <w:p>
      <w:pPr>
        <w:spacing w:after="0" w:line="107" w:lineRule="exact"/>
        <w:rPr>
          <w:sz w:val="20"/>
          <w:szCs w:val="20"/>
          <w:color w:val="auto"/>
        </w:rPr>
      </w:pPr>
    </w:p>
    <w:p>
      <w:pPr>
        <w:ind w:left="1420" w:right="1439" w:firstLine="271"/>
        <w:spacing w:after="0" w:line="224" w:lineRule="auto"/>
        <w:rPr>
          <w:sz w:val="20"/>
          <w:szCs w:val="20"/>
          <w:color w:val="auto"/>
        </w:rPr>
      </w:pPr>
      <w:r>
        <w:rPr>
          <w:rFonts w:ascii="Times New Roman" w:cs="Times New Roman" w:eastAsia="Times New Roman" w:hAnsi="Times New Roman"/>
          <w:sz w:val="14"/>
          <w:szCs w:val="14"/>
          <w:color w:val="auto"/>
        </w:rPr>
        <w:t>In the Registration Rights Agreement, we agreed that under certain circumstances we would file a shelf registration statement with the SEC covering resales of notes by holders thereof if (i) we determine that any changes in applicable law or applicable interpretations of the staff of the SEC or the SEC do not permit us to effect the exchange offer, (ii) a holder of Restricted Notes participating in the exchange offer does not receive Registered Notes on the date of the exchange that may be sold without restriction under state and U.S. federal security laws (other than due solely to the status of such holder as our affiliate within the meaning of the Securities Act) and notifies us within 30 days of such holder first becoming aware of such restrictions, (iii) for any other reason, the exchange offer is not completed on or prior to November 9, 2025, or (iv) within 20 business days after the consummation of the exchange offer, the Company receives a written request from certain holders of the Restricted Notes for the filing of a shelf registration statement. In such an event, we would be under a continuing obligation to use commercially reasonable efforts to keep the shelf registration statement effective and to provide copies of the latest version of the prospectus contained therein to any broker-dealer that requests copies for use in a resale.</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Other</w:t>
      </w:r>
    </w:p>
    <w:p>
      <w:pPr>
        <w:spacing w:after="0" w:line="97" w:lineRule="exact"/>
        <w:rPr>
          <w:sz w:val="20"/>
          <w:szCs w:val="20"/>
          <w:color w:val="auto"/>
        </w:rPr>
      </w:pPr>
    </w:p>
    <w:p>
      <w:pPr>
        <w:ind w:left="1420" w:right="1499" w:firstLine="271"/>
        <w:spacing w:after="0" w:line="227" w:lineRule="auto"/>
        <w:rPr>
          <w:sz w:val="20"/>
          <w:szCs w:val="20"/>
          <w:color w:val="auto"/>
        </w:rPr>
      </w:pPr>
      <w:r>
        <w:rPr>
          <w:rFonts w:ascii="Times New Roman" w:cs="Times New Roman" w:eastAsia="Times New Roman" w:hAnsi="Times New Roman"/>
          <w:sz w:val="14"/>
          <w:szCs w:val="14"/>
          <w:color w:val="auto"/>
        </w:rPr>
        <w:t>Participation in the exchange offer is voluntary, and you should carefully consider whether to accept. You are urged to consult your financial and tax advisors in making your own decision on what action to take. We may in the future seek to acquire untendered Restricted Notes in the open market or privately negotiated transactions, through subsequent exchange offers or otherwise. We have no present plans to acquire any Restricted Notes that are not tendered in the exchange offer or to file a registration statement to permit resales of any untendered Restricted Notes.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189865</wp:posOffset>
            </wp:positionV>
            <wp:extent cx="514223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1" w:name="page32"/>
    <w:bookmarkEnd w:id="31"/>
    <w:p>
      <w:pPr>
        <w:ind w:left="4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THE REGISTERED NOTES</w:t>
      </w:r>
    </w:p>
    <w:p>
      <w:pPr>
        <w:spacing w:after="0" w:line="115" w:lineRule="exact"/>
        <w:rPr>
          <w:sz w:val="20"/>
          <w:szCs w:val="20"/>
          <w:color w:val="auto"/>
        </w:rPr>
      </w:pPr>
    </w:p>
    <w:p>
      <w:pPr>
        <w:ind w:left="1420" w:right="1479" w:firstLine="271"/>
        <w:spacing w:after="0" w:line="239" w:lineRule="auto"/>
        <w:rPr>
          <w:sz w:val="20"/>
          <w:szCs w:val="20"/>
          <w:color w:val="auto"/>
        </w:rPr>
      </w:pPr>
      <w:r>
        <w:rPr>
          <w:rFonts w:ascii="Times New Roman" w:cs="Times New Roman" w:eastAsia="Times New Roman" w:hAnsi="Times New Roman"/>
          <w:sz w:val="14"/>
          <w:szCs w:val="14"/>
          <w:i w:val="1"/>
          <w:iCs w:val="1"/>
          <w:color w:val="auto"/>
        </w:rPr>
        <w:t>This Description of the Registered Notes is intended to be an overview of the material provisions of the Registered Notes. It does not include all of the provisions of the Indenture. WM urges you to read the Indenture because it defines your rights. The terms of the Registered Notes include those stated in the Indenture and those made part of the Indenture by reference to the Trust Indenture Act.</w:t>
      </w:r>
    </w:p>
    <w:p>
      <w:pPr>
        <w:spacing w:after="0" w:line="89" w:lineRule="exact"/>
        <w:rPr>
          <w:sz w:val="20"/>
          <w:szCs w:val="20"/>
          <w:color w:val="auto"/>
        </w:rPr>
      </w:pPr>
    </w:p>
    <w:p>
      <w:pPr>
        <w:ind w:left="1420" w:right="1459" w:firstLine="271"/>
        <w:spacing w:after="0"/>
        <w:rPr>
          <w:sz w:val="20"/>
          <w:szCs w:val="20"/>
          <w:color w:val="auto"/>
        </w:rPr>
      </w:pPr>
      <w:r>
        <w:rPr>
          <w:rFonts w:ascii="Times New Roman" w:cs="Times New Roman" w:eastAsia="Times New Roman" w:hAnsi="Times New Roman"/>
          <w:sz w:val="14"/>
          <w:szCs w:val="14"/>
          <w:i w:val="1"/>
          <w:iCs w:val="1"/>
          <w:color w:val="auto"/>
        </w:rPr>
        <w:t>You can find the definitions of certain terms used in this description under the caption “— Glossary.” In this description, (i) the term “WM” refers only to Waste Management, Inc. and not to any of its Subsidiaries and (ii) the words “us,” “we” and “our” refer to Waste Management, Inc. and its consolidated subsidiaries and consolidated variable interest entities, taken as a whole, unless the context clearly indicates otherwise</w:t>
      </w:r>
      <w:r>
        <w:rPr>
          <w:rFonts w:ascii="Times New Roman" w:cs="Times New Roman" w:eastAsia="Times New Roman" w:hAnsi="Times New Roman"/>
          <w:sz w:val="14"/>
          <w:szCs w:val="14"/>
          <w:color w:val="auto"/>
        </w:rPr>
        <w:t>.</w:t>
      </w:r>
    </w:p>
    <w:p>
      <w:pPr>
        <w:spacing w:after="0" w:line="29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07" w:lineRule="exact"/>
        <w:rPr>
          <w:sz w:val="20"/>
          <w:szCs w:val="20"/>
          <w:color w:val="auto"/>
        </w:rPr>
      </w:pPr>
    </w:p>
    <w:p>
      <w:pPr>
        <w:jc w:val="both"/>
        <w:ind w:left="1420" w:right="1759" w:firstLine="271"/>
        <w:spacing w:after="0" w:line="244" w:lineRule="auto"/>
        <w:rPr>
          <w:sz w:val="20"/>
          <w:szCs w:val="20"/>
          <w:color w:val="auto"/>
        </w:rPr>
      </w:pPr>
      <w:r>
        <w:rPr>
          <w:rFonts w:ascii="Times New Roman" w:cs="Times New Roman" w:eastAsia="Times New Roman" w:hAnsi="Times New Roman"/>
          <w:sz w:val="14"/>
          <w:szCs w:val="14"/>
          <w:color w:val="auto"/>
        </w:rPr>
        <w:t>The following table sets forth the title (including the interest rate), CUSIP number, maturity date, maximum aggregate principal amount, interest payment dates and record dates of the Registered Notes offered.</w:t>
      </w:r>
    </w:p>
    <w:p>
      <w:pPr>
        <w:spacing w:after="0" w:line="107"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2"/>
        </w:trPr>
        <w:tc>
          <w:tcPr>
            <w:tcW w:w="116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Title (Including</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right"/>
              <w:ind w:right="360"/>
              <w:spacing w:after="0" w:line="122" w:lineRule="exact"/>
              <w:rPr>
                <w:sz w:val="20"/>
                <w:szCs w:val="20"/>
                <w:color w:val="auto"/>
              </w:rPr>
            </w:pPr>
            <w:r>
              <w:rPr>
                <w:rFonts w:ascii="Times New Roman" w:cs="Times New Roman" w:eastAsia="Times New Roman" w:hAnsi="Times New Roman"/>
                <w:sz w:val="11"/>
                <w:szCs w:val="11"/>
                <w:b w:val="1"/>
                <w:bCs w:val="1"/>
                <w:color w:val="auto"/>
              </w:rPr>
              <w:t>Aggregate</w:t>
            </w:r>
          </w:p>
        </w:tc>
        <w:tc>
          <w:tcPr>
            <w:tcW w:w="8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2"/>
              </w:rPr>
              <w:t>Interest</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2000" w:type="dxa"/>
            <w:vAlign w:val="bottom"/>
            <w:gridSpan w:val="4"/>
          </w:tcPr>
          <w:p>
            <w:pPr>
              <w:ind w:left="40"/>
              <w:spacing w:after="0" w:line="161" w:lineRule="exact"/>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  CUSIP Nos.  </w:t>
            </w: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   Maturity Date</w:t>
            </w:r>
          </w:p>
        </w:tc>
        <w:tc>
          <w:tcPr>
            <w:tcW w:w="1140" w:type="dxa"/>
            <w:vAlign w:val="bottom"/>
            <w:gridSpan w:val="3"/>
          </w:tcPr>
          <w:p>
            <w:pPr>
              <w:jc w:val="right"/>
              <w:ind w:right="20"/>
              <w:spacing w:after="0" w:line="161" w:lineRule="exact"/>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 Principal Amount </w:t>
            </w:r>
            <w:r>
              <w:rPr>
                <w:rFonts w:ascii="Times New Roman" w:cs="Times New Roman" w:eastAsia="Times New Roman" w:hAnsi="Times New Roman"/>
                <w:sz w:val="18"/>
                <w:szCs w:val="18"/>
                <w:b w:val="1"/>
                <w:bCs w:val="1"/>
                <w:color w:val="auto"/>
                <w:vertAlign w:val="subscript"/>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Payment Dates</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82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Record Date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0"/>
        </w:trPr>
        <w:tc>
          <w:tcPr>
            <w:tcW w:w="1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3.875% Senior</w:t>
            </w:r>
          </w:p>
        </w:tc>
        <w:tc>
          <w:tcPr>
            <w:tcW w:w="1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January 15 and</w:t>
            </w:r>
          </w:p>
        </w:tc>
        <w:tc>
          <w:tcPr>
            <w:tcW w:w="1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January 1 and</w:t>
            </w:r>
          </w:p>
        </w:tc>
        <w:tc>
          <w:tcPr>
            <w:tcW w:w="40" w:type="dxa"/>
            <w:vAlign w:val="bottom"/>
          </w:tcPr>
          <w:p>
            <w:pPr>
              <w:spacing w:after="0"/>
              <w:rPr>
                <w:sz w:val="13"/>
                <w:szCs w:val="13"/>
                <w:color w:val="auto"/>
              </w:rPr>
            </w:pPr>
          </w:p>
        </w:tc>
      </w:tr>
      <w:tr>
        <w:trPr>
          <w:trHeight w:val="195"/>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Notes due 2029</w:t>
            </w:r>
          </w:p>
        </w:tc>
        <w:tc>
          <w:tcPr>
            <w:tcW w:w="314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​94106LCA5 ​ ​January 15, 2029 ​ ​ $485,084,000 ​ ​</w:t>
            </w:r>
          </w:p>
        </w:tc>
        <w:tc>
          <w:tcPr>
            <w:tcW w:w="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July 15</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July 1</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4194175</wp:posOffset>
            </wp:positionH>
            <wp:positionV relativeFrom="paragraph">
              <wp:posOffset>-238125</wp:posOffset>
            </wp:positionV>
            <wp:extent cx="10287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02870" cy="6350"/>
                    </a:xfrm>
                    <a:prstGeom prst="rect">
                      <a:avLst/>
                    </a:prstGeom>
                    <a:noFill/>
                  </pic:spPr>
                </pic:pic>
              </a:graphicData>
            </a:graphic>
          </wp:anchor>
        </w:drawing>
        <w:drawing>
          <wp:anchor simplePos="0" relativeHeight="251657728" behindDoc="1" locked="0" layoutInCell="0" allowOverlap="1">
            <wp:simplePos x="0" y="0"/>
            <wp:positionH relativeFrom="column">
              <wp:posOffset>3523615</wp:posOffset>
            </wp:positionH>
            <wp:positionV relativeFrom="paragraph">
              <wp:posOffset>-238125</wp:posOffset>
            </wp:positionV>
            <wp:extent cx="10287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02870" cy="6350"/>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-238125</wp:posOffset>
            </wp:positionV>
            <wp:extent cx="10287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02870" cy="635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-238125</wp:posOffset>
            </wp:positionV>
            <wp:extent cx="10287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02870" cy="6350"/>
                    </a:xfrm>
                    <a:prstGeom prst="rect">
                      <a:avLst/>
                    </a:prstGeom>
                    <a:noFill/>
                  </pic:spPr>
                </pic:pic>
              </a:graphicData>
            </a:graphic>
          </wp:anchor>
        </w:drawing>
        <w:drawing>
          <wp:anchor simplePos="0" relativeHeight="251657728" behindDoc="1" locked="0" layoutInCell="0" allowOverlap="1">
            <wp:simplePos x="0" y="0"/>
            <wp:positionH relativeFrom="column">
              <wp:posOffset>1635760</wp:posOffset>
            </wp:positionH>
            <wp:positionV relativeFrom="paragraph">
              <wp:posOffset>-238125</wp:posOffset>
            </wp:positionV>
            <wp:extent cx="10287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02870" cy="6350"/>
                    </a:xfrm>
                    <a:prstGeom prst="rect">
                      <a:avLst/>
                    </a:prstGeom>
                    <a:noFill/>
                  </pic:spPr>
                </pic:pic>
              </a:graphicData>
            </a:graphic>
          </wp:anchor>
        </w:drawing>
      </w:r>
    </w:p>
    <w:p>
      <w:pPr>
        <w:spacing w:after="0" w:line="69" w:lineRule="exact"/>
        <w:rPr>
          <w:sz w:val="20"/>
          <w:szCs w:val="20"/>
          <w:color w:val="auto"/>
        </w:rPr>
      </w:pPr>
    </w:p>
    <w:p>
      <w:pPr>
        <w:ind w:left="1420" w:right="1459" w:firstLine="271"/>
        <w:spacing w:after="0" w:line="238" w:lineRule="auto"/>
        <w:rPr>
          <w:sz w:val="20"/>
          <w:szCs w:val="20"/>
          <w:color w:val="auto"/>
        </w:rPr>
      </w:pPr>
      <w:r>
        <w:rPr>
          <w:rFonts w:ascii="Times New Roman" w:cs="Times New Roman" w:eastAsia="Times New Roman" w:hAnsi="Times New Roman"/>
          <w:sz w:val="14"/>
          <w:szCs w:val="14"/>
          <w:color w:val="auto"/>
        </w:rPr>
        <w:t>We will issue the Registered Notes under and pursuant to the Indenture. We will issue the Registered Notes pursuant to a resolution of WM’s Board of Directors and an accompanying officers’ certificate setting forth the specific terms applicable to the Registered Notes.</w:t>
      </w:r>
    </w:p>
    <w:p>
      <w:pPr>
        <w:spacing w:after="0" w:line="87" w:lineRule="exact"/>
        <w:rPr>
          <w:sz w:val="20"/>
          <w:szCs w:val="20"/>
          <w:color w:val="auto"/>
        </w:rPr>
      </w:pPr>
    </w:p>
    <w:p>
      <w:pPr>
        <w:ind w:left="1420" w:right="1999" w:firstLine="271"/>
        <w:spacing w:after="0" w:line="265" w:lineRule="auto"/>
        <w:rPr>
          <w:sz w:val="20"/>
          <w:szCs w:val="20"/>
          <w:color w:val="auto"/>
        </w:rPr>
      </w:pPr>
      <w:r>
        <w:rPr>
          <w:rFonts w:ascii="Times New Roman" w:cs="Times New Roman" w:eastAsia="Times New Roman" w:hAnsi="Times New Roman"/>
          <w:sz w:val="14"/>
          <w:szCs w:val="14"/>
          <w:color w:val="auto"/>
        </w:rPr>
        <w:t>A registered holder of a Registered Note (each, a “</w:t>
      </w:r>
      <w:r>
        <w:rPr>
          <w:rFonts w:ascii="Times New Roman" w:cs="Times New Roman" w:eastAsia="Times New Roman" w:hAnsi="Times New Roman"/>
          <w:sz w:val="14"/>
          <w:szCs w:val="14"/>
          <w:i w:val="1"/>
          <w:iCs w:val="1"/>
          <w:color w:val="auto"/>
        </w:rPr>
        <w:t>Holder</w:t>
      </w:r>
      <w:r>
        <w:rPr>
          <w:rFonts w:ascii="Times New Roman" w:cs="Times New Roman" w:eastAsia="Times New Roman" w:hAnsi="Times New Roman"/>
          <w:sz w:val="14"/>
          <w:szCs w:val="14"/>
          <w:color w:val="auto"/>
        </w:rPr>
        <w:t>”) will be treated as its owner for all purposes. Only registered Holders will have rights under the Indenture.</w:t>
      </w:r>
    </w:p>
    <w:p>
      <w:pPr>
        <w:spacing w:after="0" w:line="73" w:lineRule="exact"/>
        <w:rPr>
          <w:sz w:val="20"/>
          <w:szCs w:val="20"/>
          <w:color w:val="auto"/>
        </w:rPr>
      </w:pPr>
    </w:p>
    <w:p>
      <w:pPr>
        <w:ind w:left="1420" w:right="1819" w:firstLine="271"/>
        <w:spacing w:after="0" w:line="236" w:lineRule="auto"/>
        <w:rPr>
          <w:sz w:val="20"/>
          <w:szCs w:val="20"/>
          <w:color w:val="auto"/>
        </w:rPr>
      </w:pPr>
      <w:r>
        <w:rPr>
          <w:rFonts w:ascii="Times New Roman" w:cs="Times New Roman" w:eastAsia="Times New Roman" w:hAnsi="Times New Roman"/>
          <w:sz w:val="14"/>
          <w:szCs w:val="14"/>
          <w:color w:val="auto"/>
        </w:rPr>
        <w:t>The Registered Notes and the Restricted Notes that are not exchanged in the exchange offer (collectively, and together with any additional Restricted Notes issued under the Indenture Officers’ Certificate, the “</w:t>
      </w:r>
      <w:r>
        <w:rPr>
          <w:rFonts w:ascii="Times New Roman" w:cs="Times New Roman" w:eastAsia="Times New Roman" w:hAnsi="Times New Roman"/>
          <w:sz w:val="14"/>
          <w:szCs w:val="14"/>
          <w:i w:val="1"/>
          <w:iCs w:val="1"/>
          <w:color w:val="auto"/>
        </w:rPr>
        <w:t>WM Notes</w:t>
      </w:r>
      <w:r>
        <w:rPr>
          <w:rFonts w:ascii="Times New Roman" w:cs="Times New Roman" w:eastAsia="Times New Roman" w:hAnsi="Times New Roman"/>
          <w:sz w:val="14"/>
          <w:szCs w:val="14"/>
          <w:color w:val="auto"/>
        </w:rPr>
        <w:t>”) will be treated as a single series of debt securities under the Indenture, pursuant to which the Restricted Notes were, and the Registered Notes will be, issued, along with any additional notes of any applicable series issued pursuant to the Indenture.</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The Registered Notes</w:t>
      </w:r>
    </w:p>
    <w:p>
      <w:pPr>
        <w:spacing w:after="0" w:line="11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The Registered Notes will:</w:t>
      </w:r>
    </w:p>
    <w:p>
      <w:pPr>
        <w:spacing w:after="0" w:line="72" w:lineRule="exact"/>
        <w:rPr>
          <w:sz w:val="20"/>
          <w:szCs w:val="20"/>
          <w:color w:val="auto"/>
        </w:rPr>
      </w:pPr>
    </w:p>
    <w:p>
      <w:pPr>
        <w:ind w:left="1820" w:hanging="131"/>
        <w:spacing w:after="0"/>
        <w:tabs>
          <w:tab w:leader="none" w:pos="1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our general unsecured, senior obligations;</w:t>
      </w:r>
    </w:p>
    <w:p>
      <w:pPr>
        <w:spacing w:after="0" w:line="72" w:lineRule="exact"/>
        <w:rPr>
          <w:rFonts w:ascii="Times New Roman" w:cs="Times New Roman" w:eastAsia="Times New Roman" w:hAnsi="Times New Roman"/>
          <w:sz w:val="14"/>
          <w:szCs w:val="14"/>
          <w:color w:val="auto"/>
        </w:rPr>
      </w:pPr>
    </w:p>
    <w:p>
      <w:pPr>
        <w:ind w:left="1820" w:right="1719" w:hanging="131"/>
        <w:spacing w:after="0" w:line="252" w:lineRule="auto"/>
        <w:tabs>
          <w:tab w:leader="none" w:pos="1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along with the Restricted Notes that are not exchanged in the exchange offer, constitute and be treated as a single series of debt securities under the Indenture, and will be initially limited to an aggregate principal amount of up to $485,084,000;</w:t>
      </w:r>
    </w:p>
    <w:p>
      <w:pPr>
        <w:spacing w:after="0" w:line="40"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mature on January 15, 2029;</w:t>
      </w:r>
    </w:p>
    <w:p>
      <w:pPr>
        <w:spacing w:after="0" w:line="62"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unconditionally guaranteed by our wholly owned subsidiary WM Holdings;</w:t>
      </w:r>
    </w:p>
    <w:p>
      <w:pPr>
        <w:spacing w:after="0" w:line="72"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 entitled to the benefit of any sinking fund;</w:t>
      </w:r>
    </w:p>
    <w:p>
      <w:pPr>
        <w:spacing w:after="0" w:line="62" w:lineRule="exact"/>
        <w:rPr>
          <w:rFonts w:ascii="Times New Roman" w:cs="Times New Roman" w:eastAsia="Times New Roman" w:hAnsi="Times New Roman"/>
          <w:sz w:val="14"/>
          <w:szCs w:val="14"/>
          <w:color w:val="auto"/>
        </w:rPr>
      </w:pPr>
    </w:p>
    <w:p>
      <w:pPr>
        <w:ind w:left="1820" w:right="1619" w:hanging="131"/>
        <w:spacing w:after="0" w:line="262" w:lineRule="auto"/>
        <w:tabs>
          <w:tab w:leader="none" w:pos="1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issued in minimum denominations of $2,000 and integral multiples of $1,000 in excess thereof; and</w:t>
      </w:r>
    </w:p>
    <w:p>
      <w:pPr>
        <w:spacing w:after="0" w:line="34" w:lineRule="exact"/>
        <w:rPr>
          <w:rFonts w:ascii="Times New Roman" w:cs="Times New Roman" w:eastAsia="Times New Roman" w:hAnsi="Times New Roman"/>
          <w:sz w:val="14"/>
          <w:szCs w:val="14"/>
          <w:color w:val="auto"/>
        </w:rPr>
      </w:pPr>
    </w:p>
    <w:p>
      <w:pPr>
        <w:ind w:left="1820" w:right="1519" w:hanging="131"/>
        <w:spacing w:after="0" w:line="252" w:lineRule="auto"/>
        <w:tabs>
          <w:tab w:leader="none" w:pos="1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issued only in book-entry form represented by one or more global notes registered initially in the name of Cede &amp; Co., as nominee of the DTC, or such other name as may be requested by an authorized representative of DTC, and deposited with the Trustee, as custodian for DTC.</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Interest</w:t>
      </w:r>
    </w:p>
    <w:p>
      <w:pPr>
        <w:spacing w:after="0" w:line="117" w:lineRule="exact"/>
        <w:rPr>
          <w:sz w:val="20"/>
          <w:szCs w:val="20"/>
          <w:color w:val="auto"/>
        </w:rPr>
      </w:pPr>
    </w:p>
    <w:p>
      <w:pPr>
        <w:ind w:left="1420" w:right="1579" w:firstLine="271"/>
        <w:spacing w:after="0" w:line="247" w:lineRule="auto"/>
        <w:rPr>
          <w:sz w:val="20"/>
          <w:szCs w:val="20"/>
          <w:color w:val="auto"/>
        </w:rPr>
      </w:pPr>
      <w:r>
        <w:rPr>
          <w:rFonts w:ascii="Times New Roman" w:cs="Times New Roman" w:eastAsia="Times New Roman" w:hAnsi="Times New Roman"/>
          <w:sz w:val="14"/>
          <w:szCs w:val="14"/>
          <w:color w:val="auto"/>
        </w:rPr>
        <w:t>Interest on the Registered Notes will be payable semi-annually and will accrue from the most recent interest payment date of the Restricted Notes, which was January 15, 2025. The Holders whose Restricted</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2" w:name="page33"/>
    <w:bookmarkEnd w:id="32"/>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20" w:right="1599"/>
        <w:spacing w:after="0" w:line="246" w:lineRule="auto"/>
        <w:rPr>
          <w:sz w:val="20"/>
          <w:szCs w:val="20"/>
          <w:color w:val="auto"/>
        </w:rPr>
      </w:pPr>
      <w:r>
        <w:rPr>
          <w:rFonts w:ascii="Times New Roman" w:cs="Times New Roman" w:eastAsia="Times New Roman" w:hAnsi="Times New Roman"/>
          <w:sz w:val="14"/>
          <w:szCs w:val="14"/>
          <w:color w:val="auto"/>
        </w:rPr>
        <w:t>Notes are accepted for exchange will be deemed to have waived the right to receive payment of accrued interest on those Restricted Notes from the last interest payment date on which interest was paid on such Restricted Notes to the date of issuance of the Registered Notes. Interest on the Restricted Notes accepted for exchange will cease to accrue upon issuance of the Registered Notes. Interest is payable on the Registered Notes beginning with the first interest payment date following the consummation of the exchange offer.</w:t>
      </w:r>
    </w:p>
    <w:p>
      <w:pPr>
        <w:spacing w:after="0" w:line="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Interest on the Registered Notes will:</w:t>
      </w:r>
    </w:p>
    <w:p>
      <w:pPr>
        <w:spacing w:after="0" w:line="83" w:lineRule="exact"/>
        <w:rPr>
          <w:sz w:val="20"/>
          <w:szCs w:val="20"/>
          <w:color w:val="auto"/>
        </w:rPr>
      </w:pPr>
    </w:p>
    <w:p>
      <w:pPr>
        <w:ind w:left="1820" w:hanging="131"/>
        <w:spacing w:after="0"/>
        <w:tabs>
          <w:tab w:leader="none" w:pos="1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 at a rate of 3.875% per annum;</w:t>
      </w:r>
    </w:p>
    <w:p>
      <w:pPr>
        <w:spacing w:after="0" w:line="92" w:lineRule="exact"/>
        <w:rPr>
          <w:rFonts w:ascii="Times New Roman" w:cs="Times New Roman" w:eastAsia="Times New Roman" w:hAnsi="Times New Roman"/>
          <w:sz w:val="14"/>
          <w:szCs w:val="14"/>
          <w:color w:val="auto"/>
        </w:rPr>
      </w:pPr>
    </w:p>
    <w:p>
      <w:pPr>
        <w:ind w:left="1820" w:right="1679" w:hanging="131"/>
        <w:spacing w:after="0" w:line="262" w:lineRule="auto"/>
        <w:tabs>
          <w:tab w:leader="none" w:pos="1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payable in cash semi-annually in arrears on January 15 and July 15 of each year, beginning on July 15, 2025;</w:t>
      </w:r>
    </w:p>
    <w:p>
      <w:pPr>
        <w:spacing w:after="0" w:line="54" w:lineRule="exact"/>
        <w:rPr>
          <w:rFonts w:ascii="Times New Roman" w:cs="Times New Roman" w:eastAsia="Times New Roman" w:hAnsi="Times New Roman"/>
          <w:sz w:val="14"/>
          <w:szCs w:val="14"/>
          <w:color w:val="auto"/>
        </w:rPr>
      </w:pPr>
    </w:p>
    <w:p>
      <w:pPr>
        <w:ind w:left="1820" w:right="1839" w:hanging="131"/>
        <w:spacing w:after="0" w:line="262" w:lineRule="auto"/>
        <w:tabs>
          <w:tab w:leader="none" w:pos="1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payable to Holders of record on the January 1 and July 1 immediately preceding the related interest payment dates; and</w:t>
      </w:r>
    </w:p>
    <w:p>
      <w:pPr>
        <w:spacing w:after="0" w:line="54"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computed on the basis of a 360-day year consisting of twelve 30-day months.</w:t>
      </w:r>
    </w:p>
    <w:p>
      <w:pPr>
        <w:spacing w:after="0" w:line="1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The Guarantee</w:t>
      </w:r>
    </w:p>
    <w:p>
      <w:pPr>
        <w:spacing w:after="0" w:line="107" w:lineRule="exact"/>
        <w:rPr>
          <w:sz w:val="20"/>
          <w:szCs w:val="20"/>
          <w:color w:val="auto"/>
        </w:rPr>
      </w:pPr>
    </w:p>
    <w:p>
      <w:pPr>
        <w:ind w:left="1420" w:right="1739" w:firstLine="271"/>
        <w:spacing w:after="0" w:line="246" w:lineRule="auto"/>
        <w:rPr>
          <w:sz w:val="20"/>
          <w:szCs w:val="20"/>
          <w:color w:val="auto"/>
        </w:rPr>
      </w:pPr>
      <w:r>
        <w:rPr>
          <w:rFonts w:ascii="Times New Roman" w:cs="Times New Roman" w:eastAsia="Times New Roman" w:hAnsi="Times New Roman"/>
          <w:sz w:val="14"/>
          <w:szCs w:val="14"/>
          <w:color w:val="auto"/>
        </w:rPr>
        <w:t>WM Holdings will unconditionally guarantee our obligations under the Registered Notes.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such Guarantee to the amount that will result in the Guarantee not constituting a fraudulent transfer or improper corporate distribution.</w:t>
      </w:r>
    </w:p>
    <w:p>
      <w:pPr>
        <w:spacing w:after="0" w:line="96" w:lineRule="exact"/>
        <w:rPr>
          <w:sz w:val="20"/>
          <w:szCs w:val="20"/>
          <w:color w:val="auto"/>
        </w:rPr>
      </w:pPr>
    </w:p>
    <w:p>
      <w:pPr>
        <w:ind w:left="1420" w:right="1599" w:firstLine="271"/>
        <w:spacing w:after="0" w:line="262" w:lineRule="auto"/>
        <w:rPr>
          <w:sz w:val="20"/>
          <w:szCs w:val="20"/>
          <w:color w:val="auto"/>
        </w:rPr>
      </w:pPr>
      <w:r>
        <w:rPr>
          <w:rFonts w:ascii="Times New Roman" w:cs="Times New Roman" w:eastAsia="Times New Roman" w:hAnsi="Times New Roman"/>
          <w:sz w:val="14"/>
          <w:szCs w:val="14"/>
          <w:color w:val="auto"/>
        </w:rPr>
        <w:t>The Guarantee of the Registered Notes shall be binding on WM Holdings, its successors and assigns, and shall continue in full force and effect for the benefit of the Holders until the earliest to occur of:</w:t>
      </w:r>
    </w:p>
    <w:p>
      <w:pPr>
        <w:spacing w:after="0" w:line="54" w:lineRule="exact"/>
        <w:rPr>
          <w:sz w:val="20"/>
          <w:szCs w:val="20"/>
          <w:color w:val="auto"/>
        </w:rPr>
      </w:pPr>
    </w:p>
    <w:p>
      <w:pPr>
        <w:ind w:left="1820" w:hanging="131"/>
        <w:spacing w:after="0"/>
        <w:tabs>
          <w:tab w:leader="none" w:pos="18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consolidation or merger of WM Holdings into WM or its successor;</w:t>
      </w:r>
    </w:p>
    <w:p>
      <w:pPr>
        <w:spacing w:after="0" w:line="82"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consolidation or merger of WM or its successor into WM Holdings;</w:t>
      </w:r>
    </w:p>
    <w:p>
      <w:pPr>
        <w:spacing w:after="0" w:line="82"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in full of all interest and principal due on the Registered Notes; or</w:t>
      </w:r>
    </w:p>
    <w:p>
      <w:pPr>
        <w:spacing w:after="0" w:line="92" w:lineRule="exact"/>
        <w:rPr>
          <w:rFonts w:ascii="Times New Roman" w:cs="Times New Roman" w:eastAsia="Times New Roman" w:hAnsi="Times New Roman"/>
          <w:sz w:val="14"/>
          <w:szCs w:val="14"/>
          <w:color w:val="auto"/>
        </w:rPr>
      </w:pPr>
    </w:p>
    <w:p>
      <w:pPr>
        <w:ind w:left="1820" w:right="1459" w:hanging="131"/>
        <w:spacing w:after="0" w:line="248" w:lineRule="auto"/>
        <w:tabs>
          <w:tab w:leader="none" w:pos="18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release of the guarantees by WM Holdings of obligations of WM under its $3.5 billion revolving credit facility (or any replacement or new principal credit facility). WM’s $3.5 billion revolving credit facility currently states that WM Holdings’ guarantees under such facility can only be released with the written consent of each of the lenders that is a party thereto.</w:t>
      </w:r>
    </w:p>
    <w:p>
      <w:pPr>
        <w:spacing w:after="0" w:line="14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Payment and Transfer</w:t>
      </w:r>
    </w:p>
    <w:p>
      <w:pPr>
        <w:spacing w:after="0" w:line="107" w:lineRule="exact"/>
        <w:rPr>
          <w:sz w:val="20"/>
          <w:szCs w:val="20"/>
          <w:color w:val="auto"/>
        </w:rPr>
      </w:pPr>
    </w:p>
    <w:p>
      <w:pPr>
        <w:ind w:left="1420" w:right="1579" w:firstLine="271"/>
        <w:spacing w:after="0" w:line="246" w:lineRule="auto"/>
        <w:rPr>
          <w:sz w:val="20"/>
          <w:szCs w:val="20"/>
          <w:color w:val="auto"/>
        </w:rPr>
      </w:pPr>
      <w:r>
        <w:rPr>
          <w:rFonts w:ascii="Times New Roman" w:cs="Times New Roman" w:eastAsia="Times New Roman" w:hAnsi="Times New Roman"/>
          <w:sz w:val="14"/>
          <w:szCs w:val="14"/>
          <w:color w:val="auto"/>
        </w:rPr>
        <w:t>Beneficial interests in Registered Notes in global form will be shown on, and transfers of interests in Registered Notes in global form will be made only through, records maintained by DTC and its direct and indirect participants. Registered Notes in definitive form, if any, may be registered, exchanged or transferred at the office or agency maintained by us for such purpose (which initially will be the corporate trust office of The Bank of New York Mellon, located at 240 Greenwich Street, New York, New York 10286).</w:t>
      </w:r>
    </w:p>
    <w:p>
      <w:pPr>
        <w:spacing w:after="0" w:line="96" w:lineRule="exact"/>
        <w:rPr>
          <w:sz w:val="20"/>
          <w:szCs w:val="20"/>
          <w:color w:val="auto"/>
        </w:rPr>
      </w:pPr>
    </w:p>
    <w:p>
      <w:pPr>
        <w:ind w:left="1420" w:right="1479" w:firstLine="271"/>
        <w:spacing w:after="0" w:line="246" w:lineRule="auto"/>
        <w:rPr>
          <w:sz w:val="20"/>
          <w:szCs w:val="20"/>
          <w:color w:val="auto"/>
        </w:rPr>
      </w:pPr>
      <w:r>
        <w:rPr>
          <w:rFonts w:ascii="Times New Roman" w:cs="Times New Roman" w:eastAsia="Times New Roman" w:hAnsi="Times New Roman"/>
          <w:sz w:val="14"/>
          <w:szCs w:val="14"/>
          <w:color w:val="auto"/>
        </w:rPr>
        <w:t>Payment of principal of, premium, if any, and interest on Registered Notes in global form registered in the name of or held by DTC or its nominee will be made in immediately available funds to DTC or its nominee, as the case may be, as the Holder of such global note. If any of the Registered Notes are no longer represented by global notes, payment of interest on the Registered Notes in definitive form may, at our option, be made at the corporate trust office of The Bank of New York Mellon, by check mailed directly to Holders at their registered addresses or by wire transfer to an account designated by a Holder.</w:t>
      </w:r>
    </w:p>
    <w:p>
      <w:pPr>
        <w:spacing w:after="0" w:line="96" w:lineRule="exact"/>
        <w:rPr>
          <w:sz w:val="20"/>
          <w:szCs w:val="20"/>
          <w:color w:val="auto"/>
        </w:rPr>
      </w:pPr>
    </w:p>
    <w:p>
      <w:pPr>
        <w:ind w:left="1420" w:right="1459" w:firstLine="271"/>
        <w:spacing w:after="0" w:line="247" w:lineRule="auto"/>
        <w:rPr>
          <w:sz w:val="20"/>
          <w:szCs w:val="20"/>
          <w:color w:val="auto"/>
        </w:rPr>
      </w:pPr>
      <w:r>
        <w:rPr>
          <w:rFonts w:ascii="Times New Roman" w:cs="Times New Roman" w:eastAsia="Times New Roman" w:hAnsi="Times New Roman"/>
          <w:sz w:val="14"/>
          <w:szCs w:val="14"/>
          <w:color w:val="auto"/>
        </w:rPr>
        <w:t>No service charge will be made for any registration of transfer or exchange of Registered Notes, but we may require payment of a sum sufficient to cover any transfer tax or other governmental charge payable in connection therewith. We are not required to transfer or exchange any Registered Notes selected for redemption for a period beginning 15 days before selection of Registered Notes to be redeemed and ending on the day of mailing of the notice of redemption.</w:t>
      </w: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3" w:name="page34"/>
    <w:bookmarkEnd w:id="33"/>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The Holder of a Registered Notes will be treated as the owner of it for all purposes.</w:t>
      </w:r>
    </w:p>
    <w:p>
      <w:pPr>
        <w:spacing w:after="0" w:line="1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117" w:lineRule="exact"/>
        <w:rPr>
          <w:sz w:val="20"/>
          <w:szCs w:val="20"/>
          <w:color w:val="auto"/>
        </w:rPr>
      </w:pPr>
    </w:p>
    <w:p>
      <w:pPr>
        <w:jc w:val="both"/>
        <w:ind w:left="1420" w:right="1619" w:firstLine="271"/>
        <w:spacing w:after="0" w:line="244" w:lineRule="auto"/>
        <w:rPr>
          <w:sz w:val="20"/>
          <w:szCs w:val="20"/>
          <w:color w:val="auto"/>
        </w:rPr>
      </w:pPr>
      <w:r>
        <w:rPr>
          <w:rFonts w:ascii="Times New Roman" w:cs="Times New Roman" w:eastAsia="Times New Roman" w:hAnsi="Times New Roman"/>
          <w:sz w:val="14"/>
          <w:szCs w:val="14"/>
          <w:color w:val="auto"/>
        </w:rPr>
        <w:t>Prior to the Par Call Date, we may redeem the Registered Notes at our option, in whole or in part, at any time and from time to time, at a redemption price (expressed as a percentage of principal amount and rounded to three decimal places) equal to the greater of:</w:t>
      </w:r>
    </w:p>
    <w:p>
      <w:pPr>
        <w:spacing w:after="0" w:line="87" w:lineRule="exact"/>
        <w:rPr>
          <w:sz w:val="20"/>
          <w:szCs w:val="20"/>
          <w:color w:val="auto"/>
        </w:rPr>
      </w:pPr>
    </w:p>
    <w:p>
      <w:pPr>
        <w:ind w:left="1680" w:right="1499" w:firstLine="280"/>
        <w:spacing w:after="0" w:line="236" w:lineRule="auto"/>
        <w:tabs>
          <w:tab w:leader="none" w:pos="222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the sum of the present values of the remaining scheduled payments of principal and interest on the Registered Notes to be redeemed discounted to the redemption date (assuming the Registered Notes matured on the Par Call Date) on a semi-annual basis (assuming a 360-day year consisting of twelve 30-day months) at the Treasury Rate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10 basis points,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(b) interest accrued to the redemption date, and</w:t>
      </w:r>
    </w:p>
    <w:p>
      <w:pPr>
        <w:spacing w:after="0" w:line="91" w:lineRule="exact"/>
        <w:rPr>
          <w:rFonts w:ascii="Times New Roman" w:cs="Times New Roman" w:eastAsia="Times New Roman" w:hAnsi="Times New Roman"/>
          <w:sz w:val="14"/>
          <w:szCs w:val="14"/>
          <w:color w:val="auto"/>
        </w:rPr>
      </w:pPr>
    </w:p>
    <w:p>
      <w:pPr>
        <w:ind w:left="2240" w:hanging="280"/>
        <w:spacing w:after="0"/>
        <w:tabs>
          <w:tab w:leader="none" w:pos="2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principal amount of the Registered Notes to be redeemed,</w:t>
      </w:r>
    </w:p>
    <w:p>
      <w:pPr>
        <w:spacing w:after="0" w:line="1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in either case, accrued and unpaid interest thereon to the redemption date.</w:t>
      </w:r>
    </w:p>
    <w:p>
      <w:pPr>
        <w:spacing w:after="0" w:line="105" w:lineRule="exact"/>
        <w:rPr>
          <w:sz w:val="20"/>
          <w:szCs w:val="20"/>
          <w:color w:val="auto"/>
        </w:rPr>
      </w:pPr>
    </w:p>
    <w:p>
      <w:pPr>
        <w:ind w:left="1420" w:right="1459" w:firstLine="271"/>
        <w:spacing w:after="0" w:line="239" w:lineRule="auto"/>
        <w:rPr>
          <w:sz w:val="20"/>
          <w:szCs w:val="20"/>
          <w:color w:val="auto"/>
        </w:rPr>
      </w:pPr>
      <w:r>
        <w:rPr>
          <w:rFonts w:ascii="Times New Roman" w:cs="Times New Roman" w:eastAsia="Times New Roman" w:hAnsi="Times New Roman"/>
          <w:sz w:val="14"/>
          <w:szCs w:val="14"/>
          <w:color w:val="auto"/>
        </w:rPr>
        <w:t>On or after the Par Call Date, we may redeem the Registered Notes at our option, in whole or in part, at any time and from time to time, at a redemption price equal to 100% of the principal amount of the Registered Notes to be redeemed, plus accrued and unpaid interest on the Registered Notes to be redeemed to the redemption date.</w:t>
      </w:r>
    </w:p>
    <w:p>
      <w:pPr>
        <w:spacing w:after="0" w:line="8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Par Call Date</w:t>
      </w:r>
      <w:r>
        <w:rPr>
          <w:rFonts w:ascii="Times New Roman" w:cs="Times New Roman" w:eastAsia="Times New Roman" w:hAnsi="Times New Roman"/>
          <w:sz w:val="14"/>
          <w:szCs w:val="14"/>
          <w:color w:val="auto"/>
        </w:rPr>
        <w:t>” means December 15, 2028 (one month prior to the maturity date).</w:t>
      </w:r>
    </w:p>
    <w:p>
      <w:pPr>
        <w:spacing w:after="0" w:line="113" w:lineRule="exact"/>
        <w:rPr>
          <w:sz w:val="20"/>
          <w:szCs w:val="20"/>
          <w:color w:val="auto"/>
        </w:rPr>
      </w:pPr>
    </w:p>
    <w:p>
      <w:pPr>
        <w:ind w:left="1420" w:right="1519" w:firstLine="271"/>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Treasury Rate</w:t>
      </w:r>
      <w:r>
        <w:rPr>
          <w:rFonts w:ascii="Times New Roman" w:cs="Times New Roman" w:eastAsia="Times New Roman" w:hAnsi="Times New Roman"/>
          <w:sz w:val="14"/>
          <w:szCs w:val="14"/>
          <w:color w:val="auto"/>
        </w:rPr>
        <w:t>” means, with respect to any redemption date, the yield determined by us in accordance with the following two paragraphs.</w:t>
      </w:r>
    </w:p>
    <w:p>
      <w:pPr>
        <w:spacing w:after="0" w:line="83" w:lineRule="exact"/>
        <w:rPr>
          <w:sz w:val="20"/>
          <w:szCs w:val="20"/>
          <w:color w:val="auto"/>
        </w:rPr>
      </w:pPr>
    </w:p>
    <w:p>
      <w:pPr>
        <w:ind w:left="1420" w:right="1439" w:firstLine="271"/>
        <w:spacing w:after="0"/>
        <w:rPr>
          <w:sz w:val="20"/>
          <w:szCs w:val="20"/>
          <w:color w:val="auto"/>
        </w:rPr>
      </w:pPr>
      <w:r>
        <w:rPr>
          <w:rFonts w:ascii="Times New Roman" w:cs="Times New Roman" w:eastAsia="Times New Roman" w:hAnsi="Times New Roman"/>
          <w:sz w:val="14"/>
          <w:szCs w:val="14"/>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4"/>
          <w:szCs w:val="14"/>
          <w:i w:val="1"/>
          <w:iCs w:val="1"/>
          <w:color w:val="auto"/>
        </w:rPr>
        <w:t>H.15</w:t>
      </w:r>
      <w:r>
        <w:rPr>
          <w:rFonts w:ascii="Times New Roman" w:cs="Times New Roman" w:eastAsia="Times New Roman" w:hAnsi="Times New Roman"/>
          <w:sz w:val="14"/>
          <w:szCs w:val="14"/>
          <w:color w:val="auto"/>
        </w:rPr>
        <w:t>”) under the caption “U.S. government securities —  Treasury constant maturities — Nominal” ​(or any successor caption or heading) (“</w:t>
      </w:r>
      <w:r>
        <w:rPr>
          <w:rFonts w:ascii="Times New Roman" w:cs="Times New Roman" w:eastAsia="Times New Roman" w:hAnsi="Times New Roman"/>
          <w:sz w:val="14"/>
          <w:szCs w:val="14"/>
          <w:i w:val="1"/>
          <w:iCs w:val="1"/>
          <w:color w:val="auto"/>
        </w:rPr>
        <w:t>H.15 TCM</w:t>
      </w:r>
      <w:r>
        <w:rPr>
          <w:rFonts w:ascii="Times New Roman" w:cs="Times New Roman" w:eastAsia="Times New Roman" w:hAnsi="Times New Roman"/>
          <w:sz w:val="14"/>
          <w:szCs w:val="14"/>
          <w:color w:val="auto"/>
        </w:rPr>
        <w:t>”). In determining the Treasury Rate, we shall select, as applicable: (1) the yield for the Treasury constant maturity on H.15 exactly equal to the period from the redemption date to the Par Call Date (the “</w:t>
      </w:r>
      <w:r>
        <w:rPr>
          <w:rFonts w:ascii="Times New Roman" w:cs="Times New Roman" w:eastAsia="Times New Roman" w:hAnsi="Times New Roman"/>
          <w:sz w:val="14"/>
          <w:szCs w:val="14"/>
          <w:i w:val="1"/>
          <w:iCs w:val="1"/>
          <w:color w:val="auto"/>
        </w:rPr>
        <w:t>Remaining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Life </w:t>
      </w:r>
      <w:r>
        <w:rPr>
          <w:rFonts w:ascii="Times New Roman" w:cs="Times New Roman" w:eastAsia="Times New Roman" w:hAnsi="Times New Roman"/>
          <w:sz w:val="14"/>
          <w:szCs w:val="14"/>
          <w:color w:val="auto"/>
        </w:rPr>
        <w:t>”); or (2) if there is no such Treasury constant maturity on H.15 exactly equal to the Remaining Life,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67" w:lineRule="exact"/>
        <w:rPr>
          <w:sz w:val="20"/>
          <w:szCs w:val="20"/>
          <w:color w:val="auto"/>
        </w:rPr>
      </w:pPr>
    </w:p>
    <w:p>
      <w:pPr>
        <w:ind w:left="1420" w:right="1459" w:firstLine="271"/>
        <w:spacing w:after="0" w:line="234" w:lineRule="auto"/>
        <w:rPr>
          <w:sz w:val="20"/>
          <w:szCs w:val="20"/>
          <w:color w:val="auto"/>
        </w:rPr>
      </w:pPr>
      <w:r>
        <w:rPr>
          <w:rFonts w:ascii="Times New Roman" w:cs="Times New Roman" w:eastAsia="Times New Roman" w:hAnsi="Times New Roman"/>
          <w:sz w:val="14"/>
          <w:szCs w:val="14"/>
          <w:color w:val="auto"/>
        </w:rPr>
        <w:t>If on the third business day preceding the redemption date H.15 TCM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4" w:name="page35"/>
    <w:bookmarkEnd w:id="34"/>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20" w:right="1699"/>
        <w:spacing w:after="0" w:line="239" w:lineRule="auto"/>
        <w:rPr>
          <w:sz w:val="20"/>
          <w:szCs w:val="20"/>
          <w:color w:val="auto"/>
        </w:rPr>
      </w:pPr>
      <w:r>
        <w:rPr>
          <w:rFonts w:ascii="Times New Roman" w:cs="Times New Roman" w:eastAsia="Times New Roman" w:hAnsi="Times New Roman"/>
          <w:sz w:val="14"/>
          <w:szCs w:val="14"/>
          <w:color w:val="auto"/>
        </w:rPr>
        <w:t>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w:t>
      </w:r>
    </w:p>
    <w:p>
      <w:pPr>
        <w:ind w:left="1420" w:right="1879"/>
        <w:spacing w:after="0" w:line="234" w:lineRule="auto"/>
        <w:rPr>
          <w:sz w:val="20"/>
          <w:szCs w:val="20"/>
          <w:color w:val="auto"/>
        </w:rPr>
      </w:pPr>
      <w:r>
        <w:rPr>
          <w:rFonts w:ascii="Times New Roman" w:cs="Times New Roman" w:eastAsia="Times New Roman" w:hAnsi="Times New Roman"/>
          <w:sz w:val="14"/>
          <w:szCs w:val="14"/>
          <w:color w:val="auto"/>
        </w:rPr>
        <w:t>a percentage of principal amount) at 11:00 a.m., New York City time, of such United States Treasury security, and rounded to three decimal places.</w:t>
      </w:r>
    </w:p>
    <w:p>
      <w:pPr>
        <w:spacing w:after="0" w:line="90" w:lineRule="exact"/>
        <w:rPr>
          <w:sz w:val="20"/>
          <w:szCs w:val="20"/>
          <w:color w:val="auto"/>
        </w:rPr>
      </w:pPr>
    </w:p>
    <w:p>
      <w:pPr>
        <w:ind w:left="1420" w:right="1459" w:firstLine="271"/>
        <w:spacing w:after="0" w:line="239" w:lineRule="auto"/>
        <w:rPr>
          <w:sz w:val="20"/>
          <w:szCs w:val="20"/>
          <w:color w:val="auto"/>
        </w:rPr>
      </w:pPr>
      <w:r>
        <w:rPr>
          <w:rFonts w:ascii="Times New Roman" w:cs="Times New Roman" w:eastAsia="Times New Roman" w:hAnsi="Times New Roman"/>
          <w:sz w:val="14"/>
          <w:szCs w:val="14"/>
          <w:color w:val="auto"/>
        </w:rPr>
        <w:t>Our actions and determinations in determining the redemption price shall be conclusive and binding for all purposes, absent manifest error. We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89" w:lineRule="exact"/>
        <w:rPr>
          <w:sz w:val="20"/>
          <w:szCs w:val="20"/>
          <w:color w:val="auto"/>
        </w:rPr>
      </w:pPr>
    </w:p>
    <w:p>
      <w:pPr>
        <w:ind w:left="1420" w:right="1439" w:firstLine="271"/>
        <w:spacing w:after="0"/>
        <w:rPr>
          <w:sz w:val="20"/>
          <w:szCs w:val="20"/>
          <w:color w:val="auto"/>
        </w:rPr>
      </w:pPr>
      <w:r>
        <w:rPr>
          <w:rFonts w:ascii="Times New Roman" w:cs="Times New Roman" w:eastAsia="Times New Roman" w:hAnsi="Times New Roman"/>
          <w:sz w:val="14"/>
          <w:szCs w:val="14"/>
          <w:color w:val="auto"/>
        </w:rPr>
        <w:t>Notes called for redemption become due on the date fixed for redemption. Notices of redemption will be mailed or electronically delivered (or otherwise transmitted in accordance with the depositary’s procedures) at least 10 but not more than 60 days before the redemption date to each Holder of record of the Registered Notes to be redeemed at its registered address. The notice of redemption for the Registered Notes will state, among other things, the amount of Registered Notes to be redeemed, the redemption date, the redemption price or, if not ascertainable, the manner of determining the redemption price and the place(s) that payment will be made upon presentation and surrender of the Registered Notes to be redeemed. Unless we default in payment of the redemption price, interest will cease to accrue on any Registered Notes that have been called for redemption at the redemption date. Registered Notes called for redemption will be redeemed and repaid in principal amounts of $2,000 or any integral multiple of $1,000 in excess thereof. If less than all the Registered Notes are redeemed at any time, the Trustee will select the Registered Notes to be redeemed on a pro rata basis, by lot or by such other method as the Trustee in its sole discretion deems appropriate and fair. In the case of Registered Notes in global form, DTC will determine the allocation of the redemption price among beneficial owners in such global notes in accordance with DTC’s applicable procedures.</w:t>
      </w:r>
    </w:p>
    <w:p>
      <w:pPr>
        <w:spacing w:after="0" w:line="2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 Mandatory Redemption</w:t>
      </w:r>
    </w:p>
    <w:p>
      <w:pPr>
        <w:spacing w:after="0" w:line="107" w:lineRule="exact"/>
        <w:rPr>
          <w:sz w:val="20"/>
          <w:szCs w:val="20"/>
          <w:color w:val="auto"/>
        </w:rPr>
      </w:pPr>
    </w:p>
    <w:p>
      <w:pPr>
        <w:ind w:left="1420" w:right="1599" w:firstLine="271"/>
        <w:spacing w:after="0" w:line="244" w:lineRule="auto"/>
        <w:rPr>
          <w:sz w:val="20"/>
          <w:szCs w:val="20"/>
          <w:color w:val="auto"/>
        </w:rPr>
      </w:pPr>
      <w:r>
        <w:rPr>
          <w:rFonts w:ascii="Times New Roman" w:cs="Times New Roman" w:eastAsia="Times New Roman" w:hAnsi="Times New Roman"/>
          <w:sz w:val="14"/>
          <w:szCs w:val="14"/>
          <w:color w:val="auto"/>
        </w:rPr>
        <w:t>WM is not required to make mandatory redemption or sinking fund payments with respect to the Registered Notes. However, WM may at any time and from time to time purchase the Registered Notes in the open market or otherwise.</w:t>
      </w:r>
    </w:p>
    <w:p>
      <w:pPr>
        <w:spacing w:after="0" w:line="13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Transfer and Exchange</w:t>
      </w:r>
    </w:p>
    <w:p>
      <w:pPr>
        <w:spacing w:after="0" w:line="117" w:lineRule="exact"/>
        <w:rPr>
          <w:sz w:val="20"/>
          <w:szCs w:val="20"/>
          <w:color w:val="auto"/>
        </w:rPr>
      </w:pPr>
    </w:p>
    <w:p>
      <w:pPr>
        <w:ind w:left="1420" w:right="1599" w:firstLine="271"/>
        <w:spacing w:after="0" w:line="236" w:lineRule="auto"/>
        <w:rPr>
          <w:sz w:val="20"/>
          <w:szCs w:val="20"/>
          <w:color w:val="auto"/>
        </w:rPr>
      </w:pPr>
      <w:r>
        <w:rPr>
          <w:rFonts w:ascii="Times New Roman" w:cs="Times New Roman" w:eastAsia="Times New Roman" w:hAnsi="Times New Roman"/>
          <w:sz w:val="14"/>
          <w:szCs w:val="14"/>
          <w:color w:val="auto"/>
        </w:rPr>
        <w:t>A Holder may transfer or exchange Registered Notes in accordance with the Indenture. The registrar and the Trustee may require a Holder to furnish appropriate endorsements and transfer documents in connection with a transfer of Registered Notes. Holders will be required to pay all taxes due on transfer. WM will not be required to transfer or exchange any Registered Note selected for redemption or tendered (and not withdrawn) for repurchase in connection with a change of control offer. Also, WM will not be required to issue, register the transfer of or exchange any Registered Note during the period of 15 days before the delivery of a notice of redemption of Registered Notes to be redeemed.</w:t>
      </w:r>
    </w:p>
    <w:p>
      <w:pPr>
        <w:spacing w:after="0" w:line="1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Change of Control Offer</w:t>
      </w:r>
    </w:p>
    <w:p>
      <w:pPr>
        <w:spacing w:after="0" w:line="117" w:lineRule="exact"/>
        <w:rPr>
          <w:sz w:val="20"/>
          <w:szCs w:val="20"/>
          <w:color w:val="auto"/>
        </w:rPr>
      </w:pPr>
    </w:p>
    <w:p>
      <w:pPr>
        <w:ind w:left="1420" w:right="1479" w:firstLine="271"/>
        <w:spacing w:after="0" w:line="234" w:lineRule="auto"/>
        <w:rPr>
          <w:sz w:val="20"/>
          <w:szCs w:val="20"/>
          <w:color w:val="auto"/>
        </w:rPr>
      </w:pPr>
      <w:r>
        <w:rPr>
          <w:rFonts w:ascii="Times New Roman" w:cs="Times New Roman" w:eastAsia="Times New Roman" w:hAnsi="Times New Roman"/>
          <w:sz w:val="14"/>
          <w:szCs w:val="14"/>
          <w:color w:val="auto"/>
        </w:rPr>
        <w:t>If a change of control triggering event occurs, unless WM has exercised its option to redeem the Registered Notes as described above, WM will be required to make an offer (a “</w:t>
      </w:r>
      <w:r>
        <w:rPr>
          <w:rFonts w:ascii="Times New Roman" w:cs="Times New Roman" w:eastAsia="Times New Roman" w:hAnsi="Times New Roman"/>
          <w:sz w:val="14"/>
          <w:szCs w:val="14"/>
          <w:i w:val="1"/>
          <w:iCs w:val="1"/>
          <w:color w:val="auto"/>
        </w:rPr>
        <w:t>change of control offer</w:t>
      </w:r>
      <w:r>
        <w:rPr>
          <w:rFonts w:ascii="Times New Roman" w:cs="Times New Roman" w:eastAsia="Times New Roman" w:hAnsi="Times New Roman"/>
          <w:sz w:val="14"/>
          <w:szCs w:val="14"/>
          <w:color w:val="auto"/>
        </w:rPr>
        <w:t>”) to each holder of WM Notes to repurchase all or any part (equal to $2,000 or an integral multiple of $1,000 in excess thereof) of such holder’s notes on the terms set forth in such notes. In a change of control offer, WM will be required to offer payment in cash equal to 101% of the aggregate principal amount of notes repurchased (a “</w:t>
      </w:r>
      <w:r>
        <w:rPr>
          <w:rFonts w:ascii="Times New Roman" w:cs="Times New Roman" w:eastAsia="Times New Roman" w:hAnsi="Times New Roman"/>
          <w:sz w:val="14"/>
          <w:szCs w:val="14"/>
          <w:i w:val="1"/>
          <w:iCs w:val="1"/>
          <w:color w:val="auto"/>
        </w:rPr>
        <w:t>change of control payment</w:t>
      </w:r>
      <w:r>
        <w:rPr>
          <w:rFonts w:ascii="Times New Roman" w:cs="Times New Roman" w:eastAsia="Times New Roman" w:hAnsi="Times New Roman"/>
          <w:sz w:val="14"/>
          <w:szCs w:val="14"/>
          <w:color w:val="auto"/>
        </w:rPr>
        <w:t>”), plus accrued and unpaid interest, if any, on the WM Notes repurchased to the date of repurchase, subject to the right of holders of record on the applicable record date to receive interest due on the next interest payment date.</w:t>
      </w:r>
    </w:p>
    <w:p>
      <w:pPr>
        <w:spacing w:after="0" w:line="94" w:lineRule="exact"/>
        <w:rPr>
          <w:sz w:val="20"/>
          <w:szCs w:val="20"/>
          <w:color w:val="auto"/>
        </w:rPr>
      </w:pPr>
    </w:p>
    <w:p>
      <w:pPr>
        <w:jc w:val="both"/>
        <w:ind w:left="1420" w:right="1499" w:firstLine="271"/>
        <w:spacing w:after="0" w:line="244" w:lineRule="auto"/>
        <w:rPr>
          <w:sz w:val="20"/>
          <w:szCs w:val="20"/>
          <w:color w:val="auto"/>
        </w:rPr>
      </w:pPr>
      <w:r>
        <w:rPr>
          <w:rFonts w:ascii="Times New Roman" w:cs="Times New Roman" w:eastAsia="Times New Roman" w:hAnsi="Times New Roman"/>
          <w:sz w:val="14"/>
          <w:szCs w:val="14"/>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such notes describing the transaction that constitutes or may</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5" w:name="page36"/>
    <w:bookmarkEnd w:id="35"/>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20" w:right="1499"/>
        <w:spacing w:after="0" w:line="239" w:lineRule="auto"/>
        <w:rPr>
          <w:sz w:val="20"/>
          <w:szCs w:val="20"/>
          <w:color w:val="auto"/>
        </w:rPr>
      </w:pPr>
      <w:r>
        <w:rPr>
          <w:rFonts w:ascii="Times New Roman" w:cs="Times New Roman" w:eastAsia="Times New Roman" w:hAnsi="Times New Roman"/>
          <w:sz w:val="14"/>
          <w:szCs w:val="14"/>
          <w:color w:val="auto"/>
        </w:rPr>
        <w:t>constitute the change of control triggering event and offering to repurchase such notes on the date specified in the applicable notice, which date will be no earlier than 30 days and no later than 60 days from the date such notice is mailed (a “</w:t>
      </w:r>
      <w:r>
        <w:rPr>
          <w:rFonts w:ascii="Times New Roman" w:cs="Times New Roman" w:eastAsia="Times New Roman" w:hAnsi="Times New Roman"/>
          <w:sz w:val="14"/>
          <w:szCs w:val="14"/>
          <w:i w:val="1"/>
          <w:iCs w:val="1"/>
          <w:color w:val="auto"/>
        </w:rPr>
        <w:t>change of control payment date</w:t>
      </w:r>
      <w:r>
        <w:rPr>
          <w:rFonts w:ascii="Times New Roman" w:cs="Times New Roman" w:eastAsia="Times New Roman" w:hAnsi="Times New Roman"/>
          <w:sz w:val="14"/>
          <w:szCs w:val="14"/>
          <w:color w:val="auto"/>
        </w:rPr>
        <w:t>”).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9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Upon the change of control payment date, WM will, to the extent lawful:</w:t>
      </w:r>
    </w:p>
    <w:p>
      <w:pPr>
        <w:spacing w:after="0" w:line="72" w:lineRule="exact"/>
        <w:rPr>
          <w:sz w:val="20"/>
          <w:szCs w:val="20"/>
          <w:color w:val="auto"/>
        </w:rPr>
      </w:pPr>
    </w:p>
    <w:p>
      <w:pPr>
        <w:ind w:left="1820" w:right="1639" w:hanging="131"/>
        <w:spacing w:after="0" w:line="262" w:lineRule="auto"/>
        <w:tabs>
          <w:tab w:leader="none" w:pos="18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 for payment all notes or portions of notes properly tendered and not withdrawn pursuant to the change of control offer;</w:t>
      </w:r>
    </w:p>
    <w:p>
      <w:pPr>
        <w:spacing w:after="0" w:line="54" w:lineRule="exact"/>
        <w:rPr>
          <w:rFonts w:ascii="Times New Roman" w:cs="Times New Roman" w:eastAsia="Times New Roman" w:hAnsi="Times New Roman"/>
          <w:sz w:val="14"/>
          <w:szCs w:val="14"/>
          <w:color w:val="auto"/>
        </w:rPr>
      </w:pPr>
    </w:p>
    <w:p>
      <w:pPr>
        <w:ind w:left="1820" w:right="1719" w:hanging="131"/>
        <w:spacing w:after="0" w:line="262" w:lineRule="auto"/>
        <w:tabs>
          <w:tab w:leader="none" w:pos="18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 with the paying agent an amount equal to the change of control payment in respect of all notes or portions of notes properly tendered; and</w:t>
      </w:r>
    </w:p>
    <w:p>
      <w:pPr>
        <w:spacing w:after="0" w:line="54" w:lineRule="exact"/>
        <w:rPr>
          <w:rFonts w:ascii="Times New Roman" w:cs="Times New Roman" w:eastAsia="Times New Roman" w:hAnsi="Times New Roman"/>
          <w:sz w:val="14"/>
          <w:szCs w:val="14"/>
          <w:color w:val="auto"/>
        </w:rPr>
      </w:pPr>
    </w:p>
    <w:p>
      <w:pPr>
        <w:ind w:left="1820" w:right="1739" w:hanging="131"/>
        <w:spacing w:after="0" w:line="252" w:lineRule="auto"/>
        <w:tabs>
          <w:tab w:leader="none" w:pos="18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or cause to be delivered to the Trustee the WM Notes properly accepted together with an officers’ certificate stating the aggregate principal amount of notes or portions of notes being repurchased.</w:t>
      </w:r>
    </w:p>
    <w:p>
      <w:pPr>
        <w:spacing w:after="0" w:line="92" w:lineRule="exact"/>
        <w:rPr>
          <w:sz w:val="20"/>
          <w:szCs w:val="20"/>
          <w:color w:val="auto"/>
        </w:rPr>
      </w:pPr>
    </w:p>
    <w:p>
      <w:pPr>
        <w:ind w:left="1420" w:right="1439" w:firstLine="271"/>
        <w:spacing w:after="0" w:line="245" w:lineRule="auto"/>
        <w:rPr>
          <w:sz w:val="20"/>
          <w:szCs w:val="20"/>
          <w:color w:val="auto"/>
        </w:rPr>
      </w:pPr>
      <w:r>
        <w:rPr>
          <w:rFonts w:ascii="Times New Roman" w:cs="Times New Roman" w:eastAsia="Times New Roman" w:hAnsi="Times New Roman"/>
          <w:sz w:val="14"/>
          <w:szCs w:val="14"/>
          <w:color w:val="auto"/>
        </w:rPr>
        <w:t>WM will not be required to make a change of control offer upon the occurrence of a change of control triggering event if a third party makes such an offer in the manner, at the times and otherwise in compliance with the requirements for an offer made by WM and the third party repurchases all notes properly tendered and not withdrawn under its offer. In addition, WM will not repurchase the WM Notes if there has occurred and is continuing on the change of control payment date an event of default under the Indenture with respect to the WM Notes, other than a default in the payment of the change of control payment upon a change of control triggering event.</w:t>
      </w:r>
    </w:p>
    <w:p>
      <w:pPr>
        <w:spacing w:after="0" w:line="98" w:lineRule="exact"/>
        <w:rPr>
          <w:sz w:val="20"/>
          <w:szCs w:val="20"/>
          <w:color w:val="auto"/>
        </w:rPr>
      </w:pPr>
    </w:p>
    <w:p>
      <w:pPr>
        <w:ind w:left="1420" w:right="1539" w:firstLine="271"/>
        <w:spacing w:after="0" w:line="245" w:lineRule="auto"/>
        <w:rPr>
          <w:sz w:val="20"/>
          <w:szCs w:val="20"/>
          <w:color w:val="auto"/>
        </w:rPr>
      </w:pPr>
      <w:r>
        <w:rPr>
          <w:rFonts w:ascii="Times New Roman" w:cs="Times New Roman" w:eastAsia="Times New Roman" w:hAnsi="Times New Roman"/>
          <w:sz w:val="14"/>
          <w:szCs w:val="14"/>
          <w:color w:val="auto"/>
        </w:rPr>
        <w:t>WM will comply with the applicable requirements of Rule 14e-1 under the Exchange Act, and any other securities laws and regulations thereunder to the extent those laws and regulations are applicable in connection with the repurchase of the WM Notes as a result of a change of control triggering event. To the extent that the provisions of any securities laws or regulations conflict with the change of control offer provisions of the WM Notes, WM will comply with those securities laws and regulations and will not be deemed to have breached our obligations under the change of control offer provisions of the WM Notes by virtue of any such conflict.</w:t>
      </w:r>
    </w:p>
    <w:p>
      <w:pPr>
        <w:spacing w:after="0" w:line="88" w:lineRule="exact"/>
        <w:rPr>
          <w:sz w:val="20"/>
          <w:szCs w:val="20"/>
          <w:color w:val="auto"/>
        </w:rPr>
      </w:pPr>
    </w:p>
    <w:p>
      <w:pPr>
        <w:ind w:left="1420" w:right="1639" w:firstLine="271"/>
        <w:spacing w:after="0" w:line="262" w:lineRule="auto"/>
        <w:rPr>
          <w:sz w:val="20"/>
          <w:szCs w:val="20"/>
          <w:color w:val="auto"/>
        </w:rPr>
      </w:pPr>
      <w:r>
        <w:rPr>
          <w:rFonts w:ascii="Times New Roman" w:cs="Times New Roman" w:eastAsia="Times New Roman" w:hAnsi="Times New Roman"/>
          <w:sz w:val="14"/>
          <w:szCs w:val="14"/>
          <w:color w:val="auto"/>
        </w:rPr>
        <w:t>For purposes of the change of control offer provisions of the WM Notes, the following terms will be applicable:</w:t>
      </w:r>
    </w:p>
    <w:p>
      <w:pPr>
        <w:spacing w:after="0" w:line="83" w:lineRule="exact"/>
        <w:rPr>
          <w:sz w:val="20"/>
          <w:szCs w:val="20"/>
          <w:color w:val="auto"/>
        </w:rPr>
      </w:pPr>
    </w:p>
    <w:p>
      <w:pPr>
        <w:ind w:left="1420" w:right="1459" w:firstLine="271"/>
        <w:spacing w:after="0" w:line="24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change of control</w:t>
      </w:r>
      <w:r>
        <w:rPr>
          <w:rFonts w:ascii="Times New Roman" w:cs="Times New Roman" w:eastAsia="Times New Roman" w:hAnsi="Times New Roman"/>
          <w:sz w:val="14"/>
          <w:szCs w:val="14"/>
          <w:color w:val="auto"/>
        </w:rPr>
        <w:t>”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our liquidation or dissolution.</w:t>
      </w:r>
    </w:p>
    <w:p>
      <w:pPr>
        <w:spacing w:after="0" w:line="94" w:lineRule="exact"/>
        <w:rPr>
          <w:sz w:val="20"/>
          <w:szCs w:val="20"/>
          <w:color w:val="auto"/>
        </w:rPr>
      </w:pPr>
    </w:p>
    <w:p>
      <w:pPr>
        <w:ind w:left="1420" w:right="1579" w:firstLine="271"/>
        <w:spacing w:after="0" w:line="251" w:lineRule="auto"/>
        <w:rPr>
          <w:sz w:val="20"/>
          <w:szCs w:val="20"/>
          <w:color w:val="auto"/>
        </w:rPr>
      </w:pPr>
      <w:r>
        <w:rPr>
          <w:rFonts w:ascii="Times New Roman" w:cs="Times New Roman" w:eastAsia="Times New Roman" w:hAnsi="Times New Roman"/>
          <w:sz w:val="14"/>
          <w:szCs w:val="14"/>
          <w:color w:val="auto"/>
        </w:rPr>
        <w:t>Notwithstanding the preceding, a transaction will not be deemed to involve a change of control under clause (2) above if (i) we become a direct or indirect wholly owned subsidiary of a holding company and</w:t>
      </w:r>
    </w:p>
    <w:p>
      <w:pPr>
        <w:ind w:left="1420" w:right="1639" w:hanging="1"/>
        <w:spacing w:after="0" w:line="242" w:lineRule="auto"/>
        <w:tabs>
          <w:tab w:leader="none" w:pos="1633"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6" w:name="page37"/>
    <w:bookmarkEnd w:id="36"/>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20" w:right="1519"/>
        <w:spacing w:after="0" w:line="267" w:lineRule="auto"/>
        <w:rPr>
          <w:sz w:val="20"/>
          <w:szCs w:val="20"/>
          <w:color w:val="auto"/>
        </w:rPr>
      </w:pPr>
      <w:r>
        <w:rPr>
          <w:rFonts w:ascii="Times New Roman" w:cs="Times New Roman" w:eastAsia="Times New Roman" w:hAnsi="Times New Roman"/>
          <w:sz w:val="14"/>
          <w:szCs w:val="14"/>
          <w:color w:val="auto"/>
        </w:rPr>
        <w:t>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82" w:lineRule="exact"/>
        <w:rPr>
          <w:sz w:val="20"/>
          <w:szCs w:val="20"/>
          <w:color w:val="auto"/>
        </w:rPr>
      </w:pPr>
    </w:p>
    <w:p>
      <w:pPr>
        <w:ind w:left="1420" w:right="1539" w:firstLine="271"/>
        <w:spacing w:after="0" w:line="255" w:lineRule="auto"/>
        <w:rPr>
          <w:sz w:val="20"/>
          <w:szCs w:val="20"/>
          <w:color w:val="auto"/>
        </w:rPr>
      </w:pPr>
      <w:r>
        <w:rPr>
          <w:rFonts w:ascii="Times New Roman" w:cs="Times New Roman" w:eastAsia="Times New Roman" w:hAnsi="Times New Roman"/>
          <w:sz w:val="14"/>
          <w:szCs w:val="14"/>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WM Notes as a result of a sale, lease, transfer, conveyance or other disposition of less than all of our assets and the assets of our subsidiaries, taken as a whole, to another person may be uncertain.</w:t>
      </w:r>
    </w:p>
    <w:p>
      <w:pPr>
        <w:spacing w:after="0" w:line="90" w:lineRule="exact"/>
        <w:rPr>
          <w:sz w:val="20"/>
          <w:szCs w:val="20"/>
          <w:color w:val="auto"/>
        </w:rPr>
      </w:pPr>
    </w:p>
    <w:p>
      <w:pPr>
        <w:ind w:left="1420" w:right="1719" w:firstLine="271"/>
        <w:spacing w:after="0" w:line="28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change of control triggering event</w:t>
      </w:r>
      <w:r>
        <w:rPr>
          <w:rFonts w:ascii="Times New Roman" w:cs="Times New Roman" w:eastAsia="Times New Roman" w:hAnsi="Times New Roman"/>
          <w:sz w:val="14"/>
          <w:szCs w:val="14"/>
          <w:color w:val="auto"/>
        </w:rPr>
        <w:t>” means the occurrence of both a change of control and a rating event.</w:t>
      </w:r>
    </w:p>
    <w:p>
      <w:pPr>
        <w:spacing w:after="0" w:line="7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Fitch</w:t>
      </w:r>
      <w:r>
        <w:rPr>
          <w:rFonts w:ascii="Times New Roman" w:cs="Times New Roman" w:eastAsia="Times New Roman" w:hAnsi="Times New Roman"/>
          <w:sz w:val="14"/>
          <w:szCs w:val="14"/>
          <w:color w:val="auto"/>
        </w:rPr>
        <w:t>” means Fitch Inc. and its successors.</w:t>
      </w:r>
    </w:p>
    <w:p>
      <w:pPr>
        <w:spacing w:after="0" w:line="113" w:lineRule="exact"/>
        <w:rPr>
          <w:sz w:val="20"/>
          <w:szCs w:val="20"/>
          <w:color w:val="auto"/>
        </w:rPr>
      </w:pPr>
    </w:p>
    <w:p>
      <w:pPr>
        <w:ind w:left="1420" w:right="1479" w:firstLine="271"/>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investment grade rating</w:t>
      </w:r>
      <w:r>
        <w:rPr>
          <w:rFonts w:ascii="Times New Roman" w:cs="Times New Roman" w:eastAsia="Times New Roman" w:hAnsi="Times New Roman"/>
          <w:sz w:val="14"/>
          <w:szCs w:val="14"/>
          <w:color w:val="auto"/>
        </w:rPr>
        <w:t>” means a rating equal to or higher than BBB — (or the equivalent) by Fitch, Baa3 (or the equivalent) by Moody’s and BBB — (or the equivalent) by S&amp;P, and the equivalent investment grade credit rating from any replacement rating agency or rating agencies selected by us.</w:t>
      </w:r>
    </w:p>
    <w:p>
      <w:pPr>
        <w:spacing w:after="0" w:line="8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Moody’s</w:t>
      </w:r>
      <w:r>
        <w:rPr>
          <w:rFonts w:ascii="Times New Roman" w:cs="Times New Roman" w:eastAsia="Times New Roman" w:hAnsi="Times New Roman"/>
          <w:sz w:val="14"/>
          <w:szCs w:val="14"/>
          <w:color w:val="auto"/>
        </w:rPr>
        <w:t>” means Moody’s Investors Service, Inc. and its successors.</w:t>
      </w:r>
    </w:p>
    <w:p>
      <w:pPr>
        <w:spacing w:after="0" w:line="113" w:lineRule="exact"/>
        <w:rPr>
          <w:sz w:val="20"/>
          <w:szCs w:val="20"/>
          <w:color w:val="auto"/>
        </w:rPr>
      </w:pPr>
    </w:p>
    <w:p>
      <w:pPr>
        <w:ind w:left="1420" w:right="1519" w:firstLine="271"/>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rating agencies</w:t>
      </w:r>
      <w:r>
        <w:rPr>
          <w:rFonts w:ascii="Times New Roman" w:cs="Times New Roman" w:eastAsia="Times New Roman" w:hAnsi="Times New Roman"/>
          <w:sz w:val="14"/>
          <w:szCs w:val="14"/>
          <w:color w:val="auto"/>
        </w:rPr>
        <w:t>” means (1) each of Fitch, Moody’s and S&amp;P and (2) if any of Fitch, Moody’s or S&amp;P ceases to rate the WM Notes or fails to make a rating of the WM Notes publicly available for reasons outside of our control, a “nationally recognized statistical rating organization” within the meaning of Section 3(a)(62) of the Exchange Act selected by WM (as certified by a resolution of our Board of Directors) as a replacement agency for Fitch, Moody’s or S&amp;P, or all of them, as the case may be.</w:t>
      </w:r>
    </w:p>
    <w:p>
      <w:pPr>
        <w:spacing w:after="0" w:line="85" w:lineRule="exact"/>
        <w:rPr>
          <w:sz w:val="20"/>
          <w:szCs w:val="20"/>
          <w:color w:val="auto"/>
        </w:rPr>
      </w:pPr>
    </w:p>
    <w:p>
      <w:pPr>
        <w:ind w:left="1420" w:right="1439" w:firstLine="271"/>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rating event</w:t>
      </w:r>
      <w:r>
        <w:rPr>
          <w:rFonts w:ascii="Times New Roman" w:cs="Times New Roman" w:eastAsia="Times New Roman" w:hAnsi="Times New Roman"/>
          <w:sz w:val="14"/>
          <w:szCs w:val="14"/>
          <w:color w:val="auto"/>
        </w:rPr>
        <w:t>” means the rating on the WM Notes is lowered by at least two of the three rating agencies and the WM Notes are rated below an investment grade rating by at least two of the three rating agencies, in any case on any day during the period (which period will be extended so long as the rating of the WM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1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S&amp;P</w:t>
      </w:r>
      <w:r>
        <w:rPr>
          <w:rFonts w:ascii="Times New Roman" w:cs="Times New Roman" w:eastAsia="Times New Roman" w:hAnsi="Times New Roman"/>
          <w:sz w:val="14"/>
          <w:szCs w:val="14"/>
          <w:color w:val="auto"/>
        </w:rPr>
        <w:t>” means S&amp;P Global Ratings, a division of S&amp;P Global Inc., and its successors.</w:t>
      </w:r>
    </w:p>
    <w:p>
      <w:pPr>
        <w:spacing w:after="0" w:line="103" w:lineRule="exact"/>
        <w:rPr>
          <w:sz w:val="20"/>
          <w:szCs w:val="20"/>
          <w:color w:val="auto"/>
        </w:rPr>
      </w:pPr>
    </w:p>
    <w:p>
      <w:pPr>
        <w:ind w:left="1420" w:right="1439" w:firstLine="27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voting stock</w:t>
      </w:r>
      <w:r>
        <w:rPr>
          <w:rFonts w:ascii="Times New Roman" w:cs="Times New Roman" w:eastAsia="Times New Roman" w:hAnsi="Times New Roman"/>
          <w:sz w:val="14"/>
          <w:szCs w:val="14"/>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Further Issuances</w:t>
      </w:r>
    </w:p>
    <w:p>
      <w:pPr>
        <w:spacing w:after="0" w:line="117" w:lineRule="exact"/>
        <w:rPr>
          <w:sz w:val="20"/>
          <w:szCs w:val="20"/>
          <w:color w:val="auto"/>
        </w:rPr>
      </w:pPr>
    </w:p>
    <w:p>
      <w:pPr>
        <w:ind w:left="1420" w:right="1479" w:firstLine="271"/>
        <w:spacing w:after="0" w:line="254" w:lineRule="auto"/>
        <w:rPr>
          <w:sz w:val="20"/>
          <w:szCs w:val="20"/>
          <w:color w:val="auto"/>
        </w:rPr>
      </w:pPr>
      <w:r>
        <w:rPr>
          <w:rFonts w:ascii="Times New Roman" w:cs="Times New Roman" w:eastAsia="Times New Roman" w:hAnsi="Times New Roman"/>
          <w:sz w:val="14"/>
          <w:szCs w:val="14"/>
          <w:color w:val="auto"/>
        </w:rPr>
        <w:t>WM may from time to time, without notice or the consent of the holders of the WM Notes, create and issue further notes ranking equally and ratably with the Registered Notes offered by this prospectus in all respects (or in all respects except for the issue date, the initial interest payment date, if applicable, and the payment of interest accruing prior to the issue date of such further Registered Notes), so that such further notes will be consolidated and form a single series with the Registered Notes offered by this prospectus and shall have the same terms, as to status, redemption or otherwise except for the issue date, the initial interest payment date, if applicable, and the payment of interest accruing prior to the issue date of such additional notes; provided, however, that a separate CUSIP or ISIN will be issued for the additional notes unless the Registered Notes and the additional Registered Notes are fungible for U.S. federal income tax purposes. WM may at any time purchase Registered Notes in the open market or otherwise at any price.</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7" w:name="page38"/>
    <w:bookmarkEnd w:id="37"/>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Certain Covenants</w:t>
      </w:r>
    </w:p>
    <w:p>
      <w:pPr>
        <w:spacing w:after="0" w:line="16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Limitation on Liens</w:t>
      </w:r>
    </w:p>
    <w:p>
      <w:pPr>
        <w:spacing w:after="0" w:line="117" w:lineRule="exact"/>
        <w:rPr>
          <w:sz w:val="20"/>
          <w:szCs w:val="20"/>
          <w:color w:val="auto"/>
        </w:rPr>
      </w:pPr>
    </w:p>
    <w:p>
      <w:pPr>
        <w:ind w:left="1420" w:right="1839" w:firstLine="271"/>
        <w:spacing w:after="0" w:line="239" w:lineRule="auto"/>
        <w:rPr>
          <w:sz w:val="20"/>
          <w:szCs w:val="20"/>
          <w:color w:val="auto"/>
        </w:rPr>
      </w:pPr>
      <w:r>
        <w:rPr>
          <w:rFonts w:ascii="Times New Roman" w:cs="Times New Roman" w:eastAsia="Times New Roman" w:hAnsi="Times New Roman"/>
          <w:sz w:val="14"/>
          <w:szCs w:val="14"/>
          <w:color w:val="auto"/>
        </w:rPr>
        <w:t>WM has agreed that WM and its Restricted Subsidiaries will create, issue, incur or assume Indebtedness secured by a lien upon a Principal Property only if the outstanding Registered Notes are secured equally and ratably with or prior to the Indebtedness secured by that lien. This covenant has exceptions that permit:</w:t>
      </w:r>
    </w:p>
    <w:p>
      <w:pPr>
        <w:spacing w:after="0" w:line="89" w:lineRule="exact"/>
        <w:rPr>
          <w:sz w:val="20"/>
          <w:szCs w:val="20"/>
          <w:color w:val="auto"/>
        </w:rPr>
      </w:pPr>
    </w:p>
    <w:p>
      <w:pPr>
        <w:ind w:left="1960" w:right="1459" w:hanging="271"/>
        <w:spacing w:after="0" w:line="262" w:lineRule="auto"/>
        <w:tabs>
          <w:tab w:leader="none" w:pos="1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the property or assets existing at the time of acquisition which secure obligations assumed by WM or WM’s Restricted Subsidiaries;</w:t>
      </w:r>
    </w:p>
    <w:p>
      <w:pPr>
        <w:spacing w:after="0" w:line="74" w:lineRule="exact"/>
        <w:rPr>
          <w:rFonts w:ascii="Times New Roman" w:cs="Times New Roman" w:eastAsia="Times New Roman" w:hAnsi="Times New Roman"/>
          <w:sz w:val="14"/>
          <w:szCs w:val="14"/>
          <w:color w:val="auto"/>
        </w:rPr>
      </w:pPr>
    </w:p>
    <w:p>
      <w:pPr>
        <w:ind w:left="1960" w:right="2039" w:hanging="271"/>
        <w:spacing w:after="0" w:line="262" w:lineRule="auto"/>
        <w:tabs>
          <w:tab w:leader="none" w:pos="1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conditional sales agreements with respect to any property or assets acquired by WM or a Restricted Subsidiary;</w:t>
      </w:r>
    </w:p>
    <w:p>
      <w:pPr>
        <w:spacing w:after="0" w:line="74" w:lineRule="exact"/>
        <w:rPr>
          <w:rFonts w:ascii="Times New Roman" w:cs="Times New Roman" w:eastAsia="Times New Roman" w:hAnsi="Times New Roman"/>
          <w:sz w:val="14"/>
          <w:szCs w:val="14"/>
          <w:color w:val="auto"/>
        </w:rPr>
      </w:pPr>
    </w:p>
    <w:p>
      <w:pPr>
        <w:ind w:left="1960" w:right="1659" w:hanging="271"/>
        <w:spacing w:after="0" w:line="252" w:lineRule="auto"/>
        <w:tabs>
          <w:tab w:leader="none" w:pos="1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the property, assets or stock of an entity at the time the entity is merged into or consolidated with WM or a Restricted Subsidiary or at the time the entity becomes a Restricted Subsidiary;</w:t>
      </w:r>
    </w:p>
    <w:p>
      <w:pPr>
        <w:spacing w:after="0" w:line="91" w:lineRule="exact"/>
        <w:rPr>
          <w:rFonts w:ascii="Times New Roman" w:cs="Times New Roman" w:eastAsia="Times New Roman" w:hAnsi="Times New Roman"/>
          <w:sz w:val="14"/>
          <w:szCs w:val="14"/>
          <w:color w:val="auto"/>
        </w:rPr>
      </w:pPr>
    </w:p>
    <w:p>
      <w:pPr>
        <w:ind w:left="1960" w:right="1499" w:hanging="271"/>
        <w:spacing w:after="0" w:line="262" w:lineRule="auto"/>
        <w:tabs>
          <w:tab w:leader="none" w:pos="1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the property, assets or stock of any successor entity that becomes WM in accordance with “— Consolidation, Merger and Sale of Assets,” below;</w:t>
      </w:r>
    </w:p>
    <w:p>
      <w:pPr>
        <w:spacing w:after="0" w:line="74" w:lineRule="exact"/>
        <w:rPr>
          <w:rFonts w:ascii="Times New Roman" w:cs="Times New Roman" w:eastAsia="Times New Roman" w:hAnsi="Times New Roman"/>
          <w:sz w:val="14"/>
          <w:szCs w:val="14"/>
          <w:color w:val="auto"/>
        </w:rPr>
      </w:pPr>
    </w:p>
    <w:p>
      <w:pPr>
        <w:ind w:left="1960" w:hanging="271"/>
        <w:spacing w:after="0"/>
        <w:tabs>
          <w:tab w:leader="none" w:pos="1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assets either:</w:t>
      </w:r>
    </w:p>
    <w:p>
      <w:pPr>
        <w:spacing w:after="0" w:line="82" w:lineRule="exact"/>
        <w:rPr>
          <w:rFonts w:ascii="Times New Roman" w:cs="Times New Roman" w:eastAsia="Times New Roman" w:hAnsi="Times New Roman"/>
          <w:sz w:val="14"/>
          <w:szCs w:val="14"/>
          <w:color w:val="auto"/>
        </w:rPr>
      </w:pPr>
    </w:p>
    <w:p>
      <w:pPr>
        <w:ind w:left="2100" w:hanging="140"/>
        <w:spacing w:after="0"/>
        <w:tabs>
          <w:tab w:leader="none" w:pos="210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at the time of, or created within 360 days after, the acquisition of the assets, or</w:t>
      </w:r>
    </w:p>
    <w:p>
      <w:pPr>
        <w:spacing w:after="0" w:line="82" w:lineRule="exact"/>
        <w:rPr>
          <w:rFonts w:ascii="Times New Roman" w:cs="Times New Roman" w:eastAsia="Times New Roman" w:hAnsi="Times New Roman"/>
          <w:sz w:val="14"/>
          <w:szCs w:val="14"/>
          <w:color w:val="auto"/>
        </w:rPr>
      </w:pPr>
    </w:p>
    <w:p>
      <w:pPr>
        <w:ind w:left="2100" w:right="1499" w:hanging="140"/>
        <w:spacing w:after="0" w:line="247" w:lineRule="auto"/>
        <w:tabs>
          <w:tab w:leader="none" w:pos="210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85" w:lineRule="exact"/>
        <w:rPr>
          <w:rFonts w:ascii="Times New Roman" w:cs="Times New Roman" w:eastAsia="Times New Roman" w:hAnsi="Times New Roman"/>
          <w:sz w:val="14"/>
          <w:szCs w:val="14"/>
          <w:color w:val="auto"/>
        </w:rPr>
      </w:pPr>
    </w:p>
    <w:p>
      <w:pPr>
        <w:ind w:left="1960" w:hanging="271"/>
        <w:spacing w:after="0"/>
        <w:tabs>
          <w:tab w:leader="none" w:pos="1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intercompany liens;</w:t>
      </w:r>
    </w:p>
    <w:p>
      <w:pPr>
        <w:spacing w:after="0" w:line="102" w:lineRule="exact"/>
        <w:rPr>
          <w:rFonts w:ascii="Times New Roman" w:cs="Times New Roman" w:eastAsia="Times New Roman" w:hAnsi="Times New Roman"/>
          <w:sz w:val="14"/>
          <w:szCs w:val="14"/>
          <w:color w:val="auto"/>
        </w:rPr>
      </w:pPr>
    </w:p>
    <w:p>
      <w:pPr>
        <w:ind w:left="1960" w:hanging="271"/>
        <w:spacing w:after="0"/>
        <w:tabs>
          <w:tab w:leader="none" w:pos="1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mechanics’, materialmen’s and like liens incurred in the ordinary course of business;</w:t>
      </w:r>
    </w:p>
    <w:p>
      <w:pPr>
        <w:spacing w:after="0" w:line="113" w:lineRule="exact"/>
        <w:rPr>
          <w:rFonts w:ascii="Times New Roman" w:cs="Times New Roman" w:eastAsia="Times New Roman" w:hAnsi="Times New Roman"/>
          <w:sz w:val="14"/>
          <w:szCs w:val="14"/>
          <w:color w:val="auto"/>
        </w:rPr>
      </w:pPr>
    </w:p>
    <w:p>
      <w:pPr>
        <w:ind w:left="1960" w:right="1899" w:hanging="271"/>
        <w:spacing w:after="0" w:line="262" w:lineRule="auto"/>
        <w:tabs>
          <w:tab w:leader="none" w:pos="1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arising by deposits or security given to governmental agencies required in order to do business with the government;</w:t>
      </w:r>
    </w:p>
    <w:p>
      <w:pPr>
        <w:spacing w:after="0" w:line="74" w:lineRule="exact"/>
        <w:rPr>
          <w:rFonts w:ascii="Times New Roman" w:cs="Times New Roman" w:eastAsia="Times New Roman" w:hAnsi="Times New Roman"/>
          <w:sz w:val="14"/>
          <w:szCs w:val="14"/>
          <w:color w:val="auto"/>
        </w:rPr>
      </w:pPr>
    </w:p>
    <w:p>
      <w:pPr>
        <w:ind w:left="1960" w:right="1459" w:hanging="271"/>
        <w:spacing w:after="0" w:line="262" w:lineRule="auto"/>
        <w:tabs>
          <w:tab w:leader="none" w:pos="1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for taxes, assessments or governmental charges not yet delinquent or being contested in good faith;</w:t>
      </w:r>
    </w:p>
    <w:p>
      <w:pPr>
        <w:spacing w:after="0" w:line="84" w:lineRule="exact"/>
        <w:rPr>
          <w:rFonts w:ascii="Times New Roman" w:cs="Times New Roman" w:eastAsia="Times New Roman" w:hAnsi="Times New Roman"/>
          <w:sz w:val="14"/>
          <w:szCs w:val="14"/>
          <w:color w:val="auto"/>
        </w:rPr>
      </w:pPr>
    </w:p>
    <w:p>
      <w:pPr>
        <w:ind w:left="1960" w:right="1679" w:hanging="271"/>
        <w:spacing w:after="0" w:line="262" w:lineRule="auto"/>
        <w:tabs>
          <w:tab w:leader="none" w:pos="1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connection with legal proceedings so long as the proceeding is being contested in good faith or execution thereon is stayed;</w:t>
      </w:r>
    </w:p>
    <w:p>
      <w:pPr>
        <w:spacing w:after="0" w:line="74" w:lineRule="exact"/>
        <w:rPr>
          <w:rFonts w:ascii="Times New Roman" w:cs="Times New Roman" w:eastAsia="Times New Roman" w:hAnsi="Times New Roman"/>
          <w:sz w:val="14"/>
          <w:szCs w:val="14"/>
          <w:color w:val="auto"/>
        </w:rPr>
      </w:pPr>
    </w:p>
    <w:p>
      <w:pPr>
        <w:ind w:left="1960" w:right="1679" w:hanging="271"/>
        <w:spacing w:after="0" w:line="262" w:lineRule="auto"/>
        <w:tabs>
          <w:tab w:leader="none" w:pos="1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landlord’s liens on fixtures located on property leased by WM or Restricted Subsidiaries in the ordinary course of business;</w:t>
      </w:r>
    </w:p>
    <w:p>
      <w:pPr>
        <w:spacing w:after="0" w:line="74" w:lineRule="exact"/>
        <w:rPr>
          <w:rFonts w:ascii="Times New Roman" w:cs="Times New Roman" w:eastAsia="Times New Roman" w:hAnsi="Times New Roman"/>
          <w:sz w:val="14"/>
          <w:szCs w:val="14"/>
          <w:color w:val="auto"/>
        </w:rPr>
      </w:pPr>
    </w:p>
    <w:p>
      <w:pPr>
        <w:ind w:left="1960" w:right="1899" w:hanging="271"/>
        <w:spacing w:after="0" w:line="262" w:lineRule="auto"/>
        <w:tabs>
          <w:tab w:leader="none" w:pos="1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favor of any governmental authority in connection with the financing of the cost of construction or acquisition of property;</w:t>
      </w:r>
    </w:p>
    <w:p>
      <w:pPr>
        <w:spacing w:after="0" w:line="84" w:lineRule="exact"/>
        <w:rPr>
          <w:rFonts w:ascii="Times New Roman" w:cs="Times New Roman" w:eastAsia="Times New Roman" w:hAnsi="Times New Roman"/>
          <w:sz w:val="14"/>
          <w:szCs w:val="14"/>
          <w:color w:val="auto"/>
        </w:rPr>
      </w:pPr>
    </w:p>
    <w:p>
      <w:pPr>
        <w:ind w:left="1960" w:right="1679" w:hanging="271"/>
        <w:spacing w:after="0" w:line="262" w:lineRule="auto"/>
        <w:tabs>
          <w:tab w:leader="none" w:pos="1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arising due to deposits to qualify WM or a Restricted Subsidiary to do business, maintain self-insurance or obtain the benefit of or comply with laws;</w:t>
      </w:r>
    </w:p>
    <w:p>
      <w:pPr>
        <w:spacing w:after="0" w:line="74" w:lineRule="exact"/>
        <w:rPr>
          <w:rFonts w:ascii="Times New Roman" w:cs="Times New Roman" w:eastAsia="Times New Roman" w:hAnsi="Times New Roman"/>
          <w:sz w:val="14"/>
          <w:szCs w:val="14"/>
          <w:color w:val="auto"/>
        </w:rPr>
      </w:pPr>
    </w:p>
    <w:p>
      <w:pPr>
        <w:ind w:left="1960" w:right="1819" w:hanging="271"/>
        <w:spacing w:after="0" w:line="262" w:lineRule="auto"/>
        <w:tabs>
          <w:tab w:leader="none" w:pos="1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incurred in connection with pollution control, sewage or solid waste disposal industrial revenue or similar financings;</w:t>
      </w:r>
    </w:p>
    <w:p>
      <w:pPr>
        <w:spacing w:after="0" w:line="84" w:lineRule="exact"/>
        <w:rPr>
          <w:rFonts w:ascii="Times New Roman" w:cs="Times New Roman" w:eastAsia="Times New Roman" w:hAnsi="Times New Roman"/>
          <w:sz w:val="14"/>
          <w:szCs w:val="14"/>
          <w:color w:val="auto"/>
        </w:rPr>
      </w:pPr>
    </w:p>
    <w:p>
      <w:pPr>
        <w:ind w:left="1960" w:hanging="271"/>
        <w:spacing w:after="0"/>
        <w:tabs>
          <w:tab w:leader="none" w:pos="1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arising in connection with the sale of accounts receivable; and</w:t>
      </w:r>
    </w:p>
    <w:p>
      <w:pPr>
        <w:spacing w:after="0" w:line="102" w:lineRule="exact"/>
        <w:rPr>
          <w:rFonts w:ascii="Times New Roman" w:cs="Times New Roman" w:eastAsia="Times New Roman" w:hAnsi="Times New Roman"/>
          <w:sz w:val="14"/>
          <w:szCs w:val="14"/>
          <w:color w:val="auto"/>
        </w:rPr>
      </w:pPr>
    </w:p>
    <w:p>
      <w:pPr>
        <w:ind w:left="1960" w:right="1559" w:hanging="271"/>
        <w:spacing w:after="0" w:line="252" w:lineRule="auto"/>
        <w:tabs>
          <w:tab w:leader="none" w:pos="1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extensions, substitutions, replacements or renewals of the above-described liens or any Indebtedness secured by these liens if the lien is limited to the property (plus any improvements) secured by the original lien.</w:t>
      </w:r>
    </w:p>
    <w:p>
      <w:pPr>
        <w:spacing w:after="0" w:line="92" w:lineRule="exact"/>
        <w:rPr>
          <w:sz w:val="20"/>
          <w:szCs w:val="20"/>
          <w:color w:val="auto"/>
        </w:rPr>
      </w:pPr>
    </w:p>
    <w:p>
      <w:pPr>
        <w:ind w:left="1420" w:right="1619" w:firstLine="271"/>
        <w:spacing w:after="0" w:line="247" w:lineRule="auto"/>
        <w:rPr>
          <w:sz w:val="20"/>
          <w:szCs w:val="20"/>
          <w:color w:val="auto"/>
        </w:rPr>
      </w:pPr>
      <w:r>
        <w:rPr>
          <w:rFonts w:ascii="Times New Roman" w:cs="Times New Roman" w:eastAsia="Times New Roman" w:hAnsi="Times New Roman"/>
          <w:sz w:val="14"/>
          <w:szCs w:val="14"/>
          <w:color w:val="auto"/>
        </w:rPr>
        <w:t>In addition, without securing the Registered Notes as described above, WM and WM’s Restricted Subsidiaries may issue, assume or guarantee Indebtedness that this covenant would otherwise restrict in a</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8" w:name="page39"/>
    <w:bookmarkEnd w:id="38"/>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20" w:right="1579"/>
        <w:spacing w:after="0" w:line="237" w:lineRule="auto"/>
        <w:rPr>
          <w:sz w:val="20"/>
          <w:szCs w:val="20"/>
          <w:color w:val="auto"/>
        </w:rPr>
      </w:pPr>
      <w:r>
        <w:rPr>
          <w:rFonts w:ascii="Times New Roman" w:cs="Times New Roman" w:eastAsia="Times New Roman" w:hAnsi="Times New Roman"/>
          <w:sz w:val="14"/>
          <w:szCs w:val="14"/>
          <w:color w:val="auto"/>
        </w:rPr>
        <w:t>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WM exclude from the calculation Attributable Debt from Sale/Leaseback Transactions in connection with which WM has purchased property or retired or defeased Indebtedness as described in clause (b) below under “— Limitation on Sale/Leaseback Transactions.”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Limitation on Sale/Leaseback Transactions</w:t>
      </w:r>
    </w:p>
    <w:p>
      <w:pPr>
        <w:spacing w:after="0" w:line="117" w:lineRule="exact"/>
        <w:rPr>
          <w:sz w:val="20"/>
          <w:szCs w:val="20"/>
          <w:color w:val="auto"/>
        </w:rPr>
      </w:pPr>
    </w:p>
    <w:p>
      <w:pPr>
        <w:ind w:left="1420" w:right="1519" w:firstLine="271"/>
        <w:spacing w:after="0" w:line="247" w:lineRule="auto"/>
        <w:rPr>
          <w:sz w:val="20"/>
          <w:szCs w:val="20"/>
          <w:color w:val="auto"/>
        </w:rPr>
      </w:pPr>
      <w:r>
        <w:rPr>
          <w:rFonts w:ascii="Times New Roman" w:cs="Times New Roman" w:eastAsia="Times New Roman" w:hAnsi="Times New Roman"/>
          <w:sz w:val="14"/>
          <w:szCs w:val="14"/>
          <w:color w:val="auto"/>
        </w:rPr>
        <w:t>WM and WM’s Restricted Subsidiaries will not enter into a Sale/Leaseback Transaction unless at least one of the following applies:</w:t>
      </w:r>
    </w:p>
    <w:p>
      <w:pPr>
        <w:spacing w:after="0" w:line="85" w:lineRule="exact"/>
        <w:rPr>
          <w:sz w:val="20"/>
          <w:szCs w:val="20"/>
          <w:color w:val="auto"/>
        </w:rPr>
      </w:pPr>
    </w:p>
    <w:p>
      <w:pPr>
        <w:ind w:left="1960" w:right="1479" w:hanging="271"/>
        <w:spacing w:after="0" w:line="248" w:lineRule="auto"/>
        <w:tabs>
          <w:tab w:leader="none" w:pos="1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WM or that Restricted Subsidiary could incur Indebtedness in a principal amount equal to the Attributable Debt for that Sale/Leaseback Transaction and, without violating specified provisions of the covenant under “— Limitation on Liens,” could secure that debt by a lien on the property to be leased without equally and ratably securing the Registered Notes;</w:t>
      </w:r>
    </w:p>
    <w:p>
      <w:pPr>
        <w:spacing w:after="0" w:line="85" w:lineRule="exact"/>
        <w:rPr>
          <w:rFonts w:ascii="Times New Roman" w:cs="Times New Roman" w:eastAsia="Times New Roman" w:hAnsi="Times New Roman"/>
          <w:sz w:val="14"/>
          <w:szCs w:val="14"/>
          <w:color w:val="auto"/>
        </w:rPr>
      </w:pPr>
    </w:p>
    <w:p>
      <w:pPr>
        <w:ind w:left="1960" w:right="1559" w:hanging="271"/>
        <w:spacing w:after="0" w:line="247" w:lineRule="auto"/>
        <w:tabs>
          <w:tab w:leader="none" w:pos="1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within 180 days after the effective date of any Sale/Leaseback Transaction, WM will apply an amount equal to the fair value (as determined by WM’s Board of Directors) of the property to be leased to the redemption or retirement of any Registered Notes or to payment or other retirement of other debt of WM that ranks senior to or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Registered Notes listed under the Indenture or debt incurred by a Restricted Subsidiary; or</w:t>
      </w:r>
    </w:p>
    <w:p>
      <w:pPr>
        <w:spacing w:after="0" w:line="85" w:lineRule="exact"/>
        <w:rPr>
          <w:rFonts w:ascii="Times New Roman" w:cs="Times New Roman" w:eastAsia="Times New Roman" w:hAnsi="Times New Roman"/>
          <w:sz w:val="14"/>
          <w:szCs w:val="14"/>
          <w:color w:val="auto"/>
        </w:rPr>
      </w:pPr>
    </w:p>
    <w:p>
      <w:pPr>
        <w:ind w:left="1960" w:right="1759" w:hanging="271"/>
        <w:spacing w:after="0" w:line="248" w:lineRule="auto"/>
        <w:tabs>
          <w:tab w:leader="none" w:pos="1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180 days after entering into the Sale/Leaseback Transaction, WM has entered into a commitment to expend for the acquisition or capital improvement of a Principal Property an amount equal to the fair value (as determined WM’s Board of Directors) of the property to be leased.</w:t>
      </w:r>
    </w:p>
    <w:p>
      <w:pPr>
        <w:spacing w:after="0" w:line="96" w:lineRule="exact"/>
        <w:rPr>
          <w:sz w:val="20"/>
          <w:szCs w:val="20"/>
          <w:color w:val="auto"/>
        </w:rPr>
      </w:pPr>
    </w:p>
    <w:p>
      <w:pPr>
        <w:ind w:left="1420" w:right="1719" w:firstLine="271"/>
        <w:spacing w:after="0" w:line="236" w:lineRule="auto"/>
        <w:rPr>
          <w:sz w:val="20"/>
          <w:szCs w:val="20"/>
          <w:color w:val="auto"/>
        </w:rPr>
      </w:pPr>
      <w:r>
        <w:rPr>
          <w:rFonts w:ascii="Times New Roman" w:cs="Times New Roman" w:eastAsia="Times New Roman" w:hAnsi="Times New Roman"/>
          <w:sz w:val="14"/>
          <w:szCs w:val="14"/>
          <w:color w:val="auto"/>
        </w:rPr>
        <w:t>Notwithstanding the above, WM and WM’s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pursuant to the covenant under “— Limitation on Liens,” do not exceed 15% of Consolidated Net Tangible Assets.</w:t>
      </w:r>
    </w:p>
    <w:p>
      <w:pPr>
        <w:spacing w:after="0" w:line="14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107" w:lineRule="exact"/>
        <w:rPr>
          <w:sz w:val="20"/>
          <w:szCs w:val="20"/>
          <w:color w:val="auto"/>
        </w:rPr>
      </w:pPr>
    </w:p>
    <w:p>
      <w:pPr>
        <w:ind w:left="1420" w:right="1699" w:firstLine="271"/>
        <w:spacing w:after="0" w:line="262" w:lineRule="auto"/>
        <w:rPr>
          <w:sz w:val="20"/>
          <w:szCs w:val="20"/>
          <w:color w:val="auto"/>
        </w:rPr>
      </w:pPr>
      <w:r>
        <w:rPr>
          <w:rFonts w:ascii="Times New Roman" w:cs="Times New Roman" w:eastAsia="Times New Roman" w:hAnsi="Times New Roman"/>
          <w:sz w:val="14"/>
          <w:szCs w:val="14"/>
          <w:color w:val="auto"/>
        </w:rPr>
        <w:t>The Indenture will prohibit a consolidation or merger of WM into another person, or a conveyance, transfer or lease of our properties and assets substantially as an entirety to another person unless:</w:t>
      </w:r>
    </w:p>
    <w:p>
      <w:pPr>
        <w:spacing w:after="0" w:line="44" w:lineRule="exact"/>
        <w:rPr>
          <w:sz w:val="20"/>
          <w:szCs w:val="20"/>
          <w:color w:val="auto"/>
        </w:rPr>
      </w:pPr>
    </w:p>
    <w:p>
      <w:pPr>
        <w:ind w:left="1820" w:right="1459" w:hanging="131"/>
        <w:spacing w:after="0" w:line="252" w:lineRule="auto"/>
        <w:tabs>
          <w:tab w:leader="none" w:pos="18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resulting person formed or into which WM is merged or the person which acquires our properties and assets substantially as an entirety assumes the performance of the covenants and obligations under the Indenture and the due and punctual payments on the Registered Notes; and</w:t>
      </w:r>
    </w:p>
    <w:p>
      <w:pPr>
        <w:spacing w:after="0" w:line="51" w:lineRule="exact"/>
        <w:rPr>
          <w:rFonts w:ascii="Times New Roman" w:cs="Times New Roman" w:eastAsia="Times New Roman" w:hAnsi="Times New Roman"/>
          <w:sz w:val="14"/>
          <w:szCs w:val="14"/>
          <w:color w:val="auto"/>
        </w:rPr>
      </w:pPr>
    </w:p>
    <w:p>
      <w:pPr>
        <w:ind w:left="1820" w:right="1539" w:hanging="131"/>
        <w:spacing w:after="0" w:line="262" w:lineRule="auto"/>
        <w:tabs>
          <w:tab w:leader="none" w:pos="18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would occur and be continuing or would result from the transaction.</w:t>
      </w:r>
    </w:p>
    <w:p>
      <w:pPr>
        <w:spacing w:after="0" w:line="85" w:lineRule="exact"/>
        <w:rPr>
          <w:sz w:val="20"/>
          <w:szCs w:val="20"/>
          <w:color w:val="auto"/>
        </w:rPr>
      </w:pPr>
    </w:p>
    <w:p>
      <w:pPr>
        <w:ind w:left="1420" w:right="1679" w:firstLine="271"/>
        <w:spacing w:after="0" w:line="244" w:lineRule="auto"/>
        <w:rPr>
          <w:sz w:val="20"/>
          <w:szCs w:val="20"/>
          <w:color w:val="auto"/>
        </w:rPr>
      </w:pPr>
      <w:r>
        <w:rPr>
          <w:rFonts w:ascii="Times New Roman" w:cs="Times New Roman" w:eastAsia="Times New Roman" w:hAnsi="Times New Roman"/>
          <w:sz w:val="14"/>
          <w:szCs w:val="14"/>
          <w:color w:val="auto"/>
        </w:rPr>
        <w:t>Upon any such consolidation, merger or asset lease, transfer or disposition, the resulting entity or transferee will be substituted for us under the Indenture and the Registered Notes. In the case of an asset transfer or disposition other than a lease, we will be released from the Indenture.</w:t>
      </w:r>
    </w:p>
    <w:p>
      <w:pPr>
        <w:spacing w:after="0" w:line="13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1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The following are events of default with respect to Registered Notes:</w:t>
      </w:r>
    </w:p>
    <w:p>
      <w:pPr>
        <w:spacing w:after="0" w:line="72" w:lineRule="exact"/>
        <w:rPr>
          <w:sz w:val="20"/>
          <w:szCs w:val="20"/>
          <w:color w:val="auto"/>
        </w:rPr>
      </w:pPr>
    </w:p>
    <w:p>
      <w:pPr>
        <w:ind w:left="1820" w:hanging="131"/>
        <w:spacing w:after="0"/>
        <w:tabs>
          <w:tab w:leader="none" w:pos="18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interest on the Registered Notes for 30 days when due;</w:t>
      </w:r>
    </w:p>
    <w:p>
      <w:pPr>
        <w:spacing w:after="0" w:line="82"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principal of or any premium on the Registered Notes when due;</w:t>
      </w:r>
    </w:p>
    <w:p>
      <w:pPr>
        <w:spacing w:after="0" w:line="82"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deposit into any sinking fund when due;</w:t>
      </w:r>
    </w:p>
    <w:p>
      <w:pPr>
        <w:spacing w:after="0" w:line="72" w:lineRule="exact"/>
        <w:rPr>
          <w:rFonts w:ascii="Times New Roman" w:cs="Times New Roman" w:eastAsia="Times New Roman" w:hAnsi="Times New Roman"/>
          <w:sz w:val="14"/>
          <w:szCs w:val="14"/>
          <w:color w:val="auto"/>
        </w:rPr>
      </w:pPr>
    </w:p>
    <w:p>
      <w:pPr>
        <w:ind w:left="1820" w:right="1519" w:hanging="131"/>
        <w:spacing w:after="0" w:line="262" w:lineRule="auto"/>
        <w:tabs>
          <w:tab w:leader="none" w:pos="18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any covenant or agreement in the Registered Notes or the Indenture (other than an agreement or covenant that has been included in the Indenture solely for the benefit of other</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9" w:name="page40"/>
    <w:bookmarkEnd w:id="39"/>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20" w:right="1559"/>
        <w:spacing w:after="0" w:line="262" w:lineRule="auto"/>
        <w:rPr>
          <w:sz w:val="20"/>
          <w:szCs w:val="20"/>
          <w:color w:val="auto"/>
        </w:rPr>
      </w:pPr>
      <w:r>
        <w:rPr>
          <w:rFonts w:ascii="Times New Roman" w:cs="Times New Roman" w:eastAsia="Times New Roman" w:hAnsi="Times New Roman"/>
          <w:sz w:val="14"/>
          <w:szCs w:val="14"/>
          <w:color w:val="auto"/>
        </w:rPr>
        <w:t>series of debt securities) for 60 days after written notice by the Trustee or by the Holders of at least 25% in principal amount of the Registered Notes that are affected by that failure; and</w:t>
      </w:r>
    </w:p>
    <w:p>
      <w:pPr>
        <w:spacing w:after="0" w:line="4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 specified events involving bankruptcy, insolvency or reorganization.</w:t>
      </w:r>
    </w:p>
    <w:p>
      <w:pPr>
        <w:spacing w:after="0" w:line="103" w:lineRule="exact"/>
        <w:rPr>
          <w:sz w:val="20"/>
          <w:szCs w:val="20"/>
          <w:color w:val="auto"/>
        </w:rPr>
      </w:pPr>
    </w:p>
    <w:p>
      <w:pPr>
        <w:ind w:left="1420" w:right="1459" w:firstLine="271"/>
        <w:spacing w:after="0" w:line="239" w:lineRule="auto"/>
        <w:rPr>
          <w:sz w:val="20"/>
          <w:szCs w:val="20"/>
          <w:color w:val="auto"/>
        </w:rPr>
      </w:pPr>
      <w:r>
        <w:rPr>
          <w:rFonts w:ascii="Times New Roman" w:cs="Times New Roman" w:eastAsia="Times New Roman" w:hAnsi="Times New Roman"/>
          <w:sz w:val="14"/>
          <w:szCs w:val="14"/>
          <w:color w:val="auto"/>
        </w:rPr>
        <w:t>If an event of default for the Registered Notes occurs and is continuing, the Trustee or the Holders of at least 25% in principal amount of the outstanding WM Notes may declare the principal of and all accrued and unpaid interest on the WM Notes to be due and payable. The holders of a majority in principal amount of the outstanding WM Notes may in some cases rescind this accelerated payment requirement.</w:t>
      </w:r>
    </w:p>
    <w:p>
      <w:pPr>
        <w:spacing w:after="0" w:line="8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A Holder may pursue any remedy under the Indenture only if:</w:t>
      </w:r>
    </w:p>
    <w:p>
      <w:pPr>
        <w:spacing w:after="0" w:line="83" w:lineRule="exact"/>
        <w:rPr>
          <w:sz w:val="20"/>
          <w:szCs w:val="20"/>
          <w:color w:val="auto"/>
        </w:rPr>
      </w:pPr>
    </w:p>
    <w:p>
      <w:pPr>
        <w:ind w:left="1820" w:hanging="131"/>
        <w:spacing w:after="0"/>
        <w:tabs>
          <w:tab w:leader="none" w:pos="1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gives the Trustee written notice of a continuing event of default for the Registered Notes;</w:t>
      </w:r>
    </w:p>
    <w:p>
      <w:pPr>
        <w:spacing w:after="0" w:line="82" w:lineRule="exact"/>
        <w:rPr>
          <w:rFonts w:ascii="Times New Roman" w:cs="Times New Roman" w:eastAsia="Times New Roman" w:hAnsi="Times New Roman"/>
          <w:sz w:val="14"/>
          <w:szCs w:val="14"/>
          <w:color w:val="auto"/>
        </w:rPr>
      </w:pPr>
    </w:p>
    <w:p>
      <w:pPr>
        <w:ind w:left="1820" w:right="1499" w:hanging="131"/>
        <w:spacing w:after="0" w:line="262" w:lineRule="auto"/>
        <w:tabs>
          <w:tab w:leader="none" w:pos="1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principal amount of the outstanding WM Notes make a written request to the Trustee to pursue the remedy;</w:t>
      </w:r>
    </w:p>
    <w:p>
      <w:pPr>
        <w:spacing w:after="0" w:line="44"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offer to the Trustee indemnity satisfactory to the Trustee;</w:t>
      </w:r>
    </w:p>
    <w:p>
      <w:pPr>
        <w:spacing w:after="0" w:line="82"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fails to act for a period of 60 days after receipt of the request and offer of indemnity; and</w:t>
      </w:r>
    </w:p>
    <w:p>
      <w:pPr>
        <w:spacing w:after="0" w:line="82" w:lineRule="exact"/>
        <w:rPr>
          <w:rFonts w:ascii="Times New Roman" w:cs="Times New Roman" w:eastAsia="Times New Roman" w:hAnsi="Times New Roman"/>
          <w:sz w:val="14"/>
          <w:szCs w:val="14"/>
          <w:color w:val="auto"/>
        </w:rPr>
      </w:pPr>
    </w:p>
    <w:p>
      <w:pPr>
        <w:ind w:left="1820" w:right="1439" w:hanging="131"/>
        <w:spacing w:after="0" w:line="262" w:lineRule="auto"/>
        <w:tabs>
          <w:tab w:leader="none" w:pos="1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that 60-day period, the holders of a majority in principal amount of the WM Notes do not give the Trustee a direction inconsistent with the request.</w:t>
      </w:r>
    </w:p>
    <w:p>
      <w:pPr>
        <w:spacing w:after="0" w:line="85" w:lineRule="exact"/>
        <w:rPr>
          <w:sz w:val="20"/>
          <w:szCs w:val="20"/>
          <w:color w:val="auto"/>
        </w:rPr>
      </w:pPr>
    </w:p>
    <w:p>
      <w:pPr>
        <w:ind w:left="1420" w:right="1659" w:firstLine="271"/>
        <w:spacing w:after="0" w:line="247" w:lineRule="auto"/>
        <w:rPr>
          <w:sz w:val="20"/>
          <w:szCs w:val="20"/>
          <w:color w:val="auto"/>
        </w:rPr>
      </w:pPr>
      <w:r>
        <w:rPr>
          <w:rFonts w:ascii="Times New Roman" w:cs="Times New Roman" w:eastAsia="Times New Roman" w:hAnsi="Times New Roman"/>
          <w:sz w:val="14"/>
          <w:szCs w:val="14"/>
          <w:color w:val="auto"/>
        </w:rPr>
        <w:t>This provision does not, however, affect the right of a Holder to sue for enforcement of any overdue payment.</w:t>
      </w:r>
    </w:p>
    <w:p>
      <w:pPr>
        <w:spacing w:after="0" w:line="85" w:lineRule="exact"/>
        <w:rPr>
          <w:sz w:val="20"/>
          <w:szCs w:val="20"/>
          <w:color w:val="auto"/>
        </w:rPr>
      </w:pPr>
    </w:p>
    <w:p>
      <w:pPr>
        <w:jc w:val="both"/>
        <w:ind w:left="1420" w:right="1799" w:firstLine="271"/>
        <w:spacing w:after="0" w:line="244" w:lineRule="auto"/>
        <w:rPr>
          <w:sz w:val="20"/>
          <w:szCs w:val="20"/>
          <w:color w:val="auto"/>
        </w:rPr>
      </w:pPr>
      <w:r>
        <w:rPr>
          <w:rFonts w:ascii="Times New Roman" w:cs="Times New Roman" w:eastAsia="Times New Roman" w:hAnsi="Times New Roman"/>
          <w:sz w:val="14"/>
          <w:szCs w:val="14"/>
          <w:color w:val="auto"/>
        </w:rPr>
        <w:t>In most cases (subject to certain conditions including providing reasonable indemnification to the Trustee), holders of a majority in principal amount of the outstanding WM Notes may direct the time, method and place of:</w:t>
      </w:r>
    </w:p>
    <w:p>
      <w:pPr>
        <w:spacing w:after="0" w:line="57" w:lineRule="exact"/>
        <w:rPr>
          <w:sz w:val="20"/>
          <w:szCs w:val="20"/>
          <w:color w:val="auto"/>
        </w:rPr>
      </w:pPr>
    </w:p>
    <w:p>
      <w:pPr>
        <w:ind w:left="1820" w:hanging="131"/>
        <w:spacing w:after="0"/>
        <w:tabs>
          <w:tab w:leader="none" w:pos="1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any proceeding for any remedy available to the Trustee; and</w:t>
      </w:r>
    </w:p>
    <w:p>
      <w:pPr>
        <w:spacing w:after="0" w:line="72" w:lineRule="exact"/>
        <w:rPr>
          <w:rFonts w:ascii="Times New Roman" w:cs="Times New Roman" w:eastAsia="Times New Roman" w:hAnsi="Times New Roman"/>
          <w:sz w:val="14"/>
          <w:szCs w:val="14"/>
          <w:color w:val="auto"/>
        </w:rPr>
      </w:pPr>
    </w:p>
    <w:p>
      <w:pPr>
        <w:ind w:left="1820" w:right="1499" w:hanging="131"/>
        <w:spacing w:after="0" w:line="262" w:lineRule="auto"/>
        <w:tabs>
          <w:tab w:leader="none" w:pos="1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exercising any trust or power conferred on the Trustee relating to or arising as a result of an event of default.</w:t>
      </w:r>
    </w:p>
    <w:p>
      <w:pPr>
        <w:spacing w:after="0" w:line="85" w:lineRule="exact"/>
        <w:rPr>
          <w:sz w:val="20"/>
          <w:szCs w:val="20"/>
          <w:color w:val="auto"/>
        </w:rPr>
      </w:pPr>
    </w:p>
    <w:p>
      <w:pPr>
        <w:ind w:left="1420" w:right="1439" w:firstLine="271"/>
        <w:spacing w:after="0" w:line="247" w:lineRule="auto"/>
        <w:rPr>
          <w:sz w:val="20"/>
          <w:szCs w:val="20"/>
          <w:color w:val="auto"/>
        </w:rPr>
      </w:pPr>
      <w:r>
        <w:rPr>
          <w:rFonts w:ascii="Times New Roman" w:cs="Times New Roman" w:eastAsia="Times New Roman" w:hAnsi="Times New Roman"/>
          <w:sz w:val="14"/>
          <w:szCs w:val="14"/>
          <w:color w:val="auto"/>
        </w:rPr>
        <w:t>The Indenture will require us to file each year with the Trustee a written statement as to our compliance with the covenants contained in the Indenture.</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107" w:lineRule="exact"/>
        <w:rPr>
          <w:sz w:val="20"/>
          <w:szCs w:val="20"/>
          <w:color w:val="auto"/>
        </w:rPr>
      </w:pPr>
    </w:p>
    <w:p>
      <w:pPr>
        <w:ind w:left="1420" w:right="1499" w:firstLine="271"/>
        <w:spacing w:after="0" w:line="239" w:lineRule="auto"/>
        <w:rPr>
          <w:sz w:val="20"/>
          <w:szCs w:val="20"/>
          <w:color w:val="auto"/>
        </w:rPr>
      </w:pPr>
      <w:r>
        <w:rPr>
          <w:rFonts w:ascii="Times New Roman" w:cs="Times New Roman" w:eastAsia="Times New Roman" w:hAnsi="Times New Roman"/>
          <w:sz w:val="14"/>
          <w:szCs w:val="14"/>
          <w:color w:val="auto"/>
        </w:rPr>
        <w:t>The Indenture may be amended or supplemented if the majority in principal amount of the outstanding WM Notes issued under the Indenture that are affected by the amendment or supplement (acting as one class) consent to it. Additionally, without the consent of the Holder of each Registered Notes affected, no modification may:</w:t>
      </w:r>
    </w:p>
    <w:p>
      <w:pPr>
        <w:spacing w:after="0" w:line="59" w:lineRule="exact"/>
        <w:rPr>
          <w:sz w:val="20"/>
          <w:szCs w:val="20"/>
          <w:color w:val="auto"/>
        </w:rPr>
      </w:pPr>
    </w:p>
    <w:p>
      <w:pPr>
        <w:ind w:left="1820" w:right="1439" w:hanging="131"/>
        <w:spacing w:after="0" w:line="262" w:lineRule="auto"/>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Registered Notes whose Holders must consent to an amendment, supplement or waiver;</w:t>
      </w:r>
    </w:p>
    <w:p>
      <w:pPr>
        <w:spacing w:after="0" w:line="54"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change the time for payment of interest on the Registered Notes;</w:t>
      </w:r>
    </w:p>
    <w:p>
      <w:pPr>
        <w:spacing w:after="0" w:line="82"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the Registered Notes or change its stated maturity;</w:t>
      </w:r>
    </w:p>
    <w:p>
      <w:pPr>
        <w:spacing w:after="0" w:line="82" w:lineRule="exact"/>
        <w:rPr>
          <w:rFonts w:ascii="Times New Roman" w:cs="Times New Roman" w:eastAsia="Times New Roman" w:hAnsi="Times New Roman"/>
          <w:sz w:val="14"/>
          <w:szCs w:val="14"/>
          <w:color w:val="auto"/>
        </w:rPr>
      </w:pPr>
    </w:p>
    <w:p>
      <w:pPr>
        <w:ind w:left="1820" w:right="1519" w:hanging="131"/>
        <w:spacing w:after="0" w:line="262" w:lineRule="auto"/>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any premium payable on the redemption of the Registered Notes or change the time at which the Registered Notes may or must be redeemed;</w:t>
      </w:r>
    </w:p>
    <w:p>
      <w:pPr>
        <w:spacing w:after="0" w:line="54"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any obligation to pay additional amounts on the Registered Notes;</w:t>
      </w:r>
    </w:p>
    <w:p>
      <w:pPr>
        <w:spacing w:after="0" w:line="82"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any obligation for us to maintain a paying agency;</w:t>
      </w:r>
    </w:p>
    <w:p>
      <w:pPr>
        <w:spacing w:after="0" w:line="82" w:lineRule="exact"/>
        <w:rPr>
          <w:rFonts w:ascii="Times New Roman" w:cs="Times New Roman" w:eastAsia="Times New Roman" w:hAnsi="Times New Roman"/>
          <w:sz w:val="14"/>
          <w:szCs w:val="14"/>
          <w:color w:val="auto"/>
        </w:rPr>
      </w:pPr>
    </w:p>
    <w:p>
      <w:pPr>
        <w:ind w:left="1820" w:right="1699" w:hanging="131"/>
        <w:spacing w:after="0" w:line="262" w:lineRule="auto"/>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payments on the Registered Notes payable in currency other than as originally stated in the Registered Notes;</w:t>
      </w:r>
    </w:p>
    <w:p>
      <w:pPr>
        <w:spacing w:after="0" w:line="54" w:lineRule="exact"/>
        <w:rPr>
          <w:rFonts w:ascii="Times New Roman" w:cs="Times New Roman" w:eastAsia="Times New Roman" w:hAnsi="Times New Roman"/>
          <w:sz w:val="14"/>
          <w:szCs w:val="14"/>
          <w:color w:val="auto"/>
        </w:rPr>
      </w:pPr>
    </w:p>
    <w:p>
      <w:pPr>
        <w:ind w:left="1820" w:right="1619" w:hanging="131"/>
        <w:spacing w:after="0" w:line="262" w:lineRule="auto"/>
        <w:tabs>
          <w:tab w:leader="none" w:pos="1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Holder’s right to institute suit for the enforcement of any payment on or with respect to the Registered Notes; or</w:t>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0" w:name="page41"/>
    <w:bookmarkEnd w:id="40"/>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20" w:right="1439" w:hanging="131"/>
        <w:spacing w:after="0" w:line="252" w:lineRule="auto"/>
        <w:tabs>
          <w:tab w:leader="none" w:pos="18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the percentage of principal amount of Registered Notes necessary to waive compliance with certain provisions of the Indenture or to make any change in the provision related to modification.</w:t>
      </w:r>
    </w:p>
    <w:p>
      <w:pPr>
        <w:spacing w:after="0" w:line="92" w:lineRule="exact"/>
        <w:rPr>
          <w:sz w:val="20"/>
          <w:szCs w:val="20"/>
          <w:color w:val="auto"/>
        </w:rPr>
      </w:pPr>
    </w:p>
    <w:p>
      <w:pPr>
        <w:jc w:val="both"/>
        <w:ind w:left="1420" w:right="1439" w:firstLine="271"/>
        <w:spacing w:after="0" w:line="252"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WM Notes may waive any existing or past default or event of default with respect to the Registered Notes. Those holders may not, however, waive any:</w:t>
      </w:r>
    </w:p>
    <w:p>
      <w:pPr>
        <w:spacing w:after="0" w:line="61" w:lineRule="exact"/>
        <w:rPr>
          <w:sz w:val="20"/>
          <w:szCs w:val="20"/>
          <w:color w:val="auto"/>
        </w:rPr>
      </w:pPr>
    </w:p>
    <w:p>
      <w:pPr>
        <w:ind w:left="1820" w:hanging="131"/>
        <w:spacing w:after="0"/>
        <w:tabs>
          <w:tab w:leader="none" w:pos="18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or event of default in any payment on the WM Notes; or</w:t>
      </w:r>
    </w:p>
    <w:p>
      <w:pPr>
        <w:spacing w:after="0" w:line="82" w:lineRule="exact"/>
        <w:rPr>
          <w:rFonts w:ascii="Times New Roman" w:cs="Times New Roman" w:eastAsia="Times New Roman" w:hAnsi="Times New Roman"/>
          <w:sz w:val="14"/>
          <w:szCs w:val="14"/>
          <w:color w:val="auto"/>
        </w:rPr>
      </w:pPr>
    </w:p>
    <w:p>
      <w:pPr>
        <w:ind w:left="1820" w:right="1639" w:hanging="131"/>
        <w:spacing w:after="0" w:line="262" w:lineRule="auto"/>
        <w:tabs>
          <w:tab w:leader="none" w:pos="18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 provision that cannot be amended or supplemented without the consent of each holder affected.</w:t>
      </w:r>
    </w:p>
    <w:p>
      <w:pPr>
        <w:spacing w:after="0" w:line="13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Defeasance</w:t>
      </w:r>
    </w:p>
    <w:p>
      <w:pPr>
        <w:spacing w:after="0" w:line="117" w:lineRule="exact"/>
        <w:rPr>
          <w:sz w:val="20"/>
          <w:szCs w:val="20"/>
          <w:color w:val="auto"/>
        </w:rPr>
      </w:pPr>
    </w:p>
    <w:p>
      <w:pPr>
        <w:jc w:val="both"/>
        <w:ind w:left="1420" w:right="1659" w:firstLine="271"/>
        <w:spacing w:after="0" w:line="248" w:lineRule="auto"/>
        <w:rPr>
          <w:sz w:val="20"/>
          <w:szCs w:val="20"/>
          <w:color w:val="auto"/>
        </w:rPr>
      </w:pPr>
      <w:r>
        <w:rPr>
          <w:rFonts w:ascii="Times New Roman" w:cs="Times New Roman" w:eastAsia="Times New Roman" w:hAnsi="Times New Roman"/>
          <w:sz w:val="14"/>
          <w:szCs w:val="14"/>
          <w:color w:val="auto"/>
        </w:rPr>
        <w:t>When we use the term defeasance, we mean discharge from some or all of our obligations under the Indenture. If any combination of funds or government securities are deposited with the Trustee under the Indenture sufficient to make payments on the Registered Notes on the dates those payments are due and payable, then, at our option, either of the following will occur:</w:t>
      </w:r>
    </w:p>
    <w:p>
      <w:pPr>
        <w:spacing w:after="0" w:line="65" w:lineRule="exact"/>
        <w:rPr>
          <w:sz w:val="20"/>
          <w:szCs w:val="20"/>
          <w:color w:val="auto"/>
        </w:rPr>
      </w:pPr>
    </w:p>
    <w:p>
      <w:pPr>
        <w:ind w:left="1820" w:right="1799" w:hanging="131"/>
        <w:spacing w:after="0" w:line="262" w:lineRule="auto"/>
        <w:tabs>
          <w:tab w:leader="none" w:pos="18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discharged from our obligations with respect to the Registered Notes and the related guarantees (“</w:t>
      </w:r>
      <w:r>
        <w:rPr>
          <w:rFonts w:ascii="Times New Roman" w:cs="Times New Roman" w:eastAsia="Times New Roman" w:hAnsi="Times New Roman"/>
          <w:sz w:val="14"/>
          <w:szCs w:val="14"/>
          <w:i w:val="1"/>
          <w:iCs w:val="1"/>
          <w:color w:val="auto"/>
        </w:rPr>
        <w:t>legal defeasance</w:t>
      </w:r>
      <w:r>
        <w:rPr>
          <w:rFonts w:ascii="Times New Roman" w:cs="Times New Roman" w:eastAsia="Times New Roman" w:hAnsi="Times New Roman"/>
          <w:sz w:val="14"/>
          <w:szCs w:val="14"/>
          <w:color w:val="auto"/>
        </w:rPr>
        <w:t>”); or</w:t>
      </w:r>
    </w:p>
    <w:p>
      <w:pPr>
        <w:spacing w:after="0" w:line="54" w:lineRule="exact"/>
        <w:rPr>
          <w:rFonts w:ascii="Times New Roman" w:cs="Times New Roman" w:eastAsia="Times New Roman" w:hAnsi="Times New Roman"/>
          <w:sz w:val="14"/>
          <w:szCs w:val="14"/>
          <w:color w:val="auto"/>
        </w:rPr>
      </w:pPr>
    </w:p>
    <w:p>
      <w:pPr>
        <w:jc w:val="both"/>
        <w:ind w:left="1820" w:right="1459" w:hanging="131"/>
        <w:spacing w:after="0" w:line="252" w:lineRule="auto"/>
        <w:tabs>
          <w:tab w:leader="none" w:pos="18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 longer have any obligation to comply with the restrictive covenants, certain aspects of the merger covenant and other specified covenants under the Indenture, and the related events of default will no longer apply (“</w:t>
      </w:r>
      <w:r>
        <w:rPr>
          <w:rFonts w:ascii="Times New Roman" w:cs="Times New Roman" w:eastAsia="Times New Roman" w:hAnsi="Times New Roman"/>
          <w:sz w:val="14"/>
          <w:szCs w:val="14"/>
          <w:i w:val="1"/>
          <w:iCs w:val="1"/>
          <w:color w:val="auto"/>
        </w:rPr>
        <w:t>covenant defeasance</w:t>
      </w:r>
      <w:r>
        <w:rPr>
          <w:rFonts w:ascii="Times New Roman" w:cs="Times New Roman" w:eastAsia="Times New Roman" w:hAnsi="Times New Roman"/>
          <w:sz w:val="14"/>
          <w:szCs w:val="14"/>
          <w:color w:val="auto"/>
        </w:rPr>
        <w:t>”).</w:t>
      </w:r>
    </w:p>
    <w:p>
      <w:pPr>
        <w:spacing w:after="0" w:line="92" w:lineRule="exact"/>
        <w:rPr>
          <w:sz w:val="20"/>
          <w:szCs w:val="20"/>
          <w:color w:val="auto"/>
        </w:rPr>
      </w:pPr>
    </w:p>
    <w:p>
      <w:pPr>
        <w:ind w:left="1420" w:right="1439" w:firstLine="271"/>
        <w:spacing w:after="0" w:line="247" w:lineRule="auto"/>
        <w:rPr>
          <w:sz w:val="20"/>
          <w:szCs w:val="20"/>
          <w:color w:val="auto"/>
        </w:rPr>
      </w:pPr>
      <w:r>
        <w:rPr>
          <w:rFonts w:ascii="Times New Roman" w:cs="Times New Roman" w:eastAsia="Times New Roman" w:hAnsi="Times New Roman"/>
          <w:sz w:val="14"/>
          <w:szCs w:val="14"/>
          <w:color w:val="auto"/>
        </w:rPr>
        <w:t>If the Registered Notes are defeased, the Holders will not be entitled to the benefits of the Indenture, except for obligations to register the transfer or exchange of Registered Notes, replace stolen, lost or mutilated Registered Notes, maintain paying agencies, and hold moneys for payment in trust. In the case of covenant defeasance, our obligation to pay principal, premium and interest on the Registered Notes will also survive.</w:t>
      </w:r>
    </w:p>
    <w:p>
      <w:pPr>
        <w:spacing w:after="0" w:line="85" w:lineRule="exact"/>
        <w:rPr>
          <w:sz w:val="20"/>
          <w:szCs w:val="20"/>
          <w:color w:val="auto"/>
        </w:rPr>
      </w:pPr>
    </w:p>
    <w:p>
      <w:pPr>
        <w:ind w:left="1420" w:right="1639" w:firstLine="271"/>
        <w:spacing w:after="0" w:line="248" w:lineRule="auto"/>
        <w:rPr>
          <w:sz w:val="20"/>
          <w:szCs w:val="20"/>
          <w:color w:val="auto"/>
        </w:rPr>
      </w:pPr>
      <w:r>
        <w:rPr>
          <w:rFonts w:ascii="Times New Roman" w:cs="Times New Roman" w:eastAsia="Times New Roman" w:hAnsi="Times New Roman"/>
          <w:sz w:val="14"/>
          <w:szCs w:val="14"/>
          <w:color w:val="auto"/>
        </w:rPr>
        <w:t>We will be required to deliver to the Trustee an opinion of counsel that the deposit and related defeasance would not cause the Holders to recognize income, gain or loss for U.S. federal income tax purposes. If we elect legal defeasance, that opinion of counsel must be based upon a ruling from the U.S. Internal Revenue Service or a change in law to that effect.</w:t>
      </w:r>
    </w:p>
    <w:p>
      <w:pPr>
        <w:spacing w:after="0" w:line="14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117" w:lineRule="exact"/>
        <w:rPr>
          <w:sz w:val="20"/>
          <w:szCs w:val="20"/>
          <w:color w:val="auto"/>
        </w:rPr>
      </w:pPr>
    </w:p>
    <w:p>
      <w:pPr>
        <w:ind w:left="1420" w:right="1459" w:firstLine="271"/>
        <w:spacing w:after="0" w:line="252" w:lineRule="auto"/>
        <w:rPr>
          <w:sz w:val="20"/>
          <w:szCs w:val="20"/>
          <w:color w:val="auto"/>
        </w:rPr>
      </w:pPr>
      <w:r>
        <w:rPr>
          <w:rFonts w:ascii="Times New Roman" w:cs="Times New Roman" w:eastAsia="Times New Roman" w:hAnsi="Times New Roman"/>
          <w:sz w:val="14"/>
          <w:szCs w:val="14"/>
          <w:color w:val="auto"/>
        </w:rPr>
        <w:t>Upon our written request, the Indenture will be discharged and will cease to be of further effect (except as to surviving rights of registration of transfer or exchange of the Registered Notes and as otherwise expressly provided for in the Indenture) as to all outstanding Registered Notes, when:</w:t>
      </w:r>
    </w:p>
    <w:p>
      <w:pPr>
        <w:spacing w:after="0" w:line="92" w:lineRule="exact"/>
        <w:rPr>
          <w:sz w:val="20"/>
          <w:szCs w:val="20"/>
          <w:color w:val="auto"/>
        </w:rPr>
      </w:pPr>
    </w:p>
    <w:p>
      <w:pPr>
        <w:ind w:left="2240" w:hanging="280"/>
        <w:spacing w:after="0"/>
        <w:tabs>
          <w:tab w:leader="none" w:pos="2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102" w:lineRule="exact"/>
        <w:rPr>
          <w:rFonts w:ascii="Times New Roman" w:cs="Times New Roman" w:eastAsia="Times New Roman" w:hAnsi="Times New Roman"/>
          <w:sz w:val="14"/>
          <w:szCs w:val="14"/>
          <w:color w:val="auto"/>
        </w:rPr>
      </w:pPr>
    </w:p>
    <w:p>
      <w:pPr>
        <w:ind w:left="2500" w:right="1499" w:hanging="269"/>
        <w:spacing w:after="0" w:line="247" w:lineRule="auto"/>
        <w:tabs>
          <w:tab w:leader="none" w:pos="250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the Registered Notes theretofore authenticated and delivered (except lost, stolen or destroyed Registered Notes which have been replaced or paid and Registered Notes for whose payment money has theretofore been deposited in trust or segregated and held in trust by us and thereafter repaid to us or discharged from such trust) have been delivered to the Trustee for cancellation; or</w:t>
      </w:r>
    </w:p>
    <w:p>
      <w:pPr>
        <w:spacing w:after="0" w:line="95" w:lineRule="exact"/>
        <w:rPr>
          <w:rFonts w:ascii="Times New Roman" w:cs="Times New Roman" w:eastAsia="Times New Roman" w:hAnsi="Times New Roman"/>
          <w:sz w:val="14"/>
          <w:szCs w:val="14"/>
          <w:color w:val="auto"/>
        </w:rPr>
      </w:pPr>
    </w:p>
    <w:p>
      <w:pPr>
        <w:ind w:left="2500" w:right="1459" w:hanging="269"/>
        <w:spacing w:after="0" w:line="244" w:lineRule="auto"/>
        <w:tabs>
          <w:tab w:leader="none" w:pos="250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Registered Notes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U.S. legal tender, U.S. Governmental Obligations or a combination thereof, in an amount sufficient to pay and discharge the entire indebtedness on the Registered Notes not theretofore delivered to the Trustee for cancellation, including any premium and interest on the Registered Notes to the</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1" w:name="page42"/>
    <w:bookmarkEnd w:id="41"/>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500" w:right="1439"/>
        <w:spacing w:after="0" w:line="239" w:lineRule="auto"/>
        <w:rPr>
          <w:sz w:val="20"/>
          <w:szCs w:val="20"/>
          <w:color w:val="auto"/>
        </w:rPr>
      </w:pPr>
      <w:r>
        <w:rPr>
          <w:rFonts w:ascii="Times New Roman" w:cs="Times New Roman" w:eastAsia="Times New Roman" w:hAnsi="Times New Roman"/>
          <w:sz w:val="14"/>
          <w:szCs w:val="14"/>
          <w:color w:val="auto"/>
        </w:rPr>
        <w:t>maturity date or applicable redemption date (provided that, upon any redemption that requires the payment of any make-whole premium, (x) the amount of cash that must be deposited will be determined using an assumed applicable premium calculated as of the date of such deposit, and (y) we will deposit any deficit in trust on or prior to the redemption date as necessary to pay the applicable premium as determined by such date);</w:t>
      </w:r>
    </w:p>
    <w:p>
      <w:pPr>
        <w:spacing w:after="0" w:line="92" w:lineRule="exact"/>
        <w:rPr>
          <w:sz w:val="20"/>
          <w:szCs w:val="20"/>
          <w:color w:val="auto"/>
        </w:rPr>
      </w:pPr>
    </w:p>
    <w:p>
      <w:pPr>
        <w:ind w:left="1680" w:right="1519" w:firstLine="280"/>
        <w:spacing w:after="0" w:line="247" w:lineRule="auto"/>
        <w:tabs>
          <w:tab w:leader="none" w:pos="222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all other sums payable under the Indenture by us with respect to the Registered Notes; and</w:t>
      </w:r>
    </w:p>
    <w:p>
      <w:pPr>
        <w:spacing w:after="0" w:line="84" w:lineRule="exact"/>
        <w:rPr>
          <w:rFonts w:ascii="Times New Roman" w:cs="Times New Roman" w:eastAsia="Times New Roman" w:hAnsi="Times New Roman"/>
          <w:sz w:val="14"/>
          <w:szCs w:val="14"/>
          <w:color w:val="auto"/>
        </w:rPr>
      </w:pPr>
    </w:p>
    <w:p>
      <w:pPr>
        <w:ind w:left="1680" w:right="1479" w:firstLine="280"/>
        <w:spacing w:after="0" w:line="244" w:lineRule="auto"/>
        <w:tabs>
          <w:tab w:leader="none" w:pos="222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85" w:lineRule="exact"/>
        <w:rPr>
          <w:sz w:val="20"/>
          <w:szCs w:val="20"/>
          <w:color w:val="auto"/>
        </w:rPr>
      </w:pPr>
    </w:p>
    <w:p>
      <w:pPr>
        <w:ind w:left="1420" w:right="1579" w:firstLine="271"/>
        <w:spacing w:after="0" w:line="23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Governmental Obligations</w:t>
      </w:r>
      <w:r>
        <w:rPr>
          <w:rFonts w:ascii="Times New Roman" w:cs="Times New Roman" w:eastAsia="Times New Roman" w:hAnsi="Times New Roman"/>
          <w:sz w:val="14"/>
          <w:szCs w:val="14"/>
          <w:color w:val="auto"/>
        </w:rPr>
        <w:t>” means direct non-callable obligations of, or guaranteed by, the United States of America for the payment of which guarantee or obligations the full faith and credit of the United States is pledged.</w:t>
      </w:r>
    </w:p>
    <w:p>
      <w:pPr>
        <w:spacing w:after="0" w:line="14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Ranking</w:t>
      </w:r>
    </w:p>
    <w:p>
      <w:pPr>
        <w:spacing w:after="0" w:line="107" w:lineRule="exact"/>
        <w:rPr>
          <w:sz w:val="20"/>
          <w:szCs w:val="20"/>
          <w:color w:val="auto"/>
        </w:rPr>
      </w:pPr>
    </w:p>
    <w:p>
      <w:pPr>
        <w:ind w:left="1420" w:right="1539" w:firstLine="271"/>
        <w:spacing w:after="0" w:line="244" w:lineRule="auto"/>
        <w:rPr>
          <w:sz w:val="20"/>
          <w:szCs w:val="20"/>
          <w:color w:val="auto"/>
        </w:rPr>
      </w:pPr>
      <w:r>
        <w:rPr>
          <w:rFonts w:ascii="Times New Roman" w:cs="Times New Roman" w:eastAsia="Times New Roman" w:hAnsi="Times New Roman"/>
          <w:sz w:val="14"/>
          <w:szCs w:val="14"/>
          <w:color w:val="auto"/>
        </w:rPr>
        <w:t>The Registered Notes will be our unsecured and unsubordinated obligations, and will rank equally in contractual right of payment with all of our other existing and future senior indebtedness from time to time outstanding.</w:t>
      </w:r>
    </w:p>
    <w:p>
      <w:pPr>
        <w:spacing w:after="0" w:line="87" w:lineRule="exact"/>
        <w:rPr>
          <w:sz w:val="20"/>
          <w:szCs w:val="20"/>
          <w:color w:val="auto"/>
        </w:rPr>
      </w:pPr>
    </w:p>
    <w:p>
      <w:pPr>
        <w:ind w:left="1420" w:right="1539" w:firstLine="271"/>
        <w:spacing w:after="0" w:line="236" w:lineRule="auto"/>
        <w:rPr>
          <w:sz w:val="20"/>
          <w:szCs w:val="20"/>
          <w:color w:val="auto"/>
        </w:rPr>
      </w:pPr>
      <w:r>
        <w:rPr>
          <w:rFonts w:ascii="Times New Roman" w:cs="Times New Roman" w:eastAsia="Times New Roman" w:hAnsi="Times New Roman"/>
          <w:sz w:val="14"/>
          <w:szCs w:val="14"/>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 Further Issuances” above.</w:t>
      </w:r>
    </w:p>
    <w:p>
      <w:pPr>
        <w:spacing w:after="0" w:line="91" w:lineRule="exact"/>
        <w:rPr>
          <w:sz w:val="20"/>
          <w:szCs w:val="20"/>
          <w:color w:val="auto"/>
        </w:rPr>
      </w:pPr>
    </w:p>
    <w:p>
      <w:pPr>
        <w:ind w:left="1420" w:right="1439" w:firstLine="271"/>
        <w:spacing w:after="0" w:line="243" w:lineRule="auto"/>
        <w:rPr>
          <w:sz w:val="20"/>
          <w:szCs w:val="20"/>
          <w:color w:val="auto"/>
        </w:rPr>
      </w:pPr>
      <w:r>
        <w:rPr>
          <w:rFonts w:ascii="Times New Roman" w:cs="Times New Roman" w:eastAsia="Times New Roman" w:hAnsi="Times New Roman"/>
          <w:sz w:val="14"/>
          <w:szCs w:val="14"/>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Registered Notes. While the Registered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will have a junior position to the claims of creditors of our operating subsidiaries on their assets and earnings. The Registered Notes will also be effectively subordinated to any secured debt we have or may incur, to the extent of the value of the assets securing that debt. The Indenture does not limit the amount of debt our subsidiaries can incur, and it permits us to incur some secured debt.</w:t>
      </w:r>
    </w:p>
    <w:p>
      <w:pPr>
        <w:spacing w:after="0" w:line="104" w:lineRule="exact"/>
        <w:rPr>
          <w:sz w:val="20"/>
          <w:szCs w:val="20"/>
          <w:color w:val="auto"/>
        </w:rPr>
      </w:pPr>
    </w:p>
    <w:p>
      <w:pPr>
        <w:jc w:val="both"/>
        <w:ind w:left="1420" w:right="1559" w:firstLine="271"/>
        <w:spacing w:after="0" w:line="252" w:lineRule="auto"/>
        <w:rPr>
          <w:sz w:val="20"/>
          <w:szCs w:val="20"/>
          <w:color w:val="auto"/>
        </w:rPr>
      </w:pPr>
      <w:r>
        <w:rPr>
          <w:rFonts w:ascii="Times New Roman" w:cs="Times New Roman" w:eastAsia="Times New Roman" w:hAnsi="Times New Roman"/>
          <w:sz w:val="14"/>
          <w:szCs w:val="14"/>
          <w:color w:val="auto"/>
        </w:rPr>
        <w:t>As of March 31, 2025, our operating subsidiaries had $2.7 billion of indebtedness and WM Holdings had $223 million of long-term debt (excluding guarantees of $17.8 billion of our senior debt), in each case excluding intercompany loans.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New York law will govern the Indenture and the Registered Notes.</w:t>
      </w:r>
    </w:p>
    <w:p>
      <w:pPr>
        <w:spacing w:after="0" w:line="1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117" w:lineRule="exact"/>
        <w:rPr>
          <w:sz w:val="20"/>
          <w:szCs w:val="20"/>
          <w:color w:val="auto"/>
        </w:rPr>
      </w:pPr>
    </w:p>
    <w:p>
      <w:pPr>
        <w:ind w:left="1420" w:right="1599" w:firstLine="271"/>
        <w:spacing w:after="0" w:line="262" w:lineRule="auto"/>
        <w:rPr>
          <w:sz w:val="20"/>
          <w:szCs w:val="20"/>
          <w:color w:val="auto"/>
        </w:rPr>
      </w:pPr>
      <w:r>
        <w:rPr>
          <w:rFonts w:ascii="Times New Roman" w:cs="Times New Roman" w:eastAsia="Times New Roman" w:hAnsi="Times New Roman"/>
          <w:sz w:val="14"/>
          <w:szCs w:val="14"/>
          <w:color w:val="auto"/>
        </w:rPr>
        <w:t>The Bank of New York Mellon Trust Company, N.A. is the Trustee under the Indenture and has been appointed by WM as the paying agent and registrar with regard to the Registered Notes.</w:t>
      </w:r>
    </w:p>
    <w:p>
      <w:pPr>
        <w:spacing w:after="0" w:line="85" w:lineRule="exact"/>
        <w:rPr>
          <w:sz w:val="20"/>
          <w:szCs w:val="20"/>
          <w:color w:val="auto"/>
        </w:rPr>
      </w:pPr>
    </w:p>
    <w:p>
      <w:pPr>
        <w:ind w:left="1420" w:right="1619" w:firstLine="271"/>
        <w:spacing w:after="0" w:line="262" w:lineRule="auto"/>
        <w:rPr>
          <w:sz w:val="20"/>
          <w:szCs w:val="20"/>
          <w:color w:val="auto"/>
        </w:rPr>
      </w:pPr>
      <w:r>
        <w:rPr>
          <w:rFonts w:ascii="Times New Roman" w:cs="Times New Roman" w:eastAsia="Times New Roman" w:hAnsi="Times New Roman"/>
          <w:sz w:val="14"/>
          <w:szCs w:val="14"/>
          <w:color w:val="auto"/>
        </w:rPr>
        <w:t>The Indenture provides that, except during the continuance of an event of default, the Trustee will perform only such duties as are specifically set forth in the Indenture. During the existence of an event of</w:t>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2" w:name="page43"/>
    <w:bookmarkEnd w:id="42"/>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20" w:right="1499"/>
        <w:spacing w:after="0" w:line="239" w:lineRule="auto"/>
        <w:rPr>
          <w:sz w:val="20"/>
          <w:szCs w:val="20"/>
          <w:color w:val="auto"/>
        </w:rPr>
      </w:pPr>
      <w:r>
        <w:rPr>
          <w:rFonts w:ascii="Times New Roman" w:cs="Times New Roman" w:eastAsia="Times New Roman" w:hAnsi="Times New Roman"/>
          <w:sz w:val="14"/>
          <w:szCs w:val="14"/>
          <w:color w:val="auto"/>
        </w:rPr>
        <w:t>default, the Trustee will exercise such rights and powers vested in it by the Indenture, and use the same degree of care and skill in its exercise as a prudent person would exercise or use under the circumstances in the conduct of his or her own affairs. Subject to such provisions, the Trustee will be under no obligation to exercise any of its rights or powers under the Indenture at the request of any Holder, unless such Holder shall have offered to the Trustee indemnity satisfactory to it against any loss, liability or expense.</w:t>
      </w:r>
    </w:p>
    <w:p>
      <w:pPr>
        <w:spacing w:after="0" w:line="92" w:lineRule="exact"/>
        <w:rPr>
          <w:sz w:val="20"/>
          <w:szCs w:val="20"/>
          <w:color w:val="auto"/>
        </w:rPr>
      </w:pPr>
    </w:p>
    <w:p>
      <w:pPr>
        <w:ind w:left="1420" w:right="1659" w:firstLine="271"/>
        <w:spacing w:after="0" w:line="239" w:lineRule="auto"/>
        <w:rPr>
          <w:sz w:val="20"/>
          <w:szCs w:val="20"/>
          <w:color w:val="auto"/>
        </w:rPr>
      </w:pPr>
      <w:r>
        <w:rPr>
          <w:rFonts w:ascii="Times New Roman" w:cs="Times New Roman" w:eastAsia="Times New Roman" w:hAnsi="Times New Roman"/>
          <w:sz w:val="14"/>
          <w:szCs w:val="14"/>
          <w:color w:val="auto"/>
        </w:rPr>
        <w:t>The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Book-Entry Systems</w:t>
      </w:r>
    </w:p>
    <w:p>
      <w:pPr>
        <w:spacing w:after="0" w:line="117" w:lineRule="exact"/>
        <w:rPr>
          <w:sz w:val="20"/>
          <w:szCs w:val="20"/>
          <w:color w:val="auto"/>
        </w:rPr>
      </w:pPr>
    </w:p>
    <w:p>
      <w:pPr>
        <w:ind w:left="1420" w:right="1519" w:firstLine="271"/>
        <w:spacing w:after="0" w:line="235" w:lineRule="auto"/>
        <w:rPr>
          <w:sz w:val="20"/>
          <w:szCs w:val="20"/>
          <w:color w:val="auto"/>
        </w:rPr>
      </w:pPr>
      <w:r>
        <w:rPr>
          <w:rFonts w:ascii="Times New Roman" w:cs="Times New Roman" w:eastAsia="Times New Roman" w:hAnsi="Times New Roman"/>
          <w:sz w:val="14"/>
          <w:szCs w:val="14"/>
          <w:color w:val="auto"/>
        </w:rPr>
        <w:t>We will issue the notes in the form of one or more fully registered global notes, without coupons, each of which we refer to as a “global note.” Each such global note will be registered in the name of a nominee of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notes.</w:t>
      </w:r>
    </w:p>
    <w:p>
      <w:pPr>
        <w:spacing w:after="0" w:line="89" w:lineRule="exact"/>
        <w:rPr>
          <w:sz w:val="20"/>
          <w:szCs w:val="20"/>
          <w:color w:val="auto"/>
        </w:rPr>
      </w:pPr>
    </w:p>
    <w:p>
      <w:pPr>
        <w:ind w:left="1420" w:right="1479" w:firstLine="271"/>
        <w:spacing w:after="0" w:line="239" w:lineRule="auto"/>
        <w:rPr>
          <w:sz w:val="20"/>
          <w:szCs w:val="20"/>
          <w:color w:val="auto"/>
        </w:rPr>
      </w:pPr>
      <w:r>
        <w:rPr>
          <w:rFonts w:ascii="Times New Roman" w:cs="Times New Roman" w:eastAsia="Times New Roman" w:hAnsi="Times New Roman"/>
          <w:sz w:val="14"/>
          <w:szCs w:val="14"/>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89" w:lineRule="exact"/>
        <w:rPr>
          <w:sz w:val="20"/>
          <w:szCs w:val="20"/>
          <w:color w:val="auto"/>
        </w:rPr>
      </w:pPr>
    </w:p>
    <w:p>
      <w:pPr>
        <w:ind w:left="1420" w:right="1479" w:firstLine="271"/>
        <w:spacing w:after="0" w:line="236" w:lineRule="auto"/>
        <w:rPr>
          <w:sz w:val="20"/>
          <w:szCs w:val="20"/>
          <w:color w:val="auto"/>
        </w:rPr>
      </w:pPr>
      <w:r>
        <w:rPr>
          <w:rFonts w:ascii="Times New Roman" w:cs="Times New Roman" w:eastAsia="Times New Roman" w:hAnsi="Times New Roman"/>
          <w:sz w:val="14"/>
          <w:szCs w:val="14"/>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While the following information concerning DTC, Euroclear and Clearstream and their respective</w:t>
      </w:r>
    </w:p>
    <w:p>
      <w:pPr>
        <w:spacing w:after="0" w:line="5" w:lineRule="exact"/>
        <w:rPr>
          <w:sz w:val="20"/>
          <w:szCs w:val="20"/>
          <w:color w:val="auto"/>
        </w:rPr>
      </w:pPr>
    </w:p>
    <w:p>
      <w:pPr>
        <w:ind w:left="1420" w:right="1499"/>
        <w:spacing w:after="0" w:line="241" w:lineRule="auto"/>
        <w:rPr>
          <w:sz w:val="20"/>
          <w:szCs w:val="20"/>
          <w:color w:val="auto"/>
        </w:rPr>
      </w:pPr>
      <w:r>
        <w:rPr>
          <w:rFonts w:ascii="Times New Roman" w:cs="Times New Roman" w:eastAsia="Times New Roman" w:hAnsi="Times New Roman"/>
          <w:sz w:val="14"/>
          <w:szCs w:val="14"/>
          <w:color w:val="auto"/>
        </w:rPr>
        <w:t>book-entry systems has been obtained from sources that we believe to be reliable, we take no responsibility for the accuracy of that information.</w:t>
      </w:r>
    </w:p>
    <w:p>
      <w:pPr>
        <w:spacing w:after="0" w:line="1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DTC</w:t>
      </w:r>
    </w:p>
    <w:p>
      <w:pPr>
        <w:spacing w:after="0" w:line="11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DTC has advised us and the dealer-managers as follows:</w:t>
      </w:r>
    </w:p>
    <w:p>
      <w:pPr>
        <w:spacing w:after="0" w:line="72" w:lineRule="exact"/>
        <w:rPr>
          <w:sz w:val="20"/>
          <w:szCs w:val="20"/>
          <w:color w:val="auto"/>
        </w:rPr>
      </w:pPr>
    </w:p>
    <w:p>
      <w:pPr>
        <w:ind w:left="1820" w:right="1579" w:hanging="131"/>
        <w:spacing w:after="0" w:line="248" w:lineRule="auto"/>
        <w:tabs>
          <w:tab w:leader="none" w:pos="18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the Exchange Act.</w:t>
      </w:r>
    </w:p>
    <w:p>
      <w:pPr>
        <w:spacing w:after="0" w:line="55" w:lineRule="exact"/>
        <w:rPr>
          <w:rFonts w:ascii="Times New Roman" w:cs="Times New Roman" w:eastAsia="Times New Roman" w:hAnsi="Times New Roman"/>
          <w:sz w:val="14"/>
          <w:szCs w:val="14"/>
          <w:color w:val="auto"/>
        </w:rPr>
      </w:pPr>
    </w:p>
    <w:p>
      <w:pPr>
        <w:ind w:left="1820" w:right="1439" w:hanging="131"/>
        <w:spacing w:after="0" w:line="248" w:lineRule="auto"/>
        <w:tabs>
          <w:tab w:leader="none" w:pos="18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55" w:lineRule="exact"/>
        <w:rPr>
          <w:rFonts w:ascii="Times New Roman" w:cs="Times New Roman" w:eastAsia="Times New Roman" w:hAnsi="Times New Roman"/>
          <w:sz w:val="14"/>
          <w:szCs w:val="14"/>
          <w:color w:val="auto"/>
        </w:rPr>
      </w:pPr>
    </w:p>
    <w:p>
      <w:pPr>
        <w:ind w:left="1820" w:right="1499" w:hanging="131"/>
        <w:spacing w:after="0" w:line="247" w:lineRule="auto"/>
        <w:tabs>
          <w:tab w:leader="none" w:pos="18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54"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rules applicable to DTC and its direct and indirect participants are on file with the SEC.</w:t>
      </w:r>
    </w:p>
    <w:p>
      <w:pPr>
        <w:spacing w:after="0" w:line="113" w:lineRule="exact"/>
        <w:rPr>
          <w:sz w:val="20"/>
          <w:szCs w:val="20"/>
          <w:color w:val="auto"/>
        </w:rPr>
      </w:pPr>
    </w:p>
    <w:p>
      <w:pPr>
        <w:ind w:left="1420" w:right="1439" w:firstLine="271"/>
        <w:spacing w:after="0" w:line="247" w:lineRule="auto"/>
        <w:rPr>
          <w:sz w:val="20"/>
          <w:szCs w:val="20"/>
          <w:color w:val="auto"/>
        </w:rPr>
      </w:pPr>
      <w:r>
        <w:rPr>
          <w:rFonts w:ascii="Times New Roman" w:cs="Times New Roman" w:eastAsia="Times New Roman" w:hAnsi="Times New Roman"/>
          <w:sz w:val="14"/>
          <w:szCs w:val="14"/>
          <w:color w:val="auto"/>
        </w:rPr>
        <w:t>Purchases of notes under the DTC system must be made by or through direct DTC participants, which will receive a credit for the notes in DTC’s records. The ownership interest of each actual purchaser of notes</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3" w:name="page44"/>
    <w:bookmarkEnd w:id="43"/>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20" w:right="1459"/>
        <w:spacing w:after="0" w:line="236" w:lineRule="auto"/>
        <w:rPr>
          <w:sz w:val="20"/>
          <w:szCs w:val="20"/>
          <w:color w:val="auto"/>
        </w:rPr>
      </w:pPr>
      <w:r>
        <w:rPr>
          <w:rFonts w:ascii="Times New Roman" w:cs="Times New Roman" w:eastAsia="Times New Roman" w:hAnsi="Times New Roman"/>
          <w:sz w:val="14"/>
          <w:szCs w:val="14"/>
          <w:color w:val="auto"/>
        </w:rPr>
        <w:t>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94" w:lineRule="exact"/>
        <w:rPr>
          <w:sz w:val="20"/>
          <w:szCs w:val="20"/>
          <w:color w:val="auto"/>
        </w:rPr>
      </w:pPr>
    </w:p>
    <w:p>
      <w:pPr>
        <w:ind w:left="1420" w:right="1479" w:firstLine="271"/>
        <w:spacing w:after="0" w:line="234" w:lineRule="auto"/>
        <w:rPr>
          <w:sz w:val="20"/>
          <w:szCs w:val="20"/>
          <w:color w:val="auto"/>
        </w:rPr>
      </w:pPr>
      <w:r>
        <w:rPr>
          <w:rFonts w:ascii="Times New Roman" w:cs="Times New Roman" w:eastAsia="Times New Roman" w:hAnsi="Times New Roman"/>
          <w:sz w:val="14"/>
          <w:szCs w:val="14"/>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affect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94" w:lineRule="exact"/>
        <w:rPr>
          <w:sz w:val="20"/>
          <w:szCs w:val="20"/>
          <w:color w:val="auto"/>
        </w:rPr>
      </w:pPr>
    </w:p>
    <w:p>
      <w:pPr>
        <w:ind w:left="1420" w:right="1599" w:firstLine="271"/>
        <w:spacing w:after="0" w:line="239" w:lineRule="auto"/>
        <w:rPr>
          <w:sz w:val="20"/>
          <w:szCs w:val="20"/>
          <w:color w:val="auto"/>
        </w:rPr>
      </w:pPr>
      <w:r>
        <w:rPr>
          <w:rFonts w:ascii="Times New Roman" w:cs="Times New Roman" w:eastAsia="Times New Roman" w:hAnsi="Times New Roman"/>
          <w:sz w:val="14"/>
          <w:szCs w:val="14"/>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89" w:lineRule="exact"/>
        <w:rPr>
          <w:sz w:val="20"/>
          <w:szCs w:val="20"/>
          <w:color w:val="auto"/>
        </w:rPr>
      </w:pPr>
    </w:p>
    <w:p>
      <w:pPr>
        <w:ind w:left="1420" w:right="1719" w:firstLine="271"/>
        <w:spacing w:after="0" w:line="244" w:lineRule="auto"/>
        <w:rPr>
          <w:sz w:val="20"/>
          <w:szCs w:val="20"/>
          <w:color w:val="auto"/>
        </w:rPr>
      </w:pPr>
      <w:r>
        <w:rPr>
          <w:rFonts w:ascii="Times New Roman" w:cs="Times New Roman" w:eastAsia="Times New Roman" w:hAnsi="Times New Roman"/>
          <w:sz w:val="14"/>
          <w:szCs w:val="14"/>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77" w:lineRule="exact"/>
        <w:rPr>
          <w:sz w:val="20"/>
          <w:szCs w:val="20"/>
          <w:color w:val="auto"/>
        </w:rPr>
      </w:pPr>
    </w:p>
    <w:p>
      <w:pPr>
        <w:ind w:left="1420" w:right="1619" w:firstLine="271"/>
        <w:spacing w:after="0" w:line="239" w:lineRule="auto"/>
        <w:rPr>
          <w:sz w:val="20"/>
          <w:szCs w:val="20"/>
          <w:color w:val="auto"/>
        </w:rPr>
      </w:pPr>
      <w:r>
        <w:rPr>
          <w:rFonts w:ascii="Times New Roman" w:cs="Times New Roman" w:eastAsia="Times New Roman" w:hAnsi="Times New Roman"/>
          <w:sz w:val="14"/>
          <w:szCs w:val="14"/>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92" w:lineRule="exact"/>
        <w:rPr>
          <w:sz w:val="20"/>
          <w:szCs w:val="20"/>
          <w:color w:val="auto"/>
        </w:rPr>
      </w:pPr>
    </w:p>
    <w:p>
      <w:pPr>
        <w:ind w:left="1420" w:right="1619" w:firstLine="271"/>
        <w:spacing w:after="0" w:line="247" w:lineRule="auto"/>
        <w:rPr>
          <w:sz w:val="20"/>
          <w:szCs w:val="20"/>
          <w:color w:val="auto"/>
        </w:rPr>
      </w:pPr>
      <w:r>
        <w:rPr>
          <w:rFonts w:ascii="Times New Roman" w:cs="Times New Roman" w:eastAsia="Times New Roman" w:hAnsi="Times New Roman"/>
          <w:sz w:val="14"/>
          <w:szCs w:val="14"/>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85" w:lineRule="exact"/>
        <w:rPr>
          <w:sz w:val="20"/>
          <w:szCs w:val="20"/>
          <w:color w:val="auto"/>
        </w:rPr>
      </w:pPr>
    </w:p>
    <w:p>
      <w:pPr>
        <w:ind w:left="1420" w:right="1459" w:firstLine="271"/>
        <w:spacing w:after="0" w:line="243" w:lineRule="auto"/>
        <w:rPr>
          <w:sz w:val="20"/>
          <w:szCs w:val="20"/>
          <w:color w:val="auto"/>
        </w:rPr>
      </w:pPr>
      <w:r>
        <w:rPr>
          <w:rFonts w:ascii="Times New Roman" w:cs="Times New Roman" w:eastAsia="Times New Roman" w:hAnsi="Times New Roman"/>
          <w:sz w:val="14"/>
          <w:szCs w:val="14"/>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104" w:lineRule="exact"/>
        <w:rPr>
          <w:sz w:val="20"/>
          <w:szCs w:val="20"/>
          <w:color w:val="auto"/>
        </w:rPr>
      </w:pPr>
    </w:p>
    <w:p>
      <w:pPr>
        <w:ind w:left="1420" w:right="1599" w:firstLine="271"/>
        <w:spacing w:after="0" w:line="246" w:lineRule="auto"/>
        <w:rPr>
          <w:sz w:val="20"/>
          <w:szCs w:val="20"/>
          <w:color w:val="auto"/>
        </w:rPr>
      </w:pPr>
      <w:r>
        <w:rPr>
          <w:rFonts w:ascii="Times New Roman" w:cs="Times New Roman" w:eastAsia="Times New Roman" w:hAnsi="Times New Roman"/>
          <w:sz w:val="14"/>
          <w:szCs w:val="14"/>
          <w:color w:val="auto"/>
        </w:rPr>
        <w:t>DTC may discontinue providing its service as securities depositary with respect to the notes of either series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189865</wp:posOffset>
            </wp:positionV>
            <wp:extent cx="514223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4" w:name="page45"/>
    <w:bookmarkEnd w:id="44"/>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20" w:right="1479" w:firstLine="271"/>
        <w:spacing w:after="0" w:line="239" w:lineRule="auto"/>
        <w:rPr>
          <w:sz w:val="20"/>
          <w:szCs w:val="20"/>
          <w:color w:val="auto"/>
        </w:rPr>
      </w:pPr>
      <w:r>
        <w:rPr>
          <w:rFonts w:ascii="Times New Roman" w:cs="Times New Roman" w:eastAsia="Times New Roman" w:hAnsi="Times New Roman"/>
          <w:sz w:val="14"/>
          <w:szCs w:val="14"/>
          <w:color w:val="auto"/>
        </w:rPr>
        <w:t>None of us, the Trustee or the dealer-managers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89" w:lineRule="exact"/>
        <w:rPr>
          <w:sz w:val="20"/>
          <w:szCs w:val="20"/>
          <w:color w:val="auto"/>
        </w:rPr>
      </w:pPr>
    </w:p>
    <w:p>
      <w:pPr>
        <w:ind w:left="1420" w:right="1679" w:firstLine="271"/>
        <w:spacing w:after="0" w:line="244" w:lineRule="auto"/>
        <w:rPr>
          <w:sz w:val="20"/>
          <w:szCs w:val="20"/>
          <w:color w:val="auto"/>
        </w:rPr>
      </w:pPr>
      <w:r>
        <w:rPr>
          <w:rFonts w:ascii="Times New Roman" w:cs="Times New Roman" w:eastAsia="Times New Roman" w:hAnsi="Times New Roman"/>
          <w:sz w:val="14"/>
          <w:szCs w:val="14"/>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13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Euroclear</w:t>
      </w:r>
    </w:p>
    <w:p>
      <w:pPr>
        <w:spacing w:after="0" w:line="117" w:lineRule="exact"/>
        <w:rPr>
          <w:sz w:val="20"/>
          <w:szCs w:val="20"/>
          <w:color w:val="auto"/>
        </w:rPr>
      </w:pPr>
    </w:p>
    <w:p>
      <w:pPr>
        <w:ind w:left="1420" w:right="1439" w:firstLine="271"/>
        <w:spacing w:after="0" w:line="237" w:lineRule="auto"/>
        <w:rPr>
          <w:sz w:val="20"/>
          <w:szCs w:val="20"/>
          <w:color w:val="auto"/>
        </w:rPr>
      </w:pPr>
      <w:r>
        <w:rPr>
          <w:rFonts w:ascii="Times New Roman" w:cs="Times New Roman" w:eastAsia="Times New Roman" w:hAnsi="Times New Roman"/>
          <w:sz w:val="14"/>
          <w:szCs w:val="14"/>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92" w:lineRule="exact"/>
        <w:rPr>
          <w:sz w:val="20"/>
          <w:szCs w:val="20"/>
          <w:color w:val="auto"/>
        </w:rPr>
      </w:pPr>
    </w:p>
    <w:p>
      <w:pPr>
        <w:ind w:left="1420" w:right="1539" w:firstLine="271"/>
        <w:spacing w:after="0" w:line="234" w:lineRule="auto"/>
        <w:rPr>
          <w:sz w:val="20"/>
          <w:szCs w:val="20"/>
          <w:color w:val="auto"/>
        </w:rPr>
      </w:pPr>
      <w:r>
        <w:rPr>
          <w:rFonts w:ascii="Times New Roman" w:cs="Times New Roman" w:eastAsia="Times New Roman" w:hAnsi="Times New Roman"/>
          <w:sz w:val="14"/>
          <w:szCs w:val="14"/>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dealer-managers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89" w:lineRule="exact"/>
        <w:rPr>
          <w:sz w:val="20"/>
          <w:szCs w:val="20"/>
          <w:color w:val="auto"/>
        </w:rPr>
      </w:pPr>
    </w:p>
    <w:p>
      <w:pPr>
        <w:ind w:left="1420" w:right="1659" w:firstLine="271"/>
        <w:spacing w:after="0" w:line="247" w:lineRule="auto"/>
        <w:rPr>
          <w:sz w:val="20"/>
          <w:szCs w:val="20"/>
          <w:color w:val="auto"/>
        </w:rPr>
      </w:pPr>
      <w:r>
        <w:rPr>
          <w:rFonts w:ascii="Times New Roman" w:cs="Times New Roman" w:eastAsia="Times New Roman" w:hAnsi="Times New Roman"/>
          <w:sz w:val="14"/>
          <w:szCs w:val="14"/>
          <w:color w:val="auto"/>
        </w:rPr>
        <w:t>The Euroclear Operator is a Belgian bank, which is regulated and examined by the Belgian Banking Commission and the National Bank of Belgium.</w:t>
      </w:r>
    </w:p>
    <w:p>
      <w:pPr>
        <w:spacing w:after="0" w:line="85" w:lineRule="exact"/>
        <w:rPr>
          <w:sz w:val="20"/>
          <w:szCs w:val="20"/>
          <w:color w:val="auto"/>
        </w:rPr>
      </w:pPr>
    </w:p>
    <w:p>
      <w:pPr>
        <w:ind w:left="1420" w:right="1519" w:firstLine="271"/>
        <w:spacing w:after="0" w:line="239" w:lineRule="auto"/>
        <w:rPr>
          <w:sz w:val="20"/>
          <w:szCs w:val="20"/>
          <w:color w:val="auto"/>
        </w:rPr>
      </w:pPr>
      <w:r>
        <w:rPr>
          <w:rFonts w:ascii="Times New Roman" w:cs="Times New Roman" w:eastAsia="Times New Roman" w:hAnsi="Times New Roman"/>
          <w:sz w:val="14"/>
          <w:szCs w:val="14"/>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92" w:lineRule="exact"/>
        <w:rPr>
          <w:sz w:val="20"/>
          <w:szCs w:val="20"/>
          <w:color w:val="auto"/>
        </w:rPr>
      </w:pPr>
    </w:p>
    <w:p>
      <w:pPr>
        <w:ind w:left="1420" w:right="1479" w:firstLine="271"/>
        <w:spacing w:after="0" w:line="239" w:lineRule="auto"/>
        <w:rPr>
          <w:sz w:val="20"/>
          <w:szCs w:val="20"/>
          <w:color w:val="auto"/>
        </w:rPr>
      </w:pPr>
      <w:r>
        <w:rPr>
          <w:rFonts w:ascii="Times New Roman" w:cs="Times New Roman" w:eastAsia="Times New Roman" w:hAnsi="Times New Roman"/>
          <w:sz w:val="14"/>
          <w:szCs w:val="14"/>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89" w:lineRule="exact"/>
        <w:rPr>
          <w:sz w:val="20"/>
          <w:szCs w:val="20"/>
          <w:color w:val="auto"/>
        </w:rPr>
      </w:pPr>
    </w:p>
    <w:p>
      <w:pPr>
        <w:ind w:left="1420" w:right="1559" w:firstLine="271"/>
        <w:spacing w:after="0" w:line="238" w:lineRule="auto"/>
        <w:rPr>
          <w:sz w:val="20"/>
          <w:szCs w:val="20"/>
          <w:color w:val="auto"/>
        </w:rPr>
      </w:pPr>
      <w:r>
        <w:rPr>
          <w:rFonts w:ascii="Times New Roman" w:cs="Times New Roman" w:eastAsia="Times New Roman" w:hAnsi="Times New Roman"/>
          <w:sz w:val="14"/>
          <w:szCs w:val="14"/>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89" w:lineRule="exact"/>
        <w:rPr>
          <w:sz w:val="20"/>
          <w:szCs w:val="20"/>
          <w:color w:val="auto"/>
        </w:rPr>
      </w:pPr>
    </w:p>
    <w:p>
      <w:pPr>
        <w:ind w:left="1420" w:right="1519" w:firstLine="271"/>
        <w:spacing w:after="0" w:line="236" w:lineRule="auto"/>
        <w:rPr>
          <w:sz w:val="20"/>
          <w:szCs w:val="20"/>
          <w:color w:val="auto"/>
        </w:rPr>
      </w:pPr>
      <w:r>
        <w:rPr>
          <w:rFonts w:ascii="Times New Roman" w:cs="Times New Roman" w:eastAsia="Times New Roman" w:hAnsi="Times New Roman"/>
          <w:sz w:val="14"/>
          <w:szCs w:val="14"/>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89" w:lineRule="exact"/>
        <w:rPr>
          <w:sz w:val="20"/>
          <w:szCs w:val="20"/>
          <w:color w:val="auto"/>
        </w:rPr>
      </w:pPr>
    </w:p>
    <w:p>
      <w:pPr>
        <w:ind w:left="1420" w:right="1519" w:firstLine="271"/>
        <w:spacing w:after="0" w:line="239" w:lineRule="auto"/>
        <w:rPr>
          <w:sz w:val="20"/>
          <w:szCs w:val="20"/>
          <w:color w:val="auto"/>
        </w:rPr>
      </w:pPr>
      <w:r>
        <w:rPr>
          <w:rFonts w:ascii="Times New Roman" w:cs="Times New Roman" w:eastAsia="Times New Roman" w:hAnsi="Times New Roman"/>
          <w:sz w:val="14"/>
          <w:szCs w:val="14"/>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5" w:name="page46"/>
    <w:bookmarkEnd w:id="45"/>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20" w:right="1479" w:firstLine="271"/>
        <w:spacing w:after="0" w:line="236" w:lineRule="auto"/>
        <w:rPr>
          <w:sz w:val="20"/>
          <w:szCs w:val="20"/>
          <w:color w:val="auto"/>
        </w:rPr>
      </w:pPr>
      <w:r>
        <w:rPr>
          <w:rFonts w:ascii="Times New Roman" w:cs="Times New Roman" w:eastAsia="Times New Roman" w:hAnsi="Times New Roman"/>
          <w:sz w:val="14"/>
          <w:szCs w:val="14"/>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89" w:lineRule="exact"/>
        <w:rPr>
          <w:sz w:val="20"/>
          <w:szCs w:val="20"/>
          <w:color w:val="auto"/>
        </w:rPr>
      </w:pPr>
    </w:p>
    <w:p>
      <w:pPr>
        <w:ind w:left="1420" w:right="1679" w:firstLine="271"/>
        <w:spacing w:after="0" w:line="239" w:lineRule="auto"/>
        <w:rPr>
          <w:sz w:val="20"/>
          <w:szCs w:val="20"/>
          <w:color w:val="auto"/>
        </w:rPr>
      </w:pPr>
      <w:r>
        <w:rPr>
          <w:rFonts w:ascii="Times New Roman" w:cs="Times New Roman" w:eastAsia="Times New Roman" w:hAnsi="Times New Roman"/>
          <w:sz w:val="14"/>
          <w:szCs w:val="14"/>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Clearstream</w:t>
      </w:r>
    </w:p>
    <w:p>
      <w:pPr>
        <w:spacing w:after="0" w:line="117" w:lineRule="exact"/>
        <w:rPr>
          <w:sz w:val="20"/>
          <w:szCs w:val="20"/>
          <w:color w:val="auto"/>
        </w:rPr>
      </w:pPr>
    </w:p>
    <w:p>
      <w:pPr>
        <w:ind w:left="1420" w:right="1479" w:firstLine="271"/>
        <w:spacing w:after="0" w:line="234" w:lineRule="auto"/>
        <w:rPr>
          <w:sz w:val="20"/>
          <w:szCs w:val="20"/>
          <w:color w:val="auto"/>
        </w:rPr>
      </w:pPr>
      <w:r>
        <w:rPr>
          <w:rFonts w:ascii="Times New Roman" w:cs="Times New Roman" w:eastAsia="Times New Roman" w:hAnsi="Times New Roman"/>
          <w:sz w:val="14"/>
          <w:szCs w:val="14"/>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95" w:lineRule="exact"/>
        <w:rPr>
          <w:sz w:val="20"/>
          <w:szCs w:val="20"/>
          <w:color w:val="auto"/>
        </w:rPr>
      </w:pPr>
    </w:p>
    <w:p>
      <w:pPr>
        <w:ind w:left="1420" w:right="1499" w:firstLine="271"/>
        <w:spacing w:after="0" w:line="234" w:lineRule="auto"/>
        <w:rPr>
          <w:sz w:val="20"/>
          <w:szCs w:val="20"/>
          <w:color w:val="auto"/>
        </w:rPr>
      </w:pPr>
      <w:r>
        <w:rPr>
          <w:rFonts w:ascii="Times New Roman" w:cs="Times New Roman" w:eastAsia="Times New Roman" w:hAnsi="Times New Roman"/>
          <w:sz w:val="14"/>
          <w:szCs w:val="14"/>
          <w:color w:val="auto"/>
        </w:rPr>
        <w:t>As a registered bank in Luxembourg, Clearstream is subject to regulation by the Luxembourg Commission for the Supervision of the Financial Sector. Clearstream participants are recognized financial institutions around the world, including dealer-managers, securities brokers and dealers, banks, trust companies and clearing corporations. In the United States, Clearstream participants are limited to securities brokers and dealers and banks, and may include the dealer-managers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94" w:lineRule="exact"/>
        <w:rPr>
          <w:sz w:val="20"/>
          <w:szCs w:val="20"/>
          <w:color w:val="auto"/>
        </w:rPr>
      </w:pPr>
    </w:p>
    <w:p>
      <w:pPr>
        <w:jc w:val="both"/>
        <w:ind w:left="1420" w:right="1579" w:firstLine="271"/>
        <w:spacing w:after="0" w:line="252" w:lineRule="auto"/>
        <w:rPr>
          <w:sz w:val="20"/>
          <w:szCs w:val="20"/>
          <w:color w:val="auto"/>
        </w:rPr>
      </w:pPr>
      <w:r>
        <w:rPr>
          <w:rFonts w:ascii="Times New Roman" w:cs="Times New Roman" w:eastAsia="Times New Roman" w:hAnsi="Times New Roman"/>
          <w:sz w:val="14"/>
          <w:szCs w:val="14"/>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82" w:lineRule="exact"/>
        <w:rPr>
          <w:sz w:val="20"/>
          <w:szCs w:val="20"/>
          <w:color w:val="auto"/>
        </w:rPr>
      </w:pPr>
    </w:p>
    <w:p>
      <w:pPr>
        <w:ind w:left="1420" w:right="1439" w:firstLine="271"/>
        <w:spacing w:after="0" w:line="245" w:lineRule="auto"/>
        <w:rPr>
          <w:sz w:val="20"/>
          <w:szCs w:val="20"/>
          <w:color w:val="auto"/>
        </w:rPr>
      </w:pPr>
      <w:r>
        <w:rPr>
          <w:rFonts w:ascii="Times New Roman" w:cs="Times New Roman" w:eastAsia="Times New Roman" w:hAnsi="Times New Roman"/>
          <w:sz w:val="14"/>
          <w:szCs w:val="14"/>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98" w:lineRule="exact"/>
        <w:rPr>
          <w:sz w:val="20"/>
          <w:szCs w:val="20"/>
          <w:color w:val="auto"/>
        </w:rPr>
      </w:pPr>
    </w:p>
    <w:p>
      <w:pPr>
        <w:ind w:left="1420" w:right="1499" w:firstLine="271"/>
        <w:spacing w:after="0" w:line="247" w:lineRule="auto"/>
        <w:rPr>
          <w:sz w:val="20"/>
          <w:szCs w:val="20"/>
          <w:color w:val="auto"/>
        </w:rPr>
      </w:pPr>
      <w:r>
        <w:rPr>
          <w:rFonts w:ascii="Times New Roman" w:cs="Times New Roman" w:eastAsia="Times New Roman" w:hAnsi="Times New Roman"/>
          <w:sz w:val="14"/>
          <w:szCs w:val="14"/>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w:t>
      </w:r>
    </w:p>
    <w:p>
      <w:pPr>
        <w:spacing w:after="0" w:line="95" w:lineRule="exact"/>
        <w:rPr>
          <w:sz w:val="20"/>
          <w:szCs w:val="20"/>
          <w:color w:val="auto"/>
        </w:rPr>
      </w:pPr>
    </w:p>
    <w:p>
      <w:pPr>
        <w:ind w:left="1420" w:right="1539" w:firstLine="271"/>
        <w:spacing w:after="0" w:line="248" w:lineRule="auto"/>
        <w:rPr>
          <w:sz w:val="20"/>
          <w:szCs w:val="20"/>
          <w:color w:val="auto"/>
        </w:rPr>
      </w:pPr>
      <w:r>
        <w:rPr>
          <w:rFonts w:ascii="Times New Roman" w:cs="Times New Roman" w:eastAsia="Times New Roman" w:hAnsi="Times New Roman"/>
          <w:sz w:val="14"/>
          <w:szCs w:val="14"/>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6" w:name="page47"/>
    <w:bookmarkEnd w:id="46"/>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20" w:right="1579"/>
        <w:spacing w:after="0" w:line="248" w:lineRule="auto"/>
        <w:rPr>
          <w:sz w:val="20"/>
          <w:szCs w:val="20"/>
          <w:color w:val="auto"/>
        </w:rPr>
      </w:pPr>
      <w:r>
        <w:rPr>
          <w:rFonts w:ascii="Times New Roman" w:cs="Times New Roman" w:eastAsia="Times New Roman" w:hAnsi="Times New Roman"/>
          <w:sz w:val="14"/>
          <w:szCs w:val="14"/>
          <w:color w:val="auto"/>
        </w:rPr>
        <w:t>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96" w:lineRule="exact"/>
        <w:rPr>
          <w:sz w:val="20"/>
          <w:szCs w:val="20"/>
          <w:color w:val="auto"/>
        </w:rPr>
      </w:pPr>
    </w:p>
    <w:p>
      <w:pPr>
        <w:ind w:left="1420" w:right="1539" w:firstLine="271"/>
        <w:spacing w:after="0" w:line="247" w:lineRule="auto"/>
        <w:rPr>
          <w:sz w:val="20"/>
          <w:szCs w:val="20"/>
          <w:color w:val="auto"/>
        </w:rPr>
      </w:pPr>
      <w:r>
        <w:rPr>
          <w:rFonts w:ascii="Times New Roman" w:cs="Times New Roman" w:eastAsia="Times New Roman" w:hAnsi="Times New Roman"/>
          <w:sz w:val="14"/>
          <w:szCs w:val="14"/>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Glossary</w:t>
      </w:r>
    </w:p>
    <w:p>
      <w:pPr>
        <w:spacing w:after="0" w:line="117" w:lineRule="exact"/>
        <w:rPr>
          <w:sz w:val="20"/>
          <w:szCs w:val="20"/>
          <w:color w:val="auto"/>
        </w:rPr>
      </w:pPr>
    </w:p>
    <w:p>
      <w:pPr>
        <w:jc w:val="both"/>
        <w:ind w:left="1420" w:right="1479" w:firstLine="271"/>
        <w:spacing w:after="0" w:line="252" w:lineRule="auto"/>
        <w:rPr>
          <w:sz w:val="20"/>
          <w:szCs w:val="20"/>
          <w:color w:val="auto"/>
        </w:rPr>
      </w:pPr>
      <w:r>
        <w:rPr>
          <w:rFonts w:ascii="Times New Roman" w:cs="Times New Roman" w:eastAsia="Times New Roman" w:hAnsi="Times New Roman"/>
          <w:sz w:val="14"/>
          <w:szCs w:val="14"/>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80" w:lineRule="exact"/>
        <w:rPr>
          <w:sz w:val="20"/>
          <w:szCs w:val="20"/>
          <w:color w:val="auto"/>
        </w:rPr>
      </w:pPr>
    </w:p>
    <w:p>
      <w:pPr>
        <w:ind w:left="1420" w:right="1499" w:firstLine="271"/>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“Attributable Debt” </w:t>
      </w:r>
      <w:r>
        <w:rPr>
          <w:rFonts w:ascii="Times New Roman" w:cs="Times New Roman" w:eastAsia="Times New Roman" w:hAnsi="Times New Roman"/>
          <w:sz w:val="14"/>
          <w:szCs w:val="14"/>
          <w:color w:val="auto"/>
        </w:rPr>
        <w:t>means the present value of the rental payments during the remaining term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lease included in the Sale/Leaseback Transaction. 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99" w:lineRule="exact"/>
        <w:rPr>
          <w:sz w:val="20"/>
          <w:szCs w:val="20"/>
          <w:color w:val="auto"/>
        </w:rPr>
      </w:pPr>
    </w:p>
    <w:p>
      <w:pPr>
        <w:ind w:left="1420" w:right="1559" w:firstLine="271"/>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“Consolidated Net Tangible Assets” </w:t>
      </w:r>
      <w:r>
        <w:rPr>
          <w:rFonts w:ascii="Times New Roman" w:cs="Times New Roman" w:eastAsia="Times New Roman" w:hAnsi="Times New Roman"/>
          <w:sz w:val="14"/>
          <w:szCs w:val="14"/>
          <w:color w:val="auto"/>
        </w:rPr>
        <w:t>means the total amount of assets of Waste Management, Inc.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its consolidated subsidiaries less:</w:t>
      </w:r>
    </w:p>
    <w:p>
      <w:pPr>
        <w:spacing w:after="0" w:line="52" w:lineRule="exact"/>
        <w:rPr>
          <w:sz w:val="20"/>
          <w:szCs w:val="20"/>
          <w:color w:val="auto"/>
        </w:rPr>
      </w:pPr>
    </w:p>
    <w:p>
      <w:pPr>
        <w:ind w:left="1820" w:right="1679" w:hanging="131"/>
        <w:spacing w:after="0" w:line="252" w:lineRule="auto"/>
        <w:tabs>
          <w:tab w:leader="none" w:pos="18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current liabilities (excluding liabilities that are extendable or renewable at our option to a date more than 12 months after the date of calculation and excluding current maturities of long-term debt); and</w:t>
      </w:r>
    </w:p>
    <w:p>
      <w:pPr>
        <w:spacing w:after="0" w:line="71"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all intangible assets.</w:t>
      </w:r>
    </w:p>
    <w:p>
      <w:pPr>
        <w:spacing w:after="0" w:line="1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We will calculate Consolidated Net Tangible Assets based on our most recent quarterly balance sheet.</w:t>
      </w:r>
    </w:p>
    <w:p>
      <w:pPr>
        <w:spacing w:after="0" w:line="111" w:lineRule="exact"/>
        <w:rPr>
          <w:sz w:val="20"/>
          <w:szCs w:val="20"/>
          <w:color w:val="auto"/>
        </w:rPr>
      </w:pPr>
    </w:p>
    <w:p>
      <w:pPr>
        <w:ind w:left="1420" w:right="1479" w:firstLine="271"/>
        <w:spacing w:after="0" w:line="247" w:lineRule="auto"/>
        <w:rPr>
          <w:sz w:val="20"/>
          <w:szCs w:val="20"/>
          <w:color w:val="auto"/>
        </w:rPr>
      </w:pPr>
      <w:r>
        <w:rPr>
          <w:rFonts w:ascii="Times New Roman" w:cs="Times New Roman" w:eastAsia="Times New Roman" w:hAnsi="Times New Roman"/>
          <w:sz w:val="14"/>
          <w:szCs w:val="14"/>
          <w:i w:val="1"/>
          <w:iCs w:val="1"/>
          <w:color w:val="auto"/>
        </w:rPr>
        <w:t xml:space="preserve">“Indebtedness” </w:t>
      </w:r>
      <w:r>
        <w:rPr>
          <w:rFonts w:ascii="Times New Roman" w:cs="Times New Roman" w:eastAsia="Times New Roman" w:hAnsi="Times New Roman"/>
          <w:sz w:val="14"/>
          <w:szCs w:val="14"/>
          <w:color w:val="auto"/>
        </w:rPr>
        <w:t>means (a) all obligations for borrowed money or on which interest charges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customarily paid, all as shown on the balance sheet of 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95" w:lineRule="exact"/>
        <w:rPr>
          <w:sz w:val="20"/>
          <w:szCs w:val="20"/>
          <w:color w:val="auto"/>
        </w:rPr>
      </w:pPr>
    </w:p>
    <w:p>
      <w:pPr>
        <w:ind w:left="1420" w:right="1459" w:firstLine="271"/>
        <w:spacing w:after="0" w:line="245" w:lineRule="auto"/>
        <w:rPr>
          <w:sz w:val="20"/>
          <w:szCs w:val="20"/>
          <w:color w:val="auto"/>
        </w:rPr>
      </w:pPr>
      <w:r>
        <w:rPr>
          <w:rFonts w:ascii="Times New Roman" w:cs="Times New Roman" w:eastAsia="Times New Roman" w:hAnsi="Times New Roman"/>
          <w:sz w:val="14"/>
          <w:szCs w:val="14"/>
          <w:i w:val="1"/>
          <w:iCs w:val="1"/>
          <w:color w:val="auto"/>
        </w:rPr>
        <w:t xml:space="preserve">“Principal Property” </w:t>
      </w:r>
      <w:r>
        <w:rPr>
          <w:rFonts w:ascii="Times New Roman" w:cs="Times New Roman" w:eastAsia="Times New Roman" w:hAnsi="Times New Roman"/>
          <w:sz w:val="14"/>
          <w:szCs w:val="14"/>
          <w:color w:val="auto"/>
        </w:rPr>
        <w:t>means any waste processing, waste disposal or resource recovery plant or similar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facility located within the 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88" w:lineRule="exact"/>
        <w:rPr>
          <w:sz w:val="20"/>
          <w:szCs w:val="20"/>
          <w:color w:val="auto"/>
        </w:rPr>
      </w:pPr>
    </w:p>
    <w:p>
      <w:pPr>
        <w:ind w:left="1420" w:right="1439" w:firstLine="271"/>
        <w:spacing w:after="0" w:line="247" w:lineRule="auto"/>
        <w:rPr>
          <w:sz w:val="20"/>
          <w:szCs w:val="20"/>
          <w:color w:val="auto"/>
        </w:rPr>
      </w:pPr>
      <w:r>
        <w:rPr>
          <w:rFonts w:ascii="Times New Roman" w:cs="Times New Roman" w:eastAsia="Times New Roman" w:hAnsi="Times New Roman"/>
          <w:sz w:val="14"/>
          <w:szCs w:val="14"/>
          <w:i w:val="1"/>
          <w:iCs w:val="1"/>
          <w:color w:val="auto"/>
        </w:rPr>
        <w:t xml:space="preserve">“Restricted Subsidiary” </w:t>
      </w:r>
      <w:r>
        <w:rPr>
          <w:rFonts w:ascii="Times New Roman" w:cs="Times New Roman" w:eastAsia="Times New Roman" w:hAnsi="Times New Roman"/>
          <w:sz w:val="14"/>
          <w:szCs w:val="14"/>
          <w:color w:val="auto"/>
        </w:rPr>
        <w:t>means any Subsidiary (other than any Subsidiary of which the Company owns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7" w:name="page48"/>
    <w:bookmarkEnd w:id="47"/>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20" w:right="1539" w:firstLine="271"/>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“Sale/Leaseback Transaction” </w:t>
      </w:r>
      <w:r>
        <w:rPr>
          <w:rFonts w:ascii="Times New Roman" w:cs="Times New Roman" w:eastAsia="Times New Roman" w:hAnsi="Times New Roman"/>
          <w:sz w:val="14"/>
          <w:szCs w:val="14"/>
          <w:color w:val="auto"/>
        </w:rPr>
        <w:t>means any arrangement with anyone under which we or our Restricted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Subsidiaries lease any Principal Property that we or such Restricted Subsidiary has sold or transferred or will sell or transfer to that person. This term excludes the following:</w:t>
      </w:r>
    </w:p>
    <w:p>
      <w:pPr>
        <w:spacing w:after="0" w:line="61" w:lineRule="exact"/>
        <w:rPr>
          <w:sz w:val="20"/>
          <w:szCs w:val="20"/>
          <w:color w:val="auto"/>
        </w:rPr>
      </w:pPr>
    </w:p>
    <w:p>
      <w:pPr>
        <w:ind w:left="1820" w:hanging="131"/>
        <w:spacing w:after="0"/>
        <w:tabs>
          <w:tab w:leader="none" w:pos="18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temporary leases for a term of not more than three years; and</w:t>
      </w:r>
    </w:p>
    <w:p>
      <w:pPr>
        <w:spacing w:after="0" w:line="82" w:lineRule="exact"/>
        <w:rPr>
          <w:rFonts w:ascii="Times New Roman" w:cs="Times New Roman" w:eastAsia="Times New Roman" w:hAnsi="Times New Roman"/>
          <w:sz w:val="14"/>
          <w:szCs w:val="14"/>
          <w:color w:val="auto"/>
        </w:rPr>
      </w:pPr>
    </w:p>
    <w:p>
      <w:pPr>
        <w:ind w:left="1820" w:hanging="131"/>
        <w:spacing w:after="0"/>
        <w:tabs>
          <w:tab w:leader="none" w:pos="18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intercompany leases.</w:t>
      </w:r>
    </w:p>
    <w:p>
      <w:pPr>
        <w:spacing w:after="0" w:line="111" w:lineRule="exact"/>
        <w:rPr>
          <w:sz w:val="20"/>
          <w:szCs w:val="20"/>
          <w:color w:val="auto"/>
        </w:rPr>
      </w:pPr>
    </w:p>
    <w:p>
      <w:pPr>
        <w:ind w:left="1420" w:right="1679" w:firstLine="271"/>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“Subsidiary” </w:t>
      </w:r>
      <w:r>
        <w:rPr>
          <w:rFonts w:ascii="Times New Roman" w:cs="Times New Roman" w:eastAsia="Times New Roman" w:hAnsi="Times New Roman"/>
          <w:sz w:val="14"/>
          <w:szCs w:val="14"/>
          <w:color w:val="auto"/>
        </w:rPr>
        <w:t>means an entity at least a majority of the outstanding voting stock of which is owned,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directly or indirectly, by us or by one or more other Subsidiaries, or by us and one or more other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8" w:name="page49"/>
    <w:bookmarkEnd w:id="48"/>
    <w:p>
      <w:pPr>
        <w:ind w:left="4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EXCHANGE OFFER; REGISTRATION RIGHTS</w:t>
      </w:r>
    </w:p>
    <w:p>
      <w:pPr>
        <w:spacing w:after="0" w:line="117" w:lineRule="exact"/>
        <w:rPr>
          <w:sz w:val="20"/>
          <w:szCs w:val="20"/>
          <w:color w:val="auto"/>
        </w:rPr>
      </w:pPr>
    </w:p>
    <w:p>
      <w:pPr>
        <w:ind w:left="1420" w:right="1499" w:firstLine="271"/>
        <w:spacing w:after="0" w:line="236" w:lineRule="auto"/>
        <w:rPr>
          <w:sz w:val="20"/>
          <w:szCs w:val="20"/>
          <w:color w:val="auto"/>
        </w:rPr>
      </w:pPr>
      <w:r>
        <w:rPr>
          <w:rFonts w:ascii="Times New Roman" w:cs="Times New Roman" w:eastAsia="Times New Roman" w:hAnsi="Times New Roman"/>
          <w:sz w:val="14"/>
          <w:szCs w:val="14"/>
          <w:color w:val="auto"/>
        </w:rPr>
        <w:t>On November 8, 2024, the Company, WM Holdings, Barclays Capital Inc., Deutsche Bank Securities Inc. and Goldman Sachs &amp; Co. LLC, as dealer managers, entered into the Registration Rights Agreement with respect to the Restricted Notes. In the Registration Rights Agreement, the Company agreed, among other things, for the benefit of the holders of the Restricted Notes to use commercially reasonable efforts to (1) file or cause to be filed a registration statement on Form S-4 with respect to a registered offer</w:t>
      </w:r>
    </w:p>
    <w:p>
      <w:pPr>
        <w:spacing w:after="0" w:line="2" w:lineRule="exact"/>
        <w:rPr>
          <w:sz w:val="20"/>
          <w:szCs w:val="20"/>
          <w:color w:val="auto"/>
        </w:rPr>
      </w:pPr>
    </w:p>
    <w:p>
      <w:pPr>
        <w:ind w:left="1420" w:right="1459"/>
        <w:spacing w:after="0" w:line="233" w:lineRule="auto"/>
        <w:rPr>
          <w:sz w:val="20"/>
          <w:szCs w:val="20"/>
          <w:color w:val="auto"/>
        </w:rPr>
      </w:pPr>
      <w:r>
        <w:rPr>
          <w:rFonts w:ascii="Times New Roman" w:cs="Times New Roman" w:eastAsia="Times New Roman" w:hAnsi="Times New Roman"/>
          <w:sz w:val="14"/>
          <w:szCs w:val="14"/>
          <w:color w:val="auto"/>
        </w:rPr>
        <w:t>to exchange the Restricted Notes for Registered Notes, with terms substantially identical in all material respects to the Restricted Notes (except that the Registered Notes will not contain terms with respect to transfer restrictions or any increase in annual interest rate) and (2) keep such registration statement effective until 180 days after the consummation of the exchange offer for use by one or more participating broker-dealers.</w:t>
      </w:r>
    </w:p>
    <w:p>
      <w:pPr>
        <w:spacing w:after="0" w:line="89" w:lineRule="exact"/>
        <w:rPr>
          <w:sz w:val="20"/>
          <w:szCs w:val="20"/>
          <w:color w:val="auto"/>
        </w:rPr>
      </w:pPr>
    </w:p>
    <w:p>
      <w:pPr>
        <w:ind w:left="1420" w:right="1439" w:firstLine="271"/>
        <w:spacing w:after="0" w:line="235" w:lineRule="auto"/>
        <w:rPr>
          <w:sz w:val="20"/>
          <w:szCs w:val="20"/>
          <w:color w:val="auto"/>
        </w:rPr>
      </w:pPr>
      <w:r>
        <w:rPr>
          <w:rFonts w:ascii="Times New Roman" w:cs="Times New Roman" w:eastAsia="Times New Roman" w:hAnsi="Times New Roman"/>
          <w:sz w:val="14"/>
          <w:szCs w:val="14"/>
          <w:color w:val="auto"/>
        </w:rPr>
        <w:t>If the SEC declares the registration statement of which this prospectus forms a part effective, the Company will offer the Registered Notes in exchange for the Restricted Notes. The exchange offer will remain open for at least 20 business days from the date such prospectus is mailed and/or electronically delivered. For each Restricted Note surrendered to the Company under the exchange offer, the holders of such Restricted Note will receive a Registered Note of equal principal amount. Interest on the Registered Notes will be payable semi-annually on January 15 and July 15 and will accrue from the most recent interest payment date of the Restricted Notes, which was January 15, 2025. A holder of registrable securities that participates in the exchange offer will be required to make certain representations to us. The Company will use commercially reasonable efforts to complete the exchange offer no later than November 9, 2025.</w:t>
      </w:r>
    </w:p>
    <w:p>
      <w:pPr>
        <w:spacing w:after="0" w:line="94" w:lineRule="exact"/>
        <w:rPr>
          <w:sz w:val="20"/>
          <w:szCs w:val="20"/>
          <w:color w:val="auto"/>
        </w:rPr>
      </w:pPr>
    </w:p>
    <w:p>
      <w:pPr>
        <w:ind w:left="1420" w:right="1519" w:firstLine="271"/>
        <w:spacing w:after="0" w:line="235" w:lineRule="auto"/>
        <w:rPr>
          <w:sz w:val="20"/>
          <w:szCs w:val="20"/>
          <w:color w:val="auto"/>
        </w:rPr>
      </w:pPr>
      <w:r>
        <w:rPr>
          <w:rFonts w:ascii="Times New Roman" w:cs="Times New Roman" w:eastAsia="Times New Roman" w:hAnsi="Times New Roman"/>
          <w:sz w:val="14"/>
          <w:szCs w:val="14"/>
          <w:color w:val="auto"/>
        </w:rPr>
        <w:t>Under existing interpretations of the SEC contained in several no-action letters to third parties, the Registered Notes will be freely transferable after the exchange offer without further registration under the Securities Act, except that any broker-dealer that participates in the exchange offer must deliver a prospectus meeting the requirements of the Securities Act when it resells the Registered Notes. In addition, under applicable interpretations of the staff of the SEC, the Company’s affiliates will not be permitted to exchange their Restricted Notes for Registered Notes in the exchange offer.</w:t>
      </w:r>
    </w:p>
    <w:p>
      <w:pPr>
        <w:spacing w:after="0" w:line="89" w:lineRule="exact"/>
        <w:rPr>
          <w:sz w:val="20"/>
          <w:szCs w:val="20"/>
          <w:color w:val="auto"/>
        </w:rPr>
      </w:pPr>
    </w:p>
    <w:p>
      <w:pPr>
        <w:ind w:left="1420" w:right="1499" w:firstLine="271"/>
        <w:spacing w:after="0" w:line="234" w:lineRule="auto"/>
        <w:rPr>
          <w:sz w:val="20"/>
          <w:szCs w:val="20"/>
          <w:color w:val="auto"/>
        </w:rPr>
      </w:pPr>
      <w:r>
        <w:rPr>
          <w:rFonts w:ascii="Times New Roman" w:cs="Times New Roman" w:eastAsia="Times New Roman" w:hAnsi="Times New Roman"/>
          <w:sz w:val="14"/>
          <w:szCs w:val="14"/>
          <w:color w:val="auto"/>
        </w:rPr>
        <w:t>The Company will agree to make available, during the period required by the Securities Act, a prospectus meeting the requirements of the Securities Act for use by participating broker-dealers and other persons, if any, with similar prospectus delivery requirements for use in connection with any resale of the Registered Notes. Restricted Notes of any series not tendered in the exchange offer will continue to bear interest at the rate set forth in the Indenture with respect to the Restricted Notes and be subject to all the terms and conditions specified in the Indenture, including transfer restrictions, but will not retain any rights under the Registration Rights Agreement (including with respect to increases in annual interest rate described below) after the consummation of the exchange offer.</w:t>
      </w:r>
    </w:p>
    <w:p>
      <w:pPr>
        <w:spacing w:after="0" w:line="94" w:lineRule="exact"/>
        <w:rPr>
          <w:sz w:val="20"/>
          <w:szCs w:val="20"/>
          <w:color w:val="auto"/>
        </w:rPr>
      </w:pPr>
    </w:p>
    <w:p>
      <w:pPr>
        <w:ind w:left="1420" w:right="1479" w:firstLine="271"/>
        <w:spacing w:after="0" w:line="233" w:lineRule="auto"/>
        <w:rPr>
          <w:sz w:val="20"/>
          <w:szCs w:val="20"/>
          <w:color w:val="auto"/>
        </w:rPr>
      </w:pPr>
      <w:r>
        <w:rPr>
          <w:rFonts w:ascii="Times New Roman" w:cs="Times New Roman" w:eastAsia="Times New Roman" w:hAnsi="Times New Roman"/>
          <w:sz w:val="14"/>
          <w:szCs w:val="14"/>
          <w:color w:val="auto"/>
        </w:rPr>
        <w:t>If the Company determines that any changes in applicable law or applicable interpretations of the SEC do not permit the Company to effect the exchange offer, or a holder of Restricted Notes participating in the exchange offer does not receive Registered Notes on the date of the exchange that may be sold without restriction under state and U.S. federal securities laws (other than due solely to the status of such holder as an affiliate of the Company within the meaning of the Securities Act) and notifies the Company within 30 days after such holder first becomes aware of such restrictions, or the exchange offer, for any other reason, is not completed by November 9, 2025, or the Company receives a written request from any holder of Restricted Notes within 20 business days after the consummation of the exchange offer representing that they hold Restricted Notes that are or were ineligible to be exchanged in the exchange offer then the Company will be required to use commercially reasonable efforts to file as promptly as practicable after the date of such determination, a shelf registration statement under the Securities Act and to have such shelf registration statement become effective, which shelf registration statement would cover resales of the registrable securities of such series held by such persons. The Company will, in the event of such a shelf registration, provide to each participating holder of Restricted Notes copies of a prospectus, notify each participating holder of Restricted Notes when the shelf registration statement has become effective and take certain other actions to permit resales of the Restricted Notes. A holder of registrable securities that sells Restricted Notes under the shelf registration statement generally will be required to make certain representations to the Company, to be named as a selling security holder in the related prospectus and to deliver a prospectus to purchasers, will be subject to certain of the civil liability provisions under the Securities Act in connection with those sales and will be bound by the provisions of the Registration Rights Agreement</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9" w:name="page50"/>
    <w:bookmarkEnd w:id="49"/>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1420" w:right="1519"/>
        <w:spacing w:after="0" w:line="252" w:lineRule="auto"/>
        <w:rPr>
          <w:sz w:val="20"/>
          <w:szCs w:val="20"/>
          <w:color w:val="auto"/>
        </w:rPr>
      </w:pPr>
      <w:r>
        <w:rPr>
          <w:rFonts w:ascii="Times New Roman" w:cs="Times New Roman" w:eastAsia="Times New Roman" w:hAnsi="Times New Roman"/>
          <w:sz w:val="14"/>
          <w:szCs w:val="14"/>
          <w:color w:val="auto"/>
        </w:rPr>
        <w:t>that are applicable to such a holder of registrable securities (including certain indemnification obligations). Holders of registrable securities will also be required to suspend their use of the prospectus included in the shelf registration statement under specified circumstances upon receipt of notice from the Company.</w:t>
      </w:r>
    </w:p>
    <w:p>
      <w:pPr>
        <w:spacing w:after="0" w:line="92" w:lineRule="exact"/>
        <w:rPr>
          <w:sz w:val="20"/>
          <w:szCs w:val="20"/>
          <w:color w:val="auto"/>
        </w:rPr>
      </w:pPr>
    </w:p>
    <w:p>
      <w:pPr>
        <w:ind w:left="1420" w:right="1439" w:firstLine="271"/>
        <w:spacing w:after="0" w:line="243" w:lineRule="auto"/>
        <w:rPr>
          <w:sz w:val="20"/>
          <w:szCs w:val="20"/>
          <w:color w:val="auto"/>
        </w:rPr>
      </w:pPr>
      <w:r>
        <w:rPr>
          <w:rFonts w:ascii="Times New Roman" w:cs="Times New Roman" w:eastAsia="Times New Roman" w:hAnsi="Times New Roman"/>
          <w:sz w:val="14"/>
          <w:szCs w:val="14"/>
          <w:color w:val="auto"/>
        </w:rPr>
        <w:t>If a “registration default” (as​ defined below) occurs with respect to a series of registrable securities, then additional interest shall accrue on the principal amount of the Restricted Notes of a particular series that are registrable securities at a rate of 0.25% per annum. The additional interest will cease to accrue when the registration defaults ends. A “</w:t>
      </w:r>
      <w:r>
        <w:rPr>
          <w:rFonts w:ascii="Times New Roman" w:cs="Times New Roman" w:eastAsia="Times New Roman" w:hAnsi="Times New Roman"/>
          <w:sz w:val="14"/>
          <w:szCs w:val="14"/>
          <w:i w:val="1"/>
          <w:iCs w:val="1"/>
          <w:color w:val="auto"/>
        </w:rPr>
        <w:t>registration default</w:t>
      </w:r>
      <w:r>
        <w:rPr>
          <w:rFonts w:ascii="Times New Roman" w:cs="Times New Roman" w:eastAsia="Times New Roman" w:hAnsi="Times New Roman"/>
          <w:sz w:val="14"/>
          <w:szCs w:val="14"/>
          <w:color w:val="auto"/>
        </w:rPr>
        <w:t>” occurs if (i) the exchange offer of the Restricted Notes for Registered Notes validly tendered in accordance with the terms of the exchange offer is not completed on or prior to November 9, 2025, or, if a shelf registration statement is required, such shelf registration statement is not declared effective on or prior to the 60th day after the later of (a) November 9, 2025, and (b) the date on which the Company receives a duly executed notice from certain holders of the Restricted Notes or (ii) if applicable, a shelf registration statement covering resales of the Restricted Securities has been declared effective and such shelf registration statement ceases to be effective or the prospectus contained therein ceases to be usable for resales of Restricted Securities at any time during the effectiveness period of the shelf registration statement, and such failure to remain effective or be so usable exists for more than 90 days (whether or not consecutive) in any 12-month period. A registration default ends with respect to the Restricted Notes when such Restricted Note ceases to be a registrable security or, if earlier, in the case of a registration default under clause (ii) of the definition thereof, when the registration statement again becomes effective or the prospectus again becomes usable as permitted by the definition thereof.</w:t>
      </w:r>
    </w:p>
    <w:p>
      <w:pPr>
        <w:spacing w:after="0" w:line="262" w:lineRule="exact"/>
        <w:rPr>
          <w:sz w:val="20"/>
          <w:szCs w:val="20"/>
          <w:color w:val="auto"/>
        </w:rPr>
      </w:pPr>
    </w:p>
    <w:p>
      <w:pPr>
        <w:ind w:left="1420" w:right="1439" w:firstLine="271"/>
        <w:spacing w:after="0" w:line="245" w:lineRule="auto"/>
        <w:rPr>
          <w:sz w:val="20"/>
          <w:szCs w:val="20"/>
          <w:color w:val="auto"/>
        </w:rPr>
      </w:pPr>
      <w:r>
        <w:rPr>
          <w:rFonts w:ascii="Times New Roman" w:cs="Times New Roman" w:eastAsia="Times New Roman" w:hAnsi="Times New Roman"/>
          <w:sz w:val="14"/>
          <w:szCs w:val="14"/>
          <w:color w:val="auto"/>
        </w:rPr>
        <w:t>The Registration Rights Agreement defines “</w:t>
      </w:r>
      <w:r>
        <w:rPr>
          <w:rFonts w:ascii="Times New Roman" w:cs="Times New Roman" w:eastAsia="Times New Roman" w:hAnsi="Times New Roman"/>
          <w:sz w:val="14"/>
          <w:szCs w:val="14"/>
          <w:i w:val="1"/>
          <w:iCs w:val="1"/>
          <w:color w:val="auto"/>
        </w:rPr>
        <w:t>registrable securities</w:t>
      </w:r>
      <w:r>
        <w:rPr>
          <w:rFonts w:ascii="Times New Roman" w:cs="Times New Roman" w:eastAsia="Times New Roman" w:hAnsi="Times New Roman"/>
          <w:sz w:val="14"/>
          <w:szCs w:val="14"/>
          <w:color w:val="auto"/>
        </w:rPr>
        <w:t>” initially to mean the Restricted Notes and provides that the Restricted Notes will cease to be registrable securities when: (i) when a registration statement with respect to such Restricted Notes has become effective and such Restricted Notes have been exchanged or disposed of or distributed pursuant to such registration statement, (ii) when such Restricted Notes cease to be outstanding or (iii) when the exchange offer is consummated, except in the case of Restricted Notes that otherwise remain registrable securities that are held by a holder that was ineligible to participate in the exchange offer or participate in the exchange offer and did not receive fully tradable Registered Notes pursuant to the exchange offer.</w:t>
      </w:r>
    </w:p>
    <w:p>
      <w:pPr>
        <w:spacing w:after="0" w:line="88" w:lineRule="exact"/>
        <w:rPr>
          <w:sz w:val="20"/>
          <w:szCs w:val="20"/>
          <w:color w:val="auto"/>
        </w:rPr>
      </w:pPr>
    </w:p>
    <w:p>
      <w:pPr>
        <w:ind w:left="1420" w:right="1619" w:firstLine="271"/>
        <w:spacing w:after="0" w:line="262" w:lineRule="auto"/>
        <w:rPr>
          <w:sz w:val="20"/>
          <w:szCs w:val="20"/>
          <w:color w:val="auto"/>
        </w:rPr>
      </w:pPr>
      <w:r>
        <w:rPr>
          <w:rFonts w:ascii="Times New Roman" w:cs="Times New Roman" w:eastAsia="Times New Roman" w:hAnsi="Times New Roman"/>
          <w:sz w:val="14"/>
          <w:szCs w:val="14"/>
          <w:color w:val="auto"/>
        </w:rPr>
        <w:t>Any amounts of additional interest due will be payable in cash on the same original interest payment dates as interest on the Restricted Notes is payable.</w:t>
      </w:r>
    </w:p>
    <w:p>
      <w:pPr>
        <w:spacing w:after="0" w:line="85" w:lineRule="exact"/>
        <w:rPr>
          <w:sz w:val="20"/>
          <w:szCs w:val="20"/>
          <w:color w:val="auto"/>
        </w:rPr>
      </w:pPr>
    </w:p>
    <w:p>
      <w:pPr>
        <w:jc w:val="both"/>
        <w:ind w:left="1420" w:right="1539" w:firstLine="271"/>
        <w:spacing w:after="0" w:line="262" w:lineRule="auto"/>
        <w:rPr>
          <w:sz w:val="20"/>
          <w:szCs w:val="20"/>
          <w:color w:val="auto"/>
        </w:rPr>
      </w:pPr>
      <w:r>
        <w:rPr>
          <w:rFonts w:ascii="Times New Roman" w:cs="Times New Roman" w:eastAsia="Times New Roman" w:hAnsi="Times New Roman"/>
          <w:sz w:val="14"/>
          <w:szCs w:val="14"/>
          <w:color w:val="auto"/>
        </w:rPr>
        <w:t>This summary of the provisions of the Registration Rights Agreement does not purport to be complete and is subject to, and is qualified in its entirety to, all the provisions of the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0" w:name="page51"/>
    <w:bookmarkEnd w:id="50"/>
    <w:p>
      <w:pPr>
        <w:ind w:left="4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w:t>
      </w:r>
    </w:p>
    <w:p>
      <w:pPr>
        <w:spacing w:after="0" w:line="11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The following is a general discussion of certain material U.S. federal income tax considerations</w:t>
      </w:r>
    </w:p>
    <w:p>
      <w:pPr>
        <w:spacing w:after="0" w:line="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relating to the exchange of Restricted Notes for Registered Notes in the exchange offer. It does not include a</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discussion of the ownership and disposition of Registered Notes acquired pursuant to the exchange offer,</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nor does it purport to contain a complete analysis of all the potential tax considerations relating to the</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exchange. This discussion is limited to holders of Restricted Notes who hold the Restricted Notes as</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“capital assets” within the meaning of Section 1221 of the Internal Revenue Code of 1986, as amended</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i w:val="1"/>
          <w:iCs w:val="1"/>
          <w:color w:val="auto"/>
        </w:rPr>
        <w:t>Code</w:t>
      </w:r>
      <w:r>
        <w:rPr>
          <w:rFonts w:ascii="Times New Roman" w:cs="Times New Roman" w:eastAsia="Times New Roman" w:hAnsi="Times New Roman"/>
          <w:sz w:val="14"/>
          <w:szCs w:val="14"/>
          <w:color w:val="auto"/>
        </w:rPr>
        <w:t>”) (generally, property held for investment). This discussion is based upon the Code, the Treasury</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Regulations promulgated thereunder, judicial authorities and published positions of the Internal Revenue</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Service (the “</w:t>
      </w:r>
      <w:r>
        <w:rPr>
          <w:rFonts w:ascii="Times New Roman" w:cs="Times New Roman" w:eastAsia="Times New Roman" w:hAnsi="Times New Roman"/>
          <w:sz w:val="14"/>
          <w:szCs w:val="14"/>
          <w:i w:val="1"/>
          <w:iCs w:val="1"/>
          <w:color w:val="auto"/>
        </w:rPr>
        <w:t>IRS</w:t>
      </w:r>
      <w:r>
        <w:rPr>
          <w:rFonts w:ascii="Times New Roman" w:cs="Times New Roman" w:eastAsia="Times New Roman" w:hAnsi="Times New Roman"/>
          <w:sz w:val="14"/>
          <w:szCs w:val="14"/>
          <w:color w:val="auto"/>
        </w:rPr>
        <w:t>”), all as currently in effect, and all of which are subject to change or differing</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interpretations possibly with retroactive effect, and any such change or differing interpretation could affect</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accuracy of the statements and conclusions set forth herein.</w:t>
      </w:r>
    </w:p>
    <w:p>
      <w:pPr>
        <w:spacing w:after="0" w:line="101" w:lineRule="exact"/>
        <w:rPr>
          <w:sz w:val="20"/>
          <w:szCs w:val="20"/>
          <w:color w:val="auto"/>
        </w:rPr>
      </w:pPr>
    </w:p>
    <w:p>
      <w:pPr>
        <w:ind w:left="1420" w:right="1439" w:firstLine="271"/>
        <w:spacing w:after="0" w:line="243" w:lineRule="auto"/>
        <w:rPr>
          <w:sz w:val="20"/>
          <w:szCs w:val="20"/>
          <w:color w:val="auto"/>
        </w:rPr>
      </w:pPr>
      <w:r>
        <w:rPr>
          <w:rFonts w:ascii="Times New Roman" w:cs="Times New Roman" w:eastAsia="Times New Roman" w:hAnsi="Times New Roman"/>
          <w:sz w:val="14"/>
          <w:szCs w:val="14"/>
          <w:color w:val="auto"/>
        </w:rPr>
        <w:t>This discussion is for general information purposes only and does not address all of the U.S. federal income tax consequences and considerations that may be relevant to a particular holder in light of such holder’s particular facts and circumstances and does not apply to holders that are subject to special treatment under U.S. federal income tax laws, such as, for example, banks or other financial institutions; insurance companies, regulated investment companies, real estate investment trusts or mutual funds; holders liable for the alternative minimum tax; certain former citizens or former long-term residents of the United States; U.S. holders having a “functional currency” other than the U.S. dollar; tax-exempt organizations; dealers in securities; entities or arrangements treated as partnerships for U.S. federal income tax purposes or other flow-through entities (or investors therein); subchapter S corporations, retirement plans, individual retirement accounts or other tax-deferred accounts; traders in securities that elect to use a mark to market method of accounting; or holders that hold Restricted Notes as part of a straddle, constructive sale, or conversion transaction or other integrated or risk reduction transaction.</w:t>
      </w:r>
    </w:p>
    <w:p>
      <w:pPr>
        <w:spacing w:after="0" w:line="94" w:lineRule="exact"/>
        <w:rPr>
          <w:sz w:val="20"/>
          <w:szCs w:val="20"/>
          <w:color w:val="auto"/>
        </w:rPr>
      </w:pPr>
    </w:p>
    <w:p>
      <w:pPr>
        <w:ind w:left="1420" w:right="1479" w:firstLine="271"/>
        <w:spacing w:after="0" w:line="244" w:lineRule="auto"/>
        <w:rPr>
          <w:sz w:val="20"/>
          <w:szCs w:val="20"/>
          <w:color w:val="auto"/>
        </w:rPr>
      </w:pPr>
      <w:r>
        <w:rPr>
          <w:rFonts w:ascii="Times New Roman" w:cs="Times New Roman" w:eastAsia="Times New Roman" w:hAnsi="Times New Roman"/>
          <w:sz w:val="14"/>
          <w:szCs w:val="14"/>
          <w:color w:val="auto"/>
        </w:rPr>
        <w:t>This discussion does not address any tax consequences under U.S. federal tax laws other than those pertaining to income tax, nor does it address any considerations under any state, local or foreign tax laws or under the unearned income Medicare contribution tax pursuant to the Health Care and Education Reconciliation Act of 2010. This discussion also does not address any withholding considerations under the Foreign Account Tax Compliance Act of 2010 (including the Treasury Regulations issued thereunder and intergovernmental agreements entered into pursuant thereto or in connection therewith). No assurance can be given that the IRS would not assert, or that a court would not sustain, a position contrary to any of the tax consequences set forth below.</w:t>
      </w:r>
    </w:p>
    <w:p>
      <w:pPr>
        <w:spacing w:after="0" w:line="101" w:lineRule="exact"/>
        <w:rPr>
          <w:sz w:val="20"/>
          <w:szCs w:val="20"/>
          <w:color w:val="auto"/>
        </w:rPr>
      </w:pPr>
    </w:p>
    <w:p>
      <w:pPr>
        <w:ind w:left="1420" w:right="1539" w:firstLine="271"/>
        <w:spacing w:after="0" w:line="247" w:lineRule="auto"/>
        <w:rPr>
          <w:sz w:val="20"/>
          <w:szCs w:val="20"/>
          <w:color w:val="auto"/>
        </w:rPr>
      </w:pPr>
      <w:r>
        <w:rPr>
          <w:rFonts w:ascii="Times New Roman" w:cs="Times New Roman" w:eastAsia="Times New Roman" w:hAnsi="Times New Roman"/>
          <w:sz w:val="14"/>
          <w:szCs w:val="14"/>
          <w:color w:val="auto"/>
        </w:rPr>
        <w:t>If a partnership or other entity or arrangement treated as a partnership for U.S. federal income tax purposes holds Restricted Notes, the tax treatment of a person treated as a partner in such partnership for U.S. federal income tax purposes generally will depend upon the status of the partner and the activities of the partnership. Such partnerships and partners in such partnerships should consult their tax advisors about the tax consequences of the exchange to them.</w:t>
      </w:r>
    </w:p>
    <w:p>
      <w:pPr>
        <w:spacing w:after="0" w:line="91" w:lineRule="exact"/>
        <w:rPr>
          <w:sz w:val="20"/>
          <w:szCs w:val="20"/>
          <w:color w:val="auto"/>
        </w:rPr>
      </w:pPr>
    </w:p>
    <w:p>
      <w:pPr>
        <w:ind w:left="1420" w:right="1479" w:firstLine="271"/>
        <w:spacing w:after="0" w:line="250" w:lineRule="auto"/>
        <w:rPr>
          <w:sz w:val="20"/>
          <w:szCs w:val="20"/>
          <w:color w:val="auto"/>
        </w:rPr>
      </w:pPr>
      <w:r>
        <w:rPr>
          <w:rFonts w:ascii="Times New Roman" w:cs="Times New Roman" w:eastAsia="Times New Roman" w:hAnsi="Times New Roman"/>
          <w:sz w:val="14"/>
          <w:szCs w:val="14"/>
          <w:b w:val="1"/>
          <w:bCs w:val="1"/>
          <w:color w:val="auto"/>
        </w:rPr>
        <w:t>This discussion is for general purposes only. All holders are urged to consult with their tax advisors as to the specific tax consequences to them of the exchange of Restricted Notes for Registered Notes in light of their particular facts and circumstances, including the applicability and effect of any U.S. federal, state, local, foreign or other tax laws.</w:t>
      </w:r>
    </w:p>
    <w:p>
      <w:pPr>
        <w:spacing w:after="0" w:line="14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Consequences of Tendering Restricted Notes</w:t>
      </w:r>
    </w:p>
    <w:p>
      <w:pPr>
        <w:spacing w:after="0" w:line="107" w:lineRule="exact"/>
        <w:rPr>
          <w:sz w:val="20"/>
          <w:szCs w:val="20"/>
          <w:color w:val="auto"/>
        </w:rPr>
      </w:pPr>
    </w:p>
    <w:p>
      <w:pPr>
        <w:ind w:left="1420" w:right="1539" w:firstLine="271"/>
        <w:spacing w:after="0" w:line="246" w:lineRule="auto"/>
        <w:rPr>
          <w:sz w:val="20"/>
          <w:szCs w:val="20"/>
          <w:color w:val="auto"/>
        </w:rPr>
      </w:pPr>
      <w:r>
        <w:rPr>
          <w:rFonts w:ascii="Times New Roman" w:cs="Times New Roman" w:eastAsia="Times New Roman" w:hAnsi="Times New Roman"/>
          <w:sz w:val="14"/>
          <w:szCs w:val="14"/>
          <w:color w:val="auto"/>
        </w:rPr>
        <w:t>The exchange of Restricted Notes for Registered Notes in the exchange offer will not constitute a taxable exchange for U.S. federal income tax purposes. Accordingly, you will not recognize gain or loss upon the exchange of Restricted Notes for Registered Notes, your basis in the Registered Notes will be the same as your basis in the Restricted Notes surrendered in exchange therefor immediately before the exchange, and your holding period in the Registered Notes will include your holding period for the Restricted Notes exchanged.</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1" w:name="page52"/>
    <w:bookmarkEnd w:id="51"/>
    <w:p>
      <w:pPr>
        <w:ind w:left="4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17" w:lineRule="exact"/>
        <w:rPr>
          <w:sz w:val="20"/>
          <w:szCs w:val="20"/>
          <w:color w:val="auto"/>
        </w:rPr>
      </w:pPr>
    </w:p>
    <w:p>
      <w:pPr>
        <w:ind w:left="1420" w:right="1459" w:firstLine="271"/>
        <w:spacing w:after="0" w:line="244" w:lineRule="auto"/>
        <w:rPr>
          <w:sz w:val="20"/>
          <w:szCs w:val="20"/>
          <w:color w:val="auto"/>
        </w:rPr>
      </w:pPr>
      <w:r>
        <w:rPr>
          <w:rFonts w:ascii="Times New Roman" w:cs="Times New Roman" w:eastAsia="Times New Roman" w:hAnsi="Times New Roman"/>
          <w:sz w:val="14"/>
          <w:szCs w:val="14"/>
          <w:color w:val="auto"/>
        </w:rPr>
        <w:t>Each broker-dealer that receives Registered Notes for its own account pursuant to the exchange offer must acknowledge that it will deliver a prospectus in connection with any resale of such Registered Notes. This prospectus, as it may be amended or supplemented from time to time, may be used by a broker-dealer in connection with resales of Registered Notes received in exchange for Restricted Notes that were acquired by such broker-dealer as a result of market-making or other trading activities. WM has agreed that, for a period ending on the earlier of (A) 180 days after the expiration date of the exchange offer and (B) the date on which each broker-dealer is no longer required to deliver a prospectus in connection with market marking or other trading activities, in each case to the extent necessary to ensure that the exchange offer registrations statement is available for resale of the Restricted Securities and if requested by one or more such broker-dealers, WM will use commercially reasonable efforts to amend or supplement this prospectus in order to expedite or facilitate the disposition of any Registered Notes by any such broker-dealers.</w:t>
      </w:r>
    </w:p>
    <w:p>
      <w:pPr>
        <w:spacing w:after="0" w:line="97" w:lineRule="exact"/>
        <w:rPr>
          <w:sz w:val="20"/>
          <w:szCs w:val="20"/>
          <w:color w:val="auto"/>
        </w:rPr>
      </w:pPr>
    </w:p>
    <w:p>
      <w:pPr>
        <w:ind w:left="1420" w:right="1459" w:firstLine="271"/>
        <w:spacing w:after="0" w:line="243" w:lineRule="auto"/>
        <w:rPr>
          <w:sz w:val="20"/>
          <w:szCs w:val="20"/>
          <w:color w:val="auto"/>
        </w:rPr>
      </w:pPr>
      <w:r>
        <w:rPr>
          <w:rFonts w:ascii="Times New Roman" w:cs="Times New Roman" w:eastAsia="Times New Roman" w:hAnsi="Times New Roman"/>
          <w:sz w:val="14"/>
          <w:szCs w:val="14"/>
          <w:color w:val="auto"/>
        </w:rPr>
        <w:t>WM will not receive any proceeds from any sale of Registered Notes by broker-dealers. Registered Notes received by broker-dealers for their own account pursuant to the exchange offer may be sold from time to time in one or more transactions in the over-the-counter market, in negotiated transactions, through the writing of options on the Registered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or the purchasers of any such Registered Notes. Any broker-dealer that resells Registered Notes that were received by it for its own account pursuant to the exchange offer, and any broker or dealer that participates in a distribution of such Registered Notes may be deemed to be an “underwriter” within the meaning of the Securities Act, and any profit on any such resale of Registered Notes and any commissions or concessions received by any such persons may be deemed to be underwriting compensation under the Securities Act.</w:t>
      </w:r>
    </w:p>
    <w:p>
      <w:pPr>
        <w:spacing w:after="0" w:line="94" w:lineRule="exact"/>
        <w:rPr>
          <w:sz w:val="20"/>
          <w:szCs w:val="20"/>
          <w:color w:val="auto"/>
        </w:rPr>
      </w:pPr>
    </w:p>
    <w:p>
      <w:pPr>
        <w:ind w:left="1420" w:right="1459" w:firstLine="271"/>
        <w:spacing w:after="0" w:line="252" w:lineRule="auto"/>
        <w:rPr>
          <w:sz w:val="20"/>
          <w:szCs w:val="20"/>
          <w:color w:val="auto"/>
        </w:rPr>
      </w:pPr>
      <w:r>
        <w:rPr>
          <w:rFonts w:ascii="Times New Roman" w:cs="Times New Roman" w:eastAsia="Times New Roman" w:hAnsi="Times New Roman"/>
          <w:sz w:val="14"/>
          <w:szCs w:val="14"/>
          <w:color w:val="auto"/>
        </w:rPr>
        <w:t>The letter of transmittal states that, by acknowledging that it will deliver and by delivering a prospectus, a broker-dealer will not be deemed to admit that it is an “underwriter” within the meaning of the Securities Act.</w:t>
      </w:r>
    </w:p>
    <w:p>
      <w:pPr>
        <w:spacing w:after="0" w:line="92" w:lineRule="exact"/>
        <w:rPr>
          <w:sz w:val="20"/>
          <w:szCs w:val="20"/>
          <w:color w:val="auto"/>
        </w:rPr>
      </w:pPr>
    </w:p>
    <w:p>
      <w:pPr>
        <w:ind w:left="1420" w:right="1459" w:firstLine="271"/>
        <w:spacing w:after="0" w:line="245" w:lineRule="auto"/>
        <w:rPr>
          <w:sz w:val="20"/>
          <w:szCs w:val="20"/>
          <w:color w:val="auto"/>
        </w:rPr>
      </w:pPr>
      <w:r>
        <w:rPr>
          <w:rFonts w:ascii="Times New Roman" w:cs="Times New Roman" w:eastAsia="Times New Roman" w:hAnsi="Times New Roman"/>
          <w:sz w:val="14"/>
          <w:szCs w:val="14"/>
          <w:color w:val="auto"/>
        </w:rPr>
        <w:t>For a period of 180 days after the expiration date of the exchange offer, WM will promptly send additional copies of this prospectus and any amendment or supplement to this prospectus to any broker-dealer that requests such documents in the letter of transmittal. WM has agreed to pay certain expenses incident to the exchange offer (including the expenses of one firm counsel for the holders of the Registered Notes) other than commissions or concessions of any brokers or dealers and WM will indemnify the holders of the Registered Notes (including any broker-dealers) against certain liabilities pursuant to the Registration Rights Agreement, including liabilities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2" w:name="page53"/>
    <w:bookmarkEnd w:id="52"/>
    <w:p>
      <w:pPr>
        <w:ind w:left="4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17" w:lineRule="exact"/>
        <w:rPr>
          <w:sz w:val="20"/>
          <w:szCs w:val="20"/>
          <w:color w:val="auto"/>
        </w:rPr>
      </w:pPr>
    </w:p>
    <w:p>
      <w:pPr>
        <w:ind w:left="1420" w:right="1679" w:firstLine="271"/>
        <w:spacing w:after="0" w:line="262" w:lineRule="auto"/>
        <w:rPr>
          <w:sz w:val="20"/>
          <w:szCs w:val="20"/>
          <w:color w:val="auto"/>
        </w:rPr>
      </w:pPr>
      <w:r>
        <w:rPr>
          <w:rFonts w:ascii="Times New Roman" w:cs="Times New Roman" w:eastAsia="Times New Roman" w:hAnsi="Times New Roman"/>
          <w:sz w:val="14"/>
          <w:szCs w:val="14"/>
          <w:color w:val="auto"/>
        </w:rPr>
        <w:t>Baker Botts L.L.P. will pass upon certain legal matters for us in connection with the issuance of the Registered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3" w:name="page54"/>
    <w:bookmarkEnd w:id="53"/>
    <w:p>
      <w:pPr>
        <w:ind w:left="4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17" w:lineRule="exact"/>
        <w:rPr>
          <w:sz w:val="20"/>
          <w:szCs w:val="20"/>
          <w:color w:val="auto"/>
        </w:rPr>
      </w:pPr>
    </w:p>
    <w:p>
      <w:pPr>
        <w:ind w:left="1420" w:right="1459" w:firstLine="271"/>
        <w:spacing w:after="0" w:line="24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consolidated financial statements of Waste Management, Inc. appearing in Waste Management, Inc.’s </w:t>
      </w:r>
      <w:hyperlink r:id="rId27">
        <w:r>
          <w:rPr>
            <w:rFonts w:ascii="Times New Roman" w:cs="Times New Roman" w:eastAsia="Times New Roman" w:hAnsi="Times New Roman"/>
            <w:sz w:val="14"/>
            <w:szCs w:val="14"/>
            <w:u w:val="single" w:color="auto"/>
            <w:color w:val="0000EE"/>
          </w:rPr>
          <w:t>Annual Report (Form 10-K) for the year ended December 31, 2024</w:t>
        </w:r>
      </w:hyperlink>
      <w:r>
        <w:rPr>
          <w:rFonts w:ascii="Times New Roman" w:cs="Times New Roman" w:eastAsia="Times New Roman" w:hAnsi="Times New Roman"/>
          <w:sz w:val="14"/>
          <w:szCs w:val="14"/>
          <w:color w:val="auto"/>
        </w:rPr>
        <w:t>, and the effectiveness of Waste Management, Inc.’s internal control over financial reporting as of December 31, 2024,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4" w:name="page55"/>
    <w:bookmarkEnd w:id="54"/>
    <w:p>
      <w:pPr>
        <w:ind w:left="4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17" w:lineRule="exact"/>
        <w:rPr>
          <w:sz w:val="20"/>
          <w:szCs w:val="20"/>
          <w:color w:val="auto"/>
        </w:rPr>
      </w:pPr>
    </w:p>
    <w:p>
      <w:pPr>
        <w:ind w:left="1420" w:right="1479" w:firstLine="271"/>
        <w:spacing w:after="0" w:line="252"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The SEC maintains an Internet website that contains information we have filed electronically with the SEC, which you can access over the Internet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92" w:lineRule="exact"/>
        <w:rPr>
          <w:sz w:val="20"/>
          <w:szCs w:val="20"/>
          <w:color w:val="auto"/>
        </w:rPr>
      </w:pPr>
    </w:p>
    <w:p>
      <w:pPr>
        <w:ind w:left="1420" w:right="1479" w:firstLine="271"/>
        <w:spacing w:after="0" w:line="247" w:lineRule="auto"/>
        <w:rPr>
          <w:sz w:val="20"/>
          <w:szCs w:val="20"/>
          <w:color w:val="auto"/>
        </w:rPr>
      </w:pPr>
      <w:r>
        <w:rPr>
          <w:rFonts w:ascii="Times New Roman" w:cs="Times New Roman" w:eastAsia="Times New Roman" w:hAnsi="Times New Roman"/>
          <w:sz w:val="14"/>
          <w:szCs w:val="14"/>
          <w:color w:val="auto"/>
        </w:rPr>
        <w:t xml:space="preserve">Our annual reports on Form 10-K, quarterly reports on Form 10-Q, current reports on Form 8-K and other filings with the SEC are available, without charge, on or through our website, </w:t>
      </w:r>
      <w:r>
        <w:rPr>
          <w:rFonts w:ascii="Times New Roman" w:cs="Times New Roman" w:eastAsia="Times New Roman" w:hAnsi="Times New Roman"/>
          <w:sz w:val="14"/>
          <w:szCs w:val="14"/>
          <w:i w:val="1"/>
          <w:iCs w:val="1"/>
          <w:color w:val="auto"/>
        </w:rPr>
        <w:t>www.wm.com</w:t>
      </w:r>
      <w:r>
        <w:rPr>
          <w:rFonts w:ascii="Times New Roman" w:cs="Times New Roman" w:eastAsia="Times New Roman" w:hAnsi="Times New Roman"/>
          <w:sz w:val="14"/>
          <w:szCs w:val="14"/>
          <w:color w:val="auto"/>
        </w:rPr>
        <w:t>, as soon as reasonably practicable after we electronically file such material with, or furnish it to, the SEC. Information contained on, or that can be accessed through, our website is not incorporated by reference into this prospectus and does not constitute a part of this prospectus.</w:t>
      </w:r>
    </w:p>
    <w:p>
      <w:pPr>
        <w:spacing w:after="0" w:line="85" w:lineRule="exact"/>
        <w:rPr>
          <w:sz w:val="20"/>
          <w:szCs w:val="20"/>
          <w:color w:val="auto"/>
        </w:rPr>
      </w:pPr>
    </w:p>
    <w:p>
      <w:pPr>
        <w:jc w:val="both"/>
        <w:ind w:left="1420" w:right="1439" w:firstLine="271"/>
        <w:spacing w:after="0" w:line="252" w:lineRule="auto"/>
        <w:rPr>
          <w:sz w:val="20"/>
          <w:szCs w:val="20"/>
          <w:color w:val="auto"/>
        </w:rPr>
      </w:pPr>
      <w:r>
        <w:rPr>
          <w:rFonts w:ascii="Times New Roman" w:cs="Times New Roman" w:eastAsia="Times New Roman" w:hAnsi="Times New Roman"/>
          <w:sz w:val="14"/>
          <w:szCs w:val="14"/>
          <w:color w:val="auto"/>
        </w:rPr>
        <w:t>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our securities.</w:t>
      </w:r>
    </w:p>
    <w:p>
      <w:pPr>
        <w:spacing w:after="0" w:line="92" w:lineRule="exact"/>
        <w:rPr>
          <w:sz w:val="20"/>
          <w:szCs w:val="20"/>
          <w:color w:val="auto"/>
        </w:rPr>
      </w:pPr>
    </w:p>
    <w:p>
      <w:pPr>
        <w:ind w:left="1420" w:right="1499" w:firstLine="271"/>
        <w:spacing w:after="0" w:line="244" w:lineRule="auto"/>
        <w:rPr>
          <w:sz w:val="20"/>
          <w:szCs w:val="20"/>
          <w:color w:val="auto"/>
        </w:rPr>
      </w:pPr>
      <w:r>
        <w:rPr>
          <w:rFonts w:ascii="Times New Roman" w:cs="Times New Roman" w:eastAsia="Times New Roman" w:hAnsi="Times New Roman"/>
          <w:sz w:val="14"/>
          <w:szCs w:val="14"/>
          <w:color w:val="auto"/>
        </w:rPr>
        <w:t>We incorporate information into this prospectus by reference, which means that we disclose important information to you by referring you to a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3" w:lineRule="exact"/>
        <w:rPr>
          <w:sz w:val="20"/>
          <w:szCs w:val="20"/>
          <w:color w:val="auto"/>
        </w:rPr>
      </w:pPr>
    </w:p>
    <w:p>
      <w:pPr>
        <w:jc w:val="right"/>
        <w:ind w:right="1399"/>
        <w:spacing w:after="0"/>
        <w:tabs>
          <w:tab w:leader="none" w:pos="1220" w:val="left"/>
          <w:tab w:leader="none" w:pos="760" w:val="left"/>
          <w:tab w:leader="none" w:pos="20" w:val="left"/>
        </w:tabs>
        <w:rPr>
          <w:sz w:val="20"/>
          <w:szCs w:val="20"/>
          <w:color w:val="auto"/>
        </w:rPr>
      </w:pPr>
      <w:r>
        <w:rPr>
          <w:rFonts w:ascii="Times New Roman" w:cs="Times New Roman" w:eastAsia="Times New Roman" w:hAnsi="Times New Roman"/>
          <w:sz w:val="11"/>
          <w:szCs w:val="11"/>
          <w:b w:val="1"/>
          <w:bCs w:val="1"/>
          <w:color w:val="auto"/>
        </w:rPr>
        <w:t>SEC Filing (Our SEC File Number is 1-12154)</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Date Filed</w:t>
      </w:r>
      <w:r>
        <w:rPr>
          <w:sz w:val="20"/>
          <w:szCs w:val="20"/>
          <w:color w:val="auto"/>
        </w:rPr>
        <w:tab/>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13970</wp:posOffset>
            </wp:positionV>
            <wp:extent cx="391858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918585" cy="1289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p>
      <w:pPr>
        <w:spacing w:after="0" w:line="49" w:lineRule="exact"/>
        <w:rPr>
          <w:sz w:val="20"/>
          <w:szCs w:val="20"/>
          <w:color w:val="auto"/>
        </w:rPr>
      </w:pPr>
    </w:p>
    <w:p>
      <w:pPr>
        <w:ind w:left="1420" w:right="780"/>
        <w:spacing w:after="0" w:line="282" w:lineRule="auto"/>
        <w:rPr>
          <w:rFonts w:ascii="Times New Roman" w:cs="Times New Roman" w:eastAsia="Times New Roman" w:hAnsi="Times New Roman"/>
          <w:sz w:val="14"/>
          <w:szCs w:val="14"/>
          <w:u w:val="single" w:color="auto"/>
          <w:color w:val="0000EE"/>
        </w:rPr>
      </w:pPr>
      <w:hyperlink r:id="rId27">
        <w:r>
          <w:rPr>
            <w:rFonts w:ascii="Times New Roman" w:cs="Times New Roman" w:eastAsia="Times New Roman" w:hAnsi="Times New Roman"/>
            <w:sz w:val="14"/>
            <w:szCs w:val="14"/>
            <w:u w:val="single" w:color="auto"/>
            <w:color w:val="0000EE"/>
          </w:rPr>
          <w:t>Annual Report on Form 10-K for the year ended December 31, 2024</w:t>
        </w:r>
      </w:hyperlink>
      <w:r>
        <w:rPr>
          <w:rFonts w:ascii="Times New Roman" w:cs="Times New Roman" w:eastAsia="Times New Roman" w:hAnsi="Times New Roman"/>
          <w:sz w:val="14"/>
          <w:szCs w:val="14"/>
          <w:u w:val="single" w:color="auto"/>
          <w:color w:val="0000EE"/>
        </w:rPr>
        <w:t xml:space="preserve"> </w:t>
      </w:r>
      <w:hyperlink r:id="rId94">
        <w:r>
          <w:rPr>
            <w:rFonts w:ascii="Times New Roman" w:cs="Times New Roman" w:eastAsia="Times New Roman" w:hAnsi="Times New Roman"/>
            <w:sz w:val="14"/>
            <w:szCs w:val="14"/>
            <w:u w:val="single" w:color="auto"/>
            <w:color w:val="0000EE"/>
          </w:rPr>
          <w:t>Quarterly Report on Form 10-Q for the quarter ended March 31, 2025</w:t>
        </w:r>
      </w:hyperlink>
      <w:r>
        <w:rPr>
          <w:rFonts w:ascii="Times New Roman" w:cs="Times New Roman" w:eastAsia="Times New Roman" w:hAnsi="Times New Roman"/>
          <w:sz w:val="14"/>
          <w:szCs w:val="14"/>
          <w:u w:val="single" w:color="auto"/>
          <w:color w:val="0000EE"/>
        </w:rPr>
        <w:t xml:space="preserve"> </w:t>
      </w:r>
      <w:hyperlink r:id="rId95">
        <w:r>
          <w:rPr>
            <w:rFonts w:ascii="Times New Roman" w:cs="Times New Roman" w:eastAsia="Times New Roman" w:hAnsi="Times New Roman"/>
            <w:sz w:val="14"/>
            <w:szCs w:val="14"/>
            <w:u w:val="single" w:color="auto"/>
            <w:color w:val="0000EE"/>
          </w:rPr>
          <w:t>Current Report on Form 8-K</w:t>
        </w:r>
      </w:hyperlink>
    </w:p>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column">
              <wp:posOffset>901065</wp:posOffset>
            </wp:positionH>
            <wp:positionV relativeFrom="paragraph">
              <wp:posOffset>-126365</wp:posOffset>
            </wp:positionV>
            <wp:extent cx="3918585" cy="1225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3918585" cy="122555"/>
                    </a:xfrm>
                    <a:prstGeom prst="rect">
                      <a:avLst/>
                    </a:prstGeom>
                    <a:noFill/>
                  </pic:spPr>
                </pic:pic>
              </a:graphicData>
            </a:graphic>
          </wp:anchor>
        </w:drawing>
      </w:r>
    </w:p>
    <w:p>
      <w:pPr>
        <w:ind w:left="1560" w:hanging="134"/>
        <w:spacing w:after="0" w:line="252" w:lineRule="auto"/>
        <w:rPr>
          <w:rFonts w:ascii="Times New Roman" w:cs="Times New Roman" w:eastAsia="Times New Roman" w:hAnsi="Times New Roman"/>
          <w:sz w:val="14"/>
          <w:szCs w:val="14"/>
          <w:u w:val="single" w:color="auto"/>
          <w:color w:val="0000EE"/>
        </w:rPr>
      </w:pPr>
      <w:hyperlink r:id="rId97">
        <w:r>
          <w:rPr>
            <w:rFonts w:ascii="Times New Roman" w:cs="Times New Roman" w:eastAsia="Times New Roman" w:hAnsi="Times New Roman"/>
            <w:sz w:val="14"/>
            <w:szCs w:val="14"/>
            <w:u w:val="single" w:color="auto"/>
            <w:color w:val="0000EE"/>
          </w:rPr>
          <w:t>The portions of our proxy statement for our 2025 annual meeting of stockholders</w:t>
        </w:r>
      </w:hyperlink>
      <w:r>
        <w:rPr>
          <w:rFonts w:ascii="Times New Roman" w:cs="Times New Roman" w:eastAsia="Times New Roman" w:hAnsi="Times New Roman"/>
          <w:sz w:val="14"/>
          <w:szCs w:val="14"/>
          <w:u w:val="single" w:color="auto"/>
          <w:color w:val="0000EE"/>
        </w:rPr>
        <w:t xml:space="preserve"> </w:t>
      </w:r>
      <w:hyperlink r:id="rId97">
        <w:r>
          <w:rPr>
            <w:rFonts w:ascii="Times New Roman" w:cs="Times New Roman" w:eastAsia="Times New Roman" w:hAnsi="Times New Roman"/>
            <w:sz w:val="14"/>
            <w:szCs w:val="14"/>
            <w:u w:val="single" w:color="auto"/>
            <w:color w:val="0000EE"/>
          </w:rPr>
          <w:t>incorporated by reference in our Annual Report on Form 10-K for the year ended</w:t>
        </w:r>
      </w:hyperlink>
      <w:r>
        <w:rPr>
          <w:rFonts w:ascii="Times New Roman" w:cs="Times New Roman" w:eastAsia="Times New Roman" w:hAnsi="Times New Roman"/>
          <w:sz w:val="14"/>
          <w:szCs w:val="14"/>
          <w:u w:val="single" w:color="auto"/>
          <w:color w:val="0000EE"/>
        </w:rPr>
        <w:t xml:space="preserve"> </w:t>
      </w:r>
      <w:hyperlink r:id="rId97">
        <w:r>
          <w:rPr>
            <w:rFonts w:ascii="Times New Roman" w:cs="Times New Roman" w:eastAsia="Times New Roman" w:hAnsi="Times New Roman"/>
            <w:sz w:val="14"/>
            <w:szCs w:val="14"/>
            <w:u w:val="single" w:color="auto"/>
            <w:color w:val="0000EE"/>
          </w:rPr>
          <w:t>December 31, 2024</w:t>
        </w:r>
      </w:hyperlink>
    </w:p>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br w:type="column"/>
      </w:r>
    </w:p>
    <w:p>
      <w:pPr>
        <w:spacing w:after="0" w:line="29" w:lineRule="exact"/>
        <w:rPr>
          <w:rFonts w:ascii="Times New Roman" w:cs="Times New Roman" w:eastAsia="Times New Roman" w:hAnsi="Times New Roman"/>
          <w:sz w:val="14"/>
          <w:szCs w:val="14"/>
          <w:u w:val="single" w:color="auto"/>
          <w:color w:val="0000EE"/>
        </w:rPr>
      </w:pPr>
    </w:p>
    <w:p>
      <w:pPr>
        <w:spacing w:after="0"/>
        <w:rPr>
          <w:sz w:val="20"/>
          <w:szCs w:val="20"/>
          <w:color w:val="auto"/>
        </w:rPr>
      </w:pPr>
      <w:r>
        <w:rPr>
          <w:rFonts w:ascii="Times New Roman" w:cs="Times New Roman" w:eastAsia="Times New Roman" w:hAnsi="Times New Roman"/>
          <w:sz w:val="14"/>
          <w:szCs w:val="14"/>
          <w:color w:val="auto"/>
        </w:rPr>
        <w:t>​ ​ February 19, 2025​</w:t>
      </w:r>
    </w:p>
    <w:p>
      <w:pPr>
        <w:spacing w:after="0" w:line="34" w:lineRule="exact"/>
        <w:rPr>
          <w:rFonts w:ascii="Times New Roman" w:cs="Times New Roman" w:eastAsia="Times New Roman" w:hAnsi="Times New Roman"/>
          <w:sz w:val="14"/>
          <w:szCs w:val="14"/>
          <w:u w:val="single" w:color="auto"/>
          <w:color w:val="0000EE"/>
        </w:rPr>
      </w:pPr>
    </w:p>
    <w:tbl>
      <w:tblPr>
        <w:tblLayout w:type="fixed"/>
        <w:tblInd w:w="0" w:type="dxa"/>
        <w:tblCellMar>
          <w:top w:w="0" w:type="dxa"/>
          <w:left w:w="0" w:type="dxa"/>
          <w:bottom w:w="0" w:type="dxa"/>
          <w:right w:w="0" w:type="dxa"/>
        </w:tblCellMar>
      </w:tblPr>
      <w:tr>
        <w:trPr>
          <w:trHeight w:val="191"/>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April 29, 2025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February 28,</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2025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507"/>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April 1,</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2025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line="99" w:lineRule="exact"/>
        <w:rPr>
          <w:rFonts w:ascii="Times New Roman" w:cs="Times New Roman" w:eastAsia="Times New Roman" w:hAnsi="Times New Roman"/>
          <w:sz w:val="14"/>
          <w:szCs w:val="14"/>
          <w:u w:val="single" w:color="auto"/>
          <w:color w:val="0000EE"/>
        </w:rPr>
      </w:pPr>
    </w:p>
    <w:p>
      <w:pPr>
        <w:sectPr>
          <w:pgSz w:w="11900" w:h="16838" w:orient="portrait"/>
          <w:cols w:equalWidth="0" w:num="2">
            <w:col w:w="6160" w:space="220"/>
            <w:col w:w="2639"/>
          </w:cols>
          <w:pgMar w:left="1440" w:top="102" w:right="1440" w:bottom="1440" w:gutter="0" w:footer="0" w:header="0"/>
          <w:type w:val="continuous"/>
        </w:sectPr>
      </w:pPr>
    </w:p>
    <w:p>
      <w:pPr>
        <w:ind w:left="1420" w:right="1439" w:firstLine="271"/>
        <w:spacing w:after="0" w:line="246" w:lineRule="auto"/>
        <w:rPr>
          <w:sz w:val="20"/>
          <w:szCs w:val="20"/>
          <w:color w:val="auto"/>
        </w:rPr>
      </w:pPr>
      <w:r>
        <w:rPr>
          <w:rFonts w:ascii="Times New Roman" w:cs="Times New Roman" w:eastAsia="Times New Roman" w:hAnsi="Times New Roman"/>
          <w:sz w:val="14"/>
          <w:szCs w:val="14"/>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96" w:lineRule="exact"/>
        <w:rPr>
          <w:rFonts w:ascii="Times New Roman" w:cs="Times New Roman" w:eastAsia="Times New Roman" w:hAnsi="Times New Roman"/>
          <w:sz w:val="14"/>
          <w:szCs w:val="14"/>
          <w:u w:val="single" w:color="auto"/>
          <w:color w:val="0000EE"/>
        </w:rPr>
      </w:pPr>
    </w:p>
    <w:p>
      <w:pPr>
        <w:ind w:left="1420" w:right="1479" w:firstLine="271"/>
        <w:spacing w:after="0" w:line="248" w:lineRule="auto"/>
        <w:rPr>
          <w:sz w:val="20"/>
          <w:szCs w:val="20"/>
          <w:color w:val="auto"/>
        </w:rPr>
      </w:pPr>
      <w:r>
        <w:rPr>
          <w:rFonts w:ascii="Times New Roman" w:cs="Times New Roman" w:eastAsia="Times New Roman" w:hAnsi="Times New Roman"/>
          <w:sz w:val="14"/>
          <w:szCs w:val="14"/>
          <w:color w:val="auto"/>
        </w:rPr>
        <w:t>You may obtain copies of any of these filings through Waste Management, Inc. as described below, or through the SEC’s Internet website or through our website. Information contained on, or that can be accessed through, our website is not incorporated by reference into this prospectus and does not constitute a part of this prospectus.</w:t>
      </w:r>
    </w:p>
    <w:p>
      <w:pPr>
        <w:spacing w:after="0" w:line="86" w:lineRule="exact"/>
        <w:rPr>
          <w:rFonts w:ascii="Times New Roman" w:cs="Times New Roman" w:eastAsia="Times New Roman" w:hAnsi="Times New Roman"/>
          <w:sz w:val="14"/>
          <w:szCs w:val="14"/>
          <w:u w:val="single" w:color="auto"/>
          <w:color w:val="0000EE"/>
        </w:rPr>
      </w:pPr>
    </w:p>
    <w:p>
      <w:pPr>
        <w:ind w:left="1420" w:right="1459" w:firstLine="271"/>
        <w:spacing w:after="0" w:line="248" w:lineRule="auto"/>
        <w:rPr>
          <w:sz w:val="20"/>
          <w:szCs w:val="20"/>
          <w:color w:val="auto"/>
        </w:rPr>
      </w:pPr>
      <w:r>
        <w:rPr>
          <w:rFonts w:ascii="Times New Roman" w:cs="Times New Roman" w:eastAsia="Times New Roman" w:hAnsi="Times New Roman"/>
          <w:sz w:val="14"/>
          <w:szCs w:val="14"/>
          <w:color w:val="auto"/>
        </w:rPr>
        <w:t>Documents incorporated by reference are available from us without charge to each person, including any beneficial owner, to whom this prospectus is delivered, excluding all exhibits unless an exhibit has been specifically incorporated by reference into this prospectus, by requesting them in writing or by telephone using the contact information below:</w:t>
      </w:r>
    </w:p>
    <w:p>
      <w:pPr>
        <w:spacing w:after="0" w:line="96" w:lineRule="exact"/>
        <w:rPr>
          <w:rFonts w:ascii="Times New Roman" w:cs="Times New Roman" w:eastAsia="Times New Roman" w:hAnsi="Times New Roman"/>
          <w:sz w:val="14"/>
          <w:szCs w:val="14"/>
          <w:u w:val="single" w:color="auto"/>
          <w:color w:val="0000EE"/>
        </w:rPr>
      </w:pPr>
    </w:p>
    <w:p>
      <w:pPr>
        <w:ind w:left="3780"/>
        <w:spacing w:after="0"/>
        <w:rPr>
          <w:sz w:val="20"/>
          <w:szCs w:val="20"/>
          <w:color w:val="auto"/>
        </w:rPr>
      </w:pPr>
      <w:r>
        <w:rPr>
          <w:rFonts w:ascii="Times New Roman" w:cs="Times New Roman" w:eastAsia="Times New Roman" w:hAnsi="Times New Roman"/>
          <w:sz w:val="14"/>
          <w:szCs w:val="14"/>
          <w:color w:val="auto"/>
        </w:rPr>
        <w:t>Waste Management, Inc.</w:t>
      </w:r>
    </w:p>
    <w:p>
      <w:pPr>
        <w:spacing w:after="0" w:line="14" w:lineRule="exact"/>
        <w:rPr>
          <w:rFonts w:ascii="Times New Roman" w:cs="Times New Roman" w:eastAsia="Times New Roman" w:hAnsi="Times New Roman"/>
          <w:sz w:val="14"/>
          <w:szCs w:val="14"/>
          <w:u w:val="single" w:color="auto"/>
          <w:color w:val="0000EE"/>
        </w:rPr>
      </w:pPr>
    </w:p>
    <w:p>
      <w:pPr>
        <w:ind w:left="3620"/>
        <w:spacing w:after="0"/>
        <w:rPr>
          <w:sz w:val="20"/>
          <w:szCs w:val="20"/>
          <w:color w:val="auto"/>
        </w:rPr>
      </w:pPr>
      <w:r>
        <w:rPr>
          <w:rFonts w:ascii="Times New Roman" w:cs="Times New Roman" w:eastAsia="Times New Roman" w:hAnsi="Times New Roman"/>
          <w:sz w:val="14"/>
          <w:szCs w:val="14"/>
          <w:color w:val="auto"/>
        </w:rPr>
        <w:t>800 Capitol Street, Suite 3000</w:t>
      </w:r>
    </w:p>
    <w:p>
      <w:pPr>
        <w:spacing w:after="0" w:line="1" w:lineRule="exact"/>
        <w:rPr>
          <w:rFonts w:ascii="Times New Roman" w:cs="Times New Roman" w:eastAsia="Times New Roman" w:hAnsi="Times New Roman"/>
          <w:sz w:val="14"/>
          <w:szCs w:val="14"/>
          <w:u w:val="single" w:color="auto"/>
          <w:color w:val="0000EE"/>
        </w:rPr>
      </w:pPr>
    </w:p>
    <w:p>
      <w:pPr>
        <w:ind w:left="3860"/>
        <w:spacing w:after="0"/>
        <w:rPr>
          <w:sz w:val="20"/>
          <w:szCs w:val="20"/>
          <w:color w:val="auto"/>
        </w:rPr>
      </w:pPr>
      <w:r>
        <w:rPr>
          <w:rFonts w:ascii="Times New Roman" w:cs="Times New Roman" w:eastAsia="Times New Roman" w:hAnsi="Times New Roman"/>
          <w:sz w:val="14"/>
          <w:szCs w:val="14"/>
          <w:color w:val="auto"/>
        </w:rPr>
        <w:t>Houston, Texas 77002</w:t>
      </w:r>
    </w:p>
    <w:p>
      <w:pPr>
        <w:spacing w:after="0" w:line="1" w:lineRule="exact"/>
        <w:rPr>
          <w:rFonts w:ascii="Times New Roman" w:cs="Times New Roman" w:eastAsia="Times New Roman" w:hAnsi="Times New Roman"/>
          <w:sz w:val="14"/>
          <w:szCs w:val="14"/>
          <w:u w:val="single" w:color="auto"/>
          <w:color w:val="0000EE"/>
        </w:rPr>
      </w:pPr>
    </w:p>
    <w:p>
      <w:pPr>
        <w:ind w:left="3760"/>
        <w:spacing w:after="0"/>
        <w:rPr>
          <w:sz w:val="20"/>
          <w:szCs w:val="20"/>
          <w:color w:val="auto"/>
        </w:rPr>
      </w:pPr>
      <w:r>
        <w:rPr>
          <w:rFonts w:ascii="Times New Roman" w:cs="Times New Roman" w:eastAsia="Times New Roman" w:hAnsi="Times New Roman"/>
          <w:sz w:val="14"/>
          <w:szCs w:val="14"/>
          <w:color w:val="auto"/>
        </w:rPr>
        <w:t>Attn: Corporate Secretary</w:t>
      </w:r>
    </w:p>
    <w:p>
      <w:pPr>
        <w:spacing w:after="0" w:line="1" w:lineRule="exact"/>
        <w:rPr>
          <w:rFonts w:ascii="Times New Roman" w:cs="Times New Roman" w:eastAsia="Times New Roman" w:hAnsi="Times New Roman"/>
          <w:sz w:val="14"/>
          <w:szCs w:val="14"/>
          <w:u w:val="single" w:color="auto"/>
          <w:color w:val="0000EE"/>
        </w:rPr>
      </w:pPr>
    </w:p>
    <w:p>
      <w:pPr>
        <w:ind w:left="4060"/>
        <w:spacing w:after="0"/>
        <w:rPr>
          <w:sz w:val="20"/>
          <w:szCs w:val="20"/>
          <w:color w:val="auto"/>
        </w:rPr>
      </w:pPr>
      <w:r>
        <w:rPr>
          <w:rFonts w:ascii="Times New Roman" w:cs="Times New Roman" w:eastAsia="Times New Roman" w:hAnsi="Times New Roman"/>
          <w:sz w:val="14"/>
          <w:szCs w:val="14"/>
          <w:color w:val="auto"/>
        </w:rPr>
        <w:t>(713) 512-6200</w:t>
      </w:r>
    </w:p>
    <w:p>
      <w:pPr>
        <w:spacing w:after="0" w:line="97" w:lineRule="exact"/>
        <w:rPr>
          <w:rFonts w:ascii="Times New Roman" w:cs="Times New Roman" w:eastAsia="Times New Roman" w:hAnsi="Times New Roman"/>
          <w:sz w:val="14"/>
          <w:szCs w:val="14"/>
          <w:u w:val="single" w:color="auto"/>
          <w:color w:val="0000EE"/>
        </w:rPr>
      </w:pPr>
    </w:p>
    <w:p>
      <w:pPr>
        <w:ind w:left="1680"/>
        <w:spacing w:after="0"/>
        <w:rPr>
          <w:sz w:val="20"/>
          <w:szCs w:val="20"/>
          <w:color w:val="auto"/>
        </w:rPr>
      </w:pPr>
      <w:r>
        <w:rPr>
          <w:rFonts w:ascii="Times New Roman" w:cs="Times New Roman" w:eastAsia="Times New Roman" w:hAnsi="Times New Roman"/>
          <w:sz w:val="12"/>
          <w:szCs w:val="12"/>
          <w:b w:val="1"/>
          <w:bCs w:val="1"/>
          <w:color w:val="auto"/>
        </w:rPr>
        <w:t>Except as expressly provided above, no other information is incorporated by reference into this prospectus.</w:t>
      </w:r>
    </w:p>
    <w:p>
      <w:pPr>
        <w:spacing w:after="0" w:line="323" w:lineRule="exact"/>
        <w:rPr>
          <w:rFonts w:ascii="Times New Roman" w:cs="Times New Roman" w:eastAsia="Times New Roman" w:hAnsi="Times New Roman"/>
          <w:sz w:val="14"/>
          <w:szCs w:val="14"/>
          <w:u w:val="single" w:color="auto"/>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type w:val="continuous"/>
        </w:sectPr>
      </w:pPr>
    </w:p>
    <w:bookmarkStart w:id="55" w:name="page56"/>
    <w:bookmarkEnd w:id="55"/>
    <w:p>
      <w:pPr>
        <w:ind w:left="480"/>
        <w:spacing w:after="0"/>
        <w:rPr>
          <w:sz w:val="20"/>
          <w:szCs w:val="20"/>
          <w:color w:val="auto"/>
        </w:rPr>
      </w:pPr>
      <w:r>
        <w:rPr>
          <w:rFonts w:ascii="Calibri" w:cs="Calibri" w:eastAsia="Calibri" w:hAnsi="Calibri"/>
          <w:sz w:val="11"/>
          <w:szCs w:val="11"/>
          <w:color w:val="003366"/>
        </w:rPr>
        <w:t>TABLE OF CONTENTS</w:t>
      </w:r>
    </w:p>
    <w:p>
      <w:pPr>
        <w:spacing w:after="0" w:line="364" w:lineRule="exact"/>
        <w:rPr>
          <w:sz w:val="20"/>
          <w:szCs w:val="20"/>
          <w:color w:val="auto"/>
        </w:rPr>
      </w:pPr>
    </w:p>
    <w:p>
      <w:pPr>
        <w:ind w:left="14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-4445</wp:posOffset>
            </wp:positionV>
            <wp:extent cx="391858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3918585" cy="12700"/>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33655</wp:posOffset>
            </wp:positionV>
            <wp:extent cx="391858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3918585" cy="6350"/>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838835</wp:posOffset>
            </wp:positionV>
            <wp:extent cx="1546860" cy="4127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1546860" cy="41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Offer to Exchange the Notes Set Forth Below</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Registered Under the Securities Act of 1933, as amended</w:t>
      </w:r>
    </w:p>
    <w:p>
      <w:pPr>
        <w:jc w:val="center"/>
        <w:ind w:right="59"/>
        <w:spacing w:after="0" w:line="234" w:lineRule="auto"/>
        <w:rPr>
          <w:sz w:val="20"/>
          <w:szCs w:val="20"/>
          <w:color w:val="auto"/>
        </w:rPr>
      </w:pPr>
      <w:r>
        <w:rPr>
          <w:rFonts w:ascii="Times New Roman" w:cs="Times New Roman" w:eastAsia="Times New Roman" w:hAnsi="Times New Roman"/>
          <w:sz w:val="19"/>
          <w:szCs w:val="19"/>
          <w:b w:val="1"/>
          <w:bCs w:val="1"/>
          <w:color w:val="auto"/>
        </w:rPr>
        <w:t>for</w:t>
      </w:r>
    </w:p>
    <w:p>
      <w:pPr>
        <w:jc w:val="center"/>
        <w:ind w:right="59"/>
        <w:spacing w:after="0" w:line="223" w:lineRule="auto"/>
        <w:rPr>
          <w:sz w:val="20"/>
          <w:szCs w:val="20"/>
          <w:color w:val="auto"/>
        </w:rPr>
      </w:pPr>
      <w:r>
        <w:rPr>
          <w:rFonts w:ascii="Times New Roman" w:cs="Times New Roman" w:eastAsia="Times New Roman" w:hAnsi="Times New Roman"/>
          <w:sz w:val="19"/>
          <w:szCs w:val="19"/>
          <w:b w:val="1"/>
          <w:bCs w:val="1"/>
          <w:color w:val="auto"/>
        </w:rPr>
        <w:t>Any and All Outstanding Restricted Notes</w:t>
      </w:r>
    </w:p>
    <w:p>
      <w:pPr>
        <w:jc w:val="center"/>
        <w:spacing w:after="0"/>
        <w:rPr>
          <w:sz w:val="20"/>
          <w:szCs w:val="20"/>
          <w:color w:val="auto"/>
        </w:rPr>
      </w:pPr>
      <w:r>
        <w:rPr>
          <w:rFonts w:ascii="Times New Roman" w:cs="Times New Roman" w:eastAsia="Times New Roman" w:hAnsi="Times New Roman"/>
          <w:sz w:val="19"/>
          <w:szCs w:val="19"/>
          <w:b w:val="1"/>
          <w:bCs w:val="1"/>
          <w:color w:val="auto"/>
        </w:rPr>
        <w:t>Set Forth Opposite the Registered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1420" w:type="dxa"/>
        <w:tblCellMar>
          <w:top w:w="0" w:type="dxa"/>
          <w:left w:w="0" w:type="dxa"/>
          <w:bottom w:w="0" w:type="dxa"/>
          <w:right w:w="0" w:type="dxa"/>
        </w:tblCellMar>
      </w:tblPr>
      <w:tr>
        <w:trPr>
          <w:trHeight w:val="171"/>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8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w w:val="96"/>
              </w:rPr>
              <w:t>REGISTERED NOTES</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RESTRICTED NOTES</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0"/>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$485,084,000 3.875% Senior Notes due 2029</w:t>
            </w:r>
          </w:p>
        </w:tc>
        <w:tc>
          <w:tcPr>
            <w:tcW w:w="160" w:type="dxa"/>
            <w:vAlign w:val="bottom"/>
          </w:tcPr>
          <w:p>
            <w:pPr>
              <w:ind w:left="40"/>
              <w:spacing w:after="0" w:line="155" w:lineRule="exact"/>
              <w:rPr>
                <w:sz w:val="20"/>
                <w:szCs w:val="20"/>
                <w:color w:val="auto"/>
              </w:rPr>
            </w:pPr>
            <w:r>
              <w:rPr>
                <w:rFonts w:ascii="Times New Roman" w:cs="Times New Roman" w:eastAsia="Times New Roman" w:hAnsi="Times New Roman"/>
                <w:sz w:val="14"/>
                <w:szCs w:val="14"/>
                <w:color w:val="auto"/>
              </w:rPr>
              <w:t>​ ​</w:t>
            </w:r>
          </w:p>
        </w:tc>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$485,084,000 3.875% Senior Notes due 2029</w:t>
            </w:r>
          </w:p>
        </w:tc>
        <w:tc>
          <w:tcPr>
            <w:tcW w:w="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175"/>
        </w:trPr>
        <w:tc>
          <w:tcPr>
            <w:tcW w:w="120" w:type="dxa"/>
            <w:vAlign w:val="bottom"/>
          </w:tcPr>
          <w:p>
            <w:pPr>
              <w:spacing w:after="0"/>
              <w:rPr>
                <w:sz w:val="15"/>
                <w:szCs w:val="15"/>
                <w:color w:val="auto"/>
              </w:rPr>
            </w:pPr>
          </w:p>
        </w:tc>
        <w:tc>
          <w:tcPr>
            <w:tcW w:w="288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(CUSIP No. 94106LCA5)</w:t>
            </w:r>
          </w:p>
        </w:tc>
        <w:tc>
          <w:tcPr>
            <w:tcW w:w="160" w:type="dxa"/>
            <w:vAlign w:val="bottom"/>
          </w:tcPr>
          <w:p>
            <w:pPr>
              <w:spacing w:after="0"/>
              <w:rPr>
                <w:sz w:val="15"/>
                <w:szCs w:val="15"/>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(CUSIP Nos. 94106LBZ1 and U94106AK4)</w:t>
            </w:r>
          </w:p>
        </w:tc>
        <w:tc>
          <w:tcPr>
            <w:tcW w:w="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855980</wp:posOffset>
            </wp:positionV>
            <wp:extent cx="391858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39185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4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1270</wp:posOffset>
            </wp:positionV>
            <wp:extent cx="391858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3918585" cy="1270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188595</wp:posOffset>
            </wp:positionV>
            <wp:extent cx="514223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6" w:name="page57"/>
    <w:bookmarkEnd w:id="56"/>
    <w:p>
      <w:pPr>
        <w:ind w:left="4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6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6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 xml:space="preserve">Item 20.  </w:t>
      </w:r>
      <w:r>
        <w:rPr>
          <w:rFonts w:ascii="Times New Roman" w:cs="Times New Roman" w:eastAsia="Times New Roman" w:hAnsi="Times New Roman"/>
          <w:sz w:val="14"/>
          <w:szCs w:val="14"/>
          <w:color w:val="auto"/>
        </w:rPr>
        <w:t>Indemnification of Directors and Officers</w:t>
      </w:r>
    </w:p>
    <w:p>
      <w:pPr>
        <w:spacing w:after="0" w:line="117" w:lineRule="exact"/>
        <w:rPr>
          <w:sz w:val="20"/>
          <w:szCs w:val="20"/>
          <w:color w:val="auto"/>
        </w:rPr>
      </w:pPr>
    </w:p>
    <w:p>
      <w:pPr>
        <w:ind w:left="1420" w:right="1479" w:firstLine="271"/>
        <w:spacing w:after="0" w:line="234" w:lineRule="auto"/>
        <w:rPr>
          <w:sz w:val="20"/>
          <w:szCs w:val="20"/>
          <w:color w:val="auto"/>
        </w:rPr>
      </w:pPr>
      <w:r>
        <w:rPr>
          <w:rFonts w:ascii="Times New Roman" w:cs="Times New Roman" w:eastAsia="Times New Roman" w:hAnsi="Times New Roman"/>
          <w:sz w:val="14"/>
          <w:szCs w:val="14"/>
          <w:color w:val="auto"/>
        </w:rPr>
        <w:t>Section 145 of the DGCL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 — a “</w:t>
      </w:r>
      <w:r>
        <w:rPr>
          <w:rFonts w:ascii="Times New Roman" w:cs="Times New Roman" w:eastAsia="Times New Roman" w:hAnsi="Times New Roman"/>
          <w:sz w:val="14"/>
          <w:szCs w:val="14"/>
          <w:i w:val="1"/>
          <w:iCs w:val="1"/>
          <w:color w:val="auto"/>
        </w:rPr>
        <w:t>derivative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action</w:t>
      </w:r>
      <w:r>
        <w:rPr>
          <w:rFonts w:ascii="Times New Roman" w:cs="Times New Roman" w:eastAsia="Times New Roman" w:hAnsi="Times New Roman"/>
          <w:sz w:val="14"/>
          <w:szCs w:val="14"/>
          <w:color w:val="auto"/>
        </w:rPr>
        <w:t>”), if they acted in good faith and in a manner they reasonably believed to be in or not opposed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best interests of the corporation and, with respect to any criminal actions or proceedings, had no reasonable cause to believe their conduct was unlawful. A similar standard is applicable in the case of derivative actions, except that indemnification only extends to expenses (including attorneys’ fees) actually and reasonably incurred in connection with the defense or settlement of such action, and the DGCL requires court approval before there can be any indemnification where the person seeking indemnification has been found liable to the corporation.</w:t>
      </w:r>
    </w:p>
    <w:p>
      <w:pPr>
        <w:spacing w:after="0" w:line="90" w:lineRule="exact"/>
        <w:rPr>
          <w:sz w:val="20"/>
          <w:szCs w:val="20"/>
          <w:color w:val="auto"/>
        </w:rPr>
      </w:pPr>
    </w:p>
    <w:p>
      <w:pPr>
        <w:ind w:left="1420" w:right="1459" w:firstLine="271"/>
        <w:spacing w:after="0" w:line="233" w:lineRule="auto"/>
        <w:rPr>
          <w:sz w:val="20"/>
          <w:szCs w:val="20"/>
          <w:color w:val="auto"/>
        </w:rPr>
      </w:pPr>
      <w:r>
        <w:rPr>
          <w:rFonts w:ascii="Times New Roman" w:cs="Times New Roman" w:eastAsia="Times New Roman" w:hAnsi="Times New Roman"/>
          <w:sz w:val="14"/>
          <w:szCs w:val="14"/>
          <w:color w:val="auto"/>
        </w:rPr>
        <w:t>Our Certificate of Incorporation and By-laws require that we provide indemnification to the maximum extent permitted from time to time under the DGCL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Company or any of its direct or indirect subsidiaries or while such a director or officer is or was serving at the request of the Company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Company is not required to indemnify or advance expenses to any person in connection with any action, suit, proceeding, claim or counterclaim initiated by or on behalf of such person. Such indemnification is not to be exclusive of other indemnification rights arising under any By-laws, agreement, vote of directors or stockholders or otherwise and shall inure to the benefit of the heirs and legal representatives of such person. Additionally, the Company has direct contractual obligations to provide indemnification to each of the members of its Board of Directors and each of its executive officers. These agreements provide directors and executive officers with the same indemnification by the Company as described above and assure directors and executive officers that indemnification will continue to be provided despite future changes in the By-laws of the Company.</w:t>
      </w:r>
    </w:p>
    <w:p>
      <w:pPr>
        <w:spacing w:after="0" w:line="95" w:lineRule="exact"/>
        <w:rPr>
          <w:sz w:val="20"/>
          <w:szCs w:val="20"/>
          <w:color w:val="auto"/>
        </w:rPr>
      </w:pPr>
    </w:p>
    <w:p>
      <w:pPr>
        <w:ind w:left="1420" w:right="1459" w:firstLine="271"/>
        <w:spacing w:after="0" w:line="243" w:lineRule="auto"/>
        <w:rPr>
          <w:sz w:val="20"/>
          <w:szCs w:val="20"/>
          <w:color w:val="auto"/>
        </w:rPr>
      </w:pPr>
      <w:r>
        <w:rPr>
          <w:rFonts w:ascii="Times New Roman" w:cs="Times New Roman" w:eastAsia="Times New Roman" w:hAnsi="Times New Roman"/>
          <w:sz w:val="14"/>
          <w:szCs w:val="14"/>
          <w:color w:val="auto"/>
        </w:rPr>
        <w:t>Waste Management Holdings’ Third Restated Certificate of Incorporation and Amended and Restated By-laws require that it provide indemnification to the maximum extent permitted from time to time under the DGCL, and shall advance expenses to any person who is or was a party or is threatened to be made a party to any threatened, pending or completed action, suit or proceeding, whether civil, criminal, administrative or investigative, by reason of the fact that such person is or was a director or officer of Waste Management Holdings or while such a director or officer is or was serving at the request of the Waste Management Holdings as a director, officer, employee or agent of any corporation, partnership, joint venture, trust or other enterprise, including service with respect to employee benefit plans, against expenses (including attorney’s fees and expenses), judgments, fines and penalties paid in settlement incurred in connection with the investigation or defense of such action, suit or proceeding; provided, however, that Waste Management Holdings is not required to indemnify or advance expenses to any person in connection with any proceeding initiated by or on behalf of such person unless such proceeding (or part thereof) was authorized or consented to by the Board of Directors of Waste Management Holdings. Such indemnification is not exclusive of other indemnification rights arising under any By-laws, agreement, vote of directors or stockholders or otherwise and shall inure to the benefit of the heirs, executors and administrators of such person.</w:t>
      </w:r>
    </w:p>
    <w:p>
      <w:pPr>
        <w:spacing w:after="0" w:line="265" w:lineRule="exact"/>
        <w:rPr>
          <w:sz w:val="20"/>
          <w:szCs w:val="20"/>
          <w:color w:val="auto"/>
        </w:rPr>
      </w:pPr>
    </w:p>
    <w:p>
      <w:pPr>
        <w:ind w:left="1420" w:right="1499" w:firstLine="271"/>
        <w:spacing w:after="0" w:line="248" w:lineRule="auto"/>
        <w:rPr>
          <w:sz w:val="20"/>
          <w:szCs w:val="20"/>
          <w:color w:val="auto"/>
        </w:rPr>
      </w:pPr>
      <w:r>
        <w:rPr>
          <w:rFonts w:ascii="Times New Roman" w:cs="Times New Roman" w:eastAsia="Times New Roman" w:hAnsi="Times New Roman"/>
          <w:sz w:val="14"/>
          <w:szCs w:val="14"/>
          <w:color w:val="auto"/>
        </w:rPr>
        <w:t>Section 102(b)(7) of the DGCL allows a corporation to provide in its certificate of incorporation that a director or officer of the corporation will not be personally liable to the corporation or its stockholders for monetary damages for breach of fiduciary duty as a director or an officer, except where (i) a director or officer</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7" w:name="page58"/>
    <w:bookmarkEnd w:id="57"/>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20" w:right="1599"/>
        <w:spacing w:after="0" w:line="255" w:lineRule="auto"/>
        <w:rPr>
          <w:sz w:val="20"/>
          <w:szCs w:val="20"/>
          <w:color w:val="auto"/>
        </w:rPr>
      </w:pPr>
      <w:r>
        <w:rPr>
          <w:rFonts w:ascii="Times New Roman" w:cs="Times New Roman" w:eastAsia="Times New Roman" w:hAnsi="Times New Roman"/>
          <w:sz w:val="14"/>
          <w:szCs w:val="14"/>
          <w:color w:val="auto"/>
        </w:rPr>
        <w:t>breached the duty of loyalty, (ii) a director or officer failed to act in good faith, (iii) a director engaged in intentional misconduct or knowingly violated a law, (iv) a director or officer authorized the payment of a dividend or approved a stock repurchase in violation of Delaware corporate law or obtained an improper personal benefit or (v) an action by or in the right of the corporation is brought against an officer. Each of our Certificate of Incorporation and the Third Restated Certificate of Incorporation of Waste Management Holdings provides that no director or officer will be liable to it or its stockholders for any breach of fiduciary duty, except as limited under the DGCL.</w:t>
      </w:r>
    </w:p>
    <w:p>
      <w:pPr>
        <w:spacing w:after="0" w:line="102" w:lineRule="exact"/>
        <w:rPr>
          <w:sz w:val="20"/>
          <w:szCs w:val="20"/>
          <w:color w:val="auto"/>
        </w:rPr>
      </w:pPr>
    </w:p>
    <w:p>
      <w:pPr>
        <w:ind w:left="1420" w:right="1739" w:firstLine="271"/>
        <w:spacing w:after="0" w:line="252" w:lineRule="auto"/>
        <w:rPr>
          <w:sz w:val="20"/>
          <w:szCs w:val="20"/>
          <w:color w:val="auto"/>
        </w:rPr>
      </w:pPr>
      <w:r>
        <w:rPr>
          <w:rFonts w:ascii="Times New Roman" w:cs="Times New Roman" w:eastAsia="Times New Roman" w:hAnsi="Times New Roman"/>
          <w:sz w:val="14"/>
          <w:szCs w:val="14"/>
          <w:color w:val="auto"/>
        </w:rPr>
        <w:t>Our and Waste Management Holdings’ directors and officers are covered by insurance policies indemnifying against certain liabilities, including certain liabilities arising under the Securities Act that might be incurred by them in such capacities and against which we may not indemnify them.</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Item 21. Exhibits and Financial Statement Schedules</w:t>
      </w:r>
    </w:p>
    <w:p>
      <w:pPr>
        <w:spacing w:after="0" w:line="18" w:lineRule="exact"/>
        <w:rPr>
          <w:sz w:val="20"/>
          <w:szCs w:val="20"/>
          <w:color w:val="auto"/>
        </w:rPr>
      </w:pPr>
    </w:p>
    <w:p>
      <w:pPr>
        <w:jc w:val="right"/>
        <w:ind w:right="1399"/>
        <w:spacing w:after="0"/>
        <w:tabs>
          <w:tab w:leader="none" w:pos="3080" w:val="left"/>
          <w:tab w:leader="none" w:pos="20" w:val="left"/>
        </w:tabs>
        <w:rPr>
          <w:sz w:val="20"/>
          <w:szCs w:val="20"/>
          <w:color w:val="auto"/>
        </w:rPr>
      </w:pPr>
      <w:r>
        <w:rPr>
          <w:rFonts w:ascii="Times New Roman" w:cs="Times New Roman" w:eastAsia="Times New Roman" w:hAnsi="Times New Roman"/>
          <w:sz w:val="21"/>
          <w:szCs w:val="21"/>
          <w:b w:val="1"/>
          <w:bCs w:val="1"/>
          <w:u w:val="single" w:color="auto"/>
          <w:color w:val="auto"/>
          <w:vertAlign w:val="subscript"/>
        </w:rPr>
        <w:t>​</w:t>
      </w:r>
      <w:r>
        <w:rPr>
          <w:rFonts w:ascii="Times New Roman" w:cs="Times New Roman" w:eastAsia="Times New Roman" w:hAnsi="Times New Roman"/>
          <w:sz w:val="11"/>
          <w:szCs w:val="11"/>
          <w:b w:val="1"/>
          <w:bCs w:val="1"/>
          <w:u w:val="single" w:color="auto"/>
          <w:color w:val="auto"/>
        </w:rPr>
        <w:t>Number</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1"/>
          <w:szCs w:val="21"/>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Description</w:t>
      </w:r>
      <w:r>
        <w:rPr>
          <w:sz w:val="20"/>
          <w:szCs w:val="20"/>
          <w:color w:val="auto"/>
        </w:rPr>
        <w:tab/>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1235710</wp:posOffset>
            </wp:positionH>
            <wp:positionV relativeFrom="paragraph">
              <wp:posOffset>6985</wp:posOffset>
            </wp:positionV>
            <wp:extent cx="358330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3583305" cy="635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p>
      <w:pPr>
        <w:spacing w:after="0" w:line="13" w:lineRule="exact"/>
        <w:rPr>
          <w:sz w:val="20"/>
          <w:szCs w:val="20"/>
          <w:color w:val="auto"/>
        </w:rPr>
      </w:pPr>
    </w:p>
    <w:p>
      <w:pPr>
        <w:ind w:left="1480" w:hanging="61"/>
        <w:spacing w:after="0"/>
        <w:tabs>
          <w:tab w:leader="none" w:pos="1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46" w:lineRule="exact"/>
        <w:rPr>
          <w:rFonts w:ascii="Times New Roman" w:cs="Times New Roman" w:eastAsia="Times New Roman" w:hAnsi="Times New Roman"/>
          <w:sz w:val="14"/>
          <w:szCs w:val="14"/>
          <w:color w:val="auto"/>
        </w:rPr>
      </w:pPr>
    </w:p>
    <w:p>
      <w:pPr>
        <w:ind w:left="1480" w:hanging="61"/>
        <w:spacing w:after="0"/>
        <w:tabs>
          <w:tab w:leader="none" w:pos="1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w:t>
      </w:r>
    </w:p>
    <w:p>
      <w:pPr>
        <w:spacing w:after="0" w:line="163" w:lineRule="exact"/>
        <w:rPr>
          <w:rFonts w:ascii="Times New Roman" w:cs="Times New Roman" w:eastAsia="Times New Roman" w:hAnsi="Times New Roman"/>
          <w:sz w:val="14"/>
          <w:szCs w:val="14"/>
          <w:color w:val="auto"/>
        </w:rPr>
      </w:pPr>
    </w:p>
    <w:p>
      <w:pPr>
        <w:ind w:left="1480" w:hanging="61"/>
        <w:spacing w:after="0"/>
        <w:tabs>
          <w:tab w:leader="none" w:pos="1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w:t>
      </w:r>
    </w:p>
    <w:p>
      <w:pPr>
        <w:spacing w:after="0" w:line="163" w:lineRule="exact"/>
        <w:rPr>
          <w:rFonts w:ascii="Times New Roman" w:cs="Times New Roman" w:eastAsia="Times New Roman" w:hAnsi="Times New Roman"/>
          <w:sz w:val="14"/>
          <w:szCs w:val="14"/>
          <w:color w:val="auto"/>
        </w:rPr>
      </w:pPr>
    </w:p>
    <w:p>
      <w:pPr>
        <w:ind w:left="1480" w:hanging="61"/>
        <w:spacing w:after="0"/>
        <w:tabs>
          <w:tab w:leader="none" w:pos="1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w:t>
      </w:r>
    </w:p>
    <w:p>
      <w:pPr>
        <w:spacing w:after="0" w:line="163" w:lineRule="exact"/>
        <w:rPr>
          <w:rFonts w:ascii="Times New Roman" w:cs="Times New Roman" w:eastAsia="Times New Roman" w:hAnsi="Times New Roman"/>
          <w:sz w:val="14"/>
          <w:szCs w:val="14"/>
          <w:color w:val="auto"/>
        </w:rPr>
      </w:pPr>
    </w:p>
    <w:p>
      <w:pPr>
        <w:ind w:left="1480" w:hanging="61"/>
        <w:spacing w:after="0"/>
        <w:tabs>
          <w:tab w:leader="none" w:pos="1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w:t>
      </w:r>
    </w:p>
    <w:p>
      <w:pPr>
        <w:spacing w:after="0" w:line="163" w:lineRule="exact"/>
        <w:rPr>
          <w:rFonts w:ascii="Times New Roman" w:cs="Times New Roman" w:eastAsia="Times New Roman" w:hAnsi="Times New Roman"/>
          <w:sz w:val="14"/>
          <w:szCs w:val="14"/>
          <w:color w:val="auto"/>
        </w:rPr>
      </w:pPr>
    </w:p>
    <w:p>
      <w:pPr>
        <w:ind w:left="1480" w:hanging="61"/>
        <w:spacing w:after="0"/>
        <w:tabs>
          <w:tab w:leader="none" w:pos="1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w:t>
      </w:r>
    </w:p>
    <w:p>
      <w:pPr>
        <w:spacing w:after="0" w:line="200" w:lineRule="exact"/>
        <w:rPr>
          <w:rFonts w:ascii="Times New Roman" w:cs="Times New Roman" w:eastAsia="Times New Roman" w:hAnsi="Times New Roman"/>
          <w:sz w:val="14"/>
          <w:szCs w:val="14"/>
          <w:color w:val="auto"/>
        </w:rPr>
      </w:pPr>
    </w:p>
    <w:p>
      <w:pPr>
        <w:spacing w:after="0" w:line="288" w:lineRule="exact"/>
        <w:rPr>
          <w:rFonts w:ascii="Times New Roman" w:cs="Times New Roman" w:eastAsia="Times New Roman" w:hAnsi="Times New Roman"/>
          <w:sz w:val="14"/>
          <w:szCs w:val="14"/>
          <w:color w:val="auto"/>
        </w:rPr>
      </w:pPr>
    </w:p>
    <w:p>
      <w:pPr>
        <w:ind w:left="1480" w:hanging="61"/>
        <w:spacing w:after="0"/>
        <w:tabs>
          <w:tab w:leader="none" w:pos="1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w:t>
      </w:r>
    </w:p>
    <w:p>
      <w:pPr>
        <w:spacing w:after="0" w:line="200" w:lineRule="exact"/>
        <w:rPr>
          <w:rFonts w:ascii="Times New Roman" w:cs="Times New Roman" w:eastAsia="Times New Roman" w:hAnsi="Times New Roman"/>
          <w:sz w:val="14"/>
          <w:szCs w:val="14"/>
          <w:color w:val="auto"/>
        </w:rPr>
      </w:pPr>
    </w:p>
    <w:p>
      <w:pPr>
        <w:spacing w:after="0" w:line="288" w:lineRule="exact"/>
        <w:rPr>
          <w:rFonts w:ascii="Times New Roman" w:cs="Times New Roman" w:eastAsia="Times New Roman" w:hAnsi="Times New Roman"/>
          <w:sz w:val="14"/>
          <w:szCs w:val="14"/>
          <w:color w:val="auto"/>
        </w:rPr>
      </w:pPr>
    </w:p>
    <w:p>
      <w:pPr>
        <w:ind w:left="1480" w:hanging="61"/>
        <w:spacing w:after="0"/>
        <w:tabs>
          <w:tab w:leader="none" w:pos="1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w:t>
      </w:r>
    </w:p>
    <w:p>
      <w:pPr>
        <w:spacing w:after="0" w:line="326" w:lineRule="exact"/>
        <w:rPr>
          <w:rFonts w:ascii="Times New Roman" w:cs="Times New Roman" w:eastAsia="Times New Roman" w:hAnsi="Times New Roman"/>
          <w:sz w:val="14"/>
          <w:szCs w:val="14"/>
          <w:color w:val="auto"/>
        </w:rPr>
      </w:pPr>
    </w:p>
    <w:p>
      <w:pPr>
        <w:ind w:left="1480" w:hanging="61"/>
        <w:spacing w:after="0"/>
        <w:tabs>
          <w:tab w:leader="none" w:pos="1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w:t>
      </w:r>
    </w:p>
    <w:p>
      <w:pPr>
        <w:spacing w:after="0" w:line="220" w:lineRule="exact"/>
        <w:rPr>
          <w:rFonts w:ascii="Times New Roman" w:cs="Times New Roman" w:eastAsia="Times New Roman" w:hAnsi="Times New Roman"/>
          <w:sz w:val="14"/>
          <w:szCs w:val="14"/>
          <w:color w:val="auto"/>
        </w:rPr>
      </w:pPr>
    </w:p>
    <w:p>
      <w:pPr>
        <w:ind w:left="1480" w:hanging="61"/>
        <w:spacing w:after="0"/>
        <w:tabs>
          <w:tab w:leader="none" w:pos="1480"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color w:val="auto"/>
        </w:rPr>
        <w:t>4.5</w:t>
      </w:r>
    </w:p>
    <w:p>
      <w:pPr>
        <w:spacing w:after="0" w:line="11" w:lineRule="exact"/>
        <w:rPr>
          <w:rFonts w:ascii="Times New Roman" w:cs="Times New Roman" w:eastAsia="Times New Roman" w:hAnsi="Times New Roman"/>
          <w:sz w:val="27"/>
          <w:szCs w:val="27"/>
          <w:color w:val="auto"/>
          <w:vertAlign w:val="superscript"/>
        </w:rPr>
      </w:pPr>
    </w:p>
    <w:p>
      <w:pPr>
        <w:ind w:left="1480" w:hanging="61"/>
        <w:spacing w:after="0" w:line="197" w:lineRule="auto"/>
        <w:tabs>
          <w:tab w:leader="none" w:pos="1480" w:val="left"/>
        </w:tabs>
        <w:numPr>
          <w:ilvl w:val="0"/>
          <w:numId w:val="3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9"/>
          <w:szCs w:val="9"/>
          <w:color w:val="auto"/>
        </w:rPr>
        <w:t>5.1*</w:t>
      </w:r>
    </w:p>
    <w:p>
      <w:pPr>
        <w:ind w:left="1420"/>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4"/>
          <w:szCs w:val="14"/>
          <w:color w:val="auto"/>
        </w:rPr>
        <w:t>21​.1</w:t>
      </w:r>
    </w:p>
    <w:p>
      <w:pPr>
        <w:spacing w:after="0" w:line="5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23.1*</w:t>
      </w:r>
    </w:p>
    <w:p>
      <w:pPr>
        <w:ind w:left="1420"/>
        <w:spacing w:after="0" w:line="180" w:lineRule="auto"/>
        <w:rPr>
          <w:sz w:val="20"/>
          <w:szCs w:val="20"/>
          <w:color w:val="auto"/>
        </w:rPr>
      </w:pPr>
      <w:r>
        <w:rPr>
          <w:rFonts w:ascii="Times New Roman" w:cs="Times New Roman" w:eastAsia="Times New Roman" w:hAnsi="Times New Roman"/>
          <w:sz w:val="11"/>
          <w:szCs w:val="11"/>
          <w:color w:val="auto"/>
        </w:rPr>
        <w:t>23.2*</w:t>
      </w:r>
      <w:r>
        <w:rPr>
          <w:rFonts w:ascii="Times New Roman" w:cs="Times New Roman" w:eastAsia="Times New Roman" w:hAnsi="Times New Roman"/>
          <w:sz w:val="20"/>
          <w:szCs w:val="20"/>
          <w:color w:val="auto"/>
          <w:vertAlign w:val="superscript"/>
        </w:rPr>
        <w:t>​</w:t>
      </w:r>
    </w:p>
    <w:p>
      <w:pPr>
        <w:ind w:left="1420"/>
        <w:spacing w:after="0" w:line="180" w:lineRule="auto"/>
        <w:rPr>
          <w:sz w:val="20"/>
          <w:szCs w:val="20"/>
          <w:color w:val="auto"/>
        </w:rPr>
      </w:pPr>
      <w:r>
        <w:rPr>
          <w:rFonts w:ascii="Times New Roman" w:cs="Times New Roman" w:eastAsia="Times New Roman" w:hAnsi="Times New Roman"/>
          <w:sz w:val="11"/>
          <w:szCs w:val="11"/>
          <w:color w:val="auto"/>
        </w:rPr>
        <w:t>24.1*</w:t>
      </w:r>
      <w:r>
        <w:rPr>
          <w:rFonts w:ascii="Times New Roman" w:cs="Times New Roman" w:eastAsia="Times New Roman" w:hAnsi="Times New Roman"/>
          <w:sz w:val="20"/>
          <w:szCs w:val="20"/>
          <w:color w:val="auto"/>
          <w:vertAlign w:val="superscript"/>
        </w:rPr>
        <w:t>​</w:t>
      </w:r>
    </w:p>
    <w:p>
      <w:pPr>
        <w:ind w:left="1420"/>
        <w:spacing w:after="0" w:line="180" w:lineRule="auto"/>
        <w:rPr>
          <w:sz w:val="20"/>
          <w:szCs w:val="20"/>
          <w:color w:val="auto"/>
        </w:rPr>
      </w:pPr>
      <w:r>
        <w:rPr>
          <w:rFonts w:ascii="Times New Roman" w:cs="Times New Roman" w:eastAsia="Times New Roman" w:hAnsi="Times New Roman"/>
          <w:sz w:val="11"/>
          <w:szCs w:val="11"/>
          <w:color w:val="auto"/>
        </w:rPr>
        <w:t>25.1*</w:t>
      </w:r>
      <w:r>
        <w:rPr>
          <w:rFonts w:ascii="Times New Roman" w:cs="Times New Roman" w:eastAsia="Times New Roman" w:hAnsi="Times New Roman"/>
          <w:sz w:val="20"/>
          <w:szCs w:val="20"/>
          <w:color w:val="auto"/>
          <w:vertAlign w:val="superscript"/>
        </w:rPr>
        <w:t>​</w:t>
      </w:r>
    </w:p>
    <w:p>
      <w:pPr>
        <w:ind w:left="1420"/>
        <w:spacing w:after="0" w:line="180" w:lineRule="auto"/>
        <w:rPr>
          <w:sz w:val="20"/>
          <w:szCs w:val="20"/>
          <w:color w:val="auto"/>
        </w:rPr>
      </w:pPr>
      <w:r>
        <w:rPr>
          <w:rFonts w:ascii="Times New Roman" w:cs="Times New Roman" w:eastAsia="Times New Roman" w:hAnsi="Times New Roman"/>
          <w:sz w:val="11"/>
          <w:szCs w:val="11"/>
          <w:color w:val="auto"/>
        </w:rPr>
        <w:t>99.1*</w:t>
      </w:r>
      <w:r>
        <w:rPr>
          <w:rFonts w:ascii="Times New Roman" w:cs="Times New Roman" w:eastAsia="Times New Roman" w:hAnsi="Times New Roman"/>
          <w:sz w:val="20"/>
          <w:szCs w:val="20"/>
          <w:color w:val="auto"/>
          <w:vertAlign w:val="superscript"/>
        </w:rPr>
        <w:t>​</w:t>
      </w:r>
    </w:p>
    <w:p>
      <w:pPr>
        <w:ind w:left="1420"/>
        <w:spacing w:after="0" w:line="185" w:lineRule="auto"/>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br w:type="column"/>
      </w:r>
    </w:p>
    <w:p>
      <w:pPr>
        <w:ind w:left="140" w:right="1399" w:hanging="151"/>
        <w:spacing w:after="0" w:line="245"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 ​ </w:t>
      </w:r>
      <w:hyperlink r:id="rId107">
        <w:r>
          <w:rPr>
            <w:rFonts w:ascii="Times New Roman" w:cs="Times New Roman" w:eastAsia="Times New Roman" w:hAnsi="Times New Roman"/>
            <w:sz w:val="14"/>
            <w:szCs w:val="14"/>
            <w:u w:val="single" w:color="auto"/>
            <w:color w:val="0000EE"/>
          </w:rPr>
          <w:t>Agreement and Plan of Merger dated June 3, 2024, by and among Waste Management, Inc., Stag</w:t>
        </w:r>
      </w:hyperlink>
      <w:r>
        <w:rPr>
          <w:rFonts w:ascii="Times New Roman" w:cs="Times New Roman" w:eastAsia="Times New Roman" w:hAnsi="Times New Roman"/>
          <w:sz w:val="14"/>
          <w:szCs w:val="14"/>
          <w:color w:val="auto"/>
        </w:rPr>
        <w:t xml:space="preserve"> ​ </w:t>
      </w:r>
      <w:hyperlink r:id="rId107">
        <w:r>
          <w:rPr>
            <w:rFonts w:ascii="Times New Roman" w:cs="Times New Roman" w:eastAsia="Times New Roman" w:hAnsi="Times New Roman"/>
            <w:sz w:val="14"/>
            <w:szCs w:val="14"/>
            <w:u w:val="single" w:color="auto"/>
            <w:color w:val="0000EE"/>
          </w:rPr>
          <w:t>Merger Sub Inc. and Stericycle, Inc. [incorporated herein by reference to Exhibit 2.1 to Current</w:t>
        </w:r>
      </w:hyperlink>
      <w:r>
        <w:rPr>
          <w:rFonts w:ascii="Times New Roman" w:cs="Times New Roman" w:eastAsia="Times New Roman" w:hAnsi="Times New Roman"/>
          <w:sz w:val="14"/>
          <w:szCs w:val="14"/>
          <w:u w:val="single" w:color="auto"/>
          <w:color w:val="0000EE"/>
        </w:rPr>
        <w:t xml:space="preserve"> </w:t>
      </w:r>
      <w:hyperlink r:id="rId107">
        <w:r>
          <w:rPr>
            <w:rFonts w:ascii="Times New Roman" w:cs="Times New Roman" w:eastAsia="Times New Roman" w:hAnsi="Times New Roman"/>
            <w:sz w:val="14"/>
            <w:szCs w:val="14"/>
            <w:u w:val="single" w:color="auto"/>
            <w:color w:val="0000EE"/>
          </w:rPr>
          <w:t>Report on Form 8-K filed on June 3, 2024] (pursuant to Item 601(b)(2) of Regulation S-K, exhibits</w:t>
        </w:r>
      </w:hyperlink>
      <w:r>
        <w:rPr>
          <w:rFonts w:ascii="Times New Roman" w:cs="Times New Roman" w:eastAsia="Times New Roman" w:hAnsi="Times New Roman"/>
          <w:sz w:val="14"/>
          <w:szCs w:val="14"/>
          <w:u w:val="single" w:color="auto"/>
          <w:color w:val="0000EE"/>
        </w:rPr>
        <w:t xml:space="preserve"> </w:t>
      </w:r>
      <w:hyperlink r:id="rId107">
        <w:r>
          <w:rPr>
            <w:rFonts w:ascii="Times New Roman" w:cs="Times New Roman" w:eastAsia="Times New Roman" w:hAnsi="Times New Roman"/>
            <w:sz w:val="14"/>
            <w:szCs w:val="14"/>
            <w:u w:val="single" w:color="auto"/>
            <w:color w:val="0000EE"/>
          </w:rPr>
          <w:t>and schedules to the Agreement and Plan of Merger have been omitted and will be supplementally</w:t>
        </w:r>
      </w:hyperlink>
      <w:r>
        <w:rPr>
          <w:rFonts w:ascii="Times New Roman" w:cs="Times New Roman" w:eastAsia="Times New Roman" w:hAnsi="Times New Roman"/>
          <w:sz w:val="14"/>
          <w:szCs w:val="14"/>
          <w:u w:val="single" w:color="auto"/>
          <w:color w:val="0000EE"/>
        </w:rPr>
        <w:t xml:space="preserve"> </w:t>
      </w:r>
      <w:hyperlink r:id="rId107">
        <w:r>
          <w:rPr>
            <w:rFonts w:ascii="Times New Roman" w:cs="Times New Roman" w:eastAsia="Times New Roman" w:hAnsi="Times New Roman"/>
            <w:sz w:val="14"/>
            <w:szCs w:val="14"/>
            <w:u w:val="single" w:color="auto"/>
            <w:color w:val="0000EE"/>
          </w:rPr>
          <w:t>provided to the SEC upon request).</w:t>
        </w:r>
      </w:hyperlink>
    </w:p>
    <w:p>
      <w:pPr>
        <w:spacing w:after="0" w:line="163" w:lineRule="exact"/>
        <w:rPr>
          <w:rFonts w:ascii="Times New Roman" w:cs="Times New Roman" w:eastAsia="Times New Roman" w:hAnsi="Times New Roman"/>
          <w:sz w:val="14"/>
          <w:szCs w:val="14"/>
          <w:u w:val="single" w:color="auto"/>
          <w:color w:val="0000EE"/>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108">
        <w:r>
          <w:rPr>
            <w:rFonts w:ascii="Times New Roman" w:cs="Times New Roman" w:eastAsia="Times New Roman" w:hAnsi="Times New Roman"/>
            <w:sz w:val="14"/>
            <w:szCs w:val="14"/>
            <w:u w:val="single" w:color="auto"/>
            <w:color w:val="0000EE"/>
          </w:rPr>
          <w:t>Fourth Restated Certificate of Incorporation of Waste Management, Inc. [incorporated by reference</w:t>
        </w:r>
      </w:hyperlink>
      <w:r>
        <w:rPr>
          <w:rFonts w:ascii="Times New Roman" w:cs="Times New Roman" w:eastAsia="Times New Roman" w:hAnsi="Times New Roman"/>
          <w:sz w:val="14"/>
          <w:szCs w:val="14"/>
          <w:color w:val="auto"/>
        </w:rPr>
        <w:t>​</w:t>
      </w:r>
    </w:p>
    <w:tbl>
      <w:tblPr>
        <w:tblLayout w:type="fixed"/>
        <w:tblInd w:w="0" w:type="dxa"/>
        <w:tblCellMar>
          <w:top w:w="0" w:type="dxa"/>
          <w:left w:w="0" w:type="dxa"/>
          <w:bottom w:w="0" w:type="dxa"/>
          <w:right w:w="0" w:type="dxa"/>
        </w:tblCellMar>
      </w:tblPr>
      <w:tr>
        <w:trPr>
          <w:trHeight w:val="134"/>
        </w:trPr>
        <w:tc>
          <w:tcPr>
            <w:tcW w:w="140" w:type="dxa"/>
            <w:vAlign w:val="bottom"/>
          </w:tcPr>
          <w:p>
            <w:pPr>
              <w:spacing w:after="0"/>
              <w:rPr>
                <w:sz w:val="11"/>
                <w:szCs w:val="11"/>
                <w:color w:val="auto"/>
              </w:rPr>
            </w:pPr>
          </w:p>
        </w:tc>
        <w:tc>
          <w:tcPr>
            <w:tcW w:w="2920" w:type="dxa"/>
            <w:vAlign w:val="bottom"/>
            <w:tcBorders>
              <w:bottom w:val="single" w:sz="8" w:color="0000EE"/>
            </w:tcBorders>
            <w:gridSpan w:val="7"/>
          </w:tcPr>
          <w:p>
            <w:pPr>
              <w:spacing w:after="0" w:line="134" w:lineRule="exact"/>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to Exhibit 3.2 to Form 8-K filed on May 14, 2024].</w:t>
              </w:r>
            </w:hyperlink>
          </w:p>
        </w:tc>
        <w:tc>
          <w:tcPr>
            <w:tcW w:w="2720" w:type="dxa"/>
            <w:vAlign w:val="bottom"/>
            <w:gridSpan w:val="21"/>
          </w:tcPr>
          <w:p>
            <w:pPr>
              <w:spacing w:after="0"/>
              <w:rPr>
                <w:sz w:val="11"/>
                <w:szCs w:val="11"/>
                <w:color w:val="auto"/>
              </w:rPr>
            </w:pPr>
          </w:p>
        </w:tc>
        <w:tc>
          <w:tcPr>
            <w:tcW w:w="40" w:type="dxa"/>
            <w:vAlign w:val="bottom"/>
          </w:tcPr>
          <w:p>
            <w:pPr>
              <w:spacing w:after="0"/>
              <w:rPr>
                <w:sz w:val="11"/>
                <w:szCs w:val="11"/>
                <w:color w:val="auto"/>
              </w:rPr>
            </w:pPr>
          </w:p>
        </w:tc>
      </w:tr>
      <w:tr>
        <w:trPr>
          <w:trHeight w:val="142"/>
        </w:trPr>
        <w:tc>
          <w:tcPr>
            <w:tcW w:w="5780" w:type="dxa"/>
            <w:vAlign w:val="bottom"/>
            <w:gridSpan w:val="29"/>
          </w:tcPr>
          <w:p>
            <w:pPr>
              <w:spacing w:after="0" w:line="143"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109">
              <w:r>
                <w:rPr>
                  <w:rFonts w:ascii="Times New Roman" w:cs="Times New Roman" w:eastAsia="Times New Roman" w:hAnsi="Times New Roman"/>
                  <w:sz w:val="14"/>
                  <w:szCs w:val="14"/>
                  <w:color w:val="0000EE"/>
                </w:rPr>
                <w:t>Amended and Restated By-laws of Waste Management, Inc. [incorporated by reference to</w:t>
              </w:r>
            </w:hyperlink>
          </w:p>
        </w:tc>
        <w:tc>
          <w:tcPr>
            <w:tcW w:w="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140" w:type="dxa"/>
            <w:vAlign w:val="bottom"/>
          </w:tcPr>
          <w:p>
            <w:pPr>
              <w:spacing w:after="0"/>
              <w:rPr>
                <w:sz w:val="12"/>
                <w:szCs w:val="12"/>
                <w:color w:val="auto"/>
              </w:rPr>
            </w:pPr>
          </w:p>
        </w:tc>
        <w:tc>
          <w:tcPr>
            <w:tcW w:w="5100" w:type="dxa"/>
            <w:vAlign w:val="bottom"/>
            <w:tcBorders>
              <w:top w:val="single" w:sz="8" w:color="0000EE"/>
            </w:tcBorders>
            <w:gridSpan w:val="17"/>
          </w:tcPr>
          <w:p>
            <w:pPr>
              <w:spacing w:after="0" w:line="143" w:lineRule="exact"/>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Exhibit 3.2 to Form 8-K filed on November 6, 2023].</w:t>
              </w:r>
            </w:hyperlink>
          </w:p>
        </w:tc>
        <w:tc>
          <w:tcPr>
            <w:tcW w:w="540" w:type="dxa"/>
            <w:vAlign w:val="bottom"/>
            <w:gridSpan w:val="11"/>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5780" w:type="dxa"/>
            <w:vAlign w:val="bottom"/>
            <w:gridSpan w:val="29"/>
          </w:tcPr>
          <w:p>
            <w:pPr>
              <w:spacing w:after="0" w:line="143"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110">
              <w:r>
                <w:rPr>
                  <w:rFonts w:ascii="Times New Roman" w:cs="Times New Roman" w:eastAsia="Times New Roman" w:hAnsi="Times New Roman"/>
                  <w:sz w:val="14"/>
                  <w:szCs w:val="14"/>
                  <w:color w:val="0000EE"/>
                </w:rPr>
                <w:t>Third Restated Certificate of Incorporation of Waste Management Holdings, Inc. [incorporated by</w:t>
              </w:r>
            </w:hyperlink>
          </w:p>
        </w:tc>
        <w:tc>
          <w:tcPr>
            <w:tcW w:w="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140" w:type="dxa"/>
            <w:vAlign w:val="bottom"/>
          </w:tcPr>
          <w:p>
            <w:pPr>
              <w:spacing w:after="0"/>
              <w:rPr>
                <w:sz w:val="12"/>
                <w:szCs w:val="12"/>
                <w:color w:val="auto"/>
              </w:rPr>
            </w:pPr>
          </w:p>
        </w:tc>
        <w:tc>
          <w:tcPr>
            <w:tcW w:w="4460" w:type="dxa"/>
            <w:vAlign w:val="bottom"/>
            <w:tcBorders>
              <w:top w:val="single" w:sz="8" w:color="0000EE"/>
              <w:bottom w:val="single" w:sz="8" w:color="0000EE"/>
            </w:tcBorders>
            <w:gridSpan w:val="11"/>
          </w:tcPr>
          <w:p>
            <w:pPr>
              <w:spacing w:after="0" w:line="143" w:lineRule="exact"/>
              <w:rPr>
                <w:rFonts w:ascii="Times New Roman" w:cs="Times New Roman" w:eastAsia="Times New Roman" w:hAnsi="Times New Roman"/>
                <w:sz w:val="14"/>
                <w:szCs w:val="14"/>
                <w:color w:val="0000EE"/>
              </w:rPr>
            </w:pPr>
            <w:hyperlink r:id="rId110">
              <w:r>
                <w:rPr>
                  <w:rFonts w:ascii="Times New Roman" w:cs="Times New Roman" w:eastAsia="Times New Roman" w:hAnsi="Times New Roman"/>
                  <w:sz w:val="14"/>
                  <w:szCs w:val="14"/>
                  <w:color w:val="0000EE"/>
                </w:rPr>
                <w:t>reference to Exhibit 4.2 to Form 10-K for the year ended December 31, 2014].</w:t>
              </w:r>
            </w:hyperlink>
          </w:p>
        </w:tc>
        <w:tc>
          <w:tcPr>
            <w:tcW w:w="1120" w:type="dxa"/>
            <w:vAlign w:val="bottom"/>
            <w:tcBorders>
              <w:top w:val="single" w:sz="8" w:color="0000EE"/>
            </w:tcBorders>
            <w:gridSpan w:val="16"/>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5780" w:type="dxa"/>
            <w:vAlign w:val="bottom"/>
            <w:gridSpan w:val="29"/>
          </w:tcPr>
          <w:p>
            <w:pPr>
              <w:spacing w:after="0" w:line="143"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111">
              <w:r>
                <w:rPr>
                  <w:rFonts w:ascii="Times New Roman" w:cs="Times New Roman" w:eastAsia="Times New Roman" w:hAnsi="Times New Roman"/>
                  <w:sz w:val="14"/>
                  <w:szCs w:val="14"/>
                  <w:color w:val="0000EE"/>
                </w:rPr>
                <w:t>Amended and Restated By-laws of Waste Management Holdings, Inc. [incorporated by reference</w:t>
              </w:r>
            </w:hyperlink>
          </w:p>
        </w:tc>
        <w:tc>
          <w:tcPr>
            <w:tcW w:w="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140" w:type="dxa"/>
            <w:vAlign w:val="bottom"/>
          </w:tcPr>
          <w:p>
            <w:pPr>
              <w:spacing w:after="0"/>
              <w:rPr>
                <w:sz w:val="12"/>
                <w:szCs w:val="12"/>
                <w:color w:val="auto"/>
              </w:rPr>
            </w:pPr>
          </w:p>
        </w:tc>
        <w:tc>
          <w:tcPr>
            <w:tcW w:w="3740" w:type="dxa"/>
            <w:vAlign w:val="bottom"/>
            <w:tcBorders>
              <w:top w:val="single" w:sz="8" w:color="0000EE"/>
              <w:bottom w:val="single" w:sz="8" w:color="0000EE"/>
            </w:tcBorders>
            <w:gridSpan w:val="10"/>
          </w:tcPr>
          <w:p>
            <w:pPr>
              <w:spacing w:after="0" w:line="143" w:lineRule="exact"/>
              <w:rPr>
                <w:rFonts w:ascii="Times New Roman" w:cs="Times New Roman" w:eastAsia="Times New Roman" w:hAnsi="Times New Roman"/>
                <w:sz w:val="14"/>
                <w:szCs w:val="14"/>
                <w:color w:val="0000EE"/>
              </w:rPr>
            </w:pPr>
            <w:hyperlink r:id="rId111">
              <w:r>
                <w:rPr>
                  <w:rFonts w:ascii="Times New Roman" w:cs="Times New Roman" w:eastAsia="Times New Roman" w:hAnsi="Times New Roman"/>
                  <w:sz w:val="14"/>
                  <w:szCs w:val="14"/>
                  <w:color w:val="0000EE"/>
                </w:rPr>
                <w:t>to Exhibit 4.3 to Form 10-Q for the quarter ended June 30, 2014].</w:t>
              </w:r>
            </w:hyperlink>
          </w:p>
        </w:tc>
        <w:tc>
          <w:tcPr>
            <w:tcW w:w="1760" w:type="dxa"/>
            <w:vAlign w:val="bottom"/>
            <w:tcBorders>
              <w:top w:val="single" w:sz="8" w:color="0000EE"/>
            </w:tcBorders>
            <w:gridSpan w:val="15"/>
          </w:tcPr>
          <w:p>
            <w:pPr>
              <w:spacing w:after="0"/>
              <w:rPr>
                <w:sz w:val="12"/>
                <w:szCs w:val="12"/>
                <w:color w:val="auto"/>
              </w:rPr>
            </w:pPr>
          </w:p>
        </w:tc>
        <w:tc>
          <w:tcPr>
            <w:tcW w:w="14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5780" w:type="dxa"/>
            <w:vAlign w:val="bottom"/>
            <w:gridSpan w:val="29"/>
          </w:tcPr>
          <w:p>
            <w:pPr>
              <w:spacing w:after="0" w:line="143"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112">
              <w:r>
                <w:rPr>
                  <w:rFonts w:ascii="Times New Roman" w:cs="Times New Roman" w:eastAsia="Times New Roman" w:hAnsi="Times New Roman"/>
                  <w:sz w:val="14"/>
                  <w:szCs w:val="14"/>
                  <w:color w:val="0000EE"/>
                </w:rPr>
                <w:t>Indenture, dated September 10, 1997, by and between the Company and The Bank of New York</w:t>
              </w:r>
            </w:hyperlink>
          </w:p>
        </w:tc>
        <w:tc>
          <w:tcPr>
            <w:tcW w:w="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140" w:type="dxa"/>
            <w:vAlign w:val="bottom"/>
          </w:tcPr>
          <w:p>
            <w:pPr>
              <w:spacing w:after="0"/>
              <w:rPr>
                <w:sz w:val="12"/>
                <w:szCs w:val="12"/>
                <w:color w:val="auto"/>
              </w:rPr>
            </w:pPr>
          </w:p>
        </w:tc>
        <w:tc>
          <w:tcPr>
            <w:tcW w:w="4960" w:type="dxa"/>
            <w:vAlign w:val="bottom"/>
            <w:tcBorders>
              <w:top w:val="single" w:sz="8" w:color="0000EE"/>
              <w:bottom w:val="single" w:sz="8" w:color="0000EE"/>
            </w:tcBorders>
            <w:gridSpan w:val="15"/>
          </w:tcPr>
          <w:p>
            <w:pPr>
              <w:spacing w:after="0" w:line="143" w:lineRule="exact"/>
              <w:rPr>
                <w:rFonts w:ascii="Times New Roman" w:cs="Times New Roman" w:eastAsia="Times New Roman" w:hAnsi="Times New Roman"/>
                <w:sz w:val="14"/>
                <w:szCs w:val="14"/>
                <w:color w:val="0000EE"/>
              </w:rPr>
            </w:pPr>
            <w:hyperlink r:id="rId112">
              <w:r>
                <w:rPr>
                  <w:rFonts w:ascii="Times New Roman" w:cs="Times New Roman" w:eastAsia="Times New Roman" w:hAnsi="Times New Roman"/>
                  <w:sz w:val="14"/>
                  <w:szCs w:val="14"/>
                  <w:color w:val="0000EE"/>
                </w:rPr>
                <w:t>Mellon Trust Company, N.A. (the current successor to Texas Commerce Bank National</w:t>
              </w:r>
            </w:hyperlink>
          </w:p>
        </w:tc>
        <w:tc>
          <w:tcPr>
            <w:tcW w:w="480" w:type="dxa"/>
            <w:vAlign w:val="bottom"/>
            <w:tcBorders>
              <w:top w:val="single" w:sz="8" w:color="0000EE"/>
            </w:tcBorders>
            <w:gridSpan w:val="9"/>
          </w:tcPr>
          <w:p>
            <w:pPr>
              <w:spacing w:after="0"/>
              <w:rPr>
                <w:sz w:val="12"/>
                <w:szCs w:val="12"/>
                <w:color w:val="auto"/>
              </w:rPr>
            </w:pPr>
          </w:p>
        </w:tc>
        <w:tc>
          <w:tcPr>
            <w:tcW w:w="20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40" w:type="dxa"/>
            <w:vAlign w:val="bottom"/>
          </w:tcPr>
          <w:p>
            <w:pPr>
              <w:spacing w:after="0"/>
              <w:rPr>
                <w:sz w:val="12"/>
                <w:szCs w:val="12"/>
                <w:color w:val="auto"/>
              </w:rPr>
            </w:pPr>
          </w:p>
        </w:tc>
        <w:tc>
          <w:tcPr>
            <w:tcW w:w="5640" w:type="dxa"/>
            <w:vAlign w:val="bottom"/>
            <w:gridSpan w:val="28"/>
          </w:tcPr>
          <w:p>
            <w:pPr>
              <w:spacing w:after="0" w:line="143" w:lineRule="exact"/>
              <w:rPr>
                <w:rFonts w:ascii="Times New Roman" w:cs="Times New Roman" w:eastAsia="Times New Roman" w:hAnsi="Times New Roman"/>
                <w:sz w:val="14"/>
                <w:szCs w:val="14"/>
                <w:color w:val="0000EE"/>
              </w:rPr>
            </w:pPr>
            <w:hyperlink r:id="rId112">
              <w:r>
                <w:rPr>
                  <w:rFonts w:ascii="Times New Roman" w:cs="Times New Roman" w:eastAsia="Times New Roman" w:hAnsi="Times New Roman"/>
                  <w:sz w:val="14"/>
                  <w:szCs w:val="14"/>
                  <w:color w:val="0000EE"/>
                </w:rPr>
                <w:t>Association), as trustee, relating to senior debt securities of the Company [incorporated by</w:t>
              </w:r>
            </w:hyperlink>
          </w:p>
        </w:tc>
        <w:tc>
          <w:tcPr>
            <w:tcW w:w="40" w:type="dxa"/>
            <w:vAlign w:val="bottom"/>
          </w:tcPr>
          <w:p>
            <w:pPr>
              <w:spacing w:after="0"/>
              <w:rPr>
                <w:sz w:val="12"/>
                <w:szCs w:val="12"/>
                <w:color w:val="auto"/>
              </w:rPr>
            </w:pPr>
          </w:p>
        </w:tc>
      </w:tr>
      <w:tr>
        <w:trPr>
          <w:trHeight w:val="142"/>
        </w:trPr>
        <w:tc>
          <w:tcPr>
            <w:tcW w:w="140" w:type="dxa"/>
            <w:vAlign w:val="bottom"/>
          </w:tcPr>
          <w:p>
            <w:pPr>
              <w:spacing w:after="0"/>
              <w:rPr>
                <w:sz w:val="12"/>
                <w:szCs w:val="12"/>
                <w:color w:val="auto"/>
              </w:rPr>
            </w:pPr>
          </w:p>
        </w:tc>
        <w:tc>
          <w:tcPr>
            <w:tcW w:w="5140" w:type="dxa"/>
            <w:vAlign w:val="bottom"/>
            <w:tcBorders>
              <w:top w:val="single" w:sz="8" w:color="0000EE"/>
            </w:tcBorders>
            <w:gridSpan w:val="18"/>
          </w:tcPr>
          <w:p>
            <w:pPr>
              <w:spacing w:after="0" w:line="143" w:lineRule="exact"/>
              <w:rPr>
                <w:rFonts w:ascii="Times New Roman" w:cs="Times New Roman" w:eastAsia="Times New Roman" w:hAnsi="Times New Roman"/>
                <w:sz w:val="14"/>
                <w:szCs w:val="14"/>
                <w:color w:val="0000EE"/>
              </w:rPr>
            </w:pPr>
            <w:hyperlink r:id="rId112">
              <w:r>
                <w:rPr>
                  <w:rFonts w:ascii="Times New Roman" w:cs="Times New Roman" w:eastAsia="Times New Roman" w:hAnsi="Times New Roman"/>
                  <w:sz w:val="14"/>
                  <w:szCs w:val="14"/>
                  <w:color w:val="0000EE"/>
                </w:rPr>
                <w:t>reference to Exhibit 4.1 to Current Report on Form 8-K filed on September 24, 1997].</w:t>
              </w:r>
            </w:hyperlink>
          </w:p>
        </w:tc>
        <w:tc>
          <w:tcPr>
            <w:tcW w:w="500" w:type="dxa"/>
            <w:vAlign w:val="bottom"/>
            <w:gridSpan w:val="10"/>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5780" w:type="dxa"/>
            <w:vAlign w:val="bottom"/>
            <w:gridSpan w:val="29"/>
          </w:tcPr>
          <w:p>
            <w:pPr>
              <w:spacing w:after="0" w:line="143"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113">
              <w:r>
                <w:rPr>
                  <w:rFonts w:ascii="Times New Roman" w:cs="Times New Roman" w:eastAsia="Times New Roman" w:hAnsi="Times New Roman"/>
                  <w:sz w:val="14"/>
                  <w:szCs w:val="14"/>
                  <w:color w:val="0000EE"/>
                </w:rPr>
                <w:t>Registration Rights Agreement by and among Waste Management, Inc., Waste Management</w:t>
              </w:r>
            </w:hyperlink>
          </w:p>
        </w:tc>
        <w:tc>
          <w:tcPr>
            <w:tcW w:w="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40" w:type="dxa"/>
            <w:vAlign w:val="bottom"/>
          </w:tcPr>
          <w:p>
            <w:pPr>
              <w:spacing w:after="0"/>
              <w:rPr>
                <w:sz w:val="12"/>
                <w:szCs w:val="12"/>
                <w:color w:val="auto"/>
              </w:rPr>
            </w:pPr>
          </w:p>
        </w:tc>
        <w:tc>
          <w:tcPr>
            <w:tcW w:w="5420" w:type="dxa"/>
            <w:vAlign w:val="bottom"/>
            <w:tcBorders>
              <w:bottom w:val="single" w:sz="8" w:color="0000EE"/>
            </w:tcBorders>
            <w:gridSpan w:val="23"/>
          </w:tcPr>
          <w:p>
            <w:pPr>
              <w:spacing w:after="0" w:line="143" w:lineRule="exact"/>
              <w:rPr>
                <w:rFonts w:ascii="Times New Roman" w:cs="Times New Roman" w:eastAsia="Times New Roman" w:hAnsi="Times New Roman"/>
                <w:sz w:val="14"/>
                <w:szCs w:val="14"/>
                <w:color w:val="0000EE"/>
              </w:rPr>
            </w:pPr>
            <w:hyperlink r:id="rId113">
              <w:r>
                <w:rPr>
                  <w:rFonts w:ascii="Times New Roman" w:cs="Times New Roman" w:eastAsia="Times New Roman" w:hAnsi="Times New Roman"/>
                  <w:sz w:val="14"/>
                  <w:szCs w:val="14"/>
                  <w:color w:val="0000EE"/>
                </w:rPr>
                <w:t>Holdings, Inc., Barclays Capital Inc., Deutsche Bank Securities Inc. and Goldman Sachs &amp; Co.</w:t>
              </w:r>
            </w:hyperlink>
          </w:p>
        </w:tc>
        <w:tc>
          <w:tcPr>
            <w:tcW w:w="220" w:type="dxa"/>
            <w:vAlign w:val="bottom"/>
            <w:gridSpan w:val="5"/>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40" w:type="dxa"/>
            <w:vAlign w:val="bottom"/>
          </w:tcPr>
          <w:p>
            <w:pPr>
              <w:spacing w:after="0"/>
              <w:rPr>
                <w:sz w:val="12"/>
                <w:szCs w:val="12"/>
                <w:color w:val="auto"/>
              </w:rPr>
            </w:pPr>
          </w:p>
        </w:tc>
        <w:tc>
          <w:tcPr>
            <w:tcW w:w="5060" w:type="dxa"/>
            <w:vAlign w:val="bottom"/>
            <w:tcBorders>
              <w:bottom w:val="single" w:sz="8" w:color="0000EE"/>
            </w:tcBorders>
            <w:gridSpan w:val="16"/>
          </w:tcPr>
          <w:p>
            <w:pPr>
              <w:spacing w:after="0" w:line="143" w:lineRule="exact"/>
              <w:rPr>
                <w:rFonts w:ascii="Times New Roman" w:cs="Times New Roman" w:eastAsia="Times New Roman" w:hAnsi="Times New Roman"/>
                <w:sz w:val="14"/>
                <w:szCs w:val="14"/>
                <w:color w:val="0000EE"/>
              </w:rPr>
            </w:pPr>
            <w:hyperlink r:id="rId113">
              <w:r>
                <w:rPr>
                  <w:rFonts w:ascii="Times New Roman" w:cs="Times New Roman" w:eastAsia="Times New Roman" w:hAnsi="Times New Roman"/>
                  <w:sz w:val="14"/>
                  <w:szCs w:val="14"/>
                  <w:color w:val="0000EE"/>
                </w:rPr>
                <w:t>LLC in connection with the 3.875% Senior Notes due 2029 [incorporated by reference to</w:t>
              </w:r>
            </w:hyperlink>
          </w:p>
        </w:tc>
        <w:tc>
          <w:tcPr>
            <w:tcW w:w="580" w:type="dxa"/>
            <w:vAlign w:val="bottom"/>
            <w:gridSpan w:val="12"/>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40" w:type="dxa"/>
            <w:vAlign w:val="bottom"/>
          </w:tcPr>
          <w:p>
            <w:pPr>
              <w:spacing w:after="0"/>
              <w:rPr>
                <w:sz w:val="12"/>
                <w:szCs w:val="12"/>
                <w:color w:val="auto"/>
              </w:rPr>
            </w:pPr>
          </w:p>
        </w:tc>
        <w:tc>
          <w:tcPr>
            <w:tcW w:w="5640" w:type="dxa"/>
            <w:vAlign w:val="bottom"/>
            <w:gridSpan w:val="28"/>
          </w:tcPr>
          <w:p>
            <w:pPr>
              <w:spacing w:after="0" w:line="143" w:lineRule="exact"/>
              <w:rPr>
                <w:rFonts w:ascii="Times New Roman" w:cs="Times New Roman" w:eastAsia="Times New Roman" w:hAnsi="Times New Roman"/>
                <w:sz w:val="14"/>
                <w:szCs w:val="14"/>
                <w:color w:val="0000EE"/>
              </w:rPr>
            </w:pPr>
            <w:hyperlink r:id="rId113">
              <w:r>
                <w:rPr>
                  <w:rFonts w:ascii="Times New Roman" w:cs="Times New Roman" w:eastAsia="Times New Roman" w:hAnsi="Times New Roman"/>
                  <w:sz w:val="14"/>
                  <w:szCs w:val="14"/>
                  <w:color w:val="0000EE"/>
                </w:rPr>
                <w:t>Exhibit 4.5 to Form 8-K filed on November 8, 2024].</w:t>
              </w:r>
            </w:hyperlink>
          </w:p>
        </w:tc>
        <w:tc>
          <w:tcPr>
            <w:tcW w:w="40" w:type="dxa"/>
            <w:vAlign w:val="bottom"/>
          </w:tcPr>
          <w:p>
            <w:pPr>
              <w:spacing w:after="0"/>
              <w:rPr>
                <w:sz w:val="12"/>
                <w:szCs w:val="12"/>
                <w:color w:val="auto"/>
              </w:rPr>
            </w:pPr>
          </w:p>
        </w:tc>
      </w:tr>
      <w:tr>
        <w:trPr>
          <w:trHeight w:val="20"/>
        </w:trPr>
        <w:tc>
          <w:tcPr>
            <w:tcW w:w="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5780" w:type="dxa"/>
            <w:vAlign w:val="bottom"/>
            <w:gridSpan w:val="29"/>
          </w:tcPr>
          <w:p>
            <w:pPr>
              <w:spacing w:after="0" w:line="143"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114">
              <w:r>
                <w:rPr>
                  <w:rFonts w:ascii="Times New Roman" w:cs="Times New Roman" w:eastAsia="Times New Roman" w:hAnsi="Times New Roman"/>
                  <w:sz w:val="14"/>
                  <w:szCs w:val="14"/>
                  <w:color w:val="0000EE"/>
                </w:rPr>
                <w:t>Officers’ Certificate delivered pursuant to Section 301 of the Indenture dated September 10, 1997</w:t>
              </w:r>
            </w:hyperlink>
          </w:p>
        </w:tc>
        <w:tc>
          <w:tcPr>
            <w:tcW w:w="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40" w:type="dxa"/>
            <w:vAlign w:val="bottom"/>
          </w:tcPr>
          <w:p>
            <w:pPr>
              <w:spacing w:after="0"/>
              <w:rPr>
                <w:sz w:val="12"/>
                <w:szCs w:val="12"/>
                <w:color w:val="auto"/>
              </w:rPr>
            </w:pPr>
          </w:p>
        </w:tc>
        <w:tc>
          <w:tcPr>
            <w:tcW w:w="5640" w:type="dxa"/>
            <w:vAlign w:val="bottom"/>
            <w:tcBorders>
              <w:bottom w:val="single" w:sz="8" w:color="0000EE"/>
            </w:tcBorders>
            <w:gridSpan w:val="28"/>
          </w:tcPr>
          <w:p>
            <w:pPr>
              <w:spacing w:after="0" w:line="143" w:lineRule="exact"/>
              <w:rPr>
                <w:rFonts w:ascii="Times New Roman" w:cs="Times New Roman" w:eastAsia="Times New Roman" w:hAnsi="Times New Roman"/>
                <w:sz w:val="14"/>
                <w:szCs w:val="14"/>
                <w:color w:val="0000EE"/>
              </w:rPr>
            </w:pPr>
            <w:hyperlink r:id="rId114">
              <w:r>
                <w:rPr>
                  <w:rFonts w:ascii="Times New Roman" w:cs="Times New Roman" w:eastAsia="Times New Roman" w:hAnsi="Times New Roman"/>
                  <w:sz w:val="14"/>
                  <w:szCs w:val="14"/>
                  <w:color w:val="0000EE"/>
                </w:rPr>
                <w:t>establishing the terms and form of the 3.875% Senior Notes due 2029 [incorporated by reference to</w:t>
              </w:r>
            </w:hyperlink>
          </w:p>
        </w:tc>
        <w:tc>
          <w:tcPr>
            <w:tcW w:w="40" w:type="dxa"/>
            <w:vAlign w:val="bottom"/>
          </w:tcPr>
          <w:p>
            <w:pPr>
              <w:spacing w:after="0"/>
              <w:rPr>
                <w:sz w:val="12"/>
                <w:szCs w:val="12"/>
                <w:color w:val="auto"/>
              </w:rPr>
            </w:pPr>
          </w:p>
        </w:tc>
      </w:tr>
      <w:tr>
        <w:trPr>
          <w:trHeight w:val="142"/>
        </w:trPr>
        <w:tc>
          <w:tcPr>
            <w:tcW w:w="140" w:type="dxa"/>
            <w:vAlign w:val="bottom"/>
          </w:tcPr>
          <w:p>
            <w:pPr>
              <w:spacing w:after="0"/>
              <w:rPr>
                <w:sz w:val="12"/>
                <w:szCs w:val="12"/>
                <w:color w:val="auto"/>
              </w:rPr>
            </w:pPr>
          </w:p>
        </w:tc>
        <w:tc>
          <w:tcPr>
            <w:tcW w:w="5640" w:type="dxa"/>
            <w:vAlign w:val="bottom"/>
            <w:gridSpan w:val="28"/>
          </w:tcPr>
          <w:p>
            <w:pPr>
              <w:spacing w:after="0" w:line="143" w:lineRule="exact"/>
              <w:rPr>
                <w:rFonts w:ascii="Times New Roman" w:cs="Times New Roman" w:eastAsia="Times New Roman" w:hAnsi="Times New Roman"/>
                <w:sz w:val="14"/>
                <w:szCs w:val="14"/>
                <w:color w:val="0000EE"/>
              </w:rPr>
            </w:pPr>
            <w:hyperlink r:id="rId114">
              <w:r>
                <w:rPr>
                  <w:rFonts w:ascii="Times New Roman" w:cs="Times New Roman" w:eastAsia="Times New Roman" w:hAnsi="Times New Roman"/>
                  <w:sz w:val="14"/>
                  <w:szCs w:val="14"/>
                  <w:color w:val="0000EE"/>
                </w:rPr>
                <w:t>Exhibit 4.2 to Form 8-K filed on November 8, 2024].</w:t>
              </w:r>
            </w:hyperlink>
          </w:p>
        </w:tc>
        <w:tc>
          <w:tcPr>
            <w:tcW w:w="40" w:type="dxa"/>
            <w:vAlign w:val="bottom"/>
          </w:tcPr>
          <w:p>
            <w:pPr>
              <w:spacing w:after="0"/>
              <w:rPr>
                <w:sz w:val="12"/>
                <w:szCs w:val="12"/>
                <w:color w:val="auto"/>
              </w:rPr>
            </w:pPr>
          </w:p>
        </w:tc>
      </w:tr>
      <w:tr>
        <w:trPr>
          <w:trHeight w:val="20"/>
        </w:trPr>
        <w:tc>
          <w:tcPr>
            <w:tcW w:w="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5780" w:type="dxa"/>
            <w:vAlign w:val="bottom"/>
            <w:gridSpan w:val="29"/>
          </w:tcPr>
          <w:p>
            <w:pPr>
              <w:spacing w:after="0" w:line="143"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115">
              <w:r>
                <w:rPr>
                  <w:rFonts w:ascii="Times New Roman" w:cs="Times New Roman" w:eastAsia="Times New Roman" w:hAnsi="Times New Roman"/>
                  <w:sz w:val="14"/>
                  <w:szCs w:val="14"/>
                  <w:color w:val="0000EE"/>
                </w:rPr>
                <w:t>Guarantee Agreement by Waste Management Holdings, Inc. in favor of The Bank of New York</w:t>
              </w:r>
            </w:hyperlink>
          </w:p>
        </w:tc>
        <w:tc>
          <w:tcPr>
            <w:tcW w:w="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140" w:type="dxa"/>
            <w:vAlign w:val="bottom"/>
          </w:tcPr>
          <w:p>
            <w:pPr>
              <w:spacing w:after="0"/>
              <w:rPr>
                <w:sz w:val="12"/>
                <w:szCs w:val="12"/>
                <w:color w:val="auto"/>
              </w:rPr>
            </w:pPr>
          </w:p>
        </w:tc>
        <w:tc>
          <w:tcPr>
            <w:tcW w:w="5340" w:type="dxa"/>
            <w:vAlign w:val="bottom"/>
            <w:tcBorders>
              <w:top w:val="single" w:sz="8" w:color="0000EE"/>
              <w:bottom w:val="single" w:sz="8" w:color="0000EE"/>
            </w:tcBorders>
            <w:gridSpan w:val="21"/>
          </w:tcPr>
          <w:p>
            <w:pPr>
              <w:spacing w:after="0" w:line="143" w:lineRule="exact"/>
              <w:rPr>
                <w:rFonts w:ascii="Times New Roman" w:cs="Times New Roman" w:eastAsia="Times New Roman" w:hAnsi="Times New Roman"/>
                <w:sz w:val="14"/>
                <w:szCs w:val="14"/>
                <w:color w:val="0000EE"/>
              </w:rPr>
            </w:pPr>
            <w:hyperlink r:id="rId115">
              <w:r>
                <w:rPr>
                  <w:rFonts w:ascii="Times New Roman" w:cs="Times New Roman" w:eastAsia="Times New Roman" w:hAnsi="Times New Roman"/>
                  <w:sz w:val="14"/>
                  <w:szCs w:val="14"/>
                  <w:color w:val="0000EE"/>
                </w:rPr>
                <w:t>Mellon Trust Company, N.A., as Trustee for the holders of the 3.875% Senior Notes due 2029</w:t>
              </w:r>
            </w:hyperlink>
          </w:p>
        </w:tc>
        <w:tc>
          <w:tcPr>
            <w:tcW w:w="60" w:type="dxa"/>
            <w:vAlign w:val="bottom"/>
            <w:tcBorders>
              <w:top w:val="single" w:sz="8" w:color="0000EE"/>
            </w:tcBorders>
          </w:tcPr>
          <w:p>
            <w:pPr>
              <w:spacing w:after="0"/>
              <w:rPr>
                <w:sz w:val="12"/>
                <w:szCs w:val="12"/>
                <w:color w:val="auto"/>
              </w:rPr>
            </w:pPr>
          </w:p>
        </w:tc>
        <w:tc>
          <w:tcPr>
            <w:tcW w:w="240" w:type="dxa"/>
            <w:vAlign w:val="bottom"/>
            <w:gridSpan w:val="6"/>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40" w:type="dxa"/>
            <w:vAlign w:val="bottom"/>
          </w:tcPr>
          <w:p>
            <w:pPr>
              <w:spacing w:after="0"/>
              <w:rPr>
                <w:sz w:val="12"/>
                <w:szCs w:val="12"/>
                <w:color w:val="auto"/>
              </w:rPr>
            </w:pPr>
          </w:p>
        </w:tc>
        <w:tc>
          <w:tcPr>
            <w:tcW w:w="5640" w:type="dxa"/>
            <w:vAlign w:val="bottom"/>
            <w:gridSpan w:val="28"/>
          </w:tcPr>
          <w:p>
            <w:pPr>
              <w:spacing w:after="0" w:line="143" w:lineRule="exact"/>
              <w:rPr>
                <w:rFonts w:ascii="Times New Roman" w:cs="Times New Roman" w:eastAsia="Times New Roman" w:hAnsi="Times New Roman"/>
                <w:sz w:val="14"/>
                <w:szCs w:val="14"/>
                <w:color w:val="0000EE"/>
              </w:rPr>
            </w:pPr>
            <w:hyperlink r:id="rId115">
              <w:r>
                <w:rPr>
                  <w:rFonts w:ascii="Times New Roman" w:cs="Times New Roman" w:eastAsia="Times New Roman" w:hAnsi="Times New Roman"/>
                  <w:sz w:val="14"/>
                  <w:szCs w:val="14"/>
                  <w:color w:val="0000EE"/>
                </w:rPr>
                <w:t>[incorporated by reference to Exhibit 4.4 to Form 8-K filed on November 8, 2024].</w:t>
              </w:r>
            </w:hyperlink>
          </w:p>
        </w:tc>
        <w:tc>
          <w:tcPr>
            <w:tcW w:w="40" w:type="dxa"/>
            <w:vAlign w:val="bottom"/>
          </w:tcPr>
          <w:p>
            <w:pPr>
              <w:spacing w:after="0"/>
              <w:rPr>
                <w:sz w:val="12"/>
                <w:szCs w:val="12"/>
                <w:color w:val="auto"/>
              </w:rPr>
            </w:pPr>
          </w:p>
        </w:tc>
      </w:tr>
      <w:tr>
        <w:trPr>
          <w:trHeight w:val="173"/>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4720" w:type="dxa"/>
            <w:vAlign w:val="bottom"/>
            <w:tcBorders>
              <w:top w:val="single" w:sz="8" w:color="0000EE"/>
            </w:tcBorders>
            <w:gridSpan w:val="12"/>
          </w:tcPr>
          <w:p>
            <w:pPr>
              <w:spacing w:after="0"/>
              <w:rPr>
                <w:rFonts w:ascii="Times New Roman" w:cs="Times New Roman" w:eastAsia="Times New Roman" w:hAnsi="Times New Roman"/>
                <w:sz w:val="14"/>
                <w:szCs w:val="14"/>
                <w:color w:val="0000EE"/>
              </w:rPr>
            </w:pPr>
            <w:hyperlink r:id="rId114">
              <w:r>
                <w:rPr>
                  <w:rFonts w:ascii="Times New Roman" w:cs="Times New Roman" w:eastAsia="Times New Roman" w:hAnsi="Times New Roman"/>
                  <w:sz w:val="14"/>
                  <w:szCs w:val="14"/>
                  <w:color w:val="0000EE"/>
                </w:rPr>
                <w:t>Form of Registered Note [contained in Exhibit 4.3].</w:t>
              </w:r>
            </w:hyperlink>
          </w:p>
        </w:tc>
        <w:tc>
          <w:tcPr>
            <w:tcW w:w="220" w:type="dxa"/>
            <w:vAlign w:val="bottom"/>
            <w:gridSpan w:val="2"/>
          </w:tcPr>
          <w:p>
            <w:pPr>
              <w:spacing w:after="0"/>
              <w:rPr>
                <w:sz w:val="15"/>
                <w:szCs w:val="15"/>
                <w:color w:val="auto"/>
              </w:rPr>
            </w:pPr>
          </w:p>
        </w:tc>
        <w:tc>
          <w:tcPr>
            <w:tcW w:w="380" w:type="dxa"/>
            <w:vAlign w:val="bottom"/>
            <w:gridSpan w:val="6"/>
          </w:tcPr>
          <w:p>
            <w:pPr>
              <w:spacing w:after="0"/>
              <w:rPr>
                <w:sz w:val="15"/>
                <w:szCs w:val="15"/>
                <w:color w:val="auto"/>
              </w:rPr>
            </w:pPr>
          </w:p>
        </w:tc>
        <w:tc>
          <w:tcPr>
            <w:tcW w:w="320" w:type="dxa"/>
            <w:vAlign w:val="bottom"/>
            <w:gridSpan w:val="8"/>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53"/>
        </w:trPr>
        <w:tc>
          <w:tcPr>
            <w:tcW w:w="1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 ​</w:t>
            </w:r>
          </w:p>
        </w:tc>
        <w:tc>
          <w:tcPr>
            <w:tcW w:w="3020" w:type="dxa"/>
            <w:vAlign w:val="bottom"/>
            <w:tcBorders>
              <w:top w:val="single" w:sz="8" w:color="0000EE"/>
            </w:tcBorders>
            <w:gridSpan w:val="8"/>
          </w:tcPr>
          <w:p>
            <w:pPr>
              <w:spacing w:after="0" w:line="153" w:lineRule="exact"/>
              <w:rPr>
                <w:sz w:val="20"/>
                <w:szCs w:val="20"/>
                <w:color w:val="auto"/>
              </w:rPr>
            </w:pPr>
            <w:r>
              <w:rPr>
                <w:rFonts w:ascii="Times New Roman" w:cs="Times New Roman" w:eastAsia="Times New Roman" w:hAnsi="Times New Roman"/>
                <w:sz w:val="14"/>
                <w:szCs w:val="14"/>
                <w:color w:val="0000EE"/>
              </w:rPr>
              <w:t>Opinion of Baker Botts L.L.P., regarding the validity</w:t>
            </w:r>
          </w:p>
        </w:tc>
        <w:tc>
          <w:tcPr>
            <w:tcW w:w="2620" w:type="dxa"/>
            <w:vAlign w:val="bottom"/>
            <w:gridSpan w:val="20"/>
          </w:tcPr>
          <w:p>
            <w:pPr>
              <w:ind w:left="20"/>
              <w:spacing w:after="0" w:line="153" w:lineRule="exact"/>
              <w:rPr>
                <w:sz w:val="20"/>
                <w:szCs w:val="20"/>
                <w:color w:val="auto"/>
              </w:rPr>
            </w:pPr>
            <w:r>
              <w:rPr>
                <w:rFonts w:ascii="Times New Roman" w:cs="Times New Roman" w:eastAsia="Times New Roman" w:hAnsi="Times New Roman"/>
                <w:sz w:val="14"/>
                <w:szCs w:val="14"/>
                <w:color w:val="0000EE"/>
              </w:rPr>
              <w:t>of the securities being registered.</w:t>
            </w:r>
          </w:p>
        </w:tc>
        <w:tc>
          <w:tcPr>
            <w:tcW w:w="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122"/>
        </w:trPr>
        <w:tc>
          <w:tcPr>
            <w:tcW w:w="14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 ​</w:t>
            </w:r>
          </w:p>
        </w:tc>
        <w:tc>
          <w:tcPr>
            <w:tcW w:w="4940" w:type="dxa"/>
            <w:vAlign w:val="bottom"/>
            <w:tcBorders>
              <w:top w:val="single" w:sz="8" w:color="0000EE"/>
              <w:bottom w:val="single" w:sz="8" w:color="0000EE"/>
            </w:tcBorders>
            <w:gridSpan w:val="14"/>
          </w:tcPr>
          <w:p>
            <w:pPr>
              <w:spacing w:after="0" w:line="123" w:lineRule="exact"/>
              <w:rPr>
                <w:rFonts w:ascii="Times New Roman" w:cs="Times New Roman" w:eastAsia="Times New Roman" w:hAnsi="Times New Roman"/>
                <w:sz w:val="14"/>
                <w:szCs w:val="14"/>
                <w:color w:val="0000EE"/>
              </w:rPr>
            </w:pPr>
            <w:hyperlink r:id="rId116">
              <w:r>
                <w:rPr>
                  <w:rFonts w:ascii="Times New Roman" w:cs="Times New Roman" w:eastAsia="Times New Roman" w:hAnsi="Times New Roman"/>
                  <w:sz w:val="14"/>
                  <w:szCs w:val="14"/>
                  <w:color w:val="0000EE"/>
                </w:rPr>
                <w:t>Subsidiaries of Waste Management, Inc. [incorporated by reference to Exhibit 21.1 to</w:t>
              </w:r>
            </w:hyperlink>
          </w:p>
        </w:tc>
        <w:tc>
          <w:tcPr>
            <w:tcW w:w="380" w:type="dxa"/>
            <w:vAlign w:val="bottom"/>
            <w:tcBorders>
              <w:bottom w:val="single" w:sz="8" w:color="0000EE"/>
            </w:tcBorders>
            <w:gridSpan w:val="6"/>
          </w:tcPr>
          <w:p>
            <w:pPr>
              <w:spacing w:after="0" w:line="123" w:lineRule="exact"/>
              <w:rPr>
                <w:rFonts w:ascii="Times New Roman" w:cs="Times New Roman" w:eastAsia="Times New Roman" w:hAnsi="Times New Roman"/>
                <w:sz w:val="14"/>
                <w:szCs w:val="14"/>
                <w:color w:val="0000EE"/>
                <w:w w:val="87"/>
              </w:rPr>
            </w:pPr>
            <w:hyperlink r:id="rId116">
              <w:r>
                <w:rPr>
                  <w:rFonts w:ascii="Times New Roman" w:cs="Times New Roman" w:eastAsia="Times New Roman" w:hAnsi="Times New Roman"/>
                  <w:sz w:val="14"/>
                  <w:szCs w:val="14"/>
                  <w:color w:val="0000EE"/>
                  <w:w w:val="87"/>
                </w:rPr>
                <w:t>Annual</w:t>
              </w:r>
            </w:hyperlink>
          </w:p>
        </w:tc>
        <w:tc>
          <w:tcPr>
            <w:tcW w:w="320" w:type="dxa"/>
            <w:vAlign w:val="bottom"/>
            <w:gridSpan w:val="8"/>
          </w:tcPr>
          <w:p>
            <w:pPr>
              <w:spacing w:after="0"/>
              <w:rPr>
                <w:sz w:val="10"/>
                <w:szCs w:val="10"/>
                <w:color w:val="auto"/>
              </w:rPr>
            </w:pPr>
          </w:p>
        </w:tc>
        <w:tc>
          <w:tcPr>
            <w:tcW w:w="4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140" w:type="dxa"/>
            <w:vAlign w:val="bottom"/>
          </w:tcPr>
          <w:p>
            <w:pPr>
              <w:spacing w:after="0"/>
              <w:rPr>
                <w:sz w:val="12"/>
                <w:szCs w:val="12"/>
                <w:color w:val="auto"/>
              </w:rPr>
            </w:pPr>
          </w:p>
        </w:tc>
        <w:tc>
          <w:tcPr>
            <w:tcW w:w="5640" w:type="dxa"/>
            <w:vAlign w:val="bottom"/>
            <w:gridSpan w:val="28"/>
          </w:tcPr>
          <w:p>
            <w:pPr>
              <w:spacing w:after="0" w:line="143" w:lineRule="exact"/>
              <w:rPr>
                <w:rFonts w:ascii="Times New Roman" w:cs="Times New Roman" w:eastAsia="Times New Roman" w:hAnsi="Times New Roman"/>
                <w:sz w:val="14"/>
                <w:szCs w:val="14"/>
                <w:color w:val="0000EE"/>
              </w:rPr>
            </w:pPr>
            <w:hyperlink r:id="rId116">
              <w:r>
                <w:rPr>
                  <w:rFonts w:ascii="Times New Roman" w:cs="Times New Roman" w:eastAsia="Times New Roman" w:hAnsi="Times New Roman"/>
                  <w:sz w:val="14"/>
                  <w:szCs w:val="14"/>
                  <w:color w:val="0000EE"/>
                </w:rPr>
                <w:t>Report on Form 10-K filed on February 19, 2025].</w:t>
              </w:r>
            </w:hyperlink>
          </w:p>
        </w:tc>
        <w:tc>
          <w:tcPr>
            <w:tcW w:w="40" w:type="dxa"/>
            <w:vAlign w:val="bottom"/>
          </w:tcPr>
          <w:p>
            <w:pPr>
              <w:spacing w:after="0"/>
              <w:rPr>
                <w:sz w:val="12"/>
                <w:szCs w:val="12"/>
                <w:color w:val="auto"/>
              </w:rPr>
            </w:pPr>
          </w:p>
        </w:tc>
      </w:tr>
      <w:tr>
        <w:trPr>
          <w:trHeight w:val="173"/>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8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rPr>
              <w:t>Consent of Ernst &amp; Young LLP.</w:t>
            </w:r>
          </w:p>
        </w:tc>
        <w:tc>
          <w:tcPr>
            <w:tcW w:w="360" w:type="dxa"/>
            <w:vAlign w:val="bottom"/>
            <w:gridSpan w:val="3"/>
          </w:tcPr>
          <w:p>
            <w:pPr>
              <w:spacing w:after="0"/>
              <w:rPr>
                <w:sz w:val="15"/>
                <w:szCs w:val="15"/>
                <w:color w:val="auto"/>
              </w:rPr>
            </w:pPr>
          </w:p>
        </w:tc>
        <w:tc>
          <w:tcPr>
            <w:tcW w:w="2400" w:type="dxa"/>
            <w:vAlign w:val="bottom"/>
            <w:gridSpan w:val="19"/>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53"/>
        </w:trPr>
        <w:tc>
          <w:tcPr>
            <w:tcW w:w="1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 ​</w:t>
            </w:r>
          </w:p>
        </w:tc>
        <w:tc>
          <w:tcPr>
            <w:tcW w:w="1820" w:type="dxa"/>
            <w:vAlign w:val="bottom"/>
            <w:tcBorders>
              <w:top w:val="single" w:sz="8" w:color="0000EE"/>
            </w:tcBorders>
            <w:gridSpan w:val="3"/>
          </w:tcPr>
          <w:p>
            <w:pPr>
              <w:spacing w:after="0" w:line="153" w:lineRule="exact"/>
              <w:rPr>
                <w:sz w:val="20"/>
                <w:szCs w:val="20"/>
                <w:color w:val="auto"/>
              </w:rPr>
            </w:pPr>
            <w:r>
              <w:rPr>
                <w:rFonts w:ascii="Times New Roman" w:cs="Times New Roman" w:eastAsia="Times New Roman" w:hAnsi="Times New Roman"/>
                <w:sz w:val="14"/>
                <w:szCs w:val="14"/>
                <w:color w:val="0000EE"/>
              </w:rPr>
              <w:t>Consent of Baker Botts L.L.P.</w:t>
            </w:r>
          </w:p>
        </w:tc>
        <w:tc>
          <w:tcPr>
            <w:tcW w:w="3820" w:type="dxa"/>
            <w:vAlign w:val="bottom"/>
            <w:gridSpan w:val="25"/>
          </w:tcPr>
          <w:p>
            <w:pPr>
              <w:spacing w:after="0" w:line="153" w:lineRule="exact"/>
              <w:rPr>
                <w:sz w:val="20"/>
                <w:szCs w:val="20"/>
                <w:color w:val="auto"/>
              </w:rPr>
            </w:pPr>
            <w:r>
              <w:rPr>
                <w:rFonts w:ascii="Times New Roman" w:cs="Times New Roman" w:eastAsia="Times New Roman" w:hAnsi="Times New Roman"/>
                <w:sz w:val="14"/>
                <w:szCs w:val="14"/>
                <w:color w:val="0000EE"/>
              </w:rPr>
              <w:t>(contained in Exhibit 5.1).</w:t>
            </w:r>
          </w:p>
        </w:tc>
        <w:tc>
          <w:tcPr>
            <w:tcW w:w="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153"/>
        </w:trPr>
        <w:tc>
          <w:tcPr>
            <w:tcW w:w="1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 ​</w:t>
            </w:r>
          </w:p>
        </w:tc>
        <w:tc>
          <w:tcPr>
            <w:tcW w:w="3240" w:type="dxa"/>
            <w:vAlign w:val="bottom"/>
            <w:tcBorders>
              <w:top w:val="single" w:sz="8" w:color="0000EE"/>
            </w:tcBorders>
            <w:gridSpan w:val="9"/>
          </w:tcPr>
          <w:p>
            <w:pPr>
              <w:spacing w:after="0" w:line="153" w:lineRule="exact"/>
              <w:rPr>
                <w:sz w:val="20"/>
                <w:szCs w:val="20"/>
                <w:color w:val="auto"/>
              </w:rPr>
            </w:pPr>
            <w:r>
              <w:rPr>
                <w:rFonts w:ascii="Times New Roman" w:cs="Times New Roman" w:eastAsia="Times New Roman" w:hAnsi="Times New Roman"/>
                <w:sz w:val="14"/>
                <w:szCs w:val="14"/>
                <w:color w:val="0000EE"/>
              </w:rPr>
              <w:t>Powers of Attorney (contained in signature page).</w:t>
            </w:r>
          </w:p>
        </w:tc>
        <w:tc>
          <w:tcPr>
            <w:tcW w:w="2400" w:type="dxa"/>
            <w:vAlign w:val="bottom"/>
            <w:gridSpan w:val="19"/>
          </w:tcPr>
          <w:p>
            <w:pPr>
              <w:spacing w:after="0"/>
              <w:rPr>
                <w:sz w:val="13"/>
                <w:szCs w:val="13"/>
                <w:color w:val="auto"/>
              </w:rPr>
            </w:pPr>
          </w:p>
        </w:tc>
        <w:tc>
          <w:tcPr>
            <w:tcW w:w="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153"/>
        </w:trPr>
        <w:tc>
          <w:tcPr>
            <w:tcW w:w="1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 ​</w:t>
            </w:r>
          </w:p>
        </w:tc>
        <w:tc>
          <w:tcPr>
            <w:tcW w:w="2840" w:type="dxa"/>
            <w:vAlign w:val="bottom"/>
            <w:tcBorders>
              <w:top w:val="single" w:sz="8" w:color="0000EE"/>
            </w:tcBorders>
            <w:gridSpan w:val="5"/>
          </w:tcPr>
          <w:p>
            <w:pPr>
              <w:spacing w:after="0" w:line="153" w:lineRule="exact"/>
              <w:rPr>
                <w:sz w:val="20"/>
                <w:szCs w:val="20"/>
                <w:color w:val="auto"/>
              </w:rPr>
            </w:pPr>
            <w:r>
              <w:rPr>
                <w:rFonts w:ascii="Times New Roman" w:cs="Times New Roman" w:eastAsia="Times New Roman" w:hAnsi="Times New Roman"/>
                <w:sz w:val="14"/>
                <w:szCs w:val="14"/>
                <w:color w:val="0000EE"/>
              </w:rPr>
              <w:t>Statement of Eligibility of Trustee on Form T-1.</w:t>
            </w:r>
          </w:p>
        </w:tc>
        <w:tc>
          <w:tcPr>
            <w:tcW w:w="2800" w:type="dxa"/>
            <w:vAlign w:val="bottom"/>
            <w:gridSpan w:val="23"/>
          </w:tcPr>
          <w:p>
            <w:pPr>
              <w:spacing w:after="0"/>
              <w:rPr>
                <w:sz w:val="13"/>
                <w:szCs w:val="13"/>
                <w:color w:val="auto"/>
              </w:rPr>
            </w:pPr>
          </w:p>
        </w:tc>
        <w:tc>
          <w:tcPr>
            <w:tcW w:w="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153"/>
        </w:trPr>
        <w:tc>
          <w:tcPr>
            <w:tcW w:w="1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 ​</w:t>
            </w:r>
          </w:p>
        </w:tc>
        <w:tc>
          <w:tcPr>
            <w:tcW w:w="2740" w:type="dxa"/>
            <w:vAlign w:val="bottom"/>
            <w:tcBorders>
              <w:top w:val="single" w:sz="8" w:color="0000EE"/>
            </w:tcBorders>
            <w:gridSpan w:val="4"/>
          </w:tcPr>
          <w:p>
            <w:pPr>
              <w:spacing w:after="0" w:line="153" w:lineRule="exact"/>
              <w:rPr>
                <w:sz w:val="20"/>
                <w:szCs w:val="20"/>
                <w:color w:val="auto"/>
              </w:rPr>
            </w:pPr>
            <w:r>
              <w:rPr>
                <w:rFonts w:ascii="Times New Roman" w:cs="Times New Roman" w:eastAsia="Times New Roman" w:hAnsi="Times New Roman"/>
                <w:sz w:val="14"/>
                <w:szCs w:val="14"/>
                <w:color w:val="0000EE"/>
              </w:rPr>
              <w:t>Form of Letter of Transmittal.</w:t>
            </w:r>
          </w:p>
        </w:tc>
        <w:tc>
          <w:tcPr>
            <w:tcW w:w="2900" w:type="dxa"/>
            <w:vAlign w:val="bottom"/>
            <w:gridSpan w:val="24"/>
          </w:tcPr>
          <w:p>
            <w:pPr>
              <w:spacing w:after="0"/>
              <w:rPr>
                <w:sz w:val="13"/>
                <w:szCs w:val="13"/>
                <w:color w:val="auto"/>
              </w:rPr>
            </w:pPr>
          </w:p>
        </w:tc>
        <w:tc>
          <w:tcPr>
            <w:tcW w:w="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153"/>
        </w:trPr>
        <w:tc>
          <w:tcPr>
            <w:tcW w:w="1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tcBorders>
              <w:top w:val="single" w:sz="8" w:color="0000EE"/>
              <w:bottom w:val="single" w:sz="8" w:color="0000EE"/>
            </w:tcBorders>
          </w:tcPr>
          <w:p>
            <w:pPr>
              <w:spacing w:after="0" w:line="153" w:lineRule="exact"/>
              <w:rPr>
                <w:sz w:val="20"/>
                <w:szCs w:val="20"/>
                <w:color w:val="auto"/>
              </w:rPr>
            </w:pPr>
            <w:r>
              <w:rPr>
                <w:rFonts w:ascii="Times New Roman" w:cs="Times New Roman" w:eastAsia="Times New Roman" w:hAnsi="Times New Roman"/>
                <w:sz w:val="14"/>
                <w:szCs w:val="14"/>
                <w:color w:val="0000EE"/>
                <w:w w:val="99"/>
              </w:rPr>
              <w:t>Filing Fee Table.</w:t>
            </w:r>
          </w:p>
        </w:tc>
        <w:tc>
          <w:tcPr>
            <w:tcW w:w="740" w:type="dxa"/>
            <w:vAlign w:val="bottom"/>
            <w:tcBorders>
              <w:top w:val="single" w:sz="8" w:color="0000EE"/>
            </w:tcBorders>
          </w:tcPr>
          <w:p>
            <w:pPr>
              <w:spacing w:after="0"/>
              <w:rPr>
                <w:sz w:val="13"/>
                <w:szCs w:val="13"/>
                <w:color w:val="auto"/>
              </w:rPr>
            </w:pPr>
          </w:p>
        </w:tc>
        <w:tc>
          <w:tcPr>
            <w:tcW w:w="3920" w:type="dxa"/>
            <w:vAlign w:val="bottom"/>
            <w:gridSpan w:val="26"/>
          </w:tcPr>
          <w:p>
            <w:pPr>
              <w:spacing w:after="0"/>
              <w:rPr>
                <w:sz w:val="13"/>
                <w:szCs w:val="13"/>
                <w:color w:val="auto"/>
              </w:rPr>
            </w:pPr>
          </w:p>
        </w:tc>
        <w:tc>
          <w:tcPr>
            <w:tcW w:w="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t>
            </w:r>
          </w:p>
        </w:tc>
      </w:tr>
    </w:tbl>
    <w:p>
      <w:pPr>
        <w:spacing w:after="0" w:line="281" w:lineRule="exact"/>
        <w:rPr>
          <w:sz w:val="20"/>
          <w:szCs w:val="20"/>
          <w:color w:val="auto"/>
        </w:rPr>
      </w:pPr>
    </w:p>
    <w:p>
      <w:pPr>
        <w:sectPr>
          <w:pgSz w:w="11900" w:h="16838" w:orient="portrait"/>
          <w:cols w:equalWidth="0" w:num="2">
            <w:col w:w="1740" w:space="60"/>
            <w:col w:w="7219"/>
          </w:cols>
          <w:pgMar w:left="1440" w:top="102" w:right="1440"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2"/>
          <w:szCs w:val="1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197485</wp:posOffset>
            </wp:positionV>
            <wp:extent cx="5142230"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type w:val="continuous"/>
        </w:sectPr>
      </w:pPr>
    </w:p>
    <w:bookmarkStart w:id="58" w:name="page59"/>
    <w:bookmarkEnd w:id="58"/>
    <w:p>
      <w:pPr>
        <w:ind w:left="4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415290</wp:posOffset>
            </wp:positionV>
            <wp:extent cx="92773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92773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420" w:right="6399" w:hanging="1"/>
        <w:spacing w:after="0" w:line="353" w:lineRule="auto"/>
        <w:tabs>
          <w:tab w:leader="none" w:pos="1691"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 ** Previously filed.</w:t>
      </w:r>
    </w:p>
    <w:p>
      <w:pPr>
        <w:spacing w:after="0" w:line="7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Item 22. Undertakings</w:t>
      </w:r>
    </w:p>
    <w:p>
      <w:pPr>
        <w:spacing w:after="0" w:line="11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The undersigned Registrants hereby undertake:</w:t>
      </w:r>
    </w:p>
    <w:p>
      <w:pPr>
        <w:spacing w:after="0" w:line="103" w:lineRule="exact"/>
        <w:rPr>
          <w:sz w:val="20"/>
          <w:szCs w:val="20"/>
          <w:color w:val="auto"/>
        </w:rPr>
      </w:pPr>
    </w:p>
    <w:p>
      <w:pPr>
        <w:ind w:left="1960" w:right="1559" w:hanging="271"/>
        <w:spacing w:after="0" w:line="262" w:lineRule="auto"/>
        <w:tabs>
          <w:tab w:leader="none" w:pos="19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84" w:lineRule="exact"/>
        <w:rPr>
          <w:rFonts w:ascii="Times New Roman" w:cs="Times New Roman" w:eastAsia="Times New Roman" w:hAnsi="Times New Roman"/>
          <w:sz w:val="14"/>
          <w:szCs w:val="14"/>
          <w:color w:val="auto"/>
        </w:rPr>
      </w:pPr>
    </w:p>
    <w:p>
      <w:pPr>
        <w:ind w:left="2240" w:hanging="280"/>
        <w:spacing w:after="0"/>
        <w:tabs>
          <w:tab w:leader="none" w:pos="224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13" w:lineRule="exact"/>
        <w:rPr>
          <w:rFonts w:ascii="Times New Roman" w:cs="Times New Roman" w:eastAsia="Times New Roman" w:hAnsi="Times New Roman"/>
          <w:sz w:val="14"/>
          <w:szCs w:val="14"/>
          <w:color w:val="auto"/>
        </w:rPr>
      </w:pPr>
    </w:p>
    <w:p>
      <w:pPr>
        <w:ind w:left="2240" w:right="1439" w:hanging="280"/>
        <w:spacing w:after="0" w:line="244" w:lineRule="auto"/>
        <w:tabs>
          <w:tab w:leader="none" w:pos="224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and/or</w:t>
      </w:r>
    </w:p>
    <w:p>
      <w:pPr>
        <w:spacing w:after="0" w:line="97" w:lineRule="exact"/>
        <w:rPr>
          <w:rFonts w:ascii="Times New Roman" w:cs="Times New Roman" w:eastAsia="Times New Roman" w:hAnsi="Times New Roman"/>
          <w:sz w:val="14"/>
          <w:szCs w:val="14"/>
          <w:color w:val="auto"/>
        </w:rPr>
      </w:pPr>
    </w:p>
    <w:p>
      <w:pPr>
        <w:ind w:left="2240" w:right="1679" w:hanging="280"/>
        <w:spacing w:after="0" w:line="252" w:lineRule="auto"/>
        <w:tabs>
          <w:tab w:leader="none" w:pos="224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81" w:lineRule="exact"/>
        <w:rPr>
          <w:rFonts w:ascii="Times New Roman" w:cs="Times New Roman" w:eastAsia="Times New Roman" w:hAnsi="Times New Roman"/>
          <w:sz w:val="14"/>
          <w:szCs w:val="14"/>
          <w:color w:val="auto"/>
        </w:rPr>
      </w:pPr>
    </w:p>
    <w:p>
      <w:pPr>
        <w:ind w:left="1960" w:right="1459" w:hanging="271"/>
        <w:spacing w:after="0" w:line="248" w:lineRule="auto"/>
        <w:tabs>
          <w:tab w:leader="none" w:pos="19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95" w:lineRule="exact"/>
        <w:rPr>
          <w:rFonts w:ascii="Times New Roman" w:cs="Times New Roman" w:eastAsia="Times New Roman" w:hAnsi="Times New Roman"/>
          <w:sz w:val="14"/>
          <w:szCs w:val="14"/>
          <w:color w:val="auto"/>
        </w:rPr>
      </w:pPr>
    </w:p>
    <w:p>
      <w:pPr>
        <w:ind w:left="1960" w:right="1599" w:hanging="271"/>
        <w:spacing w:after="0" w:line="262" w:lineRule="auto"/>
        <w:tabs>
          <w:tab w:leader="none" w:pos="19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84" w:lineRule="exact"/>
        <w:rPr>
          <w:rFonts w:ascii="Times New Roman" w:cs="Times New Roman" w:eastAsia="Times New Roman" w:hAnsi="Times New Roman"/>
          <w:sz w:val="14"/>
          <w:szCs w:val="14"/>
          <w:color w:val="auto"/>
        </w:rPr>
      </w:pPr>
    </w:p>
    <w:p>
      <w:pPr>
        <w:ind w:left="1960" w:right="1439" w:hanging="271"/>
        <w:spacing w:after="0" w:line="244" w:lineRule="auto"/>
        <w:tabs>
          <w:tab w:leader="none" w:pos="19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purposes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7" w:lineRule="exact"/>
        <w:rPr>
          <w:rFonts w:ascii="Times New Roman" w:cs="Times New Roman" w:eastAsia="Times New Roman" w:hAnsi="Times New Roman"/>
          <w:sz w:val="14"/>
          <w:szCs w:val="14"/>
          <w:color w:val="auto"/>
        </w:rPr>
      </w:pPr>
    </w:p>
    <w:p>
      <w:pPr>
        <w:ind w:left="1960" w:right="1439" w:hanging="271"/>
        <w:spacing w:after="0" w:line="246" w:lineRule="auto"/>
        <w:tabs>
          <w:tab w:leader="none" w:pos="19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such Registrants under the Securities Act of 1933 to any purchaser in the initial distribution of the securities, in a primary offering of securities of such undersigned Registrants pursuant to this registration statement, regardless of the underwriting method used to sell the securities to the purchaser, if the securities are offered or sold to such purchaser by means of any of the following communications, such undersigned Registrants will be sellers to the purchaser and will be considered to offer or sell such securities to such purchaser:</w:t>
      </w:r>
    </w:p>
    <w:p>
      <w:pPr>
        <w:spacing w:after="0" w:line="95" w:lineRule="exact"/>
        <w:rPr>
          <w:rFonts w:ascii="Times New Roman" w:cs="Times New Roman" w:eastAsia="Times New Roman" w:hAnsi="Times New Roman"/>
          <w:sz w:val="14"/>
          <w:szCs w:val="14"/>
          <w:color w:val="auto"/>
        </w:rPr>
      </w:pPr>
    </w:p>
    <w:p>
      <w:pPr>
        <w:ind w:left="2240" w:right="1739" w:hanging="280"/>
        <w:spacing w:after="0" w:line="262" w:lineRule="auto"/>
        <w:tabs>
          <w:tab w:leader="none" w:pos="224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such undersigned Registrants relating to the offering required to be filed pursuant to Rule 424;</w:t>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9" w:name="page60"/>
    <w:bookmarkEnd w:id="59"/>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40" w:right="1999" w:hanging="280"/>
        <w:spacing w:after="0" w:line="262" w:lineRule="auto"/>
        <w:tabs>
          <w:tab w:leader="none" w:pos="224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such undersigned Registrants or used or referred to by such undersigned Registrant;</w:t>
      </w:r>
    </w:p>
    <w:p>
      <w:pPr>
        <w:spacing w:after="0" w:line="84" w:lineRule="exact"/>
        <w:rPr>
          <w:rFonts w:ascii="Times New Roman" w:cs="Times New Roman" w:eastAsia="Times New Roman" w:hAnsi="Times New Roman"/>
          <w:sz w:val="14"/>
          <w:szCs w:val="14"/>
          <w:color w:val="auto"/>
        </w:rPr>
      </w:pPr>
    </w:p>
    <w:p>
      <w:pPr>
        <w:ind w:left="2240" w:right="1459" w:hanging="280"/>
        <w:spacing w:after="0" w:line="252" w:lineRule="auto"/>
        <w:tabs>
          <w:tab w:leader="none" w:pos="224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such undersigned Registrants or their securities provided by or on behalf of such undersigned Registrant; and</w:t>
      </w:r>
    </w:p>
    <w:p>
      <w:pPr>
        <w:spacing w:after="0" w:line="91" w:lineRule="exact"/>
        <w:rPr>
          <w:rFonts w:ascii="Times New Roman" w:cs="Times New Roman" w:eastAsia="Times New Roman" w:hAnsi="Times New Roman"/>
          <w:sz w:val="14"/>
          <w:szCs w:val="14"/>
          <w:color w:val="auto"/>
        </w:rPr>
      </w:pPr>
    </w:p>
    <w:p>
      <w:pPr>
        <w:ind w:left="2240" w:right="2059" w:hanging="280"/>
        <w:spacing w:after="0" w:line="262" w:lineRule="auto"/>
        <w:tabs>
          <w:tab w:leader="none" w:pos="224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such undersigned Registrants to the purchaser.</w:t>
      </w:r>
    </w:p>
    <w:p>
      <w:pPr>
        <w:spacing w:after="0" w:line="74" w:lineRule="exact"/>
        <w:rPr>
          <w:rFonts w:ascii="Times New Roman" w:cs="Times New Roman" w:eastAsia="Times New Roman" w:hAnsi="Times New Roman"/>
          <w:sz w:val="14"/>
          <w:szCs w:val="14"/>
          <w:color w:val="auto"/>
        </w:rPr>
      </w:pPr>
    </w:p>
    <w:p>
      <w:pPr>
        <w:ind w:left="1960" w:right="1459" w:hanging="271"/>
        <w:spacing w:after="0" w:line="247" w:lineRule="auto"/>
        <w:tabs>
          <w:tab w:leader="none" w:pos="19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95" w:lineRule="exact"/>
        <w:rPr>
          <w:rFonts w:ascii="Times New Roman" w:cs="Times New Roman" w:eastAsia="Times New Roman" w:hAnsi="Times New Roman"/>
          <w:sz w:val="14"/>
          <w:szCs w:val="14"/>
          <w:color w:val="auto"/>
        </w:rPr>
      </w:pPr>
    </w:p>
    <w:p>
      <w:pPr>
        <w:ind w:left="1960" w:right="1579" w:hanging="271"/>
        <w:spacing w:after="0" w:line="252" w:lineRule="auto"/>
        <w:tabs>
          <w:tab w:leader="none" w:pos="19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91" w:lineRule="exact"/>
        <w:rPr>
          <w:rFonts w:ascii="Times New Roman" w:cs="Times New Roman" w:eastAsia="Times New Roman" w:hAnsi="Times New Roman"/>
          <w:sz w:val="14"/>
          <w:szCs w:val="14"/>
          <w:color w:val="auto"/>
        </w:rPr>
      </w:pPr>
    </w:p>
    <w:p>
      <w:pPr>
        <w:ind w:left="1960" w:right="1459" w:hanging="271"/>
        <w:spacing w:after="0" w:line="243" w:lineRule="auto"/>
        <w:tabs>
          <w:tab w:leader="none" w:pos="19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such Registrants pursuant to the foregoing provisions, or otherwise, such Registrants have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such Registrants of expenses incurred or paid by a director, officer or controlling person of such Registrants in the successful defense of any action, suit or proceeding) is asserted by such director, officer or controlling person in connection with the securities being registered, such Registrants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0" w:name="page61"/>
    <w:bookmarkEnd w:id="60"/>
    <w:p>
      <w:pPr>
        <w:ind w:left="4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17" w:lineRule="exact"/>
        <w:rPr>
          <w:sz w:val="20"/>
          <w:szCs w:val="20"/>
          <w:color w:val="auto"/>
        </w:rPr>
      </w:pPr>
    </w:p>
    <w:p>
      <w:pPr>
        <w:ind w:left="1420" w:right="1579" w:firstLine="271"/>
        <w:spacing w:after="0" w:line="252" w:lineRule="auto"/>
        <w:rPr>
          <w:sz w:val="20"/>
          <w:szCs w:val="20"/>
          <w:color w:val="auto"/>
        </w:rPr>
      </w:pPr>
      <w:r>
        <w:rPr>
          <w:rFonts w:ascii="Times New Roman" w:cs="Times New Roman" w:eastAsia="Times New Roman" w:hAnsi="Times New Roman"/>
          <w:sz w:val="14"/>
          <w:szCs w:val="14"/>
          <w:color w:val="auto"/>
        </w:rPr>
        <w:t>Pursuant to the requirements of the Securities Act, the registrants have duly caused this registration statement to be signed on its behalf by the undersigned, thereunto duly authorized, in the City of Houston, State of Texas, on May 8, 2025.</w:t>
      </w:r>
    </w:p>
    <w:p>
      <w:pPr>
        <w:spacing w:after="0" w:line="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WASTE MANAGEMENT, INC.</w:t>
      </w:r>
    </w:p>
    <w:p>
      <w:pPr>
        <w:spacing w:after="0" w:line="16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34925</wp:posOffset>
            </wp:positionV>
            <wp:extent cx="185610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1856105" cy="6350"/>
                    </a:xfrm>
                    <a:prstGeom prst="rect">
                      <a:avLst/>
                    </a:prstGeom>
                    <a:noFill/>
                  </pic:spPr>
                </pic:pic>
              </a:graphicData>
            </a:graphic>
          </wp:anchor>
        </w:drawing>
      </w:r>
    </w:p>
    <w:p>
      <w:pPr>
        <w:spacing w:after="0" w:line="6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James C. Fish, Jr.</w:t>
      </w:r>
    </w:p>
    <w:p>
      <w:pPr>
        <w:spacing w:after="0" w:line="1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i w:val="1"/>
          <w:iCs w:val="1"/>
          <w:color w:val="auto"/>
        </w:rPr>
        <w:t>President, Chief Executive Officer and Director</w:t>
      </w:r>
    </w:p>
    <w:p>
      <w:pPr>
        <w:spacing w:after="0" w:line="101" w:lineRule="exact"/>
        <w:rPr>
          <w:sz w:val="20"/>
          <w:szCs w:val="20"/>
          <w:color w:val="auto"/>
        </w:rPr>
      </w:pPr>
    </w:p>
    <w:p>
      <w:pPr>
        <w:ind w:left="1420" w:right="1439" w:firstLine="271"/>
        <w:spacing w:after="0" w:line="243"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each of James C. Fish, Jr., Devina A. Rankin, John Carroll and Charles C. Boettcher, as his or her true and lawful attorney or attorney-in-fact and agent, with full power to act with or without the others and with full power of substitution and resubstitution, to execute in his or her name, place and stead, in any and all capacities, any or all amendments (including post-effective amendments) to this Registration Statement and any registration statement for the same offering filed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in the name and on behalf of the undersigned, in any and all capacities, each and every act and thing necessary or desirable to be done in and about the premises, to all intents and purposes and as fully as they might or could do in person, hereby ratifying and confirming all that said attorneys-in-fact and agents or their substitutes may lawfully do or cause to be done by virtue hereof.</w:t>
      </w:r>
    </w:p>
    <w:p>
      <w:pPr>
        <w:spacing w:after="0" w:line="93" w:lineRule="exact"/>
        <w:rPr>
          <w:sz w:val="20"/>
          <w:szCs w:val="20"/>
          <w:color w:val="auto"/>
        </w:rPr>
      </w:pPr>
    </w:p>
    <w:p>
      <w:pPr>
        <w:ind w:left="1420" w:right="1479" w:firstLine="271"/>
        <w:spacing w:after="0" w:line="25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jc w:val="both"/>
        <w:ind w:left="1420"/>
        <w:spacing w:after="0"/>
        <w:tabs>
          <w:tab w:leader="none" w:pos="2160" w:val="left"/>
          <w:tab w:leader="none" w:pos="3380" w:val="left"/>
          <w:tab w:leader="none" w:pos="4780" w:val="left"/>
          <w:tab w:leader="none" w:pos="6320" w:val="left"/>
          <w:tab w:leader="none" w:pos="6900" w:val="left"/>
          <w:tab w:leader="none" w:pos="7560" w:val="left"/>
        </w:tabs>
        <w:rPr>
          <w:sz w:val="20"/>
          <w:szCs w:val="20"/>
          <w:color w:val="auto"/>
        </w:rPr>
      </w:pPr>
      <w:r>
        <w:rPr>
          <w:rFonts w:ascii="Times New Roman" w:cs="Times New Roman" w:eastAsia="Times New Roman" w:hAnsi="Times New Roman"/>
          <w:sz w:val="16"/>
          <w:szCs w:val="16"/>
          <w:b w:val="1"/>
          <w:bCs w:val="1"/>
          <w:color w:val="auto"/>
          <w:vertAlign w:val="subscript"/>
        </w:rPr>
        <w:t>​</w:t>
      </w:r>
      <w:r>
        <w:rPr>
          <w:sz w:val="20"/>
          <w:szCs w:val="20"/>
          <w:color w:val="auto"/>
        </w:rPr>
        <w:tab/>
      </w:r>
      <w:r>
        <w:rPr>
          <w:rFonts w:ascii="Times New Roman" w:cs="Times New Roman" w:eastAsia="Times New Roman" w:hAnsi="Times New Roman"/>
          <w:sz w:val="9"/>
          <w:szCs w:val="9"/>
          <w:b w:val="1"/>
          <w:bCs w:val="1"/>
          <w:color w:val="auto"/>
        </w:rPr>
        <w:t>Signature</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Title</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20320</wp:posOffset>
            </wp:positionV>
            <wp:extent cx="391858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3918585" cy="635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p>
      <w:pPr>
        <w:spacing w:after="0" w:line="283" w:lineRule="exact"/>
        <w:rPr>
          <w:sz w:val="20"/>
          <w:szCs w:val="20"/>
          <w:color w:val="auto"/>
        </w:rPr>
      </w:pPr>
    </w:p>
    <w:p>
      <w:pPr>
        <w:ind w:left="1700" w:hanging="281"/>
        <w:spacing w:after="0"/>
        <w:tabs>
          <w:tab w:leader="none" w:pos="17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JAMES C. FISH, JR.</w:t>
      </w:r>
    </w:p>
    <w:p>
      <w:pPr>
        <w:spacing w:after="0" w:line="72" w:lineRule="exact"/>
        <w:rPr>
          <w:rFonts w:ascii="Times New Roman" w:cs="Times New Roman" w:eastAsia="Times New Roman" w:hAnsi="Times New Roman"/>
          <w:sz w:val="14"/>
          <w:szCs w:val="14"/>
          <w:color w:val="auto"/>
        </w:rPr>
      </w:pPr>
    </w:p>
    <w:p>
      <w:pPr>
        <w:ind w:left="19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James C. Fish, Jr.</w:t>
      </w:r>
    </w:p>
    <w:p>
      <w:pPr>
        <w:spacing w:after="0" w:line="149" w:lineRule="exact"/>
        <w:rPr>
          <w:rFonts w:ascii="Times New Roman" w:cs="Times New Roman" w:eastAsia="Times New Roman" w:hAnsi="Times New Roman"/>
          <w:sz w:val="14"/>
          <w:szCs w:val="14"/>
          <w:color w:val="auto"/>
        </w:rPr>
      </w:pPr>
    </w:p>
    <w:p>
      <w:pPr>
        <w:ind w:left="1660" w:hanging="241"/>
        <w:spacing w:after="0"/>
        <w:tabs>
          <w:tab w:leader="none" w:pos="1660" w:val="left"/>
        </w:tabs>
        <w:numPr>
          <w:ilvl w:val="0"/>
          <w:numId w:val="36"/>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/s/ DEVINA A. RANKIN</w:t>
      </w:r>
    </w:p>
    <w:p>
      <w:pPr>
        <w:spacing w:after="0" w:line="71" w:lineRule="exact"/>
        <w:rPr>
          <w:rFonts w:ascii="Times New Roman" w:cs="Times New Roman" w:eastAsia="Times New Roman" w:hAnsi="Times New Roman"/>
          <w:sz w:val="27"/>
          <w:szCs w:val="27"/>
          <w:color w:val="auto"/>
          <w:vertAlign w:val="subscript"/>
        </w:rPr>
      </w:pPr>
    </w:p>
    <w:p>
      <w:pPr>
        <w:ind w:left="1880"/>
        <w:spacing w:after="0"/>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Devina A. Rankin</w:t>
      </w:r>
    </w:p>
    <w:p>
      <w:pPr>
        <w:spacing w:after="0" w:line="200" w:lineRule="exact"/>
        <w:rPr>
          <w:rFonts w:ascii="Times New Roman" w:cs="Times New Roman" w:eastAsia="Times New Roman" w:hAnsi="Times New Roman"/>
          <w:sz w:val="27"/>
          <w:szCs w:val="27"/>
          <w:color w:val="auto"/>
          <w:vertAlign w:val="subscript"/>
        </w:rPr>
      </w:pPr>
    </w:p>
    <w:p>
      <w:pPr>
        <w:spacing w:after="0" w:line="215" w:lineRule="exact"/>
        <w:rPr>
          <w:rFonts w:ascii="Times New Roman" w:cs="Times New Roman" w:eastAsia="Times New Roman" w:hAnsi="Times New Roman"/>
          <w:sz w:val="27"/>
          <w:szCs w:val="27"/>
          <w:color w:val="auto"/>
          <w:vertAlign w:val="subscript"/>
        </w:rPr>
      </w:pPr>
    </w:p>
    <w:p>
      <w:pPr>
        <w:ind w:left="1780" w:hanging="361"/>
        <w:spacing w:after="0"/>
        <w:tabs>
          <w:tab w:leader="none" w:pos="1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JOHN CARROLL</w:t>
      </w:r>
    </w:p>
    <w:p>
      <w:pPr>
        <w:spacing w:after="0" w:line="72" w:lineRule="exact"/>
        <w:rPr>
          <w:rFonts w:ascii="Times New Roman" w:cs="Times New Roman" w:eastAsia="Times New Roman" w:hAnsi="Times New Roman"/>
          <w:sz w:val="14"/>
          <w:szCs w:val="14"/>
          <w:color w:val="auto"/>
        </w:rPr>
      </w:pPr>
    </w:p>
    <w:p>
      <w:pPr>
        <w:ind w:left="20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Carroll</w:t>
      </w:r>
    </w:p>
    <w:p>
      <w:pPr>
        <w:spacing w:after="0" w:line="295" w:lineRule="exact"/>
        <w:rPr>
          <w:rFonts w:ascii="Times New Roman" w:cs="Times New Roman" w:eastAsia="Times New Roman" w:hAnsi="Times New Roman"/>
          <w:sz w:val="14"/>
          <w:szCs w:val="14"/>
          <w:color w:val="auto"/>
        </w:rPr>
      </w:pPr>
    </w:p>
    <w:p>
      <w:pPr>
        <w:ind w:left="1740" w:hanging="321"/>
        <w:spacing w:after="0"/>
        <w:tabs>
          <w:tab w:leader="none" w:pos="17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THOMAS L. BENÉ</w:t>
      </w:r>
    </w:p>
    <w:p>
      <w:pPr>
        <w:spacing w:after="0" w:line="72" w:lineRule="exact"/>
        <w:rPr>
          <w:rFonts w:ascii="Times New Roman" w:cs="Times New Roman" w:eastAsia="Times New Roman" w:hAnsi="Times New Roman"/>
          <w:sz w:val="14"/>
          <w:szCs w:val="14"/>
          <w:color w:val="auto"/>
        </w:rPr>
      </w:pPr>
    </w:p>
    <w:p>
      <w:pPr>
        <w:ind w:left="19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Thomas L. Bené</w:t>
      </w:r>
    </w:p>
    <w:p>
      <w:pPr>
        <w:spacing w:after="0" w:line="295" w:lineRule="exact"/>
        <w:rPr>
          <w:rFonts w:ascii="Times New Roman" w:cs="Times New Roman" w:eastAsia="Times New Roman" w:hAnsi="Times New Roman"/>
          <w:sz w:val="14"/>
          <w:szCs w:val="14"/>
          <w:color w:val="auto"/>
        </w:rPr>
      </w:pPr>
    </w:p>
    <w:p>
      <w:pPr>
        <w:ind w:left="1760" w:hanging="341"/>
        <w:spacing w:after="0"/>
        <w:tabs>
          <w:tab w:leader="none" w:pos="1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BRUCE E. CHINN</w:t>
      </w:r>
    </w:p>
    <w:p>
      <w:pPr>
        <w:spacing w:after="0" w:line="72" w:lineRule="exact"/>
        <w:rPr>
          <w:rFonts w:ascii="Times New Roman" w:cs="Times New Roman" w:eastAsia="Times New Roman" w:hAnsi="Times New Roman"/>
          <w:sz w:val="14"/>
          <w:szCs w:val="14"/>
          <w:color w:val="auto"/>
        </w:rPr>
      </w:pPr>
    </w:p>
    <w:p>
      <w:pPr>
        <w:ind w:left="19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Bruce E. Chinn</w:t>
      </w:r>
    </w:p>
    <w:p>
      <w:pPr>
        <w:spacing w:after="0" w:line="295" w:lineRule="exact"/>
        <w:rPr>
          <w:rFonts w:ascii="Times New Roman" w:cs="Times New Roman" w:eastAsia="Times New Roman" w:hAnsi="Times New Roman"/>
          <w:sz w:val="14"/>
          <w:szCs w:val="14"/>
          <w:color w:val="auto"/>
        </w:rPr>
      </w:pPr>
    </w:p>
    <w:p>
      <w:pPr>
        <w:ind w:left="1680" w:hanging="261"/>
        <w:spacing w:after="0"/>
        <w:tabs>
          <w:tab w:leader="none" w:pos="16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ANDRÉS R. GLUSKI</w:t>
      </w:r>
    </w:p>
    <w:p>
      <w:pPr>
        <w:spacing w:after="0" w:line="72" w:lineRule="exact"/>
        <w:rPr>
          <w:rFonts w:ascii="Times New Roman" w:cs="Times New Roman" w:eastAsia="Times New Roman" w:hAnsi="Times New Roman"/>
          <w:sz w:val="14"/>
          <w:szCs w:val="14"/>
          <w:color w:val="auto"/>
        </w:rPr>
      </w:pPr>
    </w:p>
    <w:p>
      <w:pPr>
        <w:ind w:left="19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Andrés R. Gluski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-2387600</wp:posOffset>
            </wp:positionV>
            <wp:extent cx="123761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1237615" cy="6350"/>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-1955800</wp:posOffset>
            </wp:positionV>
            <wp:extent cx="123761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1237615" cy="6350"/>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-1433830</wp:posOffset>
            </wp:positionV>
            <wp:extent cx="123761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1237615" cy="6350"/>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-995680</wp:posOffset>
            </wp:positionV>
            <wp:extent cx="123761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1237615" cy="6350"/>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-557530</wp:posOffset>
            </wp:positionV>
            <wp:extent cx="123761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1237615" cy="6350"/>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-119380</wp:posOffset>
            </wp:positionV>
            <wp:extent cx="123761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123761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0"/>
        </w:trPr>
        <w:tc>
          <w:tcPr>
            <w:tcW w:w="2880" w:type="dxa"/>
            <w:vAlign w:val="bottom"/>
            <w:gridSpan w:val="2"/>
          </w:tcPr>
          <w:p>
            <w:pPr>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President, Chief Executive Officer and Director</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May 8, 2025</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3"/>
        </w:trPr>
        <w:tc>
          <w:tcPr>
            <w:tcW w:w="380" w:type="dxa"/>
            <w:vAlign w:val="bottom"/>
          </w:tcPr>
          <w:p>
            <w:pPr>
              <w:spacing w:after="0"/>
              <w:rPr>
                <w:sz w:val="8"/>
                <w:szCs w:val="8"/>
                <w:color w:val="auto"/>
              </w:rPr>
            </w:pPr>
          </w:p>
        </w:tc>
        <w:tc>
          <w:tcPr>
            <w:tcW w:w="2500" w:type="dxa"/>
            <w:vAlign w:val="bottom"/>
            <w:vMerge w:val="restart"/>
          </w:tcPr>
          <w:p>
            <w:pPr>
              <w:jc w:val="center"/>
              <w:ind w:right="172"/>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5"/>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14"/>
                <w:szCs w:val="14"/>
                <w:color w:val="auto"/>
              </w:rPr>
              <w:t>Executive Vice President and</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spacing w:after="0"/>
              <w:rPr>
                <w:sz w:val="24"/>
                <w:szCs w:val="24"/>
                <w:color w:val="auto"/>
              </w:rPr>
            </w:pPr>
          </w:p>
        </w:tc>
        <w:tc>
          <w:tcPr>
            <w:tcW w:w="1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3"/>
        </w:trPr>
        <w:tc>
          <w:tcPr>
            <w:tcW w:w="380" w:type="dxa"/>
            <w:vAlign w:val="bottom"/>
            <w:vMerge w:val="continue"/>
          </w:tcPr>
          <w:p>
            <w:pPr>
              <w:spacing w:after="0"/>
              <w:rPr>
                <w:sz w:val="7"/>
                <w:szCs w:val="7"/>
                <w:color w:val="auto"/>
              </w:rPr>
            </w:pPr>
          </w:p>
        </w:tc>
        <w:tc>
          <w:tcPr>
            <w:tcW w:w="2500" w:type="dxa"/>
            <w:vAlign w:val="bottom"/>
            <w:vMerge w:val="restart"/>
          </w:tcPr>
          <w:p>
            <w:pPr>
              <w:jc w:val="center"/>
              <w:ind w:right="192"/>
              <w:spacing w:after="0"/>
              <w:rPr>
                <w:sz w:val="20"/>
                <w:szCs w:val="20"/>
                <w:color w:val="auto"/>
              </w:rPr>
            </w:pPr>
            <w:r>
              <w:rPr>
                <w:rFonts w:ascii="Times New Roman" w:cs="Times New Roman" w:eastAsia="Times New Roman" w:hAnsi="Times New Roman"/>
                <w:sz w:val="14"/>
                <w:szCs w:val="14"/>
                <w:color w:val="auto"/>
              </w:rPr>
              <w:t>Chief Financial Officer</w:t>
            </w:r>
          </w:p>
        </w:tc>
        <w:tc>
          <w:tcPr>
            <w:tcW w:w="280" w:type="dxa"/>
            <w:vAlign w:val="bottom"/>
            <w:vMerge w:val="continue"/>
          </w:tcPr>
          <w:p>
            <w:pPr>
              <w:spacing w:after="0"/>
              <w:rPr>
                <w:sz w:val="7"/>
                <w:szCs w:val="7"/>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May 8, 2025</w:t>
            </w:r>
          </w:p>
        </w:tc>
        <w:tc>
          <w:tcPr>
            <w:tcW w:w="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380" w:type="dxa"/>
            <w:vAlign w:val="bottom"/>
          </w:tcPr>
          <w:p>
            <w:pPr>
              <w:spacing w:after="0"/>
              <w:rPr>
                <w:sz w:val="6"/>
                <w:szCs w:val="6"/>
                <w:color w:val="auto"/>
              </w:rPr>
            </w:pPr>
          </w:p>
        </w:tc>
        <w:tc>
          <w:tcPr>
            <w:tcW w:w="25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2500" w:type="dxa"/>
            <w:vAlign w:val="bottom"/>
          </w:tcPr>
          <w:p>
            <w:pPr>
              <w:jc w:val="center"/>
              <w:ind w:right="172"/>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6"/>
        </w:trPr>
        <w:tc>
          <w:tcPr>
            <w:tcW w:w="2880" w:type="dxa"/>
            <w:vAlign w:val="bottom"/>
            <w:gridSpan w:val="2"/>
          </w:tcPr>
          <w:p>
            <w:pPr>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Vice President and Chief Accounting Officer</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May 8, 2025</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3"/>
        </w:trPr>
        <w:tc>
          <w:tcPr>
            <w:tcW w:w="380" w:type="dxa"/>
            <w:vAlign w:val="bottom"/>
          </w:tcPr>
          <w:p>
            <w:pPr>
              <w:spacing w:after="0"/>
              <w:rPr>
                <w:sz w:val="8"/>
                <w:szCs w:val="8"/>
                <w:color w:val="auto"/>
              </w:rPr>
            </w:pPr>
          </w:p>
        </w:tc>
        <w:tc>
          <w:tcPr>
            <w:tcW w:w="2500" w:type="dxa"/>
            <w:vAlign w:val="bottom"/>
            <w:vMerge w:val="restart"/>
          </w:tcPr>
          <w:p>
            <w:pPr>
              <w:jc w:val="center"/>
              <w:ind w:right="172"/>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2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7"/>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500" w:type="dxa"/>
            <w:vAlign w:val="bottom"/>
            <w:vMerge w:val="restart"/>
          </w:tcPr>
          <w:p>
            <w:pPr>
              <w:jc w:val="center"/>
              <w:ind w:right="172"/>
              <w:spacing w:after="0"/>
              <w:rPr>
                <w:sz w:val="20"/>
                <w:szCs w:val="20"/>
                <w:color w:val="auto"/>
              </w:rPr>
            </w:pPr>
            <w:r>
              <w:rPr>
                <w:rFonts w:ascii="Times New Roman" w:cs="Times New Roman" w:eastAsia="Times New Roman" w:hAnsi="Times New Roman"/>
                <w:sz w:val="14"/>
                <w:szCs w:val="14"/>
                <w:color w:val="auto"/>
                <w:w w:val="98"/>
              </w:rPr>
              <w:t>Director</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May 8, 2025</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380" w:type="dxa"/>
            <w:vAlign w:val="bottom"/>
          </w:tcPr>
          <w:p>
            <w:pPr>
              <w:spacing w:after="0"/>
              <w:rPr>
                <w:sz w:val="10"/>
                <w:szCs w:val="10"/>
                <w:color w:val="auto"/>
              </w:rPr>
            </w:pPr>
          </w:p>
        </w:tc>
        <w:tc>
          <w:tcPr>
            <w:tcW w:w="25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8"/>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500" w:type="dxa"/>
            <w:vAlign w:val="bottom"/>
            <w:vMerge w:val="restart"/>
          </w:tcPr>
          <w:p>
            <w:pPr>
              <w:jc w:val="center"/>
              <w:ind w:right="172"/>
              <w:spacing w:after="0"/>
              <w:rPr>
                <w:sz w:val="20"/>
                <w:szCs w:val="20"/>
                <w:color w:val="auto"/>
              </w:rPr>
            </w:pPr>
            <w:r>
              <w:rPr>
                <w:rFonts w:ascii="Times New Roman" w:cs="Times New Roman" w:eastAsia="Times New Roman" w:hAnsi="Times New Roman"/>
                <w:sz w:val="14"/>
                <w:szCs w:val="14"/>
                <w:color w:val="auto"/>
                <w:w w:val="98"/>
              </w:rPr>
              <w:t>Director</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May 8, 2025</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380" w:type="dxa"/>
            <w:vAlign w:val="bottom"/>
          </w:tcPr>
          <w:p>
            <w:pPr>
              <w:spacing w:after="0"/>
              <w:rPr>
                <w:sz w:val="10"/>
                <w:szCs w:val="10"/>
                <w:color w:val="auto"/>
              </w:rPr>
            </w:pPr>
          </w:p>
        </w:tc>
        <w:tc>
          <w:tcPr>
            <w:tcW w:w="25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8"/>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500" w:type="dxa"/>
            <w:vAlign w:val="bottom"/>
            <w:vMerge w:val="restart"/>
          </w:tcPr>
          <w:p>
            <w:pPr>
              <w:jc w:val="center"/>
              <w:ind w:right="172"/>
              <w:spacing w:after="0"/>
              <w:rPr>
                <w:sz w:val="20"/>
                <w:szCs w:val="20"/>
                <w:color w:val="auto"/>
              </w:rPr>
            </w:pPr>
            <w:r>
              <w:rPr>
                <w:rFonts w:ascii="Times New Roman" w:cs="Times New Roman" w:eastAsia="Times New Roman" w:hAnsi="Times New Roman"/>
                <w:sz w:val="14"/>
                <w:szCs w:val="14"/>
                <w:color w:val="auto"/>
                <w:w w:val="98"/>
              </w:rPr>
              <w:t>Director</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May 8, 2025</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380" w:type="dxa"/>
            <w:vAlign w:val="bottom"/>
          </w:tcPr>
          <w:p>
            <w:pPr>
              <w:spacing w:after="0"/>
              <w:rPr>
                <w:sz w:val="10"/>
                <w:szCs w:val="10"/>
                <w:color w:val="auto"/>
              </w:rPr>
            </w:pPr>
          </w:p>
        </w:tc>
        <w:tc>
          <w:tcPr>
            <w:tcW w:w="25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182880</wp:posOffset>
            </wp:positionV>
            <wp:extent cx="514223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2">
            <w:col w:w="3120" w:space="280"/>
            <w:col w:w="5619"/>
          </w:cols>
          <w:pgMar w:left="1440" w:top="102" w:right="1440" w:bottom="1440" w:gutter="0" w:footer="0" w:header="0"/>
          <w:type w:val="continuous"/>
        </w:sectPr>
      </w:pPr>
    </w:p>
    <w:bookmarkStart w:id="61" w:name="page62"/>
    <w:bookmarkEnd w:id="61"/>
    <w:p>
      <w:pPr>
        <w:ind w:left="4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420" w:type="dxa"/>
        <w:tblCellMar>
          <w:top w:w="0" w:type="dxa"/>
          <w:left w:w="0" w:type="dxa"/>
          <w:bottom w:w="0" w:type="dxa"/>
          <w:right w:w="0" w:type="dxa"/>
        </w:tblCellMar>
      </w:tblPr>
      <w:tr>
        <w:trPr>
          <w:trHeight w:val="171"/>
        </w:trPr>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8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0" w:type="dxa"/>
            <w:vAlign w:val="bottom"/>
          </w:tcPr>
          <w:p>
            <w:pPr>
              <w:spacing w:after="0"/>
              <w:rPr>
                <w:sz w:val="1"/>
                <w:szCs w:val="1"/>
                <w:color w:val="auto"/>
              </w:rPr>
            </w:pPr>
          </w:p>
        </w:tc>
      </w:tr>
      <w:tr>
        <w:trPr>
          <w:trHeight w:val="376"/>
        </w:trPr>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color w:val="auto"/>
                <w:w w:val="98"/>
              </w:rPr>
              <w:t>/s/ VICTORIA M. HOLT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800" w:type="dxa"/>
            <w:vAlign w:val="bottom"/>
          </w:tcPr>
          <w:p>
            <w:pPr>
              <w:jc w:val="center"/>
              <w:ind w:right="74"/>
              <w:spacing w:after="0"/>
              <w:rPr>
                <w:sz w:val="20"/>
                <w:szCs w:val="20"/>
                <w:color w:val="auto"/>
              </w:rPr>
            </w:pPr>
            <w:r>
              <w:rPr>
                <w:rFonts w:ascii="Times New Roman" w:cs="Times New Roman" w:eastAsia="Times New Roman" w:hAnsi="Times New Roman"/>
                <w:sz w:val="14"/>
                <w:szCs w:val="14"/>
                <w:color w:val="auto"/>
              </w:rPr>
              <w:t>Victoria M. Holt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4"/>
        </w:trPr>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center"/>
              <w:ind w:right="74"/>
              <w:spacing w:after="0"/>
              <w:rPr>
                <w:sz w:val="20"/>
                <w:szCs w:val="20"/>
                <w:color w:val="auto"/>
              </w:rPr>
            </w:pPr>
            <w:r>
              <w:rPr>
                <w:rFonts w:ascii="Times New Roman" w:cs="Times New Roman" w:eastAsia="Times New Roman" w:hAnsi="Times New Roman"/>
                <w:sz w:val="14"/>
                <w:szCs w:val="14"/>
                <w:color w:val="auto"/>
                <w:w w:val="99"/>
              </w:rPr>
              <w:t>/s/ KATHLEEN M.</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03"/>
        </w:trPr>
        <w:tc>
          <w:tcPr>
            <w:tcW w:w="140" w:type="dxa"/>
            <w:vAlign w:val="bottom"/>
            <w:vMerge w:val="continue"/>
          </w:tcPr>
          <w:p>
            <w:pPr>
              <w:spacing w:after="0"/>
              <w:rPr>
                <w:sz w:val="9"/>
                <w:szCs w:val="9"/>
                <w:color w:val="auto"/>
              </w:rPr>
            </w:pPr>
          </w:p>
        </w:tc>
        <w:tc>
          <w:tcPr>
            <w:tcW w:w="180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color w:val="auto"/>
                <w:w w:val="99"/>
              </w:rPr>
              <w:t>MAZZARELLA</w:t>
            </w:r>
          </w:p>
        </w:tc>
        <w:tc>
          <w:tcPr>
            <w:tcW w:w="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4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4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1800" w:type="dxa"/>
            <w:vAlign w:val="bottom"/>
          </w:tcPr>
          <w:p>
            <w:pPr>
              <w:jc w:val="center"/>
              <w:ind w:right="74"/>
              <w:spacing w:after="0"/>
              <w:rPr>
                <w:sz w:val="20"/>
                <w:szCs w:val="20"/>
                <w:color w:val="auto"/>
              </w:rPr>
            </w:pPr>
            <w:r>
              <w:rPr>
                <w:rFonts w:ascii="Times New Roman" w:cs="Times New Roman" w:eastAsia="Times New Roman" w:hAnsi="Times New Roman"/>
                <w:sz w:val="14"/>
                <w:szCs w:val="14"/>
                <w:color w:val="auto"/>
              </w:rPr>
              <w:t>Kathleen M. Mazzarella</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7"/>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center"/>
              <w:ind w:right="74"/>
              <w:spacing w:after="0"/>
              <w:rPr>
                <w:sz w:val="20"/>
                <w:szCs w:val="20"/>
                <w:color w:val="auto"/>
              </w:rPr>
            </w:pPr>
            <w:r>
              <w:rPr>
                <w:rFonts w:ascii="Times New Roman" w:cs="Times New Roman" w:eastAsia="Times New Roman" w:hAnsi="Times New Roman"/>
                <w:sz w:val="14"/>
                <w:szCs w:val="14"/>
                <w:color w:val="auto"/>
                <w:w w:val="99"/>
              </w:rPr>
              <w:t>/s/ SEAN E. MENKE</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31"/>
        </w:trPr>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1800" w:type="dxa"/>
            <w:vAlign w:val="bottom"/>
          </w:tcPr>
          <w:p>
            <w:pPr>
              <w:jc w:val="center"/>
              <w:ind w:right="74"/>
              <w:spacing w:after="0"/>
              <w:rPr>
                <w:sz w:val="20"/>
                <w:szCs w:val="20"/>
                <w:color w:val="auto"/>
              </w:rPr>
            </w:pPr>
            <w:r>
              <w:rPr>
                <w:rFonts w:ascii="Times New Roman" w:cs="Times New Roman" w:eastAsia="Times New Roman" w:hAnsi="Times New Roman"/>
                <w:sz w:val="14"/>
                <w:szCs w:val="14"/>
                <w:color w:val="auto"/>
              </w:rPr>
              <w:t>Sean E. Menke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7"/>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/s/ WILLIAM B. PLUMMER</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31"/>
        </w:trPr>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1800" w:type="dxa"/>
            <w:vAlign w:val="bottom"/>
          </w:tcPr>
          <w:p>
            <w:pPr>
              <w:jc w:val="center"/>
              <w:ind w:right="74"/>
              <w:spacing w:after="0"/>
              <w:rPr>
                <w:sz w:val="20"/>
                <w:szCs w:val="20"/>
                <w:color w:val="auto"/>
              </w:rPr>
            </w:pPr>
            <w:r>
              <w:rPr>
                <w:rFonts w:ascii="Times New Roman" w:cs="Times New Roman" w:eastAsia="Times New Roman" w:hAnsi="Times New Roman"/>
                <w:sz w:val="14"/>
                <w:szCs w:val="14"/>
                <w:color w:val="auto"/>
              </w:rPr>
              <w:t>William B. Plummer</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jc w:val="both"/>
        <w:ind w:left="1760" w:hanging="347"/>
        <w:spacing w:after="0" w:line="398" w:lineRule="auto"/>
        <w:rPr>
          <w:sz w:val="20"/>
          <w:szCs w:val="20"/>
          <w:color w:val="auto"/>
        </w:rPr>
      </w:pPr>
      <w:r>
        <w:rPr>
          <w:rFonts w:ascii="Times New Roman" w:cs="Times New Roman" w:eastAsia="Times New Roman" w:hAnsi="Times New Roman"/>
          <w:sz w:val="14"/>
          <w:szCs w:val="14"/>
          <w:color w:val="auto"/>
        </w:rPr>
        <w:t>​/s/ MARYROSE T. SYLVESTER ​ ​ Maryrose T. Sylvester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-194945</wp:posOffset>
            </wp:positionV>
            <wp:extent cx="123761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123761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1"/>
          <w:szCs w:val="11"/>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28575</wp:posOffset>
            </wp:positionV>
            <wp:extent cx="175323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1753235" cy="6350"/>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Chair of the Board and Director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-2250440</wp:posOffset>
            </wp:positionH>
            <wp:positionV relativeFrom="paragraph">
              <wp:posOffset>182880</wp:posOffset>
            </wp:positionV>
            <wp:extent cx="5142230"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75"/>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May 8, 2025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1"/>
        </w:trPr>
        <w:tc>
          <w:tcPr>
            <w:tcW w:w="1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0"/>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May 8, 2025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0"/>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May 8, 2025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8"/>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May 8, 2025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8"/>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May 8, 2025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3">
            <w:col w:w="3520" w:space="480"/>
            <w:col w:w="1820" w:space="520"/>
            <w:col w:w="2679"/>
          </w:cols>
          <w:pgMar w:left="1440" w:top="102" w:right="1440" w:bottom="1440" w:gutter="0" w:footer="0" w:header="0"/>
        </w:sectPr>
      </w:pPr>
    </w:p>
    <w:bookmarkStart w:id="62" w:name="page63"/>
    <w:bookmarkEnd w:id="62"/>
    <w:p>
      <w:pPr>
        <w:ind w:left="4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17" w:lineRule="exact"/>
        <w:rPr>
          <w:sz w:val="20"/>
          <w:szCs w:val="20"/>
          <w:color w:val="auto"/>
        </w:rPr>
      </w:pPr>
    </w:p>
    <w:p>
      <w:pPr>
        <w:ind w:left="1420" w:right="1579" w:firstLine="271"/>
        <w:spacing w:after="0" w:line="252" w:lineRule="auto"/>
        <w:rPr>
          <w:sz w:val="20"/>
          <w:szCs w:val="20"/>
          <w:color w:val="auto"/>
        </w:rPr>
      </w:pPr>
      <w:r>
        <w:rPr>
          <w:rFonts w:ascii="Times New Roman" w:cs="Times New Roman" w:eastAsia="Times New Roman" w:hAnsi="Times New Roman"/>
          <w:sz w:val="14"/>
          <w:szCs w:val="14"/>
          <w:color w:val="auto"/>
        </w:rPr>
        <w:t>Pursuant to the requirements of the Securities Act, the registrants have duly caused this registration statement to be signed on its behalf by the undersigned, thereunto duly authorized, in the City of Houston, State of Texas, on May 8, 2025.</w:t>
      </w:r>
    </w:p>
    <w:p>
      <w:pPr>
        <w:spacing w:after="0" w:line="8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WASTE MANAGEMENT HOLDINGS, INC.</w:t>
      </w:r>
    </w:p>
    <w:p>
      <w:pPr>
        <w:spacing w:after="0" w:line="168"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4"/>
          <w:szCs w:val="14"/>
          <w:color w:val="auto"/>
        </w:rPr>
        <w:t>/s/ MARK A. LOCKETT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28575</wp:posOffset>
            </wp:positionV>
            <wp:extent cx="185610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1856105" cy="6350"/>
                    </a:xfrm>
                    <a:prstGeom prst="rect">
                      <a:avLst/>
                    </a:prstGeom>
                    <a:noFill/>
                  </pic:spPr>
                </pic:pic>
              </a:graphicData>
            </a:graphic>
          </wp:anchor>
        </w:drawing>
      </w:r>
    </w:p>
    <w:p>
      <w:pPr>
        <w:spacing w:after="0" w:line="50"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4"/>
          <w:szCs w:val="14"/>
          <w:color w:val="auto"/>
        </w:rPr>
        <w:t xml:space="preserve">Mark A. Lockett, </w:t>
      </w:r>
      <w:r>
        <w:rPr>
          <w:rFonts w:ascii="Times New Roman" w:cs="Times New Roman" w:eastAsia="Times New Roman" w:hAnsi="Times New Roman"/>
          <w:sz w:val="14"/>
          <w:szCs w:val="14"/>
          <w:i w:val="1"/>
          <w:iCs w:val="1"/>
          <w:color w:val="auto"/>
        </w:rPr>
        <w:t>President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17" w:lineRule="exact"/>
        <w:rPr>
          <w:sz w:val="20"/>
          <w:szCs w:val="20"/>
          <w:color w:val="auto"/>
        </w:rPr>
      </w:pPr>
    </w:p>
    <w:p>
      <w:pPr>
        <w:ind w:left="1420" w:right="1519" w:firstLine="271"/>
        <w:spacing w:after="0" w:line="243"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each of Charles C. Boettcher and Courtney A. Tippy, as his or her true and lawful attorney or attorney-in-fact and agent, with full power to act with or without the others and with full power of substitution and resubstitution, to execute in his or her name, place and stead, in any and all capacities, any or all amendments (including post-effective amendments) to this Registration Statement and any registration statement for the same offering filed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in the name and on behalf of the undersigned, in any and all capacities, each and every act and thing necessary or desirable to be done in and about the premises, to all intents and purposes and as fully as they might or could do in person, hereby ratifying and confirming all that said attorneys-in-fact and agents or their substitutes may lawfully do or cause to be done by virtue hereof.</w:t>
      </w:r>
    </w:p>
    <w:p>
      <w:pPr>
        <w:spacing w:after="0" w:line="93" w:lineRule="exact"/>
        <w:rPr>
          <w:sz w:val="20"/>
          <w:szCs w:val="20"/>
          <w:color w:val="auto"/>
        </w:rPr>
      </w:pPr>
    </w:p>
    <w:p>
      <w:pPr>
        <w:ind w:left="1420" w:right="1479" w:firstLine="271"/>
        <w:spacing w:after="0" w:line="26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99" w:lineRule="exact"/>
        <w:rPr>
          <w:sz w:val="20"/>
          <w:szCs w:val="20"/>
          <w:color w:val="auto"/>
        </w:rPr>
      </w:pPr>
    </w:p>
    <w:tbl>
      <w:tblPr>
        <w:tblLayout w:type="fixed"/>
        <w:tblInd w:w="1420" w:type="dxa"/>
        <w:tblCellMar>
          <w:top w:w="0" w:type="dxa"/>
          <w:left w:w="0" w:type="dxa"/>
          <w:bottom w:w="0" w:type="dxa"/>
          <w:right w:w="0" w:type="dxa"/>
        </w:tblCellMar>
      </w:tblPr>
      <w:tr>
        <w:trPr>
          <w:trHeight w:val="171"/>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7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406"/>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/s/ MARK A. LOCKETT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President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May 8, 2025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1"/>
        </w:trPr>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7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174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color w:val="auto"/>
              </w:rPr>
              <w:t>Mark A. Lockett</w:t>
            </w:r>
          </w:p>
        </w:tc>
        <w:tc>
          <w:tcPr>
            <w:tcW w:w="160" w:type="dxa"/>
            <w:vAlign w:val="bottom"/>
          </w:tcPr>
          <w:p>
            <w:pPr>
              <w:spacing w:after="0"/>
              <w:rPr>
                <w:sz w:val="7"/>
                <w:szCs w:val="7"/>
                <w:color w:val="auto"/>
              </w:rPr>
            </w:pP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7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4"/>
        </w:trPr>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center"/>
              <w:ind w:right="136"/>
              <w:spacing w:after="0"/>
              <w:rPr>
                <w:sz w:val="20"/>
                <w:szCs w:val="20"/>
                <w:color w:val="auto"/>
              </w:rPr>
            </w:pPr>
            <w:r>
              <w:rPr>
                <w:rFonts w:ascii="Times New Roman" w:cs="Times New Roman" w:eastAsia="Times New Roman" w:hAnsi="Times New Roman"/>
                <w:sz w:val="14"/>
                <w:szCs w:val="14"/>
                <w:color w:val="auto"/>
              </w:rPr>
              <w:t>/s/ JOHN CARROLL</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Vice President, Chief Financial Officer and</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Pr>
          <w:p>
            <w:pPr>
              <w:spacing w:after="0"/>
              <w:rPr>
                <w:sz w:val="24"/>
                <w:szCs w:val="2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00" w:type="dxa"/>
            <w:vAlign w:val="bottom"/>
            <w:vMerge w:val="continue"/>
          </w:tcPr>
          <w:p>
            <w:pPr>
              <w:spacing w:after="0"/>
              <w:rPr>
                <w:sz w:val="14"/>
                <w:szCs w:val="14"/>
                <w:color w:val="auto"/>
              </w:rPr>
            </w:pPr>
          </w:p>
        </w:tc>
        <w:tc>
          <w:tcPr>
            <w:tcW w:w="174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color w:val="auto"/>
              </w:rPr>
              <w:t>John Carroll</w:t>
            </w:r>
          </w:p>
        </w:tc>
        <w:tc>
          <w:tcPr>
            <w:tcW w:w="160" w:type="dxa"/>
            <w:vAlign w:val="bottom"/>
            <w:vMerge w:val="continue"/>
          </w:tcPr>
          <w:p>
            <w:pPr>
              <w:spacing w:after="0"/>
              <w:rPr>
                <w:sz w:val="14"/>
                <w:szCs w:val="14"/>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Controller</w:t>
            </w:r>
          </w:p>
        </w:tc>
        <w:tc>
          <w:tcPr>
            <w:tcW w:w="160" w:type="dxa"/>
            <w:vAlign w:val="bottom"/>
            <w:vMerge w:val="continue"/>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May 8, 2025</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 and Principal</w:t>
            </w:r>
          </w:p>
        </w:tc>
        <w:tc>
          <w:tcPr>
            <w:tcW w:w="1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7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Accounting Officer)</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7"/>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/s/ COURTNEY A. TIPPY</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May 8, 2025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1"/>
        </w:trPr>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7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
        </w:trPr>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-650875</wp:posOffset>
            </wp:positionV>
            <wp:extent cx="123761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1237615" cy="6350"/>
                    </a:xfrm>
                    <a:prstGeom prst="rect">
                      <a:avLst/>
                    </a:prstGeom>
                    <a:noFill/>
                  </pic:spPr>
                </pic:pic>
              </a:graphicData>
            </a:graphic>
          </wp:anchor>
        </w:drawing>
      </w:r>
    </w:p>
    <w:p>
      <w:pPr>
        <w:ind w:left="1860"/>
        <w:spacing w:after="0"/>
        <w:rPr>
          <w:sz w:val="20"/>
          <w:szCs w:val="20"/>
          <w:color w:val="auto"/>
        </w:rPr>
      </w:pPr>
      <w:r>
        <w:rPr>
          <w:rFonts w:ascii="Times New Roman" w:cs="Times New Roman" w:eastAsia="Times New Roman" w:hAnsi="Times New Roman"/>
          <w:sz w:val="14"/>
          <w:szCs w:val="14"/>
          <w:color w:val="auto"/>
        </w:rPr>
        <w:t>Courtney A. Tippy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182880</wp:posOffset>
            </wp:positionV>
            <wp:extent cx="5142230"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5142230" cy="3810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3" w:name="page64"/>
    <w:bookmarkEnd w:id="63"/>
    <w:tbl>
      <w:tblPr>
        <w:tblLayout w:type="fixed"/>
        <w:tblInd w:w="6220" w:type="dxa"/>
        <w:tblCellMar>
          <w:top w:w="0" w:type="dxa"/>
          <w:left w:w="0" w:type="dxa"/>
          <w:bottom w:w="0" w:type="dxa"/>
          <w:right w:w="0" w:type="dxa"/>
        </w:tblCellMar>
      </w:tblPr>
      <w:tr>
        <w:trPr>
          <w:trHeight w:val="179"/>
        </w:trPr>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w w:val="91"/>
              </w:rPr>
              <w:t>Exhibit 5.1</w:t>
            </w:r>
          </w:p>
        </w:tc>
      </w:tr>
      <w:tr>
        <w:trPr>
          <w:trHeight w:val="333"/>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910 LOUISIANA</w:t>
            </w:r>
          </w:p>
        </w:tc>
        <w:tc>
          <w:tcPr>
            <w:tcW w:w="1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AUSTIN</w:t>
            </w:r>
          </w:p>
        </w:tc>
        <w:tc>
          <w:tcPr>
            <w:tcW w:w="22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NEW YORK</w:t>
            </w:r>
          </w:p>
        </w:tc>
      </w:tr>
      <w:tr>
        <w:trPr>
          <w:trHeight w:val="162"/>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HOUSTON, TEXAS</w:t>
            </w:r>
          </w:p>
        </w:tc>
        <w:tc>
          <w:tcPr>
            <w:tcW w:w="1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BRUSSELS</w:t>
            </w:r>
          </w:p>
        </w:tc>
        <w:tc>
          <w:tcPr>
            <w:tcW w:w="22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PALO ALTO</w:t>
            </w:r>
          </w:p>
        </w:tc>
      </w:tr>
      <w:tr>
        <w:trPr>
          <w:trHeight w:val="162"/>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77002-4995</w:t>
            </w:r>
          </w:p>
        </w:tc>
        <w:tc>
          <w:tcPr>
            <w:tcW w:w="1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DALLAS</w:t>
            </w:r>
          </w:p>
        </w:tc>
        <w:tc>
          <w:tcPr>
            <w:tcW w:w="22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RIYADH</w:t>
            </w:r>
          </w:p>
        </w:tc>
      </w:tr>
      <w:tr>
        <w:trPr>
          <w:trHeight w:val="162"/>
        </w:trPr>
        <w:tc>
          <w:tcPr>
            <w:tcW w:w="1440" w:type="dxa"/>
            <w:vAlign w:val="bottom"/>
          </w:tcPr>
          <w:p>
            <w:pPr>
              <w:spacing w:after="0"/>
              <w:rPr>
                <w:sz w:val="14"/>
                <w:szCs w:val="14"/>
                <w:color w:val="auto"/>
              </w:rPr>
            </w:pPr>
          </w:p>
        </w:tc>
        <w:tc>
          <w:tcPr>
            <w:tcW w:w="1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DUBAI</w:t>
            </w:r>
          </w:p>
        </w:tc>
        <w:tc>
          <w:tcPr>
            <w:tcW w:w="22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SAN FRANCISCO</w:t>
            </w:r>
          </w:p>
        </w:tc>
      </w:tr>
      <w:tr>
        <w:trPr>
          <w:trHeight w:val="162"/>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TEL +1 713.229.1234</w:t>
            </w:r>
          </w:p>
        </w:tc>
        <w:tc>
          <w:tcPr>
            <w:tcW w:w="1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HOUSTON</w:t>
            </w:r>
          </w:p>
        </w:tc>
        <w:tc>
          <w:tcPr>
            <w:tcW w:w="22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SINGAPORE</w:t>
            </w:r>
          </w:p>
        </w:tc>
      </w:tr>
      <w:tr>
        <w:trPr>
          <w:trHeight w:val="162"/>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FAX +1 713.229.1522</w:t>
            </w:r>
          </w:p>
        </w:tc>
        <w:tc>
          <w:tcPr>
            <w:tcW w:w="1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LONDON</w:t>
            </w:r>
          </w:p>
        </w:tc>
        <w:tc>
          <w:tcPr>
            <w:tcW w:w="22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WASHINGTON</w:t>
            </w:r>
          </w:p>
        </w:tc>
      </w:tr>
      <w:tr>
        <w:trPr>
          <w:trHeight w:val="175"/>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BakerBotts.com</w:t>
            </w:r>
          </w:p>
        </w:tc>
        <w:tc>
          <w:tcPr>
            <w:tcW w:w="1420" w:type="dxa"/>
            <w:vAlign w:val="bottom"/>
          </w:tcPr>
          <w:p>
            <w:pPr>
              <w:spacing w:after="0"/>
              <w:rPr>
                <w:sz w:val="15"/>
                <w:szCs w:val="15"/>
                <w:color w:val="auto"/>
              </w:rPr>
            </w:pPr>
          </w:p>
        </w:tc>
        <w:tc>
          <w:tcPr>
            <w:tcW w:w="22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-488950</wp:posOffset>
            </wp:positionV>
            <wp:extent cx="1514475" cy="2514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1514475" cy="25146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8,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Waste Management,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Waste Management Holdings,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800 Capitol Street, Suite 3000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 77002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64" w:lineRule="exact"/>
        <w:rPr>
          <w:sz w:val="20"/>
          <w:szCs w:val="20"/>
          <w:color w:val="auto"/>
        </w:rPr>
      </w:pPr>
    </w:p>
    <w:p>
      <w:pPr>
        <w:jc w:val="both"/>
        <w:ind w:firstLine="731"/>
        <w:spacing w:after="0" w:line="244" w:lineRule="auto"/>
        <w:rPr>
          <w:sz w:val="20"/>
          <w:szCs w:val="20"/>
          <w:color w:val="auto"/>
        </w:rPr>
      </w:pPr>
      <w:r>
        <w:rPr>
          <w:rFonts w:ascii="Times New Roman" w:cs="Times New Roman" w:eastAsia="Times New Roman" w:hAnsi="Times New Roman"/>
          <w:sz w:val="14"/>
          <w:szCs w:val="14"/>
          <w:color w:val="auto"/>
        </w:rPr>
        <w:t>We have acted as counsel for Waste Management,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Waste Management Holdings, Inc., a Delaware corporation (“</w:t>
      </w:r>
      <w:r>
        <w:rPr>
          <w:rFonts w:ascii="Times New Roman" w:cs="Times New Roman" w:eastAsia="Times New Roman" w:hAnsi="Times New Roman"/>
          <w:sz w:val="14"/>
          <w:szCs w:val="14"/>
          <w:u w:val="single" w:color="auto"/>
          <w:color w:val="auto"/>
        </w:rPr>
        <w:t>Holdings</w:t>
      </w:r>
      <w:r>
        <w:rPr>
          <w:rFonts w:ascii="Times New Roman" w:cs="Times New Roman" w:eastAsia="Times New Roman" w:hAnsi="Times New Roman"/>
          <w:sz w:val="14"/>
          <w:szCs w:val="14"/>
          <w:color w:val="auto"/>
        </w:rPr>
        <w:t>”), in connection with the registration by the Company and Holdings, pursuant to the Registration Statement on Form S-4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to be filed on the date hereof with the Securities and Exchange Commission (the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of (i) up to $485,084,000 aggregate principal amount of the Company’s 3.875% Senior Notes due 2029 (the “</w:t>
      </w:r>
      <w:r>
        <w:rPr>
          <w:rFonts w:ascii="Times New Roman" w:cs="Times New Roman" w:eastAsia="Times New Roman" w:hAnsi="Times New Roman"/>
          <w:sz w:val="14"/>
          <w:szCs w:val="14"/>
          <w:u w:val="single" w:color="auto"/>
          <w:color w:val="auto"/>
        </w:rPr>
        <w:t>Registered Notes</w:t>
      </w:r>
      <w:r>
        <w:rPr>
          <w:rFonts w:ascii="Times New Roman" w:cs="Times New Roman" w:eastAsia="Times New Roman" w:hAnsi="Times New Roman"/>
          <w:sz w:val="14"/>
          <w:szCs w:val="14"/>
          <w:color w:val="auto"/>
        </w:rPr>
        <w:t>”) to be offered by the Company (the “</w:t>
      </w:r>
      <w:r>
        <w:rPr>
          <w:rFonts w:ascii="Times New Roman" w:cs="Times New Roman" w:eastAsia="Times New Roman" w:hAnsi="Times New Roman"/>
          <w:sz w:val="14"/>
          <w:szCs w:val="14"/>
          <w:u w:val="single" w:color="auto"/>
          <w:color w:val="auto"/>
        </w:rPr>
        <w:t>Exchange Offer</w:t>
      </w:r>
      <w:r>
        <w:rPr>
          <w:rFonts w:ascii="Times New Roman" w:cs="Times New Roman" w:eastAsia="Times New Roman" w:hAnsi="Times New Roman"/>
          <w:sz w:val="14"/>
          <w:szCs w:val="14"/>
          <w:color w:val="auto"/>
        </w:rPr>
        <w:t>”) in exchange for a like principal amount of the Company’s issued and outstanding 3.875% Senior Notes due 2029 (the “</w:t>
      </w:r>
      <w:r>
        <w:rPr>
          <w:rFonts w:ascii="Times New Roman" w:cs="Times New Roman" w:eastAsia="Times New Roman" w:hAnsi="Times New Roman"/>
          <w:sz w:val="14"/>
          <w:szCs w:val="14"/>
          <w:u w:val="single" w:color="auto"/>
          <w:color w:val="auto"/>
        </w:rPr>
        <w:t>Restricted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 and (ii) the guarantees (the “</w:t>
      </w:r>
      <w:r>
        <w:rPr>
          <w:rFonts w:ascii="Times New Roman" w:cs="Times New Roman" w:eastAsia="Times New Roman" w:hAnsi="Times New Roman"/>
          <w:sz w:val="14"/>
          <w:szCs w:val="14"/>
          <w:u w:val="single" w:color="auto"/>
          <w:color w:val="auto"/>
        </w:rPr>
        <w:t>Guarantees</w:t>
      </w:r>
      <w:r>
        <w:rPr>
          <w:rFonts w:ascii="Times New Roman" w:cs="Times New Roman" w:eastAsia="Times New Roman" w:hAnsi="Times New Roman"/>
          <w:sz w:val="14"/>
          <w:szCs w:val="14"/>
          <w:color w:val="auto"/>
        </w:rPr>
        <w:t>”) by Holdings of the Registered Notes. In connection with the Exchange Offer, certain legal matters related to the Registered Notes and the Guarantees are being passed upon for you by us. The Registered Notes are to be issued pursuant to an Indenture, dated as of September 10, 1997 (the “</w:t>
      </w:r>
      <w:r>
        <w:rPr>
          <w:rFonts w:ascii="Times New Roman" w:cs="Times New Roman" w:eastAsia="Times New Roman" w:hAnsi="Times New Roman"/>
          <w:sz w:val="14"/>
          <w:szCs w:val="14"/>
          <w:u w:val="single" w:color="auto"/>
          <w:color w:val="auto"/>
        </w:rPr>
        <w:t>Base Indenture</w:t>
      </w:r>
      <w:r>
        <w:rPr>
          <w:rFonts w:ascii="Times New Roman" w:cs="Times New Roman" w:eastAsia="Times New Roman" w:hAnsi="Times New Roman"/>
          <w:sz w:val="14"/>
          <w:szCs w:val="14"/>
          <w:color w:val="auto"/>
        </w:rPr>
        <w:t>”), between the Company, formerly known as USA Waste Services, Inc., and the Bank of New York Mellon Trust Company, N.A., as the current successor to Texas Commerce Bank National Association, as trustee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and a corresponding resolution of the Company’s board of directors and an accompanying officers’ certificate that was delivered on November 8, 2024, pursuant to Section 301 of the Base Indenture setting forth the specific terms applicable to the Restricted Notes and the Registered Notes (the “</w:t>
      </w:r>
      <w:r>
        <w:rPr>
          <w:rFonts w:ascii="Times New Roman" w:cs="Times New Roman" w:eastAsia="Times New Roman" w:hAnsi="Times New Roman"/>
          <w:sz w:val="14"/>
          <w:szCs w:val="14"/>
          <w:u w:val="single" w:color="auto"/>
          <w:color w:val="auto"/>
        </w:rPr>
        <w:t>Indenture Officers’ Certificate</w:t>
      </w:r>
      <w:r>
        <w:rPr>
          <w:rFonts w:ascii="Times New Roman" w:cs="Times New Roman" w:eastAsia="Times New Roman" w:hAnsi="Times New Roman"/>
          <w:sz w:val="14"/>
          <w:szCs w:val="14"/>
          <w:color w:val="auto"/>
        </w:rPr>
        <w:t>” and, together with the Base Indenture,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At your request, this opinion letter is being furnished to you for filing as Exhibit 5.1 to the Registration Statement.</w:t>
      </w:r>
    </w:p>
    <w:p>
      <w:pPr>
        <w:spacing w:after="0" w:line="150" w:lineRule="exact"/>
        <w:rPr>
          <w:sz w:val="20"/>
          <w:szCs w:val="20"/>
          <w:color w:val="auto"/>
        </w:rPr>
      </w:pPr>
    </w:p>
    <w:p>
      <w:pPr>
        <w:jc w:val="both"/>
        <w:ind w:firstLine="731"/>
        <w:spacing w:after="0" w:line="293" w:lineRule="auto"/>
        <w:rPr>
          <w:sz w:val="20"/>
          <w:szCs w:val="20"/>
          <w:color w:val="auto"/>
        </w:rPr>
      </w:pPr>
      <w:r>
        <w:rPr>
          <w:rFonts w:ascii="Times New Roman" w:cs="Times New Roman" w:eastAsia="Times New Roman" w:hAnsi="Times New Roman"/>
          <w:sz w:val="12"/>
          <w:szCs w:val="12"/>
          <w:color w:val="auto"/>
        </w:rPr>
        <w:t>In our capacity as your counsel in connection with the foregoing, we have examined originals, or copies certified or otherwise identified, of (i) the Fourth Restated Certificate of Incorporation and the Amended and Restated By-Laws of the Company, each as amended to date; (ii) the Third Restated Certificate of Incorporation and the Amended and Restated By-Laws of Holdings, each as amended to date; (iii) the Indenture; (iv) the Guarantees issued by Holdings on November 8, 2024, concurrently with the issuance of the Restricted Notes under the Indenture, in favor of the holders of the Restricted Notes; (v) that certain Registration Rights Agreement (the “</w:t>
      </w:r>
      <w:r>
        <w:rPr>
          <w:rFonts w:ascii="Times New Roman" w:cs="Times New Roman" w:eastAsia="Times New Roman" w:hAnsi="Times New Roman"/>
          <w:sz w:val="12"/>
          <w:szCs w:val="12"/>
          <w:u w:val="single" w:color="auto"/>
          <w:color w:val="auto"/>
        </w:rPr>
        <w:t>Registration Rights Agreement</w:t>
      </w:r>
      <w:r>
        <w:rPr>
          <w:rFonts w:ascii="Times New Roman" w:cs="Times New Roman" w:eastAsia="Times New Roman" w:hAnsi="Times New Roman"/>
          <w:sz w:val="12"/>
          <w:szCs w:val="12"/>
          <w:color w:val="auto"/>
        </w:rPr>
        <w:t>”), dated as of November 8, 2024, by and among the Company, Holdings, Barclays Capital Inc., Deutsche Bank Securities Inc. and Goldman Sachs &amp; Co. LLC, (vi) the Registration Statement, (vii) the form of Registered Note, (viii) corporate records of the Company and Holdings, including certain resolutions of the board of directors of the Company and Holdings, as furnished to us by the Company and Holdings, (ix) certificates of governmental and public officials and of officers and other representatives of the Company and Holdings and (x) statutes and such other records, certificates, documents and instruments as we have deemed necessary or advisable as a basis for the opinions hereinafter expressed.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303530</wp:posOffset>
            </wp:positionV>
            <wp:extent cx="716661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305" w:right="3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Waste Management, Inc.</w:t>
            </w:r>
          </w:p>
        </w:tc>
        <w:tc>
          <w:tcPr>
            <w:tcW w:w="448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175"/>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Waste Management Holdings, Inc.</w:t>
            </w:r>
          </w:p>
        </w:tc>
        <w:tc>
          <w:tcPr>
            <w:tcW w:w="4480" w:type="dxa"/>
            <w:vAlign w:val="bottom"/>
          </w:tcPr>
          <w:p>
            <w:pPr>
              <w:jc w:val="right"/>
              <w:ind w:right="2352"/>
              <w:spacing w:after="0"/>
              <w:rPr>
                <w:sz w:val="20"/>
                <w:szCs w:val="20"/>
                <w:color w:val="auto"/>
              </w:rPr>
            </w:pPr>
            <w:r>
              <w:rPr>
                <w:rFonts w:ascii="Times New Roman" w:cs="Times New Roman" w:eastAsia="Times New Roman" w:hAnsi="Times New Roman"/>
                <w:sz w:val="14"/>
                <w:szCs w:val="14"/>
                <w:color w:val="auto"/>
              </w:rPr>
              <w:t>- 2 -</w:t>
            </w:r>
          </w:p>
        </w:tc>
        <w:tc>
          <w:tcPr>
            <w:tcW w:w="3100" w:type="dxa"/>
            <w:vAlign w:val="bottom"/>
          </w:tcPr>
          <w:p>
            <w:pPr>
              <w:ind w:left="2420"/>
              <w:spacing w:after="0"/>
              <w:rPr>
                <w:sz w:val="20"/>
                <w:szCs w:val="20"/>
                <w:color w:val="auto"/>
              </w:rPr>
            </w:pPr>
            <w:r>
              <w:rPr>
                <w:rFonts w:ascii="Times New Roman" w:cs="Times New Roman" w:eastAsia="Times New Roman" w:hAnsi="Times New Roman"/>
                <w:sz w:val="14"/>
                <w:szCs w:val="14"/>
                <w:color w:val="auto"/>
                <w:w w:val="92"/>
              </w:rPr>
              <w:t>May 8, 2025</w:t>
            </w: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462915</wp:posOffset>
            </wp:positionV>
            <wp:extent cx="1024890" cy="1225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024890" cy="122555"/>
                    </a:xfrm>
                    <a:prstGeom prst="rect">
                      <a:avLst/>
                    </a:prstGeom>
                    <a:noFill/>
                  </pic:spPr>
                </pic:pic>
              </a:graphicData>
            </a:graphic>
          </wp:anchor>
        </w:drawing>
      </w:r>
    </w:p>
    <w:p>
      <w:pPr>
        <w:jc w:val="both"/>
        <w:ind w:firstLine="731"/>
        <w:spacing w:after="0" w:line="248" w:lineRule="auto"/>
        <w:rPr>
          <w:sz w:val="20"/>
          <w:szCs w:val="20"/>
          <w:color w:val="auto"/>
        </w:rPr>
      </w:pPr>
      <w:r>
        <w:rPr>
          <w:rFonts w:ascii="Times New Roman" w:cs="Times New Roman" w:eastAsia="Times New Roman" w:hAnsi="Times New Roman"/>
          <w:sz w:val="14"/>
          <w:szCs w:val="14"/>
          <w:color w:val="auto"/>
        </w:rPr>
        <w:t>In giving the opinion set forth below, we have assumed, with your consent and without independent investigation or verification, the legal capacity and competency of all natural persons, that all signatures on documents examined by us are genuine, that all documents submitted to us as originals are authentic and complete, that all documents submitted to us as copies are true, correct and complete copies of the originals of such documents, and that all information submitted to us is accurate and complete. We have relied, with your consent and without independent investigation or verification, upon the certificates, statements or other representations of officers or other representatives of the Company and Holdings and of governmental and public officials.</w:t>
      </w:r>
    </w:p>
    <w:p>
      <w:pPr>
        <w:spacing w:after="0" w:line="147" w:lineRule="exact"/>
        <w:rPr>
          <w:sz w:val="20"/>
          <w:szCs w:val="20"/>
          <w:color w:val="auto"/>
        </w:rPr>
      </w:pPr>
    </w:p>
    <w:p>
      <w:pPr>
        <w:jc w:val="both"/>
        <w:ind w:firstLine="731"/>
        <w:spacing w:after="0" w:line="292" w:lineRule="auto"/>
        <w:rPr>
          <w:sz w:val="20"/>
          <w:szCs w:val="20"/>
          <w:color w:val="auto"/>
        </w:rPr>
      </w:pPr>
      <w:r>
        <w:rPr>
          <w:rFonts w:ascii="Times New Roman" w:cs="Times New Roman" w:eastAsia="Times New Roman" w:hAnsi="Times New Roman"/>
          <w:sz w:val="12"/>
          <w:szCs w:val="12"/>
          <w:color w:val="auto"/>
        </w:rPr>
        <w:t>In connection with this opinion letter, we have assumed that (i) the Registration Statement and any amendments thereto (including post-effective amendments) will have become effective under the Securities Act, (ii) the Indenture will have been qualified under the Trust Indenture Act of 1939, as amended, (iii) the Base Indenture has been duly authorized, executed and delivered by the Trustee and</w:t>
      </w:r>
    </w:p>
    <w:p>
      <w:pPr>
        <w:spacing w:after="0" w:line="1" w:lineRule="exact"/>
        <w:rPr>
          <w:sz w:val="20"/>
          <w:szCs w:val="20"/>
          <w:color w:val="auto"/>
        </w:rPr>
      </w:pPr>
    </w:p>
    <w:p>
      <w:pPr>
        <w:ind w:firstLine="1"/>
        <w:spacing w:after="0" w:line="244" w:lineRule="auto"/>
        <w:tabs>
          <w:tab w:leader="none" w:pos="241"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Notes will have been duly executed, authenticated and delivered in accordance with the provisions of the Indenture and issued in exchange for the Restricted Notes pursuant to, and in accordance with the terms of, the Exchange Offer as contemplated in the Registration Statement.</w:t>
      </w:r>
    </w:p>
    <w:p>
      <w:pPr>
        <w:spacing w:after="0" w:line="14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On the basis of the foregoing, and subject to the exceptions, assumptions, qualifications and limitations set forth herein, we are of the opinion that:</w:t>
      </w:r>
    </w:p>
    <w:p>
      <w:pPr>
        <w:spacing w:after="0" w:line="164" w:lineRule="exact"/>
        <w:rPr>
          <w:sz w:val="20"/>
          <w:szCs w:val="20"/>
          <w:color w:val="auto"/>
        </w:rPr>
      </w:pPr>
    </w:p>
    <w:p>
      <w:pPr>
        <w:jc w:val="both"/>
        <w:ind w:left="1220" w:hanging="245"/>
        <w:spacing w:after="0" w:line="295" w:lineRule="auto"/>
        <w:tabs>
          <w:tab w:leader="none" w:pos="12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Registered Notes, when issued, will constitute valid and binding obligations of the Company, enforceable against the Company in accordance with their terms and be entitled to the benefits of the Indenture, provided that the enforceability thereof is subject to (i) applicable bankruptcy, insolvency, arrangement, fraudulent transfer or conveyance, reorganization, preference, moratorium, conservatorship and similar laws relating to or affecting creditors’ rights and remedies generally, (ii) general principles of equity (whether considered in a proceeding in equity or at law) and comity, including, without limitation, the possible unavailability of specific performance, injunctive relief or any other equitable remedy, (iii) public policy, applicable law relating to fiduciary duties and indemnification and contribution, principles of materiality and reasonableness and implied covenants of good faith and fair dealing, and (iv) possible judicial action giving effect to governmental actions or foreign laws affecting creditors’ rights (the “</w:t>
      </w:r>
      <w:r>
        <w:rPr>
          <w:rFonts w:ascii="Times New Roman" w:cs="Times New Roman" w:eastAsia="Times New Roman" w:hAnsi="Times New Roman"/>
          <w:sz w:val="12"/>
          <w:szCs w:val="12"/>
          <w:u w:val="single" w:color="auto"/>
          <w:color w:val="auto"/>
        </w:rPr>
        <w:t>Enforceability Exceptions</w:t>
      </w:r>
      <w:r>
        <w:rPr>
          <w:rFonts w:ascii="Times New Roman" w:cs="Times New Roman" w:eastAsia="Times New Roman" w:hAnsi="Times New Roman"/>
          <w:sz w:val="12"/>
          <w:szCs w:val="12"/>
          <w:color w:val="auto"/>
        </w:rPr>
        <w:t>”).</w:t>
      </w:r>
    </w:p>
    <w:p>
      <w:pPr>
        <w:spacing w:after="0" w:line="119" w:lineRule="exact"/>
        <w:rPr>
          <w:rFonts w:ascii="Times New Roman" w:cs="Times New Roman" w:eastAsia="Times New Roman" w:hAnsi="Times New Roman"/>
          <w:sz w:val="12"/>
          <w:szCs w:val="12"/>
          <w:color w:val="auto"/>
        </w:rPr>
      </w:pPr>
    </w:p>
    <w:p>
      <w:pPr>
        <w:jc w:val="both"/>
        <w:ind w:left="1220" w:hanging="245"/>
        <w:spacing w:after="0" w:line="252" w:lineRule="auto"/>
        <w:tabs>
          <w:tab w:leader="none" w:pos="1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Guarantees, when issued and when the Registered Notes have been duly executed, authenticated, issued and delivered in accordance with the provisions of the Indenture and the terms of the Exchange Offer as contemplated in the Registration Statement, will constitute valid and binding obligations of Holdings, enforceable against Holdings in accordance with their terms, provided that the enforceability thereof is subject to the Enforceability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317500</wp:posOffset>
            </wp:positionV>
            <wp:extent cx="716661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1111" w:right="3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Waste Management, Inc.</w:t>
            </w:r>
          </w:p>
        </w:tc>
        <w:tc>
          <w:tcPr>
            <w:tcW w:w="448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175"/>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Waste Management Holdings, Inc.</w:t>
            </w:r>
          </w:p>
        </w:tc>
        <w:tc>
          <w:tcPr>
            <w:tcW w:w="4480" w:type="dxa"/>
            <w:vAlign w:val="bottom"/>
          </w:tcPr>
          <w:p>
            <w:pPr>
              <w:jc w:val="right"/>
              <w:ind w:right="2352"/>
              <w:spacing w:after="0"/>
              <w:rPr>
                <w:sz w:val="20"/>
                <w:szCs w:val="20"/>
                <w:color w:val="auto"/>
              </w:rPr>
            </w:pPr>
            <w:r>
              <w:rPr>
                <w:rFonts w:ascii="Times New Roman" w:cs="Times New Roman" w:eastAsia="Times New Roman" w:hAnsi="Times New Roman"/>
                <w:sz w:val="14"/>
                <w:szCs w:val="14"/>
                <w:color w:val="auto"/>
              </w:rPr>
              <w:t>- 3 -</w:t>
            </w:r>
          </w:p>
        </w:tc>
        <w:tc>
          <w:tcPr>
            <w:tcW w:w="3100" w:type="dxa"/>
            <w:vAlign w:val="bottom"/>
          </w:tcPr>
          <w:p>
            <w:pPr>
              <w:ind w:left="2420"/>
              <w:spacing w:after="0"/>
              <w:rPr>
                <w:sz w:val="20"/>
                <w:szCs w:val="20"/>
                <w:color w:val="auto"/>
              </w:rPr>
            </w:pPr>
            <w:r>
              <w:rPr>
                <w:rFonts w:ascii="Times New Roman" w:cs="Times New Roman" w:eastAsia="Times New Roman" w:hAnsi="Times New Roman"/>
                <w:sz w:val="14"/>
                <w:szCs w:val="14"/>
                <w:color w:val="auto"/>
                <w:w w:val="92"/>
              </w:rPr>
              <w:t>May 8, 2025</w:t>
            </w: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462915</wp:posOffset>
            </wp:positionV>
            <wp:extent cx="1024890" cy="1225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024890" cy="122555"/>
                    </a:xfrm>
                    <a:prstGeom prst="rect">
                      <a:avLst/>
                    </a:prstGeom>
                    <a:noFill/>
                  </pic:spPr>
                </pic:pic>
              </a:graphicData>
            </a:graphic>
          </wp:anchor>
        </w:drawing>
      </w:r>
    </w:p>
    <w:p>
      <w:pPr>
        <w:jc w:val="both"/>
        <w:ind w:firstLine="731"/>
        <w:spacing w:after="0" w:line="262" w:lineRule="auto"/>
        <w:rPr>
          <w:sz w:val="20"/>
          <w:szCs w:val="20"/>
          <w:color w:val="auto"/>
        </w:rPr>
      </w:pPr>
      <w:r>
        <w:rPr>
          <w:rFonts w:ascii="Times New Roman" w:cs="Times New Roman" w:eastAsia="Times New Roman" w:hAnsi="Times New Roman"/>
          <w:sz w:val="14"/>
          <w:szCs w:val="14"/>
          <w:color w:val="auto"/>
        </w:rPr>
        <w:t>The opinions set forth above in this opinion letter are limited in all respects to matters of the contract law of the State of New York, the Delaware General Corporation Law, and New York Business Corporation Law, in each case as published and in effect on the date hereof, and we express no opinion as to the law of any other jurisdiction.</w:t>
      </w:r>
    </w:p>
    <w:p>
      <w:pPr>
        <w:spacing w:after="0" w:line="136" w:lineRule="exact"/>
        <w:rPr>
          <w:sz w:val="20"/>
          <w:szCs w:val="20"/>
          <w:color w:val="auto"/>
        </w:rPr>
      </w:pPr>
    </w:p>
    <w:p>
      <w:pPr>
        <w:jc w:val="both"/>
        <w:ind w:firstLine="731"/>
        <w:spacing w:after="0" w:line="252" w:lineRule="auto"/>
        <w:rPr>
          <w:sz w:val="20"/>
          <w:szCs w:val="20"/>
          <w:color w:val="auto"/>
        </w:rPr>
      </w:pPr>
      <w:r>
        <w:rPr>
          <w:rFonts w:ascii="Times New Roman" w:cs="Times New Roman" w:eastAsia="Times New Roman" w:hAnsi="Times New Roman"/>
          <w:sz w:val="14"/>
          <w:szCs w:val="14"/>
          <w:color w:val="auto"/>
        </w:rPr>
        <w:t>We hereby consent to the filing of this opinion letter with the SEC as Exhibit 5.1 to the Registration Statement. We also consent to the reference to our Firm under the heading “Legal Matters” in the prospectus forming a part of the Registration Statement. In giving such consent, we do not hereby admit that we are in the category of persons whose consent is required under Section 7 of the Securities Act or the rules and regulations of the SEC thereunder.</w:t>
      </w:r>
    </w:p>
    <w:p>
      <w:pPr>
        <w:spacing w:after="0" w:line="14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Baker Botts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323215</wp:posOffset>
            </wp:positionV>
            <wp:extent cx="716661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1111" w:right="31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68" w:lineRule="exact"/>
        <w:rPr>
          <w:sz w:val="20"/>
          <w:szCs w:val="20"/>
          <w:color w:val="auto"/>
        </w:rPr>
      </w:pPr>
    </w:p>
    <w:p>
      <w:pPr>
        <w:jc w:val="both"/>
        <w:ind w:right="160" w:firstLine="244"/>
        <w:spacing w:after="0" w:line="248"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S-4) and related Prospectus of Waste Management, Inc. for the offer to exchange all outstanding unregistered 3.875% Senior Notes due 2029 for an equal principal amount of registered 3.875% Senior Notes due 2029, and to the incorporation by reference therein of our reports dated February 19, 2025, with respect to the consolidated financial statements of Waste Management, Inc., and the effectiveness of internal control over financial reporting of Waste Management, Inc., included in its Annual Report (Form 10-K) for the year ended December 31, 2024, filed with the Securities and Exchange Commission.</w:t>
      </w:r>
    </w:p>
    <w:p>
      <w:pPr>
        <w:spacing w:after="0" w:line="14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716661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305" w:right="319" w:bottom="1440" w:gutter="0" w:footer="0" w:header="0"/>
        </w:sectPr>
      </w:pPr>
    </w:p>
    <w:bookmarkStart w:id="67" w:name="page68"/>
    <w:bookmarkEnd w:id="67"/>
    <w:p>
      <w:pPr>
        <w:ind w:left="10580"/>
        <w:spacing w:after="0"/>
        <w:rPr>
          <w:sz w:val="20"/>
          <w:szCs w:val="20"/>
          <w:color w:val="auto"/>
        </w:rPr>
      </w:pPr>
      <w:r>
        <w:rPr>
          <w:rFonts w:ascii="Times New Roman" w:cs="Times New Roman" w:eastAsia="Times New Roman" w:hAnsi="Times New Roman"/>
          <w:sz w:val="12"/>
          <w:szCs w:val="12"/>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16661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820" w:type="dxa"/>
            <w:vAlign w:val="bottom"/>
          </w:tcPr>
          <w:p>
            <w:pPr>
              <w:spacing w:after="0"/>
              <w:rPr>
                <w:sz w:val="24"/>
                <w:szCs w:val="24"/>
                <w:color w:val="auto"/>
              </w:rPr>
            </w:pPr>
          </w:p>
        </w:tc>
        <w:tc>
          <w:tcPr>
            <w:tcW w:w="10460" w:type="dxa"/>
            <w:vAlign w:val="bottom"/>
            <w:gridSpan w:val="2"/>
          </w:tcPr>
          <w:p>
            <w:pPr>
              <w:jc w:val="center"/>
              <w:ind w:right="752"/>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tc>
      </w:tr>
      <w:tr>
        <w:trPr>
          <w:trHeight w:val="179"/>
        </w:trPr>
        <w:tc>
          <w:tcPr>
            <w:tcW w:w="820" w:type="dxa"/>
            <w:vAlign w:val="bottom"/>
          </w:tcPr>
          <w:p>
            <w:pPr>
              <w:spacing w:after="0"/>
              <w:rPr>
                <w:sz w:val="15"/>
                <w:szCs w:val="15"/>
                <w:color w:val="auto"/>
              </w:rPr>
            </w:pPr>
          </w:p>
        </w:tc>
        <w:tc>
          <w:tcPr>
            <w:tcW w:w="7120" w:type="dxa"/>
            <w:vAlign w:val="bottom"/>
          </w:tcPr>
          <w:p>
            <w:pPr>
              <w:jc w:val="center"/>
              <w:ind w:left="2443"/>
              <w:spacing w:after="0"/>
              <w:rPr>
                <w:sz w:val="20"/>
                <w:szCs w:val="20"/>
                <w:color w:val="auto"/>
              </w:rPr>
            </w:pPr>
            <w:r>
              <w:rPr>
                <w:rFonts w:ascii="Times New Roman" w:cs="Times New Roman" w:eastAsia="Times New Roman" w:hAnsi="Times New Roman"/>
                <w:sz w:val="14"/>
                <w:szCs w:val="14"/>
                <w:b w:val="1"/>
                <w:bCs w:val="1"/>
                <w:color w:val="auto"/>
                <w:w w:val="96"/>
              </w:rPr>
              <w:t>Washington, D.C. 20549</w:t>
            </w:r>
          </w:p>
        </w:tc>
        <w:tc>
          <w:tcPr>
            <w:tcW w:w="3340" w:type="dxa"/>
            <w:vAlign w:val="bottom"/>
          </w:tcPr>
          <w:p>
            <w:pPr>
              <w:spacing w:after="0"/>
              <w:rPr>
                <w:sz w:val="15"/>
                <w:szCs w:val="15"/>
                <w:color w:val="auto"/>
              </w:rPr>
            </w:pPr>
          </w:p>
        </w:tc>
      </w:tr>
      <w:tr>
        <w:trPr>
          <w:trHeight w:val="163"/>
        </w:trPr>
        <w:tc>
          <w:tcPr>
            <w:tcW w:w="820" w:type="dxa"/>
            <w:vAlign w:val="bottom"/>
            <w:tcBorders>
              <w:bottom w:val="single" w:sz="8" w:color="auto"/>
            </w:tcBorders>
          </w:tcPr>
          <w:p>
            <w:pPr>
              <w:spacing w:after="0"/>
              <w:rPr>
                <w:sz w:val="14"/>
                <w:szCs w:val="14"/>
                <w:color w:val="auto"/>
              </w:rPr>
            </w:pPr>
          </w:p>
        </w:tc>
        <w:tc>
          <w:tcPr>
            <w:tcW w:w="712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r>
      <w:tr>
        <w:trPr>
          <w:trHeight w:val="460"/>
        </w:trPr>
        <w:tc>
          <w:tcPr>
            <w:tcW w:w="820" w:type="dxa"/>
            <w:vAlign w:val="bottom"/>
          </w:tcPr>
          <w:p>
            <w:pPr>
              <w:spacing w:after="0"/>
              <w:rPr>
                <w:sz w:val="24"/>
                <w:szCs w:val="24"/>
                <w:color w:val="auto"/>
              </w:rPr>
            </w:pPr>
          </w:p>
        </w:tc>
        <w:tc>
          <w:tcPr>
            <w:tcW w:w="7120" w:type="dxa"/>
            <w:vAlign w:val="bottom"/>
          </w:tcPr>
          <w:p>
            <w:pPr>
              <w:jc w:val="center"/>
              <w:ind w:left="2463"/>
              <w:spacing w:after="0"/>
              <w:rPr>
                <w:sz w:val="20"/>
                <w:szCs w:val="20"/>
                <w:color w:val="auto"/>
              </w:rPr>
            </w:pPr>
            <w:r>
              <w:rPr>
                <w:rFonts w:ascii="Times New Roman" w:cs="Times New Roman" w:eastAsia="Times New Roman" w:hAnsi="Times New Roman"/>
                <w:sz w:val="24"/>
                <w:szCs w:val="24"/>
                <w:b w:val="1"/>
                <w:bCs w:val="1"/>
                <w:color w:val="auto"/>
                <w:w w:val="98"/>
              </w:rPr>
              <w:t>FORM T-1</w:t>
            </w:r>
          </w:p>
        </w:tc>
        <w:tc>
          <w:tcPr>
            <w:tcW w:w="3340" w:type="dxa"/>
            <w:vAlign w:val="bottom"/>
          </w:tcPr>
          <w:p>
            <w:pPr>
              <w:spacing w:after="0"/>
              <w:rPr>
                <w:sz w:val="24"/>
                <w:szCs w:val="24"/>
                <w:color w:val="auto"/>
              </w:rPr>
            </w:pPr>
          </w:p>
        </w:tc>
      </w:tr>
      <w:tr>
        <w:trPr>
          <w:trHeight w:val="149"/>
        </w:trPr>
        <w:tc>
          <w:tcPr>
            <w:tcW w:w="820" w:type="dxa"/>
            <w:vAlign w:val="bottom"/>
            <w:tcBorders>
              <w:bottom w:val="single" w:sz="8" w:color="auto"/>
            </w:tcBorders>
          </w:tcPr>
          <w:p>
            <w:pPr>
              <w:spacing w:after="0"/>
              <w:rPr>
                <w:sz w:val="12"/>
                <w:szCs w:val="12"/>
                <w:color w:val="auto"/>
              </w:rPr>
            </w:pPr>
          </w:p>
        </w:tc>
        <w:tc>
          <w:tcPr>
            <w:tcW w:w="712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tcPr>
          <w:p>
            <w:pPr>
              <w:spacing w:after="0"/>
              <w:rPr>
                <w:sz w:val="12"/>
                <w:szCs w:val="12"/>
                <w:color w:val="auto"/>
              </w:rPr>
            </w:pPr>
          </w:p>
        </w:tc>
      </w:tr>
      <w:tr>
        <w:trPr>
          <w:trHeight w:val="308"/>
        </w:trPr>
        <w:tc>
          <w:tcPr>
            <w:tcW w:w="820" w:type="dxa"/>
            <w:vAlign w:val="bottom"/>
          </w:tcPr>
          <w:p>
            <w:pPr>
              <w:spacing w:after="0"/>
              <w:rPr>
                <w:sz w:val="24"/>
                <w:szCs w:val="24"/>
                <w:color w:val="auto"/>
              </w:rPr>
            </w:pPr>
          </w:p>
        </w:tc>
        <w:tc>
          <w:tcPr>
            <w:tcW w:w="7120" w:type="dxa"/>
            <w:vAlign w:val="bottom"/>
          </w:tcPr>
          <w:p>
            <w:pPr>
              <w:jc w:val="center"/>
              <w:ind w:left="2443"/>
              <w:spacing w:after="0"/>
              <w:rPr>
                <w:sz w:val="20"/>
                <w:szCs w:val="20"/>
                <w:color w:val="auto"/>
              </w:rPr>
            </w:pPr>
            <w:r>
              <w:rPr>
                <w:rFonts w:ascii="Times New Roman" w:cs="Times New Roman" w:eastAsia="Times New Roman" w:hAnsi="Times New Roman"/>
                <w:sz w:val="14"/>
                <w:szCs w:val="14"/>
                <w:b w:val="1"/>
                <w:bCs w:val="1"/>
                <w:color w:val="auto"/>
                <w:w w:val="96"/>
              </w:rPr>
              <w:t>STATEMENT OF ELIGIBILITY</w:t>
            </w:r>
          </w:p>
        </w:tc>
        <w:tc>
          <w:tcPr>
            <w:tcW w:w="3340" w:type="dxa"/>
            <w:vAlign w:val="bottom"/>
          </w:tcPr>
          <w:p>
            <w:pPr>
              <w:spacing w:after="0"/>
              <w:rPr>
                <w:sz w:val="24"/>
                <w:szCs w:val="24"/>
                <w:color w:val="auto"/>
              </w:rPr>
            </w:pPr>
          </w:p>
        </w:tc>
      </w:tr>
      <w:tr>
        <w:trPr>
          <w:trHeight w:val="162"/>
        </w:trPr>
        <w:tc>
          <w:tcPr>
            <w:tcW w:w="820" w:type="dxa"/>
            <w:vAlign w:val="bottom"/>
          </w:tcPr>
          <w:p>
            <w:pPr>
              <w:spacing w:after="0"/>
              <w:rPr>
                <w:sz w:val="14"/>
                <w:szCs w:val="14"/>
                <w:color w:val="auto"/>
              </w:rPr>
            </w:pPr>
          </w:p>
        </w:tc>
        <w:tc>
          <w:tcPr>
            <w:tcW w:w="7120" w:type="dxa"/>
            <w:vAlign w:val="bottom"/>
          </w:tcPr>
          <w:p>
            <w:pPr>
              <w:jc w:val="center"/>
              <w:ind w:left="2463"/>
              <w:spacing w:after="0"/>
              <w:rPr>
                <w:sz w:val="20"/>
                <w:szCs w:val="20"/>
                <w:color w:val="auto"/>
              </w:rPr>
            </w:pPr>
            <w:r>
              <w:rPr>
                <w:rFonts w:ascii="Times New Roman" w:cs="Times New Roman" w:eastAsia="Times New Roman" w:hAnsi="Times New Roman"/>
                <w:sz w:val="14"/>
                <w:szCs w:val="14"/>
                <w:b w:val="1"/>
                <w:bCs w:val="1"/>
                <w:color w:val="auto"/>
                <w:w w:val="96"/>
              </w:rPr>
              <w:t>UNDER THE TRUST INDENTURE ACT OF 1939</w:t>
            </w:r>
          </w:p>
        </w:tc>
        <w:tc>
          <w:tcPr>
            <w:tcW w:w="3340" w:type="dxa"/>
            <w:vAlign w:val="bottom"/>
          </w:tcPr>
          <w:p>
            <w:pPr>
              <w:spacing w:after="0"/>
              <w:rPr>
                <w:sz w:val="14"/>
                <w:szCs w:val="14"/>
                <w:color w:val="auto"/>
              </w:rPr>
            </w:pPr>
          </w:p>
        </w:tc>
      </w:tr>
      <w:tr>
        <w:trPr>
          <w:trHeight w:val="179"/>
        </w:trPr>
        <w:tc>
          <w:tcPr>
            <w:tcW w:w="820" w:type="dxa"/>
            <w:vAlign w:val="bottom"/>
          </w:tcPr>
          <w:p>
            <w:pPr>
              <w:spacing w:after="0"/>
              <w:rPr>
                <w:sz w:val="15"/>
                <w:szCs w:val="15"/>
                <w:color w:val="auto"/>
              </w:rPr>
            </w:pPr>
          </w:p>
        </w:tc>
        <w:tc>
          <w:tcPr>
            <w:tcW w:w="7120" w:type="dxa"/>
            <w:vAlign w:val="bottom"/>
          </w:tcPr>
          <w:p>
            <w:pPr>
              <w:jc w:val="center"/>
              <w:ind w:left="2443"/>
              <w:spacing w:after="0"/>
              <w:rPr>
                <w:sz w:val="20"/>
                <w:szCs w:val="20"/>
                <w:color w:val="auto"/>
              </w:rPr>
            </w:pPr>
            <w:r>
              <w:rPr>
                <w:rFonts w:ascii="Times New Roman" w:cs="Times New Roman" w:eastAsia="Times New Roman" w:hAnsi="Times New Roman"/>
                <w:sz w:val="14"/>
                <w:szCs w:val="14"/>
                <w:b w:val="1"/>
                <w:bCs w:val="1"/>
                <w:color w:val="auto"/>
                <w:w w:val="96"/>
              </w:rPr>
              <w:t>OF A CORPORATION DESIGNATED TO ACT AS TRUSTEE</w:t>
            </w:r>
          </w:p>
        </w:tc>
        <w:tc>
          <w:tcPr>
            <w:tcW w:w="3340" w:type="dxa"/>
            <w:vAlign w:val="bottom"/>
          </w:tcPr>
          <w:p>
            <w:pPr>
              <w:spacing w:after="0"/>
              <w:rPr>
                <w:sz w:val="15"/>
                <w:szCs w:val="15"/>
                <w:color w:val="auto"/>
              </w:rPr>
            </w:pPr>
          </w:p>
        </w:tc>
      </w:tr>
      <w:tr>
        <w:trPr>
          <w:trHeight w:val="309"/>
        </w:trPr>
        <w:tc>
          <w:tcPr>
            <w:tcW w:w="82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10460" w:type="dxa"/>
            <w:vAlign w:val="bottom"/>
            <w:gridSpan w:val="2"/>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w w:val="96"/>
              </w:rPr>
              <w:t>CHECK IF AN APPLICATION TO DETERMINE ELIGIBILITY OF A TRUSTEE</w:t>
            </w:r>
          </w:p>
        </w:tc>
      </w:tr>
      <w:tr>
        <w:trPr>
          <w:trHeight w:val="179"/>
        </w:trPr>
        <w:tc>
          <w:tcPr>
            <w:tcW w:w="820" w:type="dxa"/>
            <w:vAlign w:val="bottom"/>
          </w:tcPr>
          <w:p>
            <w:pPr>
              <w:spacing w:after="0"/>
              <w:rPr>
                <w:sz w:val="15"/>
                <w:szCs w:val="15"/>
                <w:color w:val="auto"/>
              </w:rPr>
            </w:pPr>
          </w:p>
        </w:tc>
        <w:tc>
          <w:tcPr>
            <w:tcW w:w="7120" w:type="dxa"/>
            <w:vAlign w:val="bottom"/>
          </w:tcPr>
          <w:p>
            <w:pPr>
              <w:jc w:val="center"/>
              <w:ind w:left="2903"/>
              <w:spacing w:after="0"/>
              <w:rPr>
                <w:sz w:val="20"/>
                <w:szCs w:val="20"/>
                <w:color w:val="auto"/>
              </w:rPr>
            </w:pPr>
            <w:r>
              <w:rPr>
                <w:rFonts w:ascii="Times New Roman" w:cs="Times New Roman" w:eastAsia="Times New Roman" w:hAnsi="Times New Roman"/>
                <w:sz w:val="14"/>
                <w:szCs w:val="14"/>
                <w:b w:val="1"/>
                <w:bCs w:val="1"/>
                <w:color w:val="auto"/>
                <w:w w:val="97"/>
              </w:rPr>
              <w:t>PURSUANT TO SECTION 305(b)(2)</w:t>
            </w:r>
          </w:p>
        </w:tc>
        <w:tc>
          <w:tcPr>
            <w:tcW w:w="3340" w:type="dxa"/>
            <w:vAlign w:val="bottom"/>
          </w:tcPr>
          <w:p>
            <w:pPr>
              <w:spacing w:after="0"/>
              <w:rPr>
                <w:sz w:val="15"/>
                <w:szCs w:val="15"/>
                <w:color w:val="auto"/>
              </w:rPr>
            </w:pPr>
          </w:p>
        </w:tc>
      </w:tr>
      <w:tr>
        <w:trPr>
          <w:trHeight w:val="163"/>
        </w:trPr>
        <w:tc>
          <w:tcPr>
            <w:tcW w:w="820" w:type="dxa"/>
            <w:vAlign w:val="bottom"/>
            <w:tcBorders>
              <w:bottom w:val="single" w:sz="8" w:color="auto"/>
            </w:tcBorders>
          </w:tcPr>
          <w:p>
            <w:pPr>
              <w:spacing w:after="0"/>
              <w:rPr>
                <w:sz w:val="14"/>
                <w:szCs w:val="14"/>
                <w:color w:val="auto"/>
              </w:rPr>
            </w:pPr>
          </w:p>
        </w:tc>
        <w:tc>
          <w:tcPr>
            <w:tcW w:w="712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r>
      <w:tr>
        <w:trPr>
          <w:trHeight w:val="401"/>
        </w:trPr>
        <w:tc>
          <w:tcPr>
            <w:tcW w:w="820" w:type="dxa"/>
            <w:vAlign w:val="bottom"/>
          </w:tcPr>
          <w:p>
            <w:pPr>
              <w:spacing w:after="0"/>
              <w:rPr>
                <w:sz w:val="24"/>
                <w:szCs w:val="24"/>
                <w:color w:val="auto"/>
              </w:rPr>
            </w:pPr>
          </w:p>
        </w:tc>
        <w:tc>
          <w:tcPr>
            <w:tcW w:w="7120" w:type="dxa"/>
            <w:vAlign w:val="bottom"/>
          </w:tcPr>
          <w:p>
            <w:pPr>
              <w:jc w:val="center"/>
              <w:ind w:left="2463"/>
              <w:spacing w:after="0"/>
              <w:rPr>
                <w:sz w:val="20"/>
                <w:szCs w:val="20"/>
                <w:color w:val="auto"/>
              </w:rPr>
            </w:pPr>
            <w:r>
              <w:rPr>
                <w:rFonts w:ascii="Times New Roman" w:cs="Times New Roman" w:eastAsia="Times New Roman" w:hAnsi="Times New Roman"/>
                <w:sz w:val="24"/>
                <w:szCs w:val="24"/>
                <w:b w:val="1"/>
                <w:bCs w:val="1"/>
                <w:color w:val="auto"/>
              </w:rPr>
              <w:t>THE BANK OF NEW YORK MELLON</w:t>
            </w:r>
          </w:p>
        </w:tc>
        <w:tc>
          <w:tcPr>
            <w:tcW w:w="3340" w:type="dxa"/>
            <w:vAlign w:val="bottom"/>
          </w:tcPr>
          <w:p>
            <w:pPr>
              <w:spacing w:after="0"/>
              <w:rPr>
                <w:sz w:val="24"/>
                <w:szCs w:val="24"/>
                <w:color w:val="auto"/>
              </w:rPr>
            </w:pPr>
          </w:p>
        </w:tc>
      </w:tr>
      <w:tr>
        <w:trPr>
          <w:trHeight w:val="293"/>
        </w:trPr>
        <w:tc>
          <w:tcPr>
            <w:tcW w:w="820" w:type="dxa"/>
            <w:vAlign w:val="bottom"/>
          </w:tcPr>
          <w:p>
            <w:pPr>
              <w:spacing w:after="0"/>
              <w:rPr>
                <w:sz w:val="24"/>
                <w:szCs w:val="24"/>
                <w:color w:val="auto"/>
              </w:rPr>
            </w:pPr>
          </w:p>
        </w:tc>
        <w:tc>
          <w:tcPr>
            <w:tcW w:w="7120" w:type="dxa"/>
            <w:vAlign w:val="bottom"/>
          </w:tcPr>
          <w:p>
            <w:pPr>
              <w:jc w:val="center"/>
              <w:ind w:left="2463"/>
              <w:spacing w:after="0"/>
              <w:rPr>
                <w:sz w:val="20"/>
                <w:szCs w:val="20"/>
                <w:color w:val="auto"/>
              </w:rPr>
            </w:pPr>
            <w:r>
              <w:rPr>
                <w:rFonts w:ascii="Times New Roman" w:cs="Times New Roman" w:eastAsia="Times New Roman" w:hAnsi="Times New Roman"/>
                <w:sz w:val="24"/>
                <w:szCs w:val="24"/>
                <w:b w:val="1"/>
                <w:bCs w:val="1"/>
                <w:color w:val="auto"/>
                <w:w w:val="99"/>
              </w:rPr>
              <w:t>TRUST COMPANY, N.A.</w:t>
            </w:r>
          </w:p>
        </w:tc>
        <w:tc>
          <w:tcPr>
            <w:tcW w:w="3340" w:type="dxa"/>
            <w:vAlign w:val="bottom"/>
          </w:tcPr>
          <w:p>
            <w:pPr>
              <w:spacing w:after="0"/>
              <w:rPr>
                <w:sz w:val="24"/>
                <w:szCs w:val="24"/>
                <w:color w:val="auto"/>
              </w:rPr>
            </w:pPr>
          </w:p>
        </w:tc>
      </w:tr>
      <w:tr>
        <w:trPr>
          <w:trHeight w:val="179"/>
        </w:trPr>
        <w:tc>
          <w:tcPr>
            <w:tcW w:w="820" w:type="dxa"/>
            <w:vAlign w:val="bottom"/>
          </w:tcPr>
          <w:p>
            <w:pPr>
              <w:spacing w:after="0"/>
              <w:rPr>
                <w:sz w:val="15"/>
                <w:szCs w:val="15"/>
                <w:color w:val="auto"/>
              </w:rPr>
            </w:pPr>
          </w:p>
        </w:tc>
        <w:tc>
          <w:tcPr>
            <w:tcW w:w="7120" w:type="dxa"/>
            <w:vAlign w:val="bottom"/>
          </w:tcPr>
          <w:p>
            <w:pPr>
              <w:jc w:val="center"/>
              <w:ind w:left="2463"/>
              <w:spacing w:after="0"/>
              <w:rPr>
                <w:sz w:val="20"/>
                <w:szCs w:val="20"/>
                <w:color w:val="auto"/>
              </w:rPr>
            </w:pPr>
            <w:r>
              <w:rPr>
                <w:rFonts w:ascii="Times New Roman" w:cs="Times New Roman" w:eastAsia="Times New Roman" w:hAnsi="Times New Roman"/>
                <w:sz w:val="14"/>
                <w:szCs w:val="14"/>
                <w:b w:val="1"/>
                <w:bCs w:val="1"/>
                <w:color w:val="auto"/>
                <w:w w:val="96"/>
              </w:rPr>
              <w:t>(Exact name of trustee as specified in its charter)</w:t>
            </w:r>
          </w:p>
        </w:tc>
        <w:tc>
          <w:tcPr>
            <w:tcW w:w="3340" w:type="dxa"/>
            <w:vAlign w:val="bottom"/>
          </w:tcPr>
          <w:p>
            <w:pPr>
              <w:spacing w:after="0"/>
              <w:rPr>
                <w:sz w:val="15"/>
                <w:szCs w:val="15"/>
                <w:color w:val="auto"/>
              </w:rPr>
            </w:pPr>
          </w:p>
        </w:tc>
      </w:tr>
      <w:tr>
        <w:trPr>
          <w:trHeight w:val="163"/>
        </w:trPr>
        <w:tc>
          <w:tcPr>
            <w:tcW w:w="820" w:type="dxa"/>
            <w:vAlign w:val="bottom"/>
            <w:tcBorders>
              <w:bottom w:val="single" w:sz="8" w:color="auto"/>
            </w:tcBorders>
          </w:tcPr>
          <w:p>
            <w:pPr>
              <w:spacing w:after="0"/>
              <w:rPr>
                <w:sz w:val="14"/>
                <w:szCs w:val="14"/>
                <w:color w:val="auto"/>
              </w:rPr>
            </w:pPr>
          </w:p>
        </w:tc>
        <w:tc>
          <w:tcPr>
            <w:tcW w:w="712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r>
      <w:tr>
        <w:trPr>
          <w:trHeight w:val="318"/>
        </w:trPr>
        <w:tc>
          <w:tcPr>
            <w:tcW w:w="820" w:type="dxa"/>
            <w:vAlign w:val="bottom"/>
          </w:tcPr>
          <w:p>
            <w:pPr>
              <w:spacing w:after="0"/>
              <w:rPr>
                <w:sz w:val="24"/>
                <w:szCs w:val="24"/>
                <w:color w:val="auto"/>
              </w:rPr>
            </w:pPr>
          </w:p>
        </w:tc>
        <w:tc>
          <w:tcPr>
            <w:tcW w:w="7120" w:type="dxa"/>
            <w:vAlign w:val="bottom"/>
          </w:tcPr>
          <w:p>
            <w:pPr>
              <w:jc w:val="center"/>
              <w:ind w:right="2583"/>
              <w:spacing w:after="0"/>
              <w:rPr>
                <w:sz w:val="20"/>
                <w:szCs w:val="20"/>
                <w:color w:val="auto"/>
              </w:rPr>
            </w:pPr>
            <w:r>
              <w:rPr>
                <w:rFonts w:ascii="Times New Roman" w:cs="Times New Roman" w:eastAsia="Times New Roman" w:hAnsi="Times New Roman"/>
                <w:sz w:val="14"/>
                <w:szCs w:val="14"/>
                <w:b w:val="1"/>
                <w:bCs w:val="1"/>
                <w:color w:val="auto"/>
                <w:w w:val="94"/>
              </w:rPr>
              <w:t>California</w:t>
            </w:r>
          </w:p>
        </w:tc>
        <w:tc>
          <w:tcPr>
            <w:tcW w:w="3340" w:type="dxa"/>
            <w:vAlign w:val="bottom"/>
          </w:tcPr>
          <w:p>
            <w:pPr>
              <w:jc w:val="right"/>
              <w:ind w:right="2192"/>
              <w:spacing w:after="0"/>
              <w:rPr>
                <w:sz w:val="20"/>
                <w:szCs w:val="20"/>
                <w:color w:val="auto"/>
              </w:rPr>
            </w:pPr>
            <w:r>
              <w:rPr>
                <w:rFonts w:ascii="Times New Roman" w:cs="Times New Roman" w:eastAsia="Times New Roman" w:hAnsi="Times New Roman"/>
                <w:sz w:val="14"/>
                <w:szCs w:val="14"/>
                <w:b w:val="1"/>
                <w:bCs w:val="1"/>
                <w:color w:val="auto"/>
              </w:rPr>
              <w:t>95-3571558</w:t>
            </w:r>
          </w:p>
        </w:tc>
      </w:tr>
      <w:tr>
        <w:trPr>
          <w:trHeight w:val="162"/>
        </w:trPr>
        <w:tc>
          <w:tcPr>
            <w:tcW w:w="820" w:type="dxa"/>
            <w:vAlign w:val="bottom"/>
          </w:tcPr>
          <w:p>
            <w:pPr>
              <w:spacing w:after="0"/>
              <w:rPr>
                <w:sz w:val="14"/>
                <w:szCs w:val="14"/>
                <w:color w:val="auto"/>
              </w:rPr>
            </w:pPr>
          </w:p>
        </w:tc>
        <w:tc>
          <w:tcPr>
            <w:tcW w:w="7120" w:type="dxa"/>
            <w:vAlign w:val="bottom"/>
          </w:tcPr>
          <w:p>
            <w:pPr>
              <w:jc w:val="center"/>
              <w:ind w:right="2603"/>
              <w:spacing w:after="0"/>
              <w:rPr>
                <w:sz w:val="20"/>
                <w:szCs w:val="20"/>
                <w:color w:val="auto"/>
              </w:rPr>
            </w:pPr>
            <w:r>
              <w:rPr>
                <w:rFonts w:ascii="Times New Roman" w:cs="Times New Roman" w:eastAsia="Times New Roman" w:hAnsi="Times New Roman"/>
                <w:sz w:val="14"/>
                <w:szCs w:val="14"/>
                <w:b w:val="1"/>
                <w:bCs w:val="1"/>
                <w:color w:val="auto"/>
                <w:w w:val="96"/>
              </w:rPr>
              <w:t>(State of incorporation</w:t>
            </w:r>
          </w:p>
        </w:tc>
        <w:tc>
          <w:tcPr>
            <w:tcW w:w="3340" w:type="dxa"/>
            <w:vAlign w:val="bottom"/>
          </w:tcPr>
          <w:p>
            <w:pPr>
              <w:jc w:val="center"/>
              <w:ind w:right="1772"/>
              <w:spacing w:after="0"/>
              <w:rPr>
                <w:sz w:val="20"/>
                <w:szCs w:val="20"/>
                <w:color w:val="auto"/>
              </w:rPr>
            </w:pPr>
            <w:r>
              <w:rPr>
                <w:rFonts w:ascii="Times New Roman" w:cs="Times New Roman" w:eastAsia="Times New Roman" w:hAnsi="Times New Roman"/>
                <w:sz w:val="14"/>
                <w:szCs w:val="14"/>
                <w:b w:val="1"/>
                <w:bCs w:val="1"/>
                <w:color w:val="auto"/>
                <w:w w:val="95"/>
              </w:rPr>
              <w:t>(I.R.S. employer</w:t>
            </w:r>
          </w:p>
        </w:tc>
      </w:tr>
      <w:tr>
        <w:trPr>
          <w:trHeight w:val="179"/>
        </w:trPr>
        <w:tc>
          <w:tcPr>
            <w:tcW w:w="820" w:type="dxa"/>
            <w:vAlign w:val="bottom"/>
          </w:tcPr>
          <w:p>
            <w:pPr>
              <w:spacing w:after="0"/>
              <w:rPr>
                <w:sz w:val="15"/>
                <w:szCs w:val="15"/>
                <w:color w:val="auto"/>
              </w:rPr>
            </w:pPr>
          </w:p>
        </w:tc>
        <w:tc>
          <w:tcPr>
            <w:tcW w:w="7120" w:type="dxa"/>
            <w:vAlign w:val="bottom"/>
          </w:tcPr>
          <w:p>
            <w:pPr>
              <w:jc w:val="center"/>
              <w:ind w:right="2563"/>
              <w:spacing w:after="0"/>
              <w:rPr>
                <w:sz w:val="20"/>
                <w:szCs w:val="20"/>
                <w:color w:val="auto"/>
              </w:rPr>
            </w:pPr>
            <w:r>
              <w:rPr>
                <w:rFonts w:ascii="Times New Roman" w:cs="Times New Roman" w:eastAsia="Times New Roman" w:hAnsi="Times New Roman"/>
                <w:sz w:val="14"/>
                <w:szCs w:val="14"/>
                <w:b w:val="1"/>
                <w:bCs w:val="1"/>
                <w:color w:val="auto"/>
                <w:w w:val="96"/>
              </w:rPr>
              <w:t>if not a U.S. national bank)</w:t>
            </w:r>
          </w:p>
        </w:tc>
        <w:tc>
          <w:tcPr>
            <w:tcW w:w="3340" w:type="dxa"/>
            <w:vAlign w:val="bottom"/>
          </w:tcPr>
          <w:p>
            <w:pPr>
              <w:jc w:val="center"/>
              <w:ind w:right="1772"/>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309"/>
        </w:trPr>
        <w:tc>
          <w:tcPr>
            <w:tcW w:w="820" w:type="dxa"/>
            <w:vAlign w:val="bottom"/>
          </w:tcPr>
          <w:p>
            <w:pPr>
              <w:spacing w:after="0"/>
              <w:rPr>
                <w:sz w:val="24"/>
                <w:szCs w:val="24"/>
                <w:color w:val="auto"/>
              </w:rPr>
            </w:pPr>
          </w:p>
        </w:tc>
        <w:tc>
          <w:tcPr>
            <w:tcW w:w="7120" w:type="dxa"/>
            <w:vAlign w:val="bottom"/>
          </w:tcPr>
          <w:p>
            <w:pPr>
              <w:jc w:val="center"/>
              <w:ind w:right="2563"/>
              <w:spacing w:after="0"/>
              <w:rPr>
                <w:sz w:val="20"/>
                <w:szCs w:val="20"/>
                <w:color w:val="auto"/>
              </w:rPr>
            </w:pPr>
            <w:r>
              <w:rPr>
                <w:rFonts w:ascii="Times New Roman" w:cs="Times New Roman" w:eastAsia="Times New Roman" w:hAnsi="Times New Roman"/>
                <w:sz w:val="14"/>
                <w:szCs w:val="14"/>
                <w:b w:val="1"/>
                <w:bCs w:val="1"/>
                <w:color w:val="auto"/>
                <w:w w:val="96"/>
              </w:rPr>
              <w:t>333 South Hope Street, Suite 2525</w:t>
            </w:r>
          </w:p>
        </w:tc>
        <w:tc>
          <w:tcPr>
            <w:tcW w:w="3340" w:type="dxa"/>
            <w:vAlign w:val="bottom"/>
          </w:tcPr>
          <w:p>
            <w:pPr>
              <w:jc w:val="right"/>
              <w:ind w:right="2352"/>
              <w:spacing w:after="0"/>
              <w:rPr>
                <w:sz w:val="20"/>
                <w:szCs w:val="20"/>
                <w:color w:val="auto"/>
              </w:rPr>
            </w:pPr>
            <w:r>
              <w:rPr>
                <w:rFonts w:ascii="Times New Roman" w:cs="Times New Roman" w:eastAsia="Times New Roman" w:hAnsi="Times New Roman"/>
                <w:sz w:val="14"/>
                <w:szCs w:val="14"/>
                <w:b w:val="1"/>
                <w:bCs w:val="1"/>
                <w:color w:val="auto"/>
              </w:rPr>
              <w:t>90071</w:t>
            </w:r>
          </w:p>
        </w:tc>
      </w:tr>
      <w:tr>
        <w:trPr>
          <w:trHeight w:val="162"/>
        </w:trPr>
        <w:tc>
          <w:tcPr>
            <w:tcW w:w="820" w:type="dxa"/>
            <w:vAlign w:val="bottom"/>
          </w:tcPr>
          <w:p>
            <w:pPr>
              <w:spacing w:after="0"/>
              <w:rPr>
                <w:sz w:val="14"/>
                <w:szCs w:val="14"/>
                <w:color w:val="auto"/>
              </w:rPr>
            </w:pPr>
          </w:p>
        </w:tc>
        <w:tc>
          <w:tcPr>
            <w:tcW w:w="7120" w:type="dxa"/>
            <w:vAlign w:val="bottom"/>
          </w:tcPr>
          <w:p>
            <w:pPr>
              <w:jc w:val="center"/>
              <w:ind w:right="2583"/>
              <w:spacing w:after="0"/>
              <w:rPr>
                <w:sz w:val="20"/>
                <w:szCs w:val="20"/>
                <w:color w:val="auto"/>
              </w:rPr>
            </w:pPr>
            <w:r>
              <w:rPr>
                <w:rFonts w:ascii="Times New Roman" w:cs="Times New Roman" w:eastAsia="Times New Roman" w:hAnsi="Times New Roman"/>
                <w:sz w:val="14"/>
                <w:szCs w:val="14"/>
                <w:b w:val="1"/>
                <w:bCs w:val="1"/>
                <w:color w:val="auto"/>
                <w:w w:val="95"/>
              </w:rPr>
              <w:t>Los Angeles, California</w:t>
            </w:r>
          </w:p>
        </w:tc>
        <w:tc>
          <w:tcPr>
            <w:tcW w:w="3340" w:type="dxa"/>
            <w:vAlign w:val="bottom"/>
          </w:tcPr>
          <w:p>
            <w:pPr>
              <w:spacing w:after="0"/>
              <w:rPr>
                <w:sz w:val="14"/>
                <w:szCs w:val="14"/>
                <w:color w:val="auto"/>
              </w:rPr>
            </w:pPr>
          </w:p>
        </w:tc>
      </w:tr>
      <w:tr>
        <w:trPr>
          <w:trHeight w:val="179"/>
        </w:trPr>
        <w:tc>
          <w:tcPr>
            <w:tcW w:w="820" w:type="dxa"/>
            <w:vAlign w:val="bottom"/>
          </w:tcPr>
          <w:p>
            <w:pPr>
              <w:spacing w:after="0"/>
              <w:rPr>
                <w:sz w:val="15"/>
                <w:szCs w:val="15"/>
                <w:color w:val="auto"/>
              </w:rPr>
            </w:pPr>
          </w:p>
        </w:tc>
        <w:tc>
          <w:tcPr>
            <w:tcW w:w="7120" w:type="dxa"/>
            <w:vAlign w:val="bottom"/>
          </w:tcPr>
          <w:p>
            <w:pPr>
              <w:jc w:val="center"/>
              <w:ind w:right="2583"/>
              <w:spacing w:after="0"/>
              <w:rPr>
                <w:sz w:val="20"/>
                <w:szCs w:val="20"/>
                <w:color w:val="auto"/>
              </w:rPr>
            </w:pPr>
            <w:r>
              <w:rPr>
                <w:rFonts w:ascii="Times New Roman" w:cs="Times New Roman" w:eastAsia="Times New Roman" w:hAnsi="Times New Roman"/>
                <w:sz w:val="14"/>
                <w:szCs w:val="14"/>
                <w:b w:val="1"/>
                <w:bCs w:val="1"/>
                <w:color w:val="auto"/>
                <w:w w:val="95"/>
              </w:rPr>
              <w:t>(Address of principal executive offices)</w:t>
            </w:r>
          </w:p>
        </w:tc>
        <w:tc>
          <w:tcPr>
            <w:tcW w:w="3340" w:type="dxa"/>
            <w:vAlign w:val="bottom"/>
          </w:tcPr>
          <w:p>
            <w:pPr>
              <w:jc w:val="center"/>
              <w:ind w:right="1772"/>
              <w:spacing w:after="0"/>
              <w:rPr>
                <w:sz w:val="20"/>
                <w:szCs w:val="20"/>
                <w:color w:val="auto"/>
              </w:rPr>
            </w:pPr>
            <w:r>
              <w:rPr>
                <w:rFonts w:ascii="Times New Roman" w:cs="Times New Roman" w:eastAsia="Times New Roman" w:hAnsi="Times New Roman"/>
                <w:sz w:val="14"/>
                <w:szCs w:val="14"/>
                <w:b w:val="1"/>
                <w:bCs w:val="1"/>
                <w:color w:val="auto"/>
                <w:w w:val="94"/>
              </w:rPr>
              <w:t>(Zip code)</w:t>
            </w:r>
          </w:p>
        </w:tc>
      </w:tr>
      <w:tr>
        <w:trPr>
          <w:trHeight w:val="163"/>
        </w:trPr>
        <w:tc>
          <w:tcPr>
            <w:tcW w:w="820" w:type="dxa"/>
            <w:vAlign w:val="bottom"/>
            <w:tcBorders>
              <w:bottom w:val="single" w:sz="8" w:color="auto"/>
            </w:tcBorders>
          </w:tcPr>
          <w:p>
            <w:pPr>
              <w:spacing w:after="0"/>
              <w:rPr>
                <w:sz w:val="14"/>
                <w:szCs w:val="14"/>
                <w:color w:val="auto"/>
              </w:rPr>
            </w:pPr>
          </w:p>
        </w:tc>
        <w:tc>
          <w:tcPr>
            <w:tcW w:w="712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r>
      <w:tr>
        <w:trPr>
          <w:trHeight w:val="207"/>
        </w:trPr>
        <w:tc>
          <w:tcPr>
            <w:tcW w:w="820" w:type="dxa"/>
            <w:vAlign w:val="bottom"/>
          </w:tcPr>
          <w:p>
            <w:pPr>
              <w:spacing w:after="0"/>
              <w:rPr>
                <w:sz w:val="17"/>
                <w:szCs w:val="17"/>
                <w:color w:val="auto"/>
              </w:rPr>
            </w:pPr>
          </w:p>
        </w:tc>
        <w:tc>
          <w:tcPr>
            <w:tcW w:w="7120" w:type="dxa"/>
            <w:vAlign w:val="bottom"/>
          </w:tcPr>
          <w:p>
            <w:pPr>
              <w:jc w:val="center"/>
              <w:ind w:left="2463"/>
              <w:spacing w:after="0" w:line="207" w:lineRule="exact"/>
              <w:rPr>
                <w:sz w:val="20"/>
                <w:szCs w:val="20"/>
                <w:color w:val="auto"/>
              </w:rPr>
            </w:pPr>
            <w:r>
              <w:rPr>
                <w:rFonts w:ascii="Times New Roman" w:cs="Times New Roman" w:eastAsia="Times New Roman" w:hAnsi="Times New Roman"/>
                <w:sz w:val="19"/>
                <w:szCs w:val="19"/>
                <w:b w:val="1"/>
                <w:bCs w:val="1"/>
                <w:color w:val="auto"/>
                <w:w w:val="98"/>
              </w:rPr>
              <w:t>WASTE MANAGEMENT, INC.</w:t>
            </w:r>
          </w:p>
        </w:tc>
        <w:tc>
          <w:tcPr>
            <w:tcW w:w="3340" w:type="dxa"/>
            <w:vAlign w:val="bottom"/>
          </w:tcPr>
          <w:p>
            <w:pPr>
              <w:spacing w:after="0"/>
              <w:rPr>
                <w:sz w:val="17"/>
                <w:szCs w:val="17"/>
                <w:color w:val="auto"/>
              </w:rPr>
            </w:pPr>
          </w:p>
        </w:tc>
      </w:tr>
      <w:tr>
        <w:trPr>
          <w:trHeight w:val="179"/>
        </w:trPr>
        <w:tc>
          <w:tcPr>
            <w:tcW w:w="820" w:type="dxa"/>
            <w:vAlign w:val="bottom"/>
          </w:tcPr>
          <w:p>
            <w:pPr>
              <w:spacing w:after="0"/>
              <w:rPr>
                <w:sz w:val="15"/>
                <w:szCs w:val="15"/>
                <w:color w:val="auto"/>
              </w:rPr>
            </w:pPr>
          </w:p>
        </w:tc>
        <w:tc>
          <w:tcPr>
            <w:tcW w:w="7120" w:type="dxa"/>
            <w:vAlign w:val="bottom"/>
          </w:tcPr>
          <w:p>
            <w:pPr>
              <w:jc w:val="center"/>
              <w:ind w:left="2443"/>
              <w:spacing w:after="0"/>
              <w:rPr>
                <w:sz w:val="20"/>
                <w:szCs w:val="20"/>
                <w:color w:val="auto"/>
              </w:rPr>
            </w:pPr>
            <w:r>
              <w:rPr>
                <w:rFonts w:ascii="Times New Roman" w:cs="Times New Roman" w:eastAsia="Times New Roman" w:hAnsi="Times New Roman"/>
                <w:sz w:val="14"/>
                <w:szCs w:val="14"/>
                <w:b w:val="1"/>
                <w:bCs w:val="1"/>
                <w:color w:val="auto"/>
                <w:w w:val="96"/>
              </w:rPr>
              <w:t>(Exact name of obligors as specified in their charters)</w:t>
            </w:r>
          </w:p>
        </w:tc>
        <w:tc>
          <w:tcPr>
            <w:tcW w:w="3340" w:type="dxa"/>
            <w:vAlign w:val="bottom"/>
          </w:tcPr>
          <w:p>
            <w:pPr>
              <w:spacing w:after="0"/>
              <w:rPr>
                <w:sz w:val="15"/>
                <w:szCs w:val="15"/>
                <w:color w:val="auto"/>
              </w:rPr>
            </w:pPr>
          </w:p>
        </w:tc>
      </w:tr>
      <w:tr>
        <w:trPr>
          <w:trHeight w:val="163"/>
        </w:trPr>
        <w:tc>
          <w:tcPr>
            <w:tcW w:w="820" w:type="dxa"/>
            <w:vAlign w:val="bottom"/>
            <w:tcBorders>
              <w:bottom w:val="single" w:sz="8" w:color="auto"/>
            </w:tcBorders>
          </w:tcPr>
          <w:p>
            <w:pPr>
              <w:spacing w:after="0"/>
              <w:rPr>
                <w:sz w:val="14"/>
                <w:szCs w:val="14"/>
                <w:color w:val="auto"/>
              </w:rPr>
            </w:pPr>
          </w:p>
        </w:tc>
        <w:tc>
          <w:tcPr>
            <w:tcW w:w="712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r>
      <w:tr>
        <w:trPr>
          <w:trHeight w:val="308"/>
        </w:trPr>
        <w:tc>
          <w:tcPr>
            <w:tcW w:w="820" w:type="dxa"/>
            <w:vAlign w:val="bottom"/>
          </w:tcPr>
          <w:p>
            <w:pPr>
              <w:spacing w:after="0"/>
              <w:rPr>
                <w:sz w:val="24"/>
                <w:szCs w:val="24"/>
                <w:color w:val="auto"/>
              </w:rPr>
            </w:pPr>
          </w:p>
        </w:tc>
        <w:tc>
          <w:tcPr>
            <w:tcW w:w="7120" w:type="dxa"/>
            <w:vAlign w:val="bottom"/>
          </w:tcPr>
          <w:p>
            <w:pPr>
              <w:jc w:val="center"/>
              <w:ind w:right="2703"/>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3340" w:type="dxa"/>
            <w:vAlign w:val="bottom"/>
          </w:tcPr>
          <w:p>
            <w:pPr>
              <w:jc w:val="right"/>
              <w:ind w:right="2252"/>
              <w:spacing w:after="0"/>
              <w:rPr>
                <w:sz w:val="20"/>
                <w:szCs w:val="20"/>
                <w:color w:val="auto"/>
              </w:rPr>
            </w:pPr>
            <w:r>
              <w:rPr>
                <w:rFonts w:ascii="Times New Roman" w:cs="Times New Roman" w:eastAsia="Times New Roman" w:hAnsi="Times New Roman"/>
                <w:sz w:val="14"/>
                <w:szCs w:val="14"/>
                <w:b w:val="1"/>
                <w:bCs w:val="1"/>
                <w:color w:val="auto"/>
              </w:rPr>
              <w:t>73-1309529</w:t>
            </w:r>
          </w:p>
        </w:tc>
      </w:tr>
      <w:tr>
        <w:trPr>
          <w:trHeight w:val="162"/>
        </w:trPr>
        <w:tc>
          <w:tcPr>
            <w:tcW w:w="820" w:type="dxa"/>
            <w:vAlign w:val="bottom"/>
          </w:tcPr>
          <w:p>
            <w:pPr>
              <w:spacing w:after="0"/>
              <w:rPr>
                <w:sz w:val="14"/>
                <w:szCs w:val="14"/>
                <w:color w:val="auto"/>
              </w:rPr>
            </w:pPr>
          </w:p>
        </w:tc>
        <w:tc>
          <w:tcPr>
            <w:tcW w:w="7120" w:type="dxa"/>
            <w:vAlign w:val="bottom"/>
          </w:tcPr>
          <w:p>
            <w:pPr>
              <w:jc w:val="center"/>
              <w:ind w:right="2683"/>
              <w:spacing w:after="0"/>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3340" w:type="dxa"/>
            <w:vAlign w:val="bottom"/>
          </w:tcPr>
          <w:p>
            <w:pPr>
              <w:jc w:val="center"/>
              <w:ind w:right="1872"/>
              <w:spacing w:after="0"/>
              <w:rPr>
                <w:sz w:val="20"/>
                <w:szCs w:val="20"/>
                <w:color w:val="auto"/>
              </w:rPr>
            </w:pPr>
            <w:r>
              <w:rPr>
                <w:rFonts w:ascii="Times New Roman" w:cs="Times New Roman" w:eastAsia="Times New Roman" w:hAnsi="Times New Roman"/>
                <w:sz w:val="14"/>
                <w:szCs w:val="14"/>
                <w:b w:val="1"/>
                <w:bCs w:val="1"/>
                <w:color w:val="auto"/>
                <w:w w:val="97"/>
              </w:rPr>
              <w:t>(I.R.S. employer</w:t>
            </w:r>
          </w:p>
        </w:tc>
      </w:tr>
      <w:tr>
        <w:trPr>
          <w:trHeight w:val="179"/>
        </w:trPr>
        <w:tc>
          <w:tcPr>
            <w:tcW w:w="820" w:type="dxa"/>
            <w:vAlign w:val="bottom"/>
          </w:tcPr>
          <w:p>
            <w:pPr>
              <w:spacing w:after="0"/>
              <w:rPr>
                <w:sz w:val="15"/>
                <w:szCs w:val="15"/>
                <w:color w:val="auto"/>
              </w:rPr>
            </w:pPr>
          </w:p>
        </w:tc>
        <w:tc>
          <w:tcPr>
            <w:tcW w:w="7120" w:type="dxa"/>
            <w:vAlign w:val="bottom"/>
          </w:tcPr>
          <w:p>
            <w:pPr>
              <w:jc w:val="center"/>
              <w:ind w:right="2683"/>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3340" w:type="dxa"/>
            <w:vAlign w:val="bottom"/>
          </w:tcPr>
          <w:p>
            <w:pPr>
              <w:jc w:val="center"/>
              <w:ind w:right="1892"/>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309"/>
        </w:trPr>
        <w:tc>
          <w:tcPr>
            <w:tcW w:w="820" w:type="dxa"/>
            <w:vAlign w:val="bottom"/>
          </w:tcPr>
          <w:p>
            <w:pPr>
              <w:spacing w:after="0"/>
              <w:rPr>
                <w:sz w:val="24"/>
                <w:szCs w:val="24"/>
                <w:color w:val="auto"/>
              </w:rPr>
            </w:pPr>
          </w:p>
        </w:tc>
        <w:tc>
          <w:tcPr>
            <w:tcW w:w="7120" w:type="dxa"/>
            <w:vAlign w:val="bottom"/>
          </w:tcPr>
          <w:p>
            <w:pPr>
              <w:jc w:val="center"/>
              <w:ind w:right="2703"/>
              <w:spacing w:after="0"/>
              <w:rPr>
                <w:sz w:val="20"/>
                <w:szCs w:val="20"/>
                <w:color w:val="auto"/>
              </w:rPr>
            </w:pPr>
            <w:r>
              <w:rPr>
                <w:rFonts w:ascii="Times New Roman" w:cs="Times New Roman" w:eastAsia="Times New Roman" w:hAnsi="Times New Roman"/>
                <w:sz w:val="14"/>
                <w:szCs w:val="14"/>
                <w:b w:val="1"/>
                <w:bCs w:val="1"/>
                <w:color w:val="auto"/>
                <w:w w:val="96"/>
              </w:rPr>
              <w:t>800 Capitol Street, Suite 3000</w:t>
            </w:r>
          </w:p>
        </w:tc>
        <w:tc>
          <w:tcPr>
            <w:tcW w:w="3340" w:type="dxa"/>
            <w:vAlign w:val="bottom"/>
          </w:tcPr>
          <w:p>
            <w:pPr>
              <w:jc w:val="right"/>
              <w:ind w:right="2412"/>
              <w:spacing w:after="0"/>
              <w:rPr>
                <w:sz w:val="20"/>
                <w:szCs w:val="20"/>
                <w:color w:val="auto"/>
              </w:rPr>
            </w:pPr>
            <w:r>
              <w:rPr>
                <w:rFonts w:ascii="Times New Roman" w:cs="Times New Roman" w:eastAsia="Times New Roman" w:hAnsi="Times New Roman"/>
                <w:sz w:val="14"/>
                <w:szCs w:val="14"/>
                <w:b w:val="1"/>
                <w:bCs w:val="1"/>
                <w:color w:val="auto"/>
              </w:rPr>
              <w:t>77002</w:t>
            </w:r>
          </w:p>
        </w:tc>
      </w:tr>
      <w:tr>
        <w:trPr>
          <w:trHeight w:val="162"/>
        </w:trPr>
        <w:tc>
          <w:tcPr>
            <w:tcW w:w="820" w:type="dxa"/>
            <w:vAlign w:val="bottom"/>
          </w:tcPr>
          <w:p>
            <w:pPr>
              <w:spacing w:after="0"/>
              <w:rPr>
                <w:sz w:val="14"/>
                <w:szCs w:val="14"/>
                <w:color w:val="auto"/>
              </w:rPr>
            </w:pPr>
          </w:p>
        </w:tc>
        <w:tc>
          <w:tcPr>
            <w:tcW w:w="7120" w:type="dxa"/>
            <w:vAlign w:val="bottom"/>
          </w:tcPr>
          <w:p>
            <w:pPr>
              <w:jc w:val="center"/>
              <w:ind w:right="2683"/>
              <w:spacing w:after="0"/>
              <w:rPr>
                <w:sz w:val="20"/>
                <w:szCs w:val="20"/>
                <w:color w:val="auto"/>
              </w:rPr>
            </w:pPr>
            <w:r>
              <w:rPr>
                <w:rFonts w:ascii="Times New Roman" w:cs="Times New Roman" w:eastAsia="Times New Roman" w:hAnsi="Times New Roman"/>
                <w:sz w:val="14"/>
                <w:szCs w:val="14"/>
                <w:b w:val="1"/>
                <w:bCs w:val="1"/>
                <w:color w:val="auto"/>
                <w:w w:val="95"/>
              </w:rPr>
              <w:t>Houston, Texas</w:t>
            </w:r>
          </w:p>
        </w:tc>
        <w:tc>
          <w:tcPr>
            <w:tcW w:w="3340" w:type="dxa"/>
            <w:vAlign w:val="bottom"/>
          </w:tcPr>
          <w:p>
            <w:pPr>
              <w:spacing w:after="0"/>
              <w:rPr>
                <w:sz w:val="14"/>
                <w:szCs w:val="14"/>
                <w:color w:val="auto"/>
              </w:rPr>
            </w:pPr>
          </w:p>
        </w:tc>
      </w:tr>
      <w:tr>
        <w:trPr>
          <w:trHeight w:val="162"/>
        </w:trPr>
        <w:tc>
          <w:tcPr>
            <w:tcW w:w="820" w:type="dxa"/>
            <w:vAlign w:val="bottom"/>
          </w:tcPr>
          <w:p>
            <w:pPr>
              <w:spacing w:after="0"/>
              <w:rPr>
                <w:sz w:val="14"/>
                <w:szCs w:val="14"/>
                <w:color w:val="auto"/>
              </w:rPr>
            </w:pPr>
          </w:p>
        </w:tc>
        <w:tc>
          <w:tcPr>
            <w:tcW w:w="7120" w:type="dxa"/>
            <w:vAlign w:val="bottom"/>
          </w:tcPr>
          <w:p>
            <w:pPr>
              <w:jc w:val="center"/>
              <w:ind w:right="2683"/>
              <w:spacing w:after="0"/>
              <w:rPr>
                <w:sz w:val="20"/>
                <w:szCs w:val="20"/>
                <w:color w:val="auto"/>
              </w:rPr>
            </w:pPr>
            <w:r>
              <w:rPr>
                <w:rFonts w:ascii="Times New Roman" w:cs="Times New Roman" w:eastAsia="Times New Roman" w:hAnsi="Times New Roman"/>
                <w:sz w:val="14"/>
                <w:szCs w:val="14"/>
                <w:b w:val="1"/>
                <w:bCs w:val="1"/>
                <w:color w:val="auto"/>
                <w:w w:val="96"/>
              </w:rPr>
              <w:t>Telephone: (713) 512-6200</w:t>
            </w:r>
          </w:p>
        </w:tc>
        <w:tc>
          <w:tcPr>
            <w:tcW w:w="3340" w:type="dxa"/>
            <w:vAlign w:val="bottom"/>
          </w:tcPr>
          <w:p>
            <w:pPr>
              <w:spacing w:after="0"/>
              <w:rPr>
                <w:sz w:val="14"/>
                <w:szCs w:val="14"/>
                <w:color w:val="auto"/>
              </w:rPr>
            </w:pPr>
          </w:p>
        </w:tc>
      </w:tr>
      <w:tr>
        <w:trPr>
          <w:trHeight w:val="179"/>
        </w:trPr>
        <w:tc>
          <w:tcPr>
            <w:tcW w:w="820" w:type="dxa"/>
            <w:vAlign w:val="bottom"/>
          </w:tcPr>
          <w:p>
            <w:pPr>
              <w:spacing w:after="0"/>
              <w:rPr>
                <w:sz w:val="15"/>
                <w:szCs w:val="15"/>
                <w:color w:val="auto"/>
              </w:rPr>
            </w:pPr>
          </w:p>
        </w:tc>
        <w:tc>
          <w:tcPr>
            <w:tcW w:w="7120" w:type="dxa"/>
            <w:vAlign w:val="bottom"/>
          </w:tcPr>
          <w:p>
            <w:pPr>
              <w:jc w:val="center"/>
              <w:ind w:right="2703"/>
              <w:spacing w:after="0"/>
              <w:rPr>
                <w:sz w:val="20"/>
                <w:szCs w:val="20"/>
                <w:color w:val="auto"/>
              </w:rPr>
            </w:pPr>
            <w:r>
              <w:rPr>
                <w:rFonts w:ascii="Times New Roman" w:cs="Times New Roman" w:eastAsia="Times New Roman" w:hAnsi="Times New Roman"/>
                <w:sz w:val="14"/>
                <w:szCs w:val="14"/>
                <w:b w:val="1"/>
                <w:bCs w:val="1"/>
                <w:color w:val="auto"/>
                <w:w w:val="96"/>
              </w:rPr>
              <w:t>(Address of registrants’ principal executive offices)</w:t>
            </w:r>
          </w:p>
        </w:tc>
        <w:tc>
          <w:tcPr>
            <w:tcW w:w="3340" w:type="dxa"/>
            <w:vAlign w:val="bottom"/>
          </w:tcPr>
          <w:p>
            <w:pPr>
              <w:jc w:val="center"/>
              <w:ind w:right="1872"/>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16661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716661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305" w:right="319" w:bottom="1440" w:gutter="0" w:footer="0" w:header="0"/>
        </w:sectPr>
      </w:pPr>
    </w:p>
    <w:bookmarkStart w:id="68" w:name="page69"/>
    <w:bookmarkEnd w:id="68"/>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661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pacing w:after="0" w:line="154" w:lineRule="exact"/>
        <w:rPr>
          <w:sz w:val="20"/>
          <w:szCs w:val="20"/>
          <w:color w:val="auto"/>
        </w:rPr>
      </w:pPr>
    </w:p>
    <w:p>
      <w:pPr>
        <w:ind w:left="479" w:hanging="479"/>
        <w:spacing w:after="0"/>
        <w:tabs>
          <w:tab w:leader="none" w:pos="479" w:val="left"/>
        </w:tabs>
        <w:numPr>
          <w:ilvl w:val="0"/>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 information. Furnish the following information as to the Trustee:</w:t>
      </w:r>
    </w:p>
    <w:p>
      <w:pPr>
        <w:spacing w:after="0" w:line="163" w:lineRule="exact"/>
        <w:rPr>
          <w:rFonts w:ascii="Times New Roman" w:cs="Times New Roman" w:eastAsia="Times New Roman" w:hAnsi="Times New Roman"/>
          <w:sz w:val="14"/>
          <w:szCs w:val="14"/>
          <w:b w:val="1"/>
          <w:bCs w:val="1"/>
          <w:color w:val="auto"/>
        </w:rPr>
      </w:pPr>
    </w:p>
    <w:p>
      <w:pPr>
        <w:ind w:left="979" w:hanging="492"/>
        <w:spacing w:after="0"/>
        <w:tabs>
          <w:tab w:leader="none" w:pos="979" w:val="left"/>
        </w:tabs>
        <w:numPr>
          <w:ilvl w:val="1"/>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Name and address of each examining or supervising authority to which it is subject.</w:t>
      </w:r>
    </w:p>
    <w:p>
      <w:pPr>
        <w:spacing w:after="0" w:line="168" w:lineRule="exact"/>
        <w:rPr>
          <w:sz w:val="20"/>
          <w:szCs w:val="20"/>
          <w:color w:val="auto"/>
        </w:rPr>
      </w:pPr>
    </w:p>
    <w:tbl>
      <w:tblPr>
        <w:tblLayout w:type="fixed"/>
        <w:tblInd w:w="559" w:type="dxa"/>
        <w:tblCellMar>
          <w:top w:w="0" w:type="dxa"/>
          <w:left w:w="0" w:type="dxa"/>
          <w:bottom w:w="0" w:type="dxa"/>
          <w:right w:w="0" w:type="dxa"/>
        </w:tblCellMar>
      </w:tblPr>
      <w:tr>
        <w:trPr>
          <w:trHeight w:val="175"/>
        </w:trPr>
        <w:tc>
          <w:tcPr>
            <w:tcW w:w="470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4"/>
                <w:szCs w:val="14"/>
                <w:color w:val="auto"/>
              </w:rPr>
              <w:t>Name</w:t>
            </w:r>
          </w:p>
        </w:tc>
        <w:tc>
          <w:tcPr>
            <w:tcW w:w="100" w:type="dxa"/>
            <w:vAlign w:val="bottom"/>
          </w:tcPr>
          <w:p>
            <w:pPr>
              <w:spacing w:after="0"/>
              <w:rPr>
                <w:sz w:val="15"/>
                <w:szCs w:val="15"/>
                <w:color w:val="auto"/>
              </w:rPr>
            </w:pPr>
          </w:p>
        </w:tc>
        <w:tc>
          <w:tcPr>
            <w:tcW w:w="424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4"/>
                <w:szCs w:val="14"/>
                <w:color w:val="auto"/>
              </w:rPr>
              <w:t>Address</w:t>
            </w:r>
          </w:p>
        </w:tc>
      </w:tr>
      <w:tr>
        <w:trPr>
          <w:trHeight w:val="302"/>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Comptroller of the Currency</w:t>
            </w: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Washington, D.C. 20219</w:t>
            </w:r>
          </w:p>
        </w:tc>
      </w:tr>
      <w:tr>
        <w:trPr>
          <w:trHeight w:val="175"/>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United Stated Department of the Treasury</w:t>
            </w:r>
          </w:p>
        </w:tc>
        <w:tc>
          <w:tcPr>
            <w:tcW w:w="100" w:type="dxa"/>
            <w:vAlign w:val="bottom"/>
          </w:tcPr>
          <w:p>
            <w:pPr>
              <w:spacing w:after="0"/>
              <w:rPr>
                <w:sz w:val="15"/>
                <w:szCs w:val="15"/>
                <w:color w:val="auto"/>
              </w:rPr>
            </w:pPr>
          </w:p>
        </w:tc>
        <w:tc>
          <w:tcPr>
            <w:tcW w:w="4240" w:type="dxa"/>
            <w:vAlign w:val="bottom"/>
          </w:tcPr>
          <w:p>
            <w:pPr>
              <w:spacing w:after="0"/>
              <w:rPr>
                <w:sz w:val="15"/>
                <w:szCs w:val="15"/>
                <w:color w:val="auto"/>
              </w:rPr>
            </w:pPr>
          </w:p>
        </w:tc>
      </w:tr>
      <w:tr>
        <w:trPr>
          <w:trHeight w:val="325"/>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Federal Reserve Bank of San Francisco</w:t>
            </w: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San Francisco, CA 94105</w:t>
            </w:r>
          </w:p>
        </w:tc>
      </w:tr>
      <w:tr>
        <w:trPr>
          <w:trHeight w:val="325"/>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Washington, D.C. 20429</w:t>
            </w:r>
          </w:p>
        </w:tc>
      </w:tr>
    </w:tbl>
    <w:p>
      <w:pPr>
        <w:spacing w:after="0" w:line="146" w:lineRule="exact"/>
        <w:rPr>
          <w:sz w:val="20"/>
          <w:szCs w:val="20"/>
          <w:color w:val="auto"/>
        </w:rPr>
      </w:pPr>
    </w:p>
    <w:p>
      <w:pPr>
        <w:ind w:left="1099" w:right="6820" w:hanging="612"/>
        <w:spacing w:after="0" w:line="484" w:lineRule="auto"/>
        <w:tabs>
          <w:tab w:leader="none" w:pos="977" w:val="left"/>
        </w:tabs>
        <w:numPr>
          <w:ilvl w:val="1"/>
          <w:numId w:val="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Whether it is authorized to exercise corporate trust powers. </w:t>
      </w:r>
      <w:r>
        <w:rPr>
          <w:rFonts w:ascii="Times New Roman" w:cs="Times New Roman" w:eastAsia="Times New Roman" w:hAnsi="Times New Roman"/>
          <w:sz w:val="14"/>
          <w:szCs w:val="14"/>
          <w:color w:val="auto"/>
        </w:rPr>
        <w:t>Yes.</w:t>
      </w:r>
    </w:p>
    <w:p>
      <w:pPr>
        <w:ind w:left="559" w:hanging="559"/>
        <w:spacing w:after="0"/>
        <w:tabs>
          <w:tab w:leader="none" w:pos="559" w:val="left"/>
        </w:tabs>
        <w:numPr>
          <w:ilvl w:val="0"/>
          <w:numId w:val="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Affiliations with Obligor and Guarantor.</w:t>
      </w:r>
    </w:p>
    <w:p>
      <w:pPr>
        <w:spacing w:after="0" w:line="164" w:lineRule="exact"/>
        <w:rPr>
          <w:sz w:val="20"/>
          <w:szCs w:val="20"/>
          <w:color w:val="auto"/>
        </w:rPr>
      </w:pPr>
    </w:p>
    <w:p>
      <w:pPr>
        <w:ind w:left="979"/>
        <w:spacing w:after="0"/>
        <w:rPr>
          <w:sz w:val="20"/>
          <w:szCs w:val="20"/>
          <w:color w:val="auto"/>
        </w:rPr>
      </w:pPr>
      <w:r>
        <w:rPr>
          <w:rFonts w:ascii="Times New Roman" w:cs="Times New Roman" w:eastAsia="Times New Roman" w:hAnsi="Times New Roman"/>
          <w:sz w:val="14"/>
          <w:szCs w:val="14"/>
          <w:b w:val="1"/>
          <w:bCs w:val="1"/>
          <w:color w:val="auto"/>
        </w:rPr>
        <w:t>If the obligor or guarantor is an affiliate of the trustee, describe each such affiliation.</w:t>
      </w:r>
    </w:p>
    <w:p>
      <w:pPr>
        <w:spacing w:after="0" w:line="168" w:lineRule="exact"/>
        <w:rPr>
          <w:sz w:val="20"/>
          <w:szCs w:val="20"/>
          <w:color w:val="auto"/>
        </w:rPr>
      </w:pPr>
    </w:p>
    <w:p>
      <w:pPr>
        <w:ind w:left="979"/>
        <w:spacing w:after="0"/>
        <w:rPr>
          <w:sz w:val="20"/>
          <w:szCs w:val="20"/>
          <w:color w:val="auto"/>
        </w:rPr>
      </w:pPr>
      <w:r>
        <w:rPr>
          <w:rFonts w:ascii="Times New Roman" w:cs="Times New Roman" w:eastAsia="Times New Roman" w:hAnsi="Times New Roman"/>
          <w:sz w:val="14"/>
          <w:szCs w:val="14"/>
          <w:color w:val="auto"/>
        </w:rPr>
        <w:t>None.</w:t>
      </w:r>
    </w:p>
    <w:p>
      <w:pPr>
        <w:spacing w:after="0" w:line="160" w:lineRule="exact"/>
        <w:rPr>
          <w:sz w:val="20"/>
          <w:szCs w:val="20"/>
          <w:color w:val="auto"/>
        </w:rPr>
      </w:pPr>
    </w:p>
    <w:p>
      <w:pPr>
        <w:ind w:left="479" w:right="60" w:hanging="486"/>
        <w:spacing w:after="0" w:line="268" w:lineRule="auto"/>
        <w:tabs>
          <w:tab w:leader="none" w:pos="458" w:val="left"/>
        </w:tabs>
        <w:rPr>
          <w:sz w:val="20"/>
          <w:szCs w:val="20"/>
          <w:color w:val="auto"/>
        </w:rPr>
      </w:pPr>
      <w:r>
        <w:rPr>
          <w:rFonts w:ascii="Times New Roman" w:cs="Times New Roman" w:eastAsia="Times New Roman" w:hAnsi="Times New Roman"/>
          <w:sz w:val="14"/>
          <w:szCs w:val="14"/>
          <w:b w:val="1"/>
          <w:bCs w:val="1"/>
          <w:color w:val="auto"/>
        </w:rPr>
        <w:t>3-15.</w:t>
        <w:tab/>
        <w:t>Pursuant to General Instruction B of the Form T-1, no responses are included for Items 3-15 of this Form T-1 because, to the best of the Trustee’s knowledge, the obligor or the guarantor is not in default under any Indenture for which the Trustee acts as Trustee and the Trustee is not a foreign trustee as provided under Item 15 .</w:t>
      </w:r>
    </w:p>
    <w:p>
      <w:pPr>
        <w:spacing w:after="0" w:line="128" w:lineRule="exact"/>
        <w:rPr>
          <w:sz w:val="20"/>
          <w:szCs w:val="20"/>
          <w:color w:val="auto"/>
        </w:rPr>
      </w:pPr>
    </w:p>
    <w:p>
      <w:pPr>
        <w:ind w:left="479" w:hanging="479"/>
        <w:spacing w:after="0"/>
        <w:tabs>
          <w:tab w:leader="none" w:pos="479"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List of Exhibits.</w:t>
      </w:r>
    </w:p>
    <w:p>
      <w:pPr>
        <w:spacing w:after="0" w:line="164" w:lineRule="exact"/>
        <w:rPr>
          <w:sz w:val="20"/>
          <w:szCs w:val="20"/>
          <w:color w:val="auto"/>
        </w:rPr>
      </w:pPr>
    </w:p>
    <w:p>
      <w:pPr>
        <w:ind w:left="979"/>
        <w:spacing w:after="0" w:line="268" w:lineRule="auto"/>
        <w:rPr>
          <w:sz w:val="20"/>
          <w:szCs w:val="20"/>
          <w:color w:val="auto"/>
        </w:rPr>
      </w:pPr>
      <w:r>
        <w:rPr>
          <w:rFonts w:ascii="Times New Roman" w:cs="Times New Roman" w:eastAsia="Times New Roman" w:hAnsi="Times New Roman"/>
          <w:sz w:val="14"/>
          <w:szCs w:val="14"/>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132" w:lineRule="exact"/>
        <w:rPr>
          <w:sz w:val="20"/>
          <w:szCs w:val="20"/>
          <w:color w:val="auto"/>
        </w:rPr>
      </w:pPr>
    </w:p>
    <w:p>
      <w:pPr>
        <w:ind w:left="979" w:right="240"/>
        <w:spacing w:after="0" w:line="262" w:lineRule="auto"/>
        <w:rPr>
          <w:sz w:val="20"/>
          <w:szCs w:val="20"/>
          <w:color w:val="auto"/>
        </w:rPr>
      </w:pPr>
      <w:r>
        <w:rPr>
          <w:rFonts w:ascii="Times New Roman" w:cs="Times New Roman" w:eastAsia="Times New Roman" w:hAnsi="Times New Roman"/>
          <w:sz w:val="14"/>
          <w:szCs w:val="14"/>
          <w:color w:val="auto"/>
        </w:rPr>
        <w:t>1.     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136" w:lineRule="exact"/>
        <w:rPr>
          <w:sz w:val="20"/>
          <w:szCs w:val="20"/>
          <w:color w:val="auto"/>
        </w:rPr>
      </w:pPr>
    </w:p>
    <w:p>
      <w:pPr>
        <w:ind w:left="979"/>
        <w:spacing w:after="0"/>
        <w:rPr>
          <w:sz w:val="20"/>
          <w:szCs w:val="20"/>
          <w:color w:val="auto"/>
        </w:rPr>
      </w:pPr>
      <w:r>
        <w:rPr>
          <w:rFonts w:ascii="Times New Roman" w:cs="Times New Roman" w:eastAsia="Times New Roman" w:hAnsi="Times New Roman"/>
          <w:sz w:val="14"/>
          <w:szCs w:val="14"/>
          <w:color w:val="auto"/>
        </w:rPr>
        <w:t>2.     A copy of certificate of authority of the trustee to commence business. (Exhibit 2 to Form T-1 filed with Registration Statement No. 333-121948).</w:t>
      </w:r>
    </w:p>
    <w:p>
      <w:pPr>
        <w:spacing w:after="0" w:line="164" w:lineRule="exact"/>
        <w:rPr>
          <w:sz w:val="20"/>
          <w:szCs w:val="20"/>
          <w:color w:val="auto"/>
        </w:rPr>
      </w:pPr>
    </w:p>
    <w:p>
      <w:pPr>
        <w:ind w:left="979"/>
        <w:spacing w:after="0"/>
        <w:rPr>
          <w:sz w:val="20"/>
          <w:szCs w:val="20"/>
          <w:color w:val="auto"/>
        </w:rPr>
      </w:pPr>
      <w:r>
        <w:rPr>
          <w:rFonts w:ascii="Times New Roman" w:cs="Times New Roman" w:eastAsia="Times New Roman" w:hAnsi="Times New Roman"/>
          <w:sz w:val="14"/>
          <w:szCs w:val="14"/>
          <w:color w:val="auto"/>
        </w:rPr>
        <w:t>3.     A copy of the authorization of the trustee to exercise corporate trust powers (Exhibit 3 to Form T-1 filed with Registration Statement No. 333-152875).).</w:t>
      </w:r>
    </w:p>
    <w:p>
      <w:pPr>
        <w:spacing w:after="0" w:line="164" w:lineRule="exact"/>
        <w:rPr>
          <w:sz w:val="20"/>
          <w:szCs w:val="20"/>
          <w:color w:val="auto"/>
        </w:rPr>
      </w:pPr>
    </w:p>
    <w:p>
      <w:pPr>
        <w:ind w:left="979"/>
        <w:spacing w:after="0"/>
        <w:rPr>
          <w:sz w:val="20"/>
          <w:szCs w:val="20"/>
          <w:color w:val="auto"/>
        </w:rPr>
      </w:pPr>
      <w:r>
        <w:rPr>
          <w:rFonts w:ascii="Times New Roman" w:cs="Times New Roman" w:eastAsia="Times New Roman" w:hAnsi="Times New Roman"/>
          <w:sz w:val="14"/>
          <w:szCs w:val="14"/>
          <w:color w:val="auto"/>
        </w:rPr>
        <w:t>4.      A copy of the existing by-laws of the trustee (Exhibit 4 to Form T-1 filed with Registration Statement No. 333-162713).</w:t>
      </w:r>
    </w:p>
    <w:p>
      <w:pPr>
        <w:spacing w:after="0" w:line="164" w:lineRule="exact"/>
        <w:rPr>
          <w:sz w:val="20"/>
          <w:szCs w:val="20"/>
          <w:color w:val="auto"/>
        </w:rPr>
      </w:pPr>
    </w:p>
    <w:p>
      <w:pPr>
        <w:ind w:left="979"/>
        <w:spacing w:after="0"/>
        <w:rPr>
          <w:sz w:val="20"/>
          <w:szCs w:val="20"/>
          <w:color w:val="auto"/>
        </w:rPr>
      </w:pPr>
      <w:r>
        <w:rPr>
          <w:rFonts w:ascii="Times New Roman" w:cs="Times New Roman" w:eastAsia="Times New Roman" w:hAnsi="Times New Roman"/>
          <w:sz w:val="14"/>
          <w:szCs w:val="14"/>
          <w:color w:val="auto"/>
        </w:rPr>
        <w:t>6.     The consent of the trustee required by Section 321(b) of the Act (Exhibit 6 to Form T-1 filed with Registration Statement No. 333-152875).</w:t>
      </w:r>
    </w:p>
    <w:p>
      <w:pPr>
        <w:spacing w:after="0" w:line="164" w:lineRule="exact"/>
        <w:rPr>
          <w:sz w:val="20"/>
          <w:szCs w:val="20"/>
          <w:color w:val="auto"/>
        </w:rPr>
      </w:pPr>
    </w:p>
    <w:p>
      <w:pPr>
        <w:ind w:left="979"/>
        <w:spacing w:after="0"/>
        <w:rPr>
          <w:sz w:val="20"/>
          <w:szCs w:val="20"/>
          <w:color w:val="auto"/>
        </w:rPr>
      </w:pPr>
      <w:r>
        <w:rPr>
          <w:rFonts w:ascii="Times New Roman" w:cs="Times New Roman" w:eastAsia="Times New Roman" w:hAnsi="Times New Roman"/>
          <w:sz w:val="14"/>
          <w:szCs w:val="14"/>
          <w:color w:val="auto"/>
        </w:rPr>
        <w:t>7.     A copy of the latest report of condition of the Trustee published pursuant to law or to the requirements of its supervising or examining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337820</wp:posOffset>
            </wp:positionV>
            <wp:extent cx="716661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39"/>
          </w:cols>
          <w:pgMar w:left="301" w:top="711" w:right="359" w:bottom="1440" w:gutter="0" w:footer="0" w:header="0"/>
        </w:sectPr>
      </w:pPr>
    </w:p>
    <w:bookmarkStart w:id="69" w:name="page70"/>
    <w:bookmarkEnd w:id="69"/>
    <w:p>
      <w:pPr>
        <w:jc w:val="center"/>
        <w:ind w:right="-39"/>
        <w:spacing w:after="0"/>
        <w:rPr>
          <w:sz w:val="20"/>
          <w:szCs w:val="20"/>
          <w:color w:val="auto"/>
        </w:rPr>
      </w:pPr>
      <w:r>
        <w:rPr>
          <w:rFonts w:ascii="Times New Roman" w:cs="Times New Roman" w:eastAsia="Times New Roman" w:hAnsi="Times New Roman"/>
          <w:sz w:val="14"/>
          <w:szCs w:val="14"/>
          <w:color w:val="auto"/>
        </w:rPr>
        <w:t>SIGNATURE</w:t>
      </w:r>
    </w:p>
    <w:p>
      <w:pPr>
        <w:spacing w:after="0" w:line="164" w:lineRule="exact"/>
        <w:rPr>
          <w:sz w:val="20"/>
          <w:szCs w:val="20"/>
          <w:color w:val="auto"/>
        </w:rPr>
      </w:pPr>
    </w:p>
    <w:p>
      <w:pPr>
        <w:ind w:firstLine="244"/>
        <w:spacing w:after="0" w:line="262" w:lineRule="auto"/>
        <w:rPr>
          <w:sz w:val="20"/>
          <w:szCs w:val="20"/>
          <w:color w:val="auto"/>
        </w:rPr>
      </w:pPr>
      <w:r>
        <w:rPr>
          <w:rFonts w:ascii="Times New Roman" w:cs="Times New Roman" w:eastAsia="Times New Roman" w:hAnsi="Times New Roman"/>
          <w:sz w:val="14"/>
          <w:szCs w:val="14"/>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Everett, and State of Massachusetts, on May 8, 2025.</w:t>
      </w:r>
    </w:p>
    <w:p>
      <w:pPr>
        <w:spacing w:after="0" w:line="1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THE BANK OF NEW YORK MELLON</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TRUST COMPANY, N.A.</w:t>
      </w:r>
    </w:p>
    <w:p>
      <w:pPr>
        <w:spacing w:after="0" w:line="152"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2"/>
          <w:szCs w:val="12"/>
          <w:color w:val="auto"/>
        </w:rPr>
        <w:t>/s/ Marie Hattinger</w:t>
      </w:r>
    </w:p>
    <w:p>
      <w:pPr>
        <w:spacing w:after="0" w:line="14" w:lineRule="exact"/>
        <w:rPr>
          <w:sz w:val="20"/>
          <w:szCs w:val="20"/>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4"/>
          <w:szCs w:val="14"/>
          <w:color w:val="auto"/>
        </w:rPr>
        <w:t>Name:</w:t>
        <w:tab/>
        <w:t>Marie Hattinger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-100965</wp:posOffset>
            </wp:positionV>
            <wp:extent cx="336423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3364230" cy="6350"/>
                    </a:xfrm>
                    <a:prstGeom prst="rect">
                      <a:avLst/>
                    </a:prstGeom>
                    <a:noFill/>
                  </pic:spPr>
                </pic:pic>
              </a:graphicData>
            </a:graphic>
          </wp:anchor>
        </w:drawing>
      </w:r>
    </w:p>
    <w:p>
      <w:pPr>
        <w:ind w:left="5980"/>
        <w:spacing w:after="0"/>
        <w:tabs>
          <w:tab w:leader="none" w:pos="65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323215</wp:posOffset>
            </wp:positionV>
            <wp:extent cx="716661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60"/>
          </w:cols>
          <w:pgMar w:left="300" w:top="715"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79"/>
        </w:trPr>
        <w:tc>
          <w:tcPr>
            <w:tcW w:w="9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w w:val="93"/>
              </w:rPr>
              <w:t>EXHIBIT 7</w:t>
            </w:r>
          </w:p>
        </w:tc>
      </w:tr>
      <w:tr>
        <w:trPr>
          <w:trHeight w:val="313"/>
        </w:trPr>
        <w:tc>
          <w:tcPr>
            <w:tcW w:w="9940" w:type="dxa"/>
            <w:vAlign w:val="bottom"/>
          </w:tcPr>
          <w:p>
            <w:pPr>
              <w:jc w:val="center"/>
              <w:ind w:left="1292"/>
              <w:spacing w:after="0"/>
              <w:rPr>
                <w:sz w:val="20"/>
                <w:szCs w:val="20"/>
                <w:color w:val="auto"/>
              </w:rPr>
            </w:pPr>
            <w:r>
              <w:rPr>
                <w:rFonts w:ascii="Times New Roman" w:cs="Times New Roman" w:eastAsia="Times New Roman" w:hAnsi="Times New Roman"/>
                <w:sz w:val="14"/>
                <w:szCs w:val="14"/>
                <w:color w:val="auto"/>
                <w:w w:val="96"/>
              </w:rPr>
              <w:t>Consolidated Report of Condition of</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9940" w:type="dxa"/>
            <w:vAlign w:val="bottom"/>
          </w:tcPr>
          <w:p>
            <w:pPr>
              <w:jc w:val="center"/>
              <w:ind w:left="1272"/>
              <w:spacing w:after="0"/>
              <w:rPr>
                <w:sz w:val="20"/>
                <w:szCs w:val="20"/>
                <w:color w:val="auto"/>
              </w:rPr>
            </w:pPr>
            <w:r>
              <w:rPr>
                <w:rFonts w:ascii="Times New Roman" w:cs="Times New Roman" w:eastAsia="Times New Roman" w:hAnsi="Times New Roman"/>
                <w:sz w:val="14"/>
                <w:szCs w:val="14"/>
                <w:color w:val="auto"/>
                <w:w w:val="95"/>
              </w:rPr>
              <w:t>THE BANK OF NEW YORK MELLON TRUST COMPANY, N.A.</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9940" w:type="dxa"/>
            <w:vAlign w:val="bottom"/>
          </w:tcPr>
          <w:p>
            <w:pPr>
              <w:jc w:val="center"/>
              <w:ind w:left="1272"/>
              <w:spacing w:after="0"/>
              <w:rPr>
                <w:sz w:val="20"/>
                <w:szCs w:val="20"/>
                <w:color w:val="auto"/>
              </w:rPr>
            </w:pPr>
            <w:r>
              <w:rPr>
                <w:rFonts w:ascii="Times New Roman" w:cs="Times New Roman" w:eastAsia="Times New Roman" w:hAnsi="Times New Roman"/>
                <w:sz w:val="14"/>
                <w:szCs w:val="14"/>
                <w:color w:val="auto"/>
                <w:w w:val="96"/>
              </w:rPr>
              <w:t>of 333 South Hope Street, Suite 2525, Los Angeles, CA 90071</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5"/>
        </w:trPr>
        <w:tc>
          <w:tcPr>
            <w:tcW w:w="99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At the close of business December 31, 2024, published in accordance with Federal regulatory authority instructions.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3"/>
        </w:trPr>
        <w:tc>
          <w:tcPr>
            <w:tcW w:w="9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6"/>
              </w:rPr>
              <w:t>Dollar amounts</w:t>
            </w:r>
          </w:p>
        </w:tc>
      </w:tr>
      <w:tr>
        <w:trPr>
          <w:trHeight w:val="175"/>
        </w:trPr>
        <w:tc>
          <w:tcPr>
            <w:tcW w:w="9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6"/>
              </w:rPr>
              <w:t>in thousands</w:t>
            </w:r>
          </w:p>
        </w:tc>
      </w:tr>
      <w:tr>
        <w:trPr>
          <w:trHeight w:val="153"/>
        </w:trPr>
        <w:tc>
          <w:tcPr>
            <w:tcW w:w="9940" w:type="dxa"/>
            <w:vAlign w:val="bottom"/>
            <w:tcBorders>
              <w:top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ASSETS</w:t>
            </w: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62"/>
        </w:trPr>
        <w:tc>
          <w:tcPr>
            <w:tcW w:w="9940" w:type="dxa"/>
            <w:vAlign w:val="bottom"/>
          </w:tcPr>
          <w:p>
            <w:pPr>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9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Noninterest-bearing balances and currency and coin</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30,948</w:t>
            </w:r>
          </w:p>
        </w:tc>
      </w:tr>
      <w:tr>
        <w:trPr>
          <w:trHeight w:val="162"/>
        </w:trPr>
        <w:tc>
          <w:tcPr>
            <w:tcW w:w="9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Interest-bearing balances</w:t>
            </w:r>
          </w:p>
        </w:tc>
        <w:tc>
          <w:tcPr>
            <w:tcW w:w="14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200,909</w:t>
            </w:r>
          </w:p>
        </w:tc>
      </w:tr>
      <w:tr>
        <w:trPr>
          <w:trHeight w:val="162"/>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9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4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2"/>
        </w:trPr>
        <w:tc>
          <w:tcPr>
            <w:tcW w:w="9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Available-for-sale debt securities</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98,676</w:t>
            </w:r>
          </w:p>
        </w:tc>
      </w:tr>
      <w:tr>
        <w:trPr>
          <w:trHeight w:val="162"/>
        </w:trPr>
        <w:tc>
          <w:tcPr>
            <w:tcW w:w="9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 not held for trading</w:t>
            </w:r>
          </w:p>
        </w:tc>
        <w:tc>
          <w:tcPr>
            <w:tcW w:w="14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2"/>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funds sold and securities purchased under agreements to resell:</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9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Federal funds sold in domestic offices</w:t>
            </w:r>
          </w:p>
        </w:tc>
        <w:tc>
          <w:tcPr>
            <w:tcW w:w="14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2"/>
        </w:trPr>
        <w:tc>
          <w:tcPr>
            <w:tcW w:w="9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2"/>
        </w:trPr>
        <w:tc>
          <w:tcPr>
            <w:tcW w:w="9940" w:type="dxa"/>
            <w:vAlign w:val="bottom"/>
          </w:tcPr>
          <w:p>
            <w:pPr>
              <w:spacing w:after="0"/>
              <w:rPr>
                <w:sz w:val="20"/>
                <w:szCs w:val="20"/>
                <w:color w:val="auto"/>
              </w:rPr>
            </w:pPr>
            <w:r>
              <w:rPr>
                <w:rFonts w:ascii="Times New Roman" w:cs="Times New Roman" w:eastAsia="Times New Roman" w:hAnsi="Times New Roman"/>
                <w:sz w:val="14"/>
                <w:szCs w:val="14"/>
                <w:color w:val="auto"/>
              </w:rPr>
              <w:t>Loans and lease financing receivables:</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9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2"/>
        </w:trPr>
        <w:tc>
          <w:tcPr>
            <w:tcW w:w="9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Loans and leases held for investment</w:t>
            </w:r>
          </w:p>
        </w:tc>
        <w:tc>
          <w:tcPr>
            <w:tcW w:w="14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2"/>
        </w:trPr>
        <w:tc>
          <w:tcPr>
            <w:tcW w:w="9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Allowance for credit losses on loans and leases</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2"/>
        </w:trPr>
        <w:tc>
          <w:tcPr>
            <w:tcW w:w="9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Loans and leases held for investment, net of allowance</w:t>
            </w:r>
          </w:p>
        </w:tc>
        <w:tc>
          <w:tcPr>
            <w:tcW w:w="14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2"/>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assets</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2"/>
        </w:trPr>
        <w:tc>
          <w:tcPr>
            <w:tcW w:w="9940" w:type="dxa"/>
            <w:vAlign w:val="bottom"/>
          </w:tcPr>
          <w:p>
            <w:pPr>
              <w:spacing w:after="0"/>
              <w:rPr>
                <w:sz w:val="20"/>
                <w:szCs w:val="20"/>
                <w:color w:val="auto"/>
              </w:rPr>
            </w:pPr>
            <w:r>
              <w:rPr>
                <w:rFonts w:ascii="Times New Roman" w:cs="Times New Roman" w:eastAsia="Times New Roman" w:hAnsi="Times New Roman"/>
                <w:sz w:val="14"/>
                <w:szCs w:val="14"/>
                <w:color w:val="auto"/>
              </w:rPr>
              <w:t>Premises and fixed assets (including right-of-use assets)</w:t>
            </w:r>
          </w:p>
        </w:tc>
        <w:tc>
          <w:tcPr>
            <w:tcW w:w="14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9,955</w:t>
            </w:r>
          </w:p>
        </w:tc>
      </w:tr>
      <w:tr>
        <w:trPr>
          <w:trHeight w:val="162"/>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2"/>
        </w:trPr>
        <w:tc>
          <w:tcPr>
            <w:tcW w:w="9940" w:type="dxa"/>
            <w:vAlign w:val="bottom"/>
          </w:tcPr>
          <w:p>
            <w:pPr>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14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2"/>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2"/>
        </w:trPr>
        <w:tc>
          <w:tcPr>
            <w:tcW w:w="994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4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856,313</w:t>
            </w:r>
          </w:p>
        </w:tc>
      </w:tr>
      <w:tr>
        <w:trPr>
          <w:trHeight w:val="162"/>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105,148</w:t>
            </w:r>
          </w:p>
        </w:tc>
      </w:tr>
      <w:tr>
        <w:trPr>
          <w:trHeight w:val="153"/>
        </w:trPr>
        <w:tc>
          <w:tcPr>
            <w:tcW w:w="99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2"/>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1,301,949</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78"/>
        </w:trPr>
        <w:tc>
          <w:tcPr>
            <w:tcW w:w="9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11" w:right="31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7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99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In domestic offices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967</w:t>
            </w:r>
          </w:p>
        </w:tc>
        <w:tc>
          <w:tcPr>
            <w:tcW w:w="80" w:type="dxa"/>
            <w:vAlign w:val="bottom"/>
          </w:tcPr>
          <w:p>
            <w:pPr>
              <w:spacing w:after="0"/>
              <w:rPr>
                <w:sz w:val="14"/>
                <w:szCs w:val="14"/>
                <w:color w:val="auto"/>
              </w:rPr>
            </w:pPr>
          </w:p>
        </w:tc>
      </w:tr>
      <w:tr>
        <w:trPr>
          <w:trHeight w:val="162"/>
        </w:trPr>
        <w:tc>
          <w:tcPr>
            <w:tcW w:w="99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Noninterest-bearing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967</w:t>
            </w:r>
          </w:p>
        </w:tc>
        <w:tc>
          <w:tcPr>
            <w:tcW w:w="80" w:type="dxa"/>
            <w:vAlign w:val="bottom"/>
            <w:shd w:val="clear" w:color="auto" w:fill="CCEEFF"/>
          </w:tcPr>
          <w:p>
            <w:pPr>
              <w:spacing w:after="0"/>
              <w:rPr>
                <w:sz w:val="14"/>
                <w:szCs w:val="14"/>
                <w:color w:val="auto"/>
              </w:rPr>
            </w:pPr>
          </w:p>
        </w:tc>
      </w:tr>
      <w:tr>
        <w:trPr>
          <w:trHeight w:val="162"/>
        </w:trPr>
        <w:tc>
          <w:tcPr>
            <w:tcW w:w="99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Interest-bearing</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r>
      <w:tr>
        <w:trPr>
          <w:trHeight w:val="162"/>
        </w:trPr>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99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Federal funds purchased in domestic offices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r>
      <w:tr>
        <w:trPr>
          <w:trHeight w:val="162"/>
        </w:trPr>
        <w:tc>
          <w:tcPr>
            <w:tcW w:w="99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r>
      <w:tr>
        <w:trPr>
          <w:trHeight w:val="16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liabilities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r>
      <w:tr>
        <w:trPr>
          <w:trHeight w:val="16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borrowed money:</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(includes mortgage indebtedness)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r>
      <w:tr>
        <w:trPr>
          <w:trHeight w:val="16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r>
      <w:tr>
        <w:trPr>
          <w:trHeight w:val="16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264,082</w:t>
            </w:r>
          </w:p>
        </w:tc>
        <w:tc>
          <w:tcPr>
            <w:tcW w:w="80" w:type="dxa"/>
            <w:vAlign w:val="bottom"/>
            <w:shd w:val="clear" w:color="auto" w:fill="CCEEFF"/>
          </w:tcPr>
          <w:p>
            <w:pPr>
              <w:spacing w:after="0"/>
              <w:rPr>
                <w:sz w:val="14"/>
                <w:szCs w:val="14"/>
                <w:color w:val="auto"/>
              </w:rPr>
            </w:pPr>
          </w:p>
        </w:tc>
      </w:tr>
      <w:tr>
        <w:trPr>
          <w:trHeight w:val="16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265,049</w:t>
            </w:r>
          </w:p>
        </w:tc>
        <w:tc>
          <w:tcPr>
            <w:tcW w:w="80" w:type="dxa"/>
            <w:vAlign w:val="bottom"/>
          </w:tcPr>
          <w:p>
            <w:pPr>
              <w:spacing w:after="0"/>
              <w:rPr>
                <w:sz w:val="14"/>
                <w:szCs w:val="14"/>
                <w:color w:val="auto"/>
              </w:rPr>
            </w:pPr>
          </w:p>
        </w:tc>
      </w:tr>
      <w:tr>
        <w:trPr>
          <w:trHeight w:val="16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94"/>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EQUITY CAPITAL</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3"/>
        </w:trPr>
        <w:tc>
          <w:tcPr>
            <w:tcW w:w="7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Perpetual preferred stock and related surplus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r>
      <w:tr>
        <w:trPr>
          <w:trHeight w:val="16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4"/>
                <w:szCs w:val="14"/>
                <w:color w:val="auto"/>
              </w:rPr>
            </w:pPr>
          </w:p>
        </w:tc>
      </w:tr>
      <w:tr>
        <w:trPr>
          <w:trHeight w:val="16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Surplus (exclude all surplus related to preferred stock)</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107,246</w:t>
            </w:r>
          </w:p>
        </w:tc>
        <w:tc>
          <w:tcPr>
            <w:tcW w:w="80" w:type="dxa"/>
            <w:vAlign w:val="bottom"/>
            <w:shd w:val="clear" w:color="auto" w:fill="CCEEFF"/>
          </w:tcPr>
          <w:p>
            <w:pPr>
              <w:spacing w:after="0"/>
              <w:rPr>
                <w:sz w:val="14"/>
                <w:szCs w:val="14"/>
                <w:color w:val="auto"/>
              </w:rPr>
            </w:pPr>
          </w:p>
        </w:tc>
      </w:tr>
      <w:tr>
        <w:trPr>
          <w:trHeight w:val="16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9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928,635</w:t>
            </w:r>
          </w:p>
        </w:tc>
        <w:tc>
          <w:tcPr>
            <w:tcW w:w="80" w:type="dxa"/>
            <w:vAlign w:val="bottom"/>
            <w:shd w:val="clear" w:color="auto" w:fill="CCEEFF"/>
          </w:tcPr>
          <w:p>
            <w:pPr>
              <w:spacing w:after="0"/>
              <w:rPr>
                <w:sz w:val="14"/>
                <w:szCs w:val="14"/>
                <w:color w:val="auto"/>
              </w:rPr>
            </w:pPr>
          </w:p>
        </w:tc>
      </w:tr>
      <w:tr>
        <w:trPr>
          <w:trHeight w:val="162"/>
        </w:trPr>
        <w:tc>
          <w:tcPr>
            <w:tcW w:w="99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4"/>
                <w:szCs w:val="14"/>
                <w:color w:val="auto"/>
              </w:rPr>
            </w:pPr>
          </w:p>
        </w:tc>
      </w:tr>
      <w:tr>
        <w:trPr>
          <w:trHeight w:val="16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equity capital components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r>
      <w:tr>
        <w:trPr>
          <w:trHeight w:val="162"/>
        </w:trPr>
        <w:tc>
          <w:tcPr>
            <w:tcW w:w="9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9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bank equity capital</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1,036,900</w:t>
            </w:r>
          </w:p>
        </w:tc>
        <w:tc>
          <w:tcPr>
            <w:tcW w:w="80" w:type="dxa"/>
            <w:vAlign w:val="bottom"/>
            <w:shd w:val="clear" w:color="auto" w:fill="CCEEFF"/>
          </w:tcPr>
          <w:p>
            <w:pPr>
              <w:spacing w:after="0"/>
              <w:rPr>
                <w:sz w:val="14"/>
                <w:szCs w:val="14"/>
                <w:color w:val="auto"/>
              </w:rPr>
            </w:pPr>
          </w:p>
        </w:tc>
      </w:tr>
      <w:tr>
        <w:trPr>
          <w:trHeight w:val="162"/>
        </w:trPr>
        <w:tc>
          <w:tcPr>
            <w:tcW w:w="99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Noncontrolling (minority) interests in consolidated subsidiaries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r>
      <w:tr>
        <w:trPr>
          <w:trHeight w:val="162"/>
        </w:trPr>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 capital</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1,036,900</w:t>
            </w:r>
          </w:p>
        </w:tc>
        <w:tc>
          <w:tcPr>
            <w:tcW w:w="80" w:type="dxa"/>
            <w:vAlign w:val="bottom"/>
            <w:shd w:val="clear" w:color="auto" w:fill="CCEEFF"/>
          </w:tcPr>
          <w:p>
            <w:pPr>
              <w:spacing w:after="0"/>
              <w:rPr>
                <w:sz w:val="14"/>
                <w:szCs w:val="14"/>
                <w:color w:val="auto"/>
              </w:rPr>
            </w:pPr>
          </w:p>
        </w:tc>
      </w:tr>
      <w:tr>
        <w:trPr>
          <w:trHeight w:val="153"/>
        </w:trPr>
        <w:tc>
          <w:tcPr>
            <w:tcW w:w="994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color w:val="auto"/>
              </w:rPr>
              <w:t>Total liabilities and equity capital</w:t>
            </w:r>
          </w:p>
        </w:tc>
        <w:tc>
          <w:tcPr>
            <w:tcW w:w="124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1,301,949</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0" w:lineRule="exact"/>
        <w:rPr>
          <w:sz w:val="20"/>
          <w:szCs w:val="20"/>
          <w:color w:val="auto"/>
        </w:rPr>
      </w:pPr>
    </w:p>
    <w:p>
      <w:pPr>
        <w:ind w:right="700" w:firstLine="487"/>
        <w:spacing w:after="0" w:line="262" w:lineRule="auto"/>
        <w:rPr>
          <w:sz w:val="20"/>
          <w:szCs w:val="20"/>
          <w:color w:val="auto"/>
        </w:rPr>
      </w:pPr>
      <w:r>
        <w:rPr>
          <w:rFonts w:ascii="Times New Roman" w:cs="Times New Roman" w:eastAsia="Times New Roman" w:hAnsi="Times New Roman"/>
          <w:sz w:val="14"/>
          <w:szCs w:val="14"/>
          <w:color w:val="auto"/>
        </w:rPr>
        <w:t>I, Shana Quinn,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36" w:lineRule="exact"/>
        <w:rPr>
          <w:sz w:val="20"/>
          <w:szCs w:val="20"/>
          <w:color w:val="auto"/>
        </w:rPr>
      </w:pPr>
    </w:p>
    <w:p>
      <w:pPr>
        <w:ind w:left="480"/>
        <w:spacing w:after="0"/>
        <w:tabs>
          <w:tab w:leader="none" w:pos="1440" w:val="left"/>
          <w:tab w:leader="none" w:pos="3020" w:val="left"/>
        </w:tabs>
        <w:rPr>
          <w:sz w:val="20"/>
          <w:szCs w:val="20"/>
          <w:color w:val="auto"/>
        </w:rPr>
      </w:pPr>
      <w:r>
        <w:rPr>
          <w:rFonts w:ascii="Times New Roman" w:cs="Times New Roman" w:eastAsia="Times New Roman" w:hAnsi="Times New Roman"/>
          <w:sz w:val="14"/>
          <w:szCs w:val="14"/>
          <w:color w:val="auto"/>
        </w:rPr>
        <w:t>Shana Quinn</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2"/>
          <w:szCs w:val="12"/>
          <w:color w:val="auto"/>
        </w:rPr>
        <w:t>CFO</w:t>
      </w:r>
    </w:p>
    <w:p>
      <w:pPr>
        <w:spacing w:after="0" w:line="164" w:lineRule="exact"/>
        <w:rPr>
          <w:sz w:val="20"/>
          <w:szCs w:val="20"/>
          <w:color w:val="auto"/>
        </w:rPr>
      </w:pPr>
    </w:p>
    <w:p>
      <w:pPr>
        <w:ind w:right="40" w:firstLine="487"/>
        <w:spacing w:after="0" w:line="262" w:lineRule="auto"/>
        <w:rPr>
          <w:sz w:val="20"/>
          <w:szCs w:val="20"/>
          <w:color w:val="auto"/>
        </w:rPr>
      </w:pPr>
      <w:r>
        <w:rPr>
          <w:rFonts w:ascii="Times New Roman" w:cs="Times New Roman" w:eastAsia="Times New Roman" w:hAnsi="Times New Roman"/>
          <w:sz w:val="14"/>
          <w:szCs w:val="14"/>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Kevin C. Weeks, President</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6040" w:type="dxa"/>
            <w:vAlign w:val="bottom"/>
          </w:tcPr>
          <w:p>
            <w:pPr>
              <w:spacing w:after="0"/>
              <w:rPr>
                <w:sz w:val="14"/>
                <w:szCs w:val="14"/>
                <w:color w:val="auto"/>
              </w:rPr>
            </w:pPr>
          </w:p>
        </w:tc>
      </w:tr>
      <w:tr>
        <w:trPr>
          <w:trHeight w:val="162"/>
        </w:trPr>
        <w:tc>
          <w:tcPr>
            <w:tcW w:w="3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Cathleen Sokolowski, Managing Director</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6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Directors (Trustees)</w:t>
            </w:r>
          </w:p>
        </w:tc>
      </w:tr>
      <w:tr>
        <w:trPr>
          <w:trHeight w:val="175"/>
        </w:trPr>
        <w:tc>
          <w:tcPr>
            <w:tcW w:w="3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Jon M. Pocchia, Senior Director</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6040" w:type="dxa"/>
            <w:vAlign w:val="bottom"/>
          </w:tcPr>
          <w:p>
            <w:pPr>
              <w:spacing w:after="0"/>
              <w:rPr>
                <w:sz w:val="15"/>
                <w:szCs w:val="15"/>
                <w:color w:val="auto"/>
              </w:rPr>
            </w:pPr>
          </w:p>
        </w:tc>
      </w:tr>
      <w:tr>
        <w:trPr>
          <w:trHeight w:val="508"/>
        </w:trPr>
        <w:tc>
          <w:tcPr>
            <w:tcW w:w="38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699" w:right="31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6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WASTE MANAGEMENT, INC.</w:t>
      </w:r>
    </w:p>
    <w:p>
      <w:pPr>
        <w:spacing w:after="0" w:line="16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LETTER OF TRANSMITTAL</w:t>
      </w:r>
    </w:p>
    <w:p>
      <w:pPr>
        <w:spacing w:after="0" w:line="16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OFFER TO EXCHANGE</w:t>
      </w:r>
    </w:p>
    <w:p>
      <w:pPr>
        <w:spacing w:after="0" w:line="16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$485,084,000 PRINCIPAL AMOUNT OF ITS 3.875% SENIOR NOTES DUE 2029</w:t>
      </w:r>
    </w:p>
    <w:p>
      <w:pPr>
        <w:spacing w:after="0" w:line="1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(CUSIP NUMBER 94106LCA5),</w:t>
      </w:r>
    </w:p>
    <w:p>
      <w:pPr>
        <w:spacing w:after="0" w:line="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2"/>
          <w:szCs w:val="12"/>
          <w:b w:val="1"/>
          <w:bCs w:val="1"/>
          <w:color w:val="auto"/>
        </w:rPr>
        <w:t>THE ISSUANCE OF WHICH HAS BEEN REGISTERED UNDER THE SECURITIES ACT OF 1933, AS</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AMENDED,</w:t>
      </w:r>
    </w:p>
    <w:p>
      <w:pPr>
        <w:spacing w:after="0" w:line="14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FOR</w:t>
      </w:r>
    </w:p>
    <w:p>
      <w:pPr>
        <w:spacing w:after="0" w:line="16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AN EQUAL PRINCIPAL AMOUNT OF ITS 3.875% SENIOR NOTES DUE 2029</w:t>
      </w:r>
    </w:p>
    <w:p>
      <w:pPr>
        <w:spacing w:after="0" w:line="1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(CUSIP NUMBERS 94106LBZ1 AND U94106AK4)</w:t>
      </w:r>
    </w:p>
    <w:p>
      <w:pPr>
        <w:spacing w:after="0" w:line="15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2"/>
          <w:szCs w:val="12"/>
          <w:b w:val="1"/>
          <w:bCs w:val="1"/>
          <w:color w:val="auto"/>
        </w:rPr>
        <w:t>THE EXCHANGE OFFER AND WITHDRAWAL RIGHTS WILL EXPIRE AT 5:00 P.M.,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-85725</wp:posOffset>
            </wp:positionV>
            <wp:extent cx="7172325" cy="2317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172325" cy="231775"/>
                    </a:xfrm>
                    <a:prstGeom prst="rect">
                      <a:avLst/>
                    </a:prstGeom>
                    <a:noFill/>
                  </pic:spPr>
                </pic:pic>
              </a:graphicData>
            </a:graphic>
          </wp:anchor>
        </w:drawing>
      </w:r>
    </w:p>
    <w:p>
      <w:pPr>
        <w:spacing w:after="0" w:line="21" w:lineRule="exact"/>
        <w:rPr>
          <w:sz w:val="20"/>
          <w:szCs w:val="20"/>
          <w:color w:val="auto"/>
        </w:rPr>
      </w:pPr>
    </w:p>
    <w:p>
      <w:pPr>
        <w:ind w:left="1940"/>
        <w:spacing w:after="0"/>
        <w:tabs>
          <w:tab w:leader="none" w:pos="3500" w:val="left"/>
        </w:tabs>
        <w:rPr>
          <w:sz w:val="20"/>
          <w:szCs w:val="20"/>
          <w:color w:val="auto"/>
        </w:rPr>
      </w:pPr>
      <w:r>
        <w:rPr>
          <w:rFonts w:ascii="Times New Roman" w:cs="Times New Roman" w:eastAsia="Times New Roman" w:hAnsi="Times New Roman"/>
          <w:sz w:val="14"/>
          <w:szCs w:val="14"/>
          <w:b w:val="1"/>
          <w:bCs w:val="1"/>
          <w:color w:val="auto"/>
        </w:rPr>
        <w:t>CITY TIME, ON</w:t>
      </w:r>
      <w:r>
        <w:rPr>
          <w:sz w:val="20"/>
          <w:szCs w:val="20"/>
          <w:color w:val="auto"/>
        </w:rPr>
        <w:tab/>
      </w:r>
      <w:r>
        <w:rPr>
          <w:rFonts w:ascii="Times New Roman" w:cs="Times New Roman" w:eastAsia="Times New Roman" w:hAnsi="Times New Roman"/>
          <w:sz w:val="12"/>
          <w:szCs w:val="12"/>
          <w:b w:val="1"/>
          <w:bCs w:val="1"/>
          <w:color w:val="auto"/>
        </w:rPr>
        <w:t>, 2025 (THE “</w:t>
      </w:r>
      <w:r>
        <w:rPr>
          <w:rFonts w:ascii="Times New Roman" w:cs="Times New Roman" w:eastAsia="Times New Roman" w:hAnsi="Times New Roman"/>
          <w:sz w:val="12"/>
          <w:szCs w:val="12"/>
          <w:b w:val="1"/>
          <w:bCs w:val="1"/>
          <w:i w:val="1"/>
          <w:iCs w:val="1"/>
          <w:color w:val="auto"/>
        </w:rPr>
        <w:t>EXPIRATION DATE</w:t>
      </w:r>
      <w:r>
        <w:rPr>
          <w:rFonts w:ascii="Times New Roman" w:cs="Times New Roman" w:eastAsia="Times New Roman" w:hAnsi="Times New Roman"/>
          <w:sz w:val="12"/>
          <w:szCs w:val="12"/>
          <w:b w:val="1"/>
          <w:bCs w:val="1"/>
          <w:color w:val="auto"/>
        </w:rPr>
        <w:t>”), UNLESS EXTENDED.</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i w:val="1"/>
          <w:iCs w:val="1"/>
          <w:color w:val="auto"/>
        </w:rPr>
        <w:t>The Exchange Agent is:</w:t>
      </w:r>
    </w:p>
    <w:p>
      <w:pPr>
        <w:spacing w:after="0" w:line="16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BANK OF NEW YORK MELLON TRUST COMPANY, N.A.</w:t>
      </w:r>
    </w:p>
    <w:p>
      <w:pPr>
        <w:spacing w:after="0" w:line="1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i w:val="1"/>
          <w:iCs w:val="1"/>
          <w:color w:val="auto"/>
        </w:rPr>
        <w:t>By Registered or Certified Mail, Overnight Delivery:</w:t>
      </w:r>
    </w:p>
    <w:p>
      <w:pPr>
        <w:spacing w:after="0" w:line="1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The Bank of New York Mellon Trust Company, N.A., as Exchange Agent</w:t>
      </w:r>
    </w:p>
    <w:p>
      <w:pPr>
        <w:spacing w:after="0" w:line="1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c/o The Bank of New York Mellon</w:t>
      </w:r>
    </w:p>
    <w:p>
      <w:pPr>
        <w:spacing w:after="0" w:line="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Corporate Trust Reorg Unit</w:t>
      </w:r>
    </w:p>
    <w:p>
      <w:pPr>
        <w:spacing w:after="0" w:line="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500 Ross Street, Suite 625</w:t>
      </w:r>
    </w:p>
    <w:p>
      <w:pPr>
        <w:spacing w:after="0" w:line="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Pittsburgh, PA 15262</w:t>
      </w:r>
    </w:p>
    <w:p>
      <w:pPr>
        <w:spacing w:after="0" w:line="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u w:val="single" w:color="auto"/>
          <w:color w:val="auto"/>
        </w:rPr>
        <w:t>CT_REORG_UNIT_INQUIRIES@bnymellon.com</w:t>
      </w:r>
    </w:p>
    <w:p>
      <w:pPr>
        <w:spacing w:after="0" w:line="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Attn: (Raman) Uthandaraman K.</w:t>
      </w:r>
    </w:p>
    <w:p>
      <w:pPr>
        <w:spacing w:after="0" w:line="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615-381-1655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323215</wp:posOffset>
            </wp:positionV>
            <wp:extent cx="716661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0140"/>
          </w:cols>
          <w:pgMar w:left="1440" w:top="305" w:right="319" w:bottom="1440" w:gutter="0" w:footer="0" w:header="0"/>
        </w:sectPr>
      </w:pPr>
    </w:p>
    <w:bookmarkStart w:id="73" w:name="page74"/>
    <w:bookmarkEnd w:id="73"/>
    <w:p>
      <w:pPr>
        <w:ind w:firstLine="244"/>
        <w:spacing w:after="0" w:line="292" w:lineRule="auto"/>
        <w:rPr>
          <w:sz w:val="20"/>
          <w:szCs w:val="20"/>
          <w:color w:val="auto"/>
        </w:rPr>
      </w:pPr>
      <w:r>
        <w:rPr>
          <w:rFonts w:ascii="Times New Roman" w:cs="Times New Roman" w:eastAsia="Times New Roman" w:hAnsi="Times New Roman"/>
          <w:sz w:val="12"/>
          <w:szCs w:val="12"/>
          <w:color w:val="auto"/>
        </w:rPr>
        <w:t>IF YOU WISH TO EXCHANGE CURRENTLY OUTSTANDING RESTRICTED NOTES FOR AN EQUAL AGGREGATE PRINCIPAL AMOUNT OF REGISTERED NOTES PURSUANT TO THE EXCHANGE OFFER, YOU MUST VALIDLY TENDER (AND NOT WITHDRAW) RESTRICTED NOTES TO THE EXCHANGE AGENT PRIOR TO 5:00 P.M., NEW YORK CITY TIME, ON</w:t>
      </w:r>
    </w:p>
    <w:p>
      <w:pPr>
        <w:spacing w:after="0" w:line="1" w:lineRule="exact"/>
        <w:rPr>
          <w:sz w:val="20"/>
          <w:szCs w:val="20"/>
          <w:color w:val="auto"/>
        </w:rPr>
      </w:pPr>
    </w:p>
    <w:p>
      <w:pPr>
        <w:ind w:firstLine="1"/>
        <w:spacing w:after="0" w:line="244" w:lineRule="auto"/>
        <w:tabs>
          <w:tab w:leader="none" w:pos="73"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2025 BY DELIVERING A PROPERLY COMPLETED AND SIGNED LETTER OF TRANSMITTAL TO THE EXCHANGE AGENT OR BY CAUSING AN AGENT’S MESSAGE TO BE RECEIVED BY THE EXCHANGE AGENT PRIOR TO SUCH TIME. CERTAIN TERMS USED IN THIS PARAGRAPH BUT NOT DEFINED ARE DEFINED BELOW.</w:t>
      </w:r>
    </w:p>
    <w:p>
      <w:pPr>
        <w:spacing w:after="0" w:line="146" w:lineRule="exact"/>
        <w:rPr>
          <w:sz w:val="20"/>
          <w:szCs w:val="20"/>
          <w:color w:val="auto"/>
        </w:rPr>
      </w:pPr>
    </w:p>
    <w:p>
      <w:pPr>
        <w:jc w:val="both"/>
        <w:ind w:firstLine="244"/>
        <w:spacing w:after="0" w:line="265" w:lineRule="auto"/>
        <w:rPr>
          <w:sz w:val="20"/>
          <w:szCs w:val="20"/>
          <w:color w:val="auto"/>
        </w:rPr>
      </w:pPr>
      <w:r>
        <w:rPr>
          <w:rFonts w:ascii="Times New Roman" w:cs="Times New Roman" w:eastAsia="Times New Roman" w:hAnsi="Times New Roman"/>
          <w:sz w:val="14"/>
          <w:szCs w:val="14"/>
          <w:color w:val="auto"/>
        </w:rPr>
        <w:t>Delivery of this Letter of Transmittal (this “</w:t>
      </w:r>
      <w:r>
        <w:rPr>
          <w:rFonts w:ascii="Times New Roman" w:cs="Times New Roman" w:eastAsia="Times New Roman" w:hAnsi="Times New Roman"/>
          <w:sz w:val="14"/>
          <w:szCs w:val="14"/>
          <w:i w:val="1"/>
          <w:iCs w:val="1"/>
          <w:color w:val="auto"/>
        </w:rPr>
        <w:t>Letter of Transmittal</w:t>
      </w:r>
      <w:r>
        <w:rPr>
          <w:rFonts w:ascii="Times New Roman" w:cs="Times New Roman" w:eastAsia="Times New Roman" w:hAnsi="Times New Roman"/>
          <w:sz w:val="14"/>
          <w:szCs w:val="14"/>
          <w:color w:val="auto"/>
        </w:rPr>
        <w:t>”) to an address other than as set forth above will not constitute a valid delivery. Only hard copies of this Letter of Transmittal or presentations via The Depository Trust Company’s (“</w:t>
      </w:r>
      <w:r>
        <w:rPr>
          <w:rFonts w:ascii="Times New Roman" w:cs="Times New Roman" w:eastAsia="Times New Roman" w:hAnsi="Times New Roman"/>
          <w:sz w:val="14"/>
          <w:szCs w:val="14"/>
          <w:i w:val="1"/>
          <w:iCs w:val="1"/>
          <w:color w:val="auto"/>
        </w:rPr>
        <w:t>DTC</w:t>
      </w:r>
      <w:r>
        <w:rPr>
          <w:rFonts w:ascii="Times New Roman" w:cs="Times New Roman" w:eastAsia="Times New Roman" w:hAnsi="Times New Roman"/>
          <w:sz w:val="14"/>
          <w:szCs w:val="14"/>
          <w:color w:val="auto"/>
        </w:rPr>
        <w:t>”) Automated Tender Offer Program (“</w:t>
      </w:r>
      <w:r>
        <w:rPr>
          <w:rFonts w:ascii="Times New Roman" w:cs="Times New Roman" w:eastAsia="Times New Roman" w:hAnsi="Times New Roman"/>
          <w:sz w:val="14"/>
          <w:szCs w:val="14"/>
          <w:i w:val="1"/>
          <w:iCs w:val="1"/>
          <w:color w:val="auto"/>
        </w:rPr>
        <w:t>ATOP</w:t>
      </w:r>
      <w:r>
        <w:rPr>
          <w:rFonts w:ascii="Times New Roman" w:cs="Times New Roman" w:eastAsia="Times New Roman" w:hAnsi="Times New Roman"/>
          <w:sz w:val="14"/>
          <w:szCs w:val="14"/>
          <w:color w:val="auto"/>
        </w:rPr>
        <w:t>”) will be accepted.</w:t>
      </w:r>
    </w:p>
    <w:p>
      <w:pPr>
        <w:spacing w:after="0" w:line="132" w:lineRule="exact"/>
        <w:rPr>
          <w:sz w:val="20"/>
          <w:szCs w:val="20"/>
          <w:color w:val="auto"/>
        </w:rPr>
      </w:pPr>
    </w:p>
    <w:p>
      <w:pPr>
        <w:jc w:val="both"/>
        <w:ind w:firstLine="244"/>
        <w:spacing w:after="0" w:line="295" w:lineRule="auto"/>
        <w:rPr>
          <w:sz w:val="20"/>
          <w:szCs w:val="20"/>
          <w:color w:val="auto"/>
        </w:rPr>
      </w:pPr>
      <w:r>
        <w:rPr>
          <w:rFonts w:ascii="Times New Roman" w:cs="Times New Roman" w:eastAsia="Times New Roman" w:hAnsi="Times New Roman"/>
          <w:sz w:val="12"/>
          <w:szCs w:val="12"/>
          <w:color w:val="auto"/>
        </w:rPr>
        <w:t>The undersigned acknowledges receipt of the Prospectus dated , 2025 (the “</w:t>
      </w:r>
      <w:r>
        <w:rPr>
          <w:rFonts w:ascii="Times New Roman" w:cs="Times New Roman" w:eastAsia="Times New Roman" w:hAnsi="Times New Roman"/>
          <w:sz w:val="12"/>
          <w:szCs w:val="12"/>
          <w:i w:val="1"/>
          <w:iCs w:val="1"/>
          <w:color w:val="auto"/>
        </w:rPr>
        <w:t>Prospectus</w:t>
      </w:r>
      <w:r>
        <w:rPr>
          <w:rFonts w:ascii="Times New Roman" w:cs="Times New Roman" w:eastAsia="Times New Roman" w:hAnsi="Times New Roman"/>
          <w:sz w:val="12"/>
          <w:szCs w:val="12"/>
          <w:color w:val="auto"/>
        </w:rPr>
        <w:t>”) of Waste Management, Inc., a Delaware corporation (the “</w:t>
      </w:r>
      <w:r>
        <w:rPr>
          <w:rFonts w:ascii="Times New Roman" w:cs="Times New Roman" w:eastAsia="Times New Roman" w:hAnsi="Times New Roman"/>
          <w:sz w:val="12"/>
          <w:szCs w:val="12"/>
          <w:i w:val="1"/>
          <w:iCs w:val="1"/>
          <w:color w:val="auto"/>
        </w:rPr>
        <w:t>Issuer</w:t>
      </w:r>
      <w:r>
        <w:rPr>
          <w:rFonts w:ascii="Times New Roman" w:cs="Times New Roman" w:eastAsia="Times New Roman" w:hAnsi="Times New Roman"/>
          <w:sz w:val="12"/>
          <w:szCs w:val="12"/>
          <w:color w:val="auto"/>
        </w:rPr>
        <w:t>”) and this Letter of Transmittal, which together describe the Issuer’s offer (the “</w:t>
      </w:r>
      <w:r>
        <w:rPr>
          <w:rFonts w:ascii="Times New Roman" w:cs="Times New Roman" w:eastAsia="Times New Roman" w:hAnsi="Times New Roman"/>
          <w:sz w:val="12"/>
          <w:szCs w:val="12"/>
          <w:i w:val="1"/>
          <w:iCs w:val="1"/>
          <w:color w:val="auto"/>
        </w:rPr>
        <w:t>Exchange Offer</w:t>
      </w:r>
      <w:r>
        <w:rPr>
          <w:rFonts w:ascii="Times New Roman" w:cs="Times New Roman" w:eastAsia="Times New Roman" w:hAnsi="Times New Roman"/>
          <w:sz w:val="12"/>
          <w:szCs w:val="12"/>
          <w:color w:val="auto"/>
        </w:rPr>
        <w:t>”) to exchange all of its outstanding unregistered 3.875% Senior Notes due 2029 (CUSIP Nos. 94106LBZ1 and U94106AK4) (the “</w:t>
      </w:r>
      <w:r>
        <w:rPr>
          <w:rFonts w:ascii="Times New Roman" w:cs="Times New Roman" w:eastAsia="Times New Roman" w:hAnsi="Times New Roman"/>
          <w:sz w:val="12"/>
          <w:szCs w:val="12"/>
          <w:i w:val="1"/>
          <w:iCs w:val="1"/>
          <w:color w:val="auto"/>
        </w:rPr>
        <w:t>Restricted Notes</w:t>
      </w:r>
      <w:r>
        <w:rPr>
          <w:rFonts w:ascii="Times New Roman" w:cs="Times New Roman" w:eastAsia="Times New Roman" w:hAnsi="Times New Roman"/>
          <w:sz w:val="12"/>
          <w:szCs w:val="12"/>
          <w:color w:val="auto"/>
        </w:rPr>
        <w:t>”), issued by the Issuer on November 8, 2024 in a private offer pursuant to which such notes were exchanged for notes of Stericycle, Inc., a Delaware corporation, that are validly tendered and not validly withdrawn for an equal principal amount of the Issuer’s 3.875% Senior Notes due 2029 (CUSIP No. 94106LCA5) (the “</w:t>
      </w:r>
      <w:r>
        <w:rPr>
          <w:rFonts w:ascii="Times New Roman" w:cs="Times New Roman" w:eastAsia="Times New Roman" w:hAnsi="Times New Roman"/>
          <w:sz w:val="12"/>
          <w:szCs w:val="12"/>
          <w:i w:val="1"/>
          <w:iCs w:val="1"/>
          <w:color w:val="auto"/>
        </w:rPr>
        <w:t>Registered Notes</w:t>
      </w:r>
      <w:r>
        <w:rPr>
          <w:rFonts w:ascii="Times New Roman" w:cs="Times New Roman" w:eastAsia="Times New Roman" w:hAnsi="Times New Roman"/>
          <w:sz w:val="12"/>
          <w:szCs w:val="12"/>
          <w:color w:val="auto"/>
        </w:rPr>
        <w:t>”), the offer of which has been registered under the Securities Act of 1933, as amended (the “</w:t>
      </w:r>
      <w:r>
        <w:rPr>
          <w:rFonts w:ascii="Times New Roman" w:cs="Times New Roman" w:eastAsia="Times New Roman" w:hAnsi="Times New Roman"/>
          <w:sz w:val="12"/>
          <w:szCs w:val="12"/>
          <w:i w:val="1"/>
          <w:iCs w:val="1"/>
          <w:color w:val="auto"/>
        </w:rPr>
        <w:t>Securities Act</w:t>
      </w:r>
      <w:r>
        <w:rPr>
          <w:rFonts w:ascii="Times New Roman" w:cs="Times New Roman" w:eastAsia="Times New Roman" w:hAnsi="Times New Roman"/>
          <w:sz w:val="12"/>
          <w:szCs w:val="12"/>
          <w:color w:val="auto"/>
        </w:rPr>
        <w:t>”). The Exchange Offer is being made in reliance on the position of the staff of the U.S. Securities and Exchange Commission (the “</w:t>
      </w:r>
      <w:r>
        <w:rPr>
          <w:rFonts w:ascii="Times New Roman" w:cs="Times New Roman" w:eastAsia="Times New Roman" w:hAnsi="Times New Roman"/>
          <w:sz w:val="12"/>
          <w:szCs w:val="12"/>
          <w:i w:val="1"/>
          <w:iCs w:val="1"/>
          <w:color w:val="auto"/>
        </w:rPr>
        <w:t>Staff</w:t>
      </w:r>
      <w:r>
        <w:rPr>
          <w:rFonts w:ascii="Times New Roman" w:cs="Times New Roman" w:eastAsia="Times New Roman" w:hAnsi="Times New Roman"/>
          <w:sz w:val="12"/>
          <w:szCs w:val="12"/>
          <w:color w:val="auto"/>
        </w:rPr>
        <w:t>”) enunciated in its interpretive letters to Exxon Capital Holdings Corporation (available May 13, 1988), Morgan Stanley &amp; Co., Incorporated (available June 5, 1991) and Shearman &amp; Sterling (available July 2, 1993).</w:t>
      </w:r>
    </w:p>
    <w:p>
      <w:pPr>
        <w:spacing w:after="0" w:line="121" w:lineRule="exact"/>
        <w:rPr>
          <w:sz w:val="20"/>
          <w:szCs w:val="20"/>
          <w:color w:val="auto"/>
        </w:rPr>
      </w:pPr>
    </w:p>
    <w:p>
      <w:pPr>
        <w:jc w:val="both"/>
        <w:ind w:firstLine="244"/>
        <w:spacing w:after="0" w:line="252" w:lineRule="auto"/>
        <w:rPr>
          <w:sz w:val="20"/>
          <w:szCs w:val="20"/>
          <w:color w:val="auto"/>
        </w:rPr>
      </w:pPr>
      <w:r>
        <w:rPr>
          <w:rFonts w:ascii="Times New Roman" w:cs="Times New Roman" w:eastAsia="Times New Roman" w:hAnsi="Times New Roman"/>
          <w:sz w:val="14"/>
          <w:szCs w:val="14"/>
          <w:color w:val="auto"/>
        </w:rPr>
        <w:t>The terms of the Registered Notes to be issued in the Exchange Offer are substantially identical in all material respects to the Restricted Notes, except that the Registered Notes will not be subject to restrictions on transfer or to any increase in annual interest rate for failure to comply with the Registration Rights Agreement dated as of November 8, 2024 (the “</w:t>
      </w:r>
      <w:r>
        <w:rPr>
          <w:rFonts w:ascii="Times New Roman" w:cs="Times New Roman" w:eastAsia="Times New Roman" w:hAnsi="Times New Roman"/>
          <w:sz w:val="14"/>
          <w:szCs w:val="14"/>
          <w:i w:val="1"/>
          <w:iCs w:val="1"/>
          <w:color w:val="auto"/>
        </w:rPr>
        <w:t>Registration Rights Agreement</w:t>
      </w:r>
      <w:r>
        <w:rPr>
          <w:rFonts w:ascii="Times New Roman" w:cs="Times New Roman" w:eastAsia="Times New Roman" w:hAnsi="Times New Roman"/>
          <w:sz w:val="14"/>
          <w:szCs w:val="14"/>
          <w:color w:val="auto"/>
        </w:rPr>
        <w:t>”), by and between the Issuer, Waste Management Holdings, Inc., Barclays Capital Inc., Deutsche Bank Securities Inc. and Goldman Sachs &amp; Co. LLC.</w:t>
      </w:r>
    </w:p>
    <w:p>
      <w:pPr>
        <w:spacing w:after="0" w:line="142" w:lineRule="exact"/>
        <w:rPr>
          <w:sz w:val="20"/>
          <w:szCs w:val="20"/>
          <w:color w:val="auto"/>
        </w:rPr>
      </w:pPr>
    </w:p>
    <w:p>
      <w:pPr>
        <w:jc w:val="both"/>
        <w:ind w:firstLine="244"/>
        <w:spacing w:after="0" w:line="252" w:lineRule="auto"/>
        <w:rPr>
          <w:sz w:val="20"/>
          <w:szCs w:val="20"/>
          <w:color w:val="auto"/>
        </w:rPr>
      </w:pPr>
      <w:r>
        <w:rPr>
          <w:rFonts w:ascii="Times New Roman" w:cs="Times New Roman" w:eastAsia="Times New Roman" w:hAnsi="Times New Roman"/>
          <w:sz w:val="14"/>
          <w:szCs w:val="14"/>
          <w:color w:val="auto"/>
        </w:rPr>
        <w:t>The Issuer is not making the Exchange Offer to holders of the Restricted Notes in any jurisdiction in which the Exchange Offer or the acceptance of the Exchange Offer would not be in compliance with the securities or blue sky laws of such jurisdiction. Nor will the Issuer accept surrenders for exchange from holders of the Restricted Notes in any jurisdiction in which the Exchange Offer or the acceptance of the Exchange Offer would not be in compliance with the securities or blue sky laws of such jurisdiction.</w:t>
      </w:r>
    </w:p>
    <w:p>
      <w:pPr>
        <w:spacing w:after="0" w:line="1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Capitalized terms used but not defined herein shall have the same meaning given them in the Prospectus.</w:t>
      </w:r>
    </w:p>
    <w:p>
      <w:pPr>
        <w:spacing w:after="0" w:line="164" w:lineRule="exact"/>
        <w:rPr>
          <w:sz w:val="20"/>
          <w:szCs w:val="20"/>
          <w:color w:val="auto"/>
        </w:rPr>
      </w:pPr>
    </w:p>
    <w:p>
      <w:pPr>
        <w:jc w:val="both"/>
        <w:ind w:firstLine="244"/>
        <w:spacing w:after="0" w:line="252" w:lineRule="auto"/>
        <w:rPr>
          <w:sz w:val="20"/>
          <w:szCs w:val="20"/>
          <w:color w:val="auto"/>
        </w:rPr>
      </w:pPr>
      <w:r>
        <w:rPr>
          <w:rFonts w:ascii="Times New Roman" w:cs="Times New Roman" w:eastAsia="Times New Roman" w:hAnsi="Times New Roman"/>
          <w:sz w:val="14"/>
          <w:szCs w:val="14"/>
          <w:color w:val="auto"/>
        </w:rPr>
        <w:t>YOUR BANK OR BROKER CAN ASSIST YOU IN COMPLETING THIS FORM. THE INSTRUCTIONS INCLUDED WITH THIS LETTER OF TRANSMITTAL MUST BE FOLLOWED. QUESTIONS RELATING TO THE PROCEDURE FOR TENDERING AND REQUESTS FOR ASSISTANCE OR FOR ADDITIONAL COPIES OF THE PROSPECTUS AND THIS LETTER OF TRANSMITTAL MAY BE DIRECTED TO THE EXCHANGE AGENT.</w:t>
      </w:r>
    </w:p>
    <w:p>
      <w:pPr>
        <w:spacing w:after="0" w:line="1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undersigned has checked the appropriate boxes below and signed this Letter of Transmittal to indicate the action the undersigned desires to take with respect to the Exchange Offer.</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716661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t>PLEASE READ THE ENTIRE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LETTER OF TRANSMITTAL AND THE PROSPECTUS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CAREFULLY BEFORE CHECKING ANY BOX BELOW.</w:t>
      </w:r>
    </w:p>
    <w:p>
      <w:pPr>
        <w:spacing w:after="0" w:line="152" w:lineRule="exact"/>
        <w:rPr>
          <w:sz w:val="20"/>
          <w:szCs w:val="20"/>
          <w:color w:val="auto"/>
        </w:rPr>
      </w:pPr>
    </w:p>
    <w:p>
      <w:pPr>
        <w:ind w:firstLine="244"/>
        <w:spacing w:after="0" w:line="262" w:lineRule="auto"/>
        <w:rPr>
          <w:sz w:val="20"/>
          <w:szCs w:val="20"/>
          <w:color w:val="auto"/>
        </w:rPr>
      </w:pPr>
      <w:r>
        <w:rPr>
          <w:rFonts w:ascii="Times New Roman" w:cs="Times New Roman" w:eastAsia="Times New Roman" w:hAnsi="Times New Roman"/>
          <w:sz w:val="14"/>
          <w:szCs w:val="14"/>
          <w:color w:val="auto"/>
        </w:rPr>
        <w:t>List below the Restricted Notes to which this Letter of Transmittal relates. If the space provided below is inadequate, the aggregate principal amounts should be listed on a separate signed schedule affixed hereto.</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RESTRICTED NOTES TENDERED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66610" cy="16109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7166610" cy="16109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6"/>
        </w:trPr>
        <w:tc>
          <w:tcPr>
            <w:tcW w:w="5660" w:type="dxa"/>
            <w:vAlign w:val="bottom"/>
            <w:tcBorders>
              <w:top w:val="single" w:sz="8" w:color="auto"/>
              <w:right w:val="single" w:sz="8" w:color="auto"/>
            </w:tcBorders>
          </w:tcPr>
          <w:p>
            <w:pPr>
              <w:spacing w:after="0"/>
              <w:rPr>
                <w:sz w:val="11"/>
                <w:szCs w:val="11"/>
                <w:color w:val="auto"/>
              </w:rPr>
            </w:pPr>
          </w:p>
        </w:tc>
        <w:tc>
          <w:tcPr>
            <w:tcW w:w="1480" w:type="dxa"/>
            <w:vAlign w:val="bottom"/>
            <w:tcBorders>
              <w:top w:val="single" w:sz="8" w:color="auto"/>
              <w:right w:val="single" w:sz="8" w:color="auto"/>
            </w:tcBorders>
          </w:tcPr>
          <w:p>
            <w:pPr>
              <w:spacing w:after="0"/>
              <w:rPr>
                <w:sz w:val="11"/>
                <w:szCs w:val="11"/>
                <w:color w:val="auto"/>
              </w:rPr>
            </w:pPr>
          </w:p>
        </w:tc>
        <w:tc>
          <w:tcPr>
            <w:tcW w:w="248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1660" w:type="dxa"/>
            <w:vAlign w:val="bottom"/>
            <w:tcBorders>
              <w:top w:val="single" w:sz="8" w:color="auto"/>
            </w:tcBorders>
          </w:tcPr>
          <w:p>
            <w:pPr>
              <w:spacing w:after="0"/>
              <w:rPr>
                <w:sz w:val="11"/>
                <w:szCs w:val="11"/>
                <w:color w:val="auto"/>
              </w:rPr>
            </w:pPr>
          </w:p>
        </w:tc>
      </w:tr>
      <w:tr>
        <w:trPr>
          <w:trHeight w:val="162"/>
        </w:trPr>
        <w:tc>
          <w:tcPr>
            <w:tcW w:w="566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Principal Amount</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Principal</w:t>
            </w:r>
          </w:p>
        </w:tc>
      </w:tr>
      <w:tr>
        <w:trPr>
          <w:trHeight w:val="162"/>
        </w:trPr>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Name(s) and Address(es) of Registered Holder(s)</w:t>
            </w:r>
          </w:p>
        </w:tc>
        <w:tc>
          <w:tcPr>
            <w:tcW w:w="148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Represented by Restricted</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179"/>
        </w:trPr>
        <w:tc>
          <w:tcPr>
            <w:tcW w:w="5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(Please fill in)</w:t>
            </w:r>
          </w:p>
        </w:tc>
        <w:tc>
          <w:tcPr>
            <w:tcW w:w="148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Notes*</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Tendered**</w:t>
            </w:r>
          </w:p>
        </w:tc>
      </w:tr>
      <w:tr>
        <w:trPr>
          <w:trHeight w:val="153"/>
        </w:trPr>
        <w:tc>
          <w:tcPr>
            <w:tcW w:w="566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r>
      <w:tr>
        <w:trPr>
          <w:trHeight w:val="153"/>
        </w:trPr>
        <w:tc>
          <w:tcPr>
            <w:tcW w:w="566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r>
      <w:tr>
        <w:trPr>
          <w:trHeight w:val="153"/>
        </w:trPr>
        <w:tc>
          <w:tcPr>
            <w:tcW w:w="566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r>
      <w:tr>
        <w:trPr>
          <w:trHeight w:val="153"/>
        </w:trPr>
        <w:tc>
          <w:tcPr>
            <w:tcW w:w="566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r>
      <w:tr>
        <w:trPr>
          <w:trHeight w:val="153"/>
        </w:trPr>
        <w:tc>
          <w:tcPr>
            <w:tcW w:w="566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r>
      <w:tr>
        <w:trPr>
          <w:trHeight w:val="153"/>
        </w:trPr>
        <w:tc>
          <w:tcPr>
            <w:tcW w:w="566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Total:</w:t>
            </w:r>
          </w:p>
        </w:tc>
        <w:tc>
          <w:tcPr>
            <w:tcW w:w="248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r>
      <w:tr>
        <w:trPr>
          <w:trHeight w:val="298"/>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Need not be completed by book-entry holders.</w:t>
            </w:r>
          </w:p>
        </w:tc>
        <w:tc>
          <w:tcPr>
            <w:tcW w:w="14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9"/>
        </w:trPr>
        <w:tc>
          <w:tcPr>
            <w:tcW w:w="9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 Unless otherwise indicated, the holder will be deemed to have tendered the full aggregate principal amount represented by the Restricted Notes. See instruction 2.</w:t>
            </w:r>
          </w:p>
        </w:tc>
        <w:tc>
          <w:tcPr>
            <w:tcW w:w="1660" w:type="dxa"/>
            <w:vAlign w:val="bottom"/>
          </w:tcPr>
          <w:p>
            <w:pPr>
              <w:spacing w:after="0"/>
              <w:rPr>
                <w:sz w:val="15"/>
                <w:szCs w:val="15"/>
                <w:color w:val="auto"/>
              </w:rPr>
            </w:pPr>
          </w:p>
        </w:tc>
      </w:tr>
    </w:tbl>
    <w:p>
      <w:pPr>
        <w:spacing w:after="0" w:line="335" w:lineRule="exact"/>
        <w:rPr>
          <w:sz w:val="20"/>
          <w:szCs w:val="20"/>
          <w:color w:val="auto"/>
        </w:rPr>
      </w:pPr>
    </w:p>
    <w:p>
      <w:pPr>
        <w:jc w:val="both"/>
        <w:ind w:firstLine="244"/>
        <w:spacing w:after="0" w:line="273" w:lineRule="auto"/>
        <w:rPr>
          <w:sz w:val="20"/>
          <w:szCs w:val="20"/>
          <w:color w:val="auto"/>
        </w:rPr>
      </w:pPr>
      <w:r>
        <w:rPr>
          <w:rFonts w:ascii="Times New Roman" w:cs="Times New Roman" w:eastAsia="Times New Roman" w:hAnsi="Times New Roman"/>
          <w:sz w:val="16"/>
          <w:szCs w:val="16"/>
          <w:color w:val="auto"/>
        </w:rPr>
        <w:t>Unless the context otherwise requires, the term “holder” for purposes of this Letter of Transmittal means any person in whose name Restricted Notes are registered or any other person who has obtained a properly completed bond power from the registered holder or any person whose Restricted Notes are held of record by DTC.</w:t>
      </w:r>
    </w:p>
    <w:p>
      <w:pPr>
        <w:spacing w:after="0" w:line="133" w:lineRule="exact"/>
        <w:rPr>
          <w:sz w:val="20"/>
          <w:szCs w:val="20"/>
          <w:color w:val="auto"/>
        </w:rPr>
      </w:pPr>
    </w:p>
    <w:p>
      <w:pPr>
        <w:ind w:left="480" w:right="1360" w:hanging="479"/>
        <w:spacing w:after="0" w:line="484" w:lineRule="auto"/>
        <w:tabs>
          <w:tab w:leader="none" w:pos="480" w:val="left"/>
        </w:tabs>
        <w:numPr>
          <w:ilvl w:val="0"/>
          <w:numId w:val="44"/>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CHECK HERE IF REGISTERED NOTES ARE TO BE ISSUED TO A PERSON OTHER THAN THE PERSON SIGNING THIS LETTER OF TRANSMITTAL: Name:</w:t>
      </w:r>
    </w:p>
    <w:p>
      <w:pPr>
        <w:ind w:left="48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Address:</w:t>
      </w:r>
    </w:p>
    <w:p>
      <w:pPr>
        <w:spacing w:after="0" w:line="163" w:lineRule="exact"/>
        <w:rPr>
          <w:rFonts w:ascii="MS PGothic" w:cs="MS PGothic" w:eastAsia="MS PGothic" w:hAnsi="MS PGothic"/>
          <w:sz w:val="14"/>
          <w:szCs w:val="14"/>
          <w:color w:val="auto"/>
        </w:rPr>
      </w:pPr>
    </w:p>
    <w:p>
      <w:pPr>
        <w:ind w:left="480" w:right="60" w:hanging="479"/>
        <w:spacing w:after="0" w:line="484" w:lineRule="auto"/>
        <w:tabs>
          <w:tab w:leader="none" w:pos="480" w:val="left"/>
        </w:tabs>
        <w:numPr>
          <w:ilvl w:val="0"/>
          <w:numId w:val="44"/>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CHECK HERE IF REGISTERED NOTES ARE TO BE DELIVERED TO AN ADDRESS DIFFERENT FROM THAT LISTED ELSEWHERE IN THIS LETTER OF TRANSMITTAL: Name:</w:t>
      </w:r>
    </w:p>
    <w:p>
      <w:pPr>
        <w:ind w:left="48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Address:</w:t>
      </w:r>
    </w:p>
    <w:p>
      <w:pPr>
        <w:spacing w:after="0" w:line="163" w:lineRule="exact"/>
        <w:rPr>
          <w:rFonts w:ascii="MS PGothic" w:cs="MS PGothic" w:eastAsia="MS PGothic" w:hAnsi="MS PGothic"/>
          <w:sz w:val="14"/>
          <w:szCs w:val="14"/>
          <w:color w:val="auto"/>
        </w:rPr>
      </w:pPr>
    </w:p>
    <w:p>
      <w:pPr>
        <w:jc w:val="both"/>
        <w:ind w:left="480" w:hanging="479"/>
        <w:spacing w:after="0" w:line="352" w:lineRule="auto"/>
        <w:tabs>
          <w:tab w:leader="none" w:pos="480" w:val="left"/>
        </w:tabs>
        <w:numPr>
          <w:ilvl w:val="0"/>
          <w:numId w:val="44"/>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CHECK HERE IF YOU ARE A BROKER-DEALER THAT ACQUIRED RESTRICTED NOTES FOR YOUR OWN ACCOUNT AS A RESULT OF MARKET MAKING OR OTHER TRADING ACTIVITIES AND WISH TO RECEIVE 10 ADDITIONAL COPIES OF THE PROSPECTUS AND 10 COPIES OF ANY AMENDMENTS OR SUPPLEMENTS THERETO.</w:t>
      </w:r>
    </w:p>
    <w:p>
      <w:pPr>
        <w:spacing w:after="0" w:line="82" w:lineRule="exact"/>
        <w:rPr>
          <w:rFonts w:ascii="MS PGothic" w:cs="MS PGothic" w:eastAsia="MS PGothic" w:hAnsi="MS PGothic"/>
          <w:sz w:val="12"/>
          <w:szCs w:val="12"/>
          <w:color w:val="auto"/>
        </w:rPr>
      </w:pPr>
    </w:p>
    <w:p>
      <w:pPr>
        <w:ind w:left="480"/>
        <w:spacing w:after="0"/>
        <w:rPr>
          <w:rFonts w:ascii="MS PGothic" w:cs="MS PGothic" w:eastAsia="MS PGothic" w:hAnsi="MS PGothic"/>
          <w:sz w:val="12"/>
          <w:szCs w:val="12"/>
          <w:color w:val="auto"/>
        </w:rPr>
      </w:pPr>
      <w:r>
        <w:rPr>
          <w:rFonts w:ascii="Times New Roman" w:cs="Times New Roman" w:eastAsia="Times New Roman" w:hAnsi="Times New Roman"/>
          <w:sz w:val="14"/>
          <w:szCs w:val="14"/>
          <w:b w:val="1"/>
          <w:bCs w:val="1"/>
          <w:color w:val="auto"/>
        </w:rPr>
        <w:t>Name:</w:t>
      </w:r>
    </w:p>
    <w:p>
      <w:pPr>
        <w:spacing w:after="0" w:line="163" w:lineRule="exact"/>
        <w:rPr>
          <w:rFonts w:ascii="MS PGothic" w:cs="MS PGothic" w:eastAsia="MS PGothic" w:hAnsi="MS PGothic"/>
          <w:sz w:val="12"/>
          <w:szCs w:val="12"/>
          <w:color w:val="auto"/>
        </w:rPr>
      </w:pPr>
    </w:p>
    <w:p>
      <w:pPr>
        <w:ind w:left="480"/>
        <w:spacing w:after="0"/>
        <w:rPr>
          <w:rFonts w:ascii="MS PGothic" w:cs="MS PGothic" w:eastAsia="MS PGothic" w:hAnsi="MS PGothic"/>
          <w:sz w:val="12"/>
          <w:szCs w:val="12"/>
          <w:color w:val="auto"/>
        </w:rPr>
      </w:pPr>
      <w:r>
        <w:rPr>
          <w:rFonts w:ascii="Times New Roman" w:cs="Times New Roman" w:eastAsia="Times New Roman" w:hAnsi="Times New Roman"/>
          <w:sz w:val="14"/>
          <w:szCs w:val="14"/>
          <w:b w:val="1"/>
          <w:bCs w:val="1"/>
          <w:color w:val="auto"/>
        </w:rPr>
        <w:t>Address: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716661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1" w:right="319" w:bottom="1440" w:gutter="0" w:footer="0" w:header="0"/>
        </w:sectPr>
      </w:pPr>
    </w:p>
    <w:bookmarkStart w:id="75" w:name="page76"/>
    <w:bookmarkEnd w:id="75"/>
    <w:p>
      <w:pPr>
        <w:jc w:val="both"/>
        <w:ind w:firstLine="244"/>
        <w:spacing w:after="0" w:line="289" w:lineRule="auto"/>
        <w:rPr>
          <w:sz w:val="20"/>
          <w:szCs w:val="20"/>
          <w:color w:val="auto"/>
        </w:rPr>
      </w:pPr>
      <w:r>
        <w:rPr>
          <w:rFonts w:ascii="Times New Roman" w:cs="Times New Roman" w:eastAsia="Times New Roman" w:hAnsi="Times New Roman"/>
          <w:sz w:val="12"/>
          <w:szCs w:val="12"/>
          <w:color w:val="auto"/>
        </w:rPr>
        <w:t>If the undersigned is not a broker-dealer, the undersigned represents that it is (i) acquiring the Registered Notes in the ordinary course of business, (ii) not engaged in, and does not intend to engage in, and it has no arrangement or understanding with any person to participate in, a distribution of Registered Notes in violation of the Securities Act, (iii) not an “affiliate” (as defined in Rule 405 under the Securities Act) or, if it is such an “affiliate,” the undersigned will comply with the prospectus delivery requirements of the Securities Act to the extent applicable in connection with any resale of the Registered Notes and</w:t>
      </w:r>
    </w:p>
    <w:p>
      <w:pPr>
        <w:spacing w:after="0" w:line="1" w:lineRule="exact"/>
        <w:rPr>
          <w:sz w:val="20"/>
          <w:szCs w:val="20"/>
          <w:color w:val="auto"/>
        </w:rPr>
      </w:pPr>
    </w:p>
    <w:p>
      <w:pPr>
        <w:jc w:val="both"/>
        <w:ind w:firstLine="1"/>
        <w:spacing w:after="0" w:line="290" w:lineRule="auto"/>
        <w:tabs>
          <w:tab w:leader="none" w:pos="233"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prohibited by any law or policy from participating in the Exchange Offer. If the undersigned is a broker-dealer that will receive Registered Notes for its own account in exchange for Restricted Notes that were acquired as a result of market-making activities or other trading activities, it acknowledges that it will deliver a prospectus in connection with any resale of such Registered Notes; however, by so acknowledging and by delivering a prospectus, the undersigned will not be deemed to admit that it is an “underwriter” within the meaning of the Securities Act. A broker-dealer may not participate in the Exchange Offer with respect to Restricted Notes acquired other than as a result of market-making activities or other trading activities. Any holder who is an “affiliate” of the Issuer or who has an arrangement or understanding with respect to the distribution of the Registered Notes to be acquired pursuant to the Exchange Offer, or any broker-dealer that purchased Restricted Notes from the Issuer to resell pursuant to Rule 144A under the Securities Act or any other available exemption under the Securities Act must comply with the registration and prospectus delivery requirements under the Securities Act.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PLEASE READ THE ACCOMPANYING INSTRUCTIONS CAREFULLY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Ladies and Gentlemen:</w:t>
      </w:r>
    </w:p>
    <w:p>
      <w:pPr>
        <w:spacing w:after="0" w:line="168" w:lineRule="exact"/>
        <w:rPr>
          <w:sz w:val="20"/>
          <w:szCs w:val="20"/>
          <w:color w:val="auto"/>
        </w:rPr>
      </w:pPr>
    </w:p>
    <w:p>
      <w:pPr>
        <w:jc w:val="both"/>
        <w:ind w:firstLine="244"/>
        <w:spacing w:after="0" w:line="246" w:lineRule="auto"/>
        <w:rPr>
          <w:sz w:val="20"/>
          <w:szCs w:val="20"/>
          <w:color w:val="auto"/>
        </w:rPr>
      </w:pPr>
      <w:r>
        <w:rPr>
          <w:rFonts w:ascii="Times New Roman" w:cs="Times New Roman" w:eastAsia="Times New Roman" w:hAnsi="Times New Roman"/>
          <w:sz w:val="14"/>
          <w:szCs w:val="14"/>
          <w:color w:val="auto"/>
        </w:rPr>
        <w:t>Upon the terms and subject to the conditions of the Exchange Offer, the undersigned hereby tenders to the Issuer the principal amount of the Restricted Notes indicated above. Unless otherwise indicated above, the undersigned will be deemed to have tendered the full aggregate principal amount represented by the Restricted Notes. Subject to, and effective upon, the acceptance for exchange of any portion of the Restricted Notes tendered herewith in accordance with the terms and conditions of the Exchange Offer (including, if the Exchange Offer is extended or amended, the terms and conditions of any such extension or amendment), the undersigned hereby exchanges, assigns and transfers to, or upon the order of, the Issuer, all right, title and interest in and to such Restricted Notes as are being tendered herewith. The undersigned hereby irrevocably constitutes and appoints the Exchange Agent as the true and lawful agent and attorney-in-fact of the undersigned (with full knowledge that the Exchange Agent also acts as the agent of the Issuer in connection with the Exchange Offer) to cause the Restricted Notes to be assigned, transferred and exchanged.</w:t>
      </w:r>
    </w:p>
    <w:p>
      <w:pPr>
        <w:spacing w:after="0" w:line="147" w:lineRule="exact"/>
        <w:rPr>
          <w:sz w:val="20"/>
          <w:szCs w:val="20"/>
          <w:color w:val="auto"/>
        </w:rPr>
      </w:pPr>
    </w:p>
    <w:p>
      <w:pPr>
        <w:jc w:val="both"/>
        <w:ind w:firstLine="244"/>
        <w:spacing w:after="0" w:line="245" w:lineRule="auto"/>
        <w:rPr>
          <w:sz w:val="20"/>
          <w:szCs w:val="20"/>
          <w:color w:val="auto"/>
        </w:rPr>
      </w:pPr>
      <w:r>
        <w:rPr>
          <w:rFonts w:ascii="Times New Roman" w:cs="Times New Roman" w:eastAsia="Times New Roman" w:hAnsi="Times New Roman"/>
          <w:sz w:val="14"/>
          <w:szCs w:val="14"/>
          <w:color w:val="auto"/>
        </w:rPr>
        <w:t>The undersigned represents and warrants that it has full power and authority to tender, exchange, assign and transfer the Restricted Notes and to acquire Registered Notes issuable upon the exchange of such tendered Restricted Notes, and that, when the same are accepted for exchange, the Issuer will acquire good and unencumbered title to the tendered Restricted Notes, free and clear of all liens, restrictions, charges and encumbrances and not subject to any adverse claim. The undersigned also warrants that it will, upon request, execute and deliver any additional documents deemed by the Exchange Agent or the Issuer to be necessary or desirable to complete the exchange, assignment and transfer of the tendered Restricted Notes or transfer ownership of such Restricted Notes on the account books maintained by the book-entry transfer facility. The undersigned further agrees that acceptance of any and all validly tendered Restricted Notes by the Issuer and the issuance of Registered Notes in exchange therefor shall constitute performance in full by the Issuer of its obligations under the Registration Rights Agreement, and that the Issuer shall have no further obligations or liabilities thereunder. The undersigned will comply with its obligations under the Registration Rights Agreement.</w:t>
      </w:r>
    </w:p>
    <w:p>
      <w:pPr>
        <w:spacing w:after="0" w:line="149" w:lineRule="exact"/>
        <w:rPr>
          <w:sz w:val="20"/>
          <w:szCs w:val="20"/>
          <w:color w:val="auto"/>
        </w:rPr>
      </w:pPr>
    </w:p>
    <w:p>
      <w:pPr>
        <w:jc w:val="both"/>
        <w:ind w:firstLine="244"/>
        <w:spacing w:after="0" w:line="248" w:lineRule="auto"/>
        <w:rPr>
          <w:sz w:val="20"/>
          <w:szCs w:val="20"/>
          <w:color w:val="auto"/>
        </w:rPr>
      </w:pPr>
      <w:r>
        <w:rPr>
          <w:rFonts w:ascii="Times New Roman" w:cs="Times New Roman" w:eastAsia="Times New Roman" w:hAnsi="Times New Roman"/>
          <w:sz w:val="14"/>
          <w:szCs w:val="14"/>
          <w:color w:val="auto"/>
        </w:rPr>
        <w:t>The undersigned understands that tenders of Restricted Notes pursuant to any one of the procedures described in the Prospectus and in the instructions attached hereto will, upon the Issuer’s acceptance for exchange of such tendered Restricted Notes, constitute a binding agreement between the undersigned and the Issuer upon the terms and subject to the conditions of the Exchange Offer. The undersigned recognizes that, under circumstances set forth in the Prospectus, the Issuer may not be required to accept for exchange any of the Restricted Notes. Any Restricted Notes not tendered in the Exchange Offer will remain outstanding and continue to accrue interest but will not retain any rights under the Registration Rights Agreement, except as otherwise specified therein.</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716661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76" w:name="page77"/>
    <w:bookmarkEnd w:id="76"/>
    <w:p>
      <w:pPr>
        <w:jc w:val="both"/>
        <w:ind w:firstLine="244"/>
        <w:spacing w:after="0" w:line="244" w:lineRule="auto"/>
        <w:rPr>
          <w:sz w:val="20"/>
          <w:szCs w:val="20"/>
          <w:color w:val="auto"/>
        </w:rPr>
      </w:pPr>
      <w:r>
        <w:rPr>
          <w:rFonts w:ascii="Times New Roman" w:cs="Times New Roman" w:eastAsia="Times New Roman" w:hAnsi="Times New Roman"/>
          <w:sz w:val="14"/>
          <w:szCs w:val="14"/>
          <w:color w:val="auto"/>
        </w:rPr>
        <w:t>By tendering Restricted Notes and executing this Letter of Transmittal, the undersigned represents that (i) the holder is not an “affiliate” of the Issuer within the meaning of Rule 405 under the Securities Act or, if such an “affiliate,” will comply with the registration and prospectus delivery requirements of the Securities Act to the extent applicable in connection with the resale of the Registered Notes; (ii) the holder is not engaging in and does not intend to engage in, and has no arrangement or understanding with any person to participate in, the distribution (within the meaning of the Securities Act) of the Registered Notes in violation of the provisions of the Securities Act; (iii) the holder is acquiring any Registered Notes to be received by it in its ordinary course of business; (iv) the holder is not prohibited by any law or policy from participating in the Exchange Offer and (v) if the holder is a broker-dealer that will receive the Registered Notes for its own account in exchange for the Restricted Notes that were acquired as a result of market-making or other trading activities, such holder will deliver a prospectus (or, to the extent permitted by law, make available a prospectus to purchasers) meeting the requirements of the Securities Act in connection with any resales of the Registered Notes. If the undersigned or the person receiving such Registered Notes, whether or not such person is the undersigned, is a broker-dealer that will receive Registered Notes for its own account in exchange for Restricted Notes that were acquired as a result of market-making activities or other trading activities, it acknowledges that it will deliver a prospectus in connection with any resale of such Registered Notes; however, by so acknowledging and by delivering a prospectus, the undersigned will not be deemed to admit that it is an “underwriter” within the meaning of the Securities Act.</w:t>
      </w:r>
    </w:p>
    <w:p>
      <w:pPr>
        <w:spacing w:after="0" w:line="150" w:lineRule="exact"/>
        <w:rPr>
          <w:sz w:val="20"/>
          <w:szCs w:val="20"/>
          <w:color w:val="auto"/>
        </w:rPr>
      </w:pPr>
    </w:p>
    <w:p>
      <w:pPr>
        <w:jc w:val="both"/>
        <w:ind w:firstLine="244"/>
        <w:spacing w:after="0" w:line="252" w:lineRule="auto"/>
        <w:rPr>
          <w:sz w:val="20"/>
          <w:szCs w:val="20"/>
          <w:color w:val="auto"/>
        </w:rPr>
      </w:pPr>
      <w:r>
        <w:rPr>
          <w:rFonts w:ascii="Times New Roman" w:cs="Times New Roman" w:eastAsia="Times New Roman" w:hAnsi="Times New Roman"/>
          <w:sz w:val="14"/>
          <w:szCs w:val="14"/>
          <w:color w:val="auto"/>
        </w:rPr>
        <w:t>The undersigned understands that all resales of the Registered Notes must be made in compliance with applicable state securities or blue sky laws. If a resale does not qualify for an exemption from these laws, the undersigned acknowledges that it may be necessary to register or qualify the Registered Notes in a particular state or to make the resale through a licensed broker-dealer in order to comply with these laws. The undersigned further understands that the Issuer assumes no responsibility regarding compliance with state securities or blue sky laws in connection with resales.</w:t>
      </w:r>
    </w:p>
    <w:p>
      <w:pPr>
        <w:spacing w:after="0" w:line="142" w:lineRule="exact"/>
        <w:rPr>
          <w:sz w:val="20"/>
          <w:szCs w:val="20"/>
          <w:color w:val="auto"/>
        </w:rPr>
      </w:pPr>
    </w:p>
    <w:p>
      <w:pPr>
        <w:jc w:val="both"/>
        <w:ind w:firstLine="487"/>
        <w:spacing w:after="0" w:line="246" w:lineRule="auto"/>
        <w:rPr>
          <w:sz w:val="20"/>
          <w:szCs w:val="20"/>
          <w:color w:val="auto"/>
        </w:rPr>
      </w:pPr>
      <w:r>
        <w:rPr>
          <w:rFonts w:ascii="Times New Roman" w:cs="Times New Roman" w:eastAsia="Times New Roman" w:hAnsi="Times New Roman"/>
          <w:sz w:val="14"/>
          <w:szCs w:val="14"/>
          <w:color w:val="auto"/>
        </w:rPr>
        <w:t>The undersigned acknowledges that this Exchange Offer is being made in reliance on interpretations by the Staff, as set forth in no-action letters issued to third parties, that the Registered Notes issued pursuant to the Exchange Offer in exchange for the Restricted Notes may be offered for resale, resold and otherwise transferred by holders thereof (other than any such holder that is an “affiliate,” as defined in Rule 405 of the Securities Act), without compliance with the registration and prospectus delivery provisions of the Securities Act, provided that such Registered Notes are acquired in the ordinary course of such holders’ business and such holders have not engaged in, do not intend to engage in, and have no arrangement or understanding with any person to participate in a distribution of such Registered Notes in violation of the Securities Act. However, the Staff has not considered the Exchange Offer in the context of a no-action letter and there can be no assurance that the Staff would make a similar determination with respect to the Exchange Offer as in other circumstances.</w:t>
      </w:r>
    </w:p>
    <w:p>
      <w:pPr>
        <w:spacing w:after="0" w:line="147" w:lineRule="exact"/>
        <w:rPr>
          <w:sz w:val="20"/>
          <w:szCs w:val="20"/>
          <w:color w:val="auto"/>
        </w:rPr>
      </w:pPr>
    </w:p>
    <w:p>
      <w:pPr>
        <w:jc w:val="both"/>
        <w:ind w:firstLine="244"/>
        <w:spacing w:after="0" w:line="252" w:lineRule="auto"/>
        <w:rPr>
          <w:sz w:val="20"/>
          <w:szCs w:val="20"/>
          <w:color w:val="auto"/>
        </w:rPr>
      </w:pPr>
      <w:r>
        <w:rPr>
          <w:rFonts w:ascii="Times New Roman" w:cs="Times New Roman" w:eastAsia="Times New Roman" w:hAnsi="Times New Roman"/>
          <w:sz w:val="14"/>
          <w:szCs w:val="14"/>
          <w:color w:val="auto"/>
        </w:rPr>
        <w:t>Any holder of Restricted Notes using the Exchange Offer to participate in a distribution of the Registered Notes (i) cannot rely on the position of the Staff enunciated in its interpretive letter with respect to Exxon Capital Holdings Corporation (available May 13, 1988) or similar interpretive letters and (ii) must comply with the registration and prospectus requirements of the Securities Act in connection with a secondary resale transaction and be identified as an underwriter in the prospectus.</w:t>
      </w:r>
    </w:p>
    <w:p>
      <w:pPr>
        <w:spacing w:after="0" w:line="142" w:lineRule="exact"/>
        <w:rPr>
          <w:sz w:val="20"/>
          <w:szCs w:val="20"/>
          <w:color w:val="auto"/>
        </w:rPr>
      </w:pPr>
    </w:p>
    <w:p>
      <w:pPr>
        <w:jc w:val="both"/>
        <w:ind w:firstLine="244"/>
        <w:spacing w:after="0" w:line="252" w:lineRule="auto"/>
        <w:rPr>
          <w:sz w:val="20"/>
          <w:szCs w:val="20"/>
          <w:color w:val="auto"/>
        </w:rPr>
      </w:pPr>
      <w:r>
        <w:rPr>
          <w:rFonts w:ascii="Times New Roman" w:cs="Times New Roman" w:eastAsia="Times New Roman" w:hAnsi="Times New Roman"/>
          <w:sz w:val="14"/>
          <w:szCs w:val="14"/>
          <w:color w:val="auto"/>
        </w:rPr>
        <w:t>All authority herein conferred or agreed to be conferred shall survive the death or incapacity of the undersigned and every obligation of the undersigned hereunder shall be binding upon the heirs, personal representatives, successors and assigns of the undersigned. Except as stated in the Prospectus, this tender is irrevocable but tendered Restricted Notes may be withdrawn at any time prior to the Expiration Date in accordance with the terms of this Letter of Transmittal.</w:t>
      </w:r>
    </w:p>
    <w:p>
      <w:pPr>
        <w:spacing w:after="0" w:line="142" w:lineRule="exact"/>
        <w:rPr>
          <w:sz w:val="20"/>
          <w:szCs w:val="20"/>
          <w:color w:val="auto"/>
        </w:rPr>
      </w:pPr>
    </w:p>
    <w:p>
      <w:pPr>
        <w:jc w:val="both"/>
        <w:ind w:firstLine="244"/>
        <w:spacing w:after="0" w:line="262" w:lineRule="auto"/>
        <w:rPr>
          <w:sz w:val="20"/>
          <w:szCs w:val="20"/>
          <w:color w:val="auto"/>
        </w:rPr>
      </w:pPr>
      <w:r>
        <w:rPr>
          <w:rFonts w:ascii="Times New Roman" w:cs="Times New Roman" w:eastAsia="Times New Roman" w:hAnsi="Times New Roman"/>
          <w:sz w:val="14"/>
          <w:szCs w:val="14"/>
          <w:color w:val="auto"/>
        </w:rPr>
        <w:t>All Registered Notes delivered in exchange for tendered Restricted Notes and any Restricted Notes delivered herewith but not exchanged, in each case if registered in the name of the undersigned, shall be delivered to the undersigned at the address shown below the signature of the undersigned.</w:t>
      </w:r>
    </w:p>
    <w:p>
      <w:pPr>
        <w:spacing w:after="0" w:line="134" w:lineRule="exact"/>
        <w:rPr>
          <w:sz w:val="20"/>
          <w:szCs w:val="20"/>
          <w:color w:val="auto"/>
        </w:rPr>
      </w:pPr>
    </w:p>
    <w:p>
      <w:pPr>
        <w:jc w:val="both"/>
        <w:ind w:firstLine="244"/>
        <w:spacing w:after="0" w:line="265" w:lineRule="auto"/>
        <w:rPr>
          <w:sz w:val="20"/>
          <w:szCs w:val="20"/>
          <w:color w:val="auto"/>
        </w:rPr>
      </w:pPr>
      <w:r>
        <w:rPr>
          <w:rFonts w:ascii="Times New Roman" w:cs="Times New Roman" w:eastAsia="Times New Roman" w:hAnsi="Times New Roman"/>
          <w:sz w:val="14"/>
          <w:szCs w:val="14"/>
          <w:color w:val="auto"/>
        </w:rPr>
        <w:t>The undersigned, by completing the box entitled “</w:t>
      </w:r>
      <w:r>
        <w:rPr>
          <w:rFonts w:ascii="Times New Roman" w:cs="Times New Roman" w:eastAsia="Times New Roman" w:hAnsi="Times New Roman"/>
          <w:sz w:val="14"/>
          <w:szCs w:val="14"/>
          <w:i w:val="1"/>
          <w:iCs w:val="1"/>
          <w:color w:val="auto"/>
        </w:rPr>
        <w:t>Description of Restricted Notes Tendered Herewith</w:t>
      </w:r>
      <w:r>
        <w:rPr>
          <w:rFonts w:ascii="Times New Roman" w:cs="Times New Roman" w:eastAsia="Times New Roman" w:hAnsi="Times New Roman"/>
          <w:sz w:val="14"/>
          <w:szCs w:val="14"/>
          <w:color w:val="auto"/>
        </w:rPr>
        <w:t>” above and signing this letter, will be deemed to have tendered the Restricted Notes as set forth in such box.</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716661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187960</wp:posOffset>
            </wp:positionH>
            <wp:positionV relativeFrom="page">
              <wp:posOffset>459740</wp:posOffset>
            </wp:positionV>
            <wp:extent cx="7172325" cy="47752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172325" cy="4775200"/>
                    </a:xfrm>
                    <a:prstGeom prst="rect">
                      <a:avLst/>
                    </a:prstGeom>
                    <a:noFill/>
                  </pic:spPr>
                </pic:pic>
              </a:graphicData>
            </a:graphic>
          </wp:anchor>
        </w:drawing>
        <w:t>TENDERING HOLDER(S) SIGN HERE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(Complete accompanying IRS Form W-9 or IRS Form W-8, as applicable)</w:t>
      </w:r>
    </w:p>
    <w:p>
      <w:pPr>
        <w:spacing w:after="0" w:line="152" w:lineRule="exact"/>
        <w:rPr>
          <w:sz w:val="20"/>
          <w:szCs w:val="20"/>
          <w:color w:val="auto"/>
        </w:rPr>
      </w:pPr>
    </w:p>
    <w:p>
      <w:pPr>
        <w:jc w:val="both"/>
        <w:ind w:firstLine="244"/>
        <w:spacing w:after="0" w:line="314" w:lineRule="auto"/>
        <w:rPr>
          <w:sz w:val="20"/>
          <w:szCs w:val="20"/>
          <w:color w:val="auto"/>
        </w:rPr>
      </w:pPr>
      <w:r>
        <w:rPr>
          <w:rFonts w:ascii="Times New Roman" w:cs="Times New Roman" w:eastAsia="Times New Roman" w:hAnsi="Times New Roman"/>
          <w:sz w:val="12"/>
          <w:szCs w:val="12"/>
          <w:color w:val="auto"/>
        </w:rPr>
        <w:t>Must be signed by registered holder(s) exactly as name(s) appear(s) on Registered Notes hereby tendered or in whose name Registered Notes are registered on the books of DTC or one of its participants, or by any person(s) authorized to become the registered holder(s) by endorsements and documents transmitted herewith. If signature is by a trustee, executor, administrator, guardian, attorney-in-fact, officer of a corporation or other person acting in a fiduciary or representative capacity, please set forth the full title of such person. See Instruction 3.</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Signatures(s) of Holder(s)</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Please Print</w:t>
      </w:r>
      <w:r>
        <w:rPr>
          <w:rFonts w:ascii="Times New Roman" w:cs="Times New Roman" w:eastAsia="Times New Roman" w:hAnsi="Times New Roman"/>
          <w:sz w:val="14"/>
          <w:szCs w:val="14"/>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Capacity (full title)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Including Zip Code</w:t>
      </w:r>
      <w:r>
        <w:rPr>
          <w:rFonts w:ascii="Times New Roman" w:cs="Times New Roman" w:eastAsia="Times New Roman" w:hAnsi="Times New Roman"/>
          <w:sz w:val="14"/>
          <w:szCs w:val="14"/>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Daytime Area Code and Telephone No.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Taxpayer Identification No.</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GUARANTEE OF SIGNATURE(S)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(If Required—See Instruction 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Authorized Signature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of Firm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 of Firm</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Include Zip Code</w:t>
      </w:r>
      <w:r>
        <w:rPr>
          <w:rFonts w:ascii="Times New Roman" w:cs="Times New Roman" w:eastAsia="Times New Roman" w:hAnsi="Times New Roman"/>
          <w:sz w:val="14"/>
          <w:szCs w:val="14"/>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Area Code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Telephone No.</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8890</wp:posOffset>
            </wp:positionV>
            <wp:extent cx="716661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0280"/>
          </w:cols>
          <w:pgMar w:left="800" w:top="884" w:right="8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187960</wp:posOffset>
            </wp:positionH>
            <wp:positionV relativeFrom="page">
              <wp:posOffset>459740</wp:posOffset>
            </wp:positionV>
            <wp:extent cx="7172325" cy="26422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7172325" cy="2642235"/>
                    </a:xfrm>
                    <a:prstGeom prst="rect">
                      <a:avLst/>
                    </a:prstGeom>
                    <a:noFill/>
                  </pic:spPr>
                </pic:pic>
              </a:graphicData>
            </a:graphic>
          </wp:anchor>
        </w:drawing>
        <w:t>SPECIAL ISSUANCE INSTRUCTIONS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(See Instructions 3 and 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(Complete accompanying IRS Form W-9 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IRS Form W-8, as applicable)</w:t>
      </w:r>
    </w:p>
    <w:p>
      <w:pPr>
        <w:spacing w:after="0" w:line="152" w:lineRule="exact"/>
        <w:rPr>
          <w:sz w:val="20"/>
          <w:szCs w:val="20"/>
          <w:color w:val="auto"/>
        </w:rPr>
      </w:pPr>
    </w:p>
    <w:p>
      <w:pPr>
        <w:ind w:firstLine="244"/>
        <w:spacing w:after="0" w:line="262" w:lineRule="auto"/>
        <w:rPr>
          <w:sz w:val="20"/>
          <w:szCs w:val="20"/>
          <w:color w:val="auto"/>
        </w:rPr>
      </w:pPr>
      <w:r>
        <w:rPr>
          <w:rFonts w:ascii="Times New Roman" w:cs="Times New Roman" w:eastAsia="Times New Roman" w:hAnsi="Times New Roman"/>
          <w:sz w:val="14"/>
          <w:szCs w:val="14"/>
          <w:color w:val="auto"/>
        </w:rPr>
        <w:t>To be completed ONLY if Registered Notes or Restricted Notes not tendered are to be issued in the name of someone other than the registered holder of the Restricted Notes whose name(s) appear(s) above.</w:t>
      </w:r>
    </w:p>
    <w:p>
      <w:pPr>
        <w:spacing w:after="0" w:line="105" w:lineRule="exact"/>
        <w:rPr>
          <w:sz w:val="20"/>
          <w:szCs w:val="20"/>
          <w:color w:val="auto"/>
        </w:rPr>
      </w:pPr>
    </w:p>
    <w:p>
      <w:pPr>
        <w:spacing w:after="0" w:line="161" w:lineRule="exact"/>
        <w:tabs>
          <w:tab w:leader="none" w:pos="960" w:val="left"/>
          <w:tab w:leader="none" w:pos="1200" w:val="left"/>
        </w:tabs>
        <w:rPr>
          <w:sz w:val="20"/>
          <w:szCs w:val="20"/>
          <w:color w:val="auto"/>
        </w:rPr>
      </w:pPr>
      <w:r>
        <w:rPr>
          <w:rFonts w:ascii="Times New Roman" w:cs="Times New Roman" w:eastAsia="Times New Roman" w:hAnsi="Times New Roman"/>
          <w:sz w:val="14"/>
          <w:szCs w:val="14"/>
          <w:color w:val="auto"/>
        </w:rPr>
        <w:t>Issue</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Restricted Notes not tendered to:</w:t>
      </w:r>
    </w:p>
    <w:p>
      <w:pPr>
        <w:spacing w:after="0" w:line="41" w:lineRule="exact"/>
        <w:rPr>
          <w:sz w:val="20"/>
          <w:szCs w:val="20"/>
          <w:color w:val="auto"/>
        </w:rPr>
      </w:pPr>
    </w:p>
    <w:p>
      <w:pPr>
        <w:ind w:left="1220" w:hanging="244"/>
        <w:spacing w:after="0"/>
        <w:tabs>
          <w:tab w:leader="none" w:pos="1220" w:val="left"/>
        </w:tabs>
        <w:numPr>
          <w:ilvl w:val="0"/>
          <w:numId w:val="4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Registered Notes to: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(Please Print)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(Including Zip Code)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Daytime Area Code and Telephone No.</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Taxpayer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227330</wp:posOffset>
            </wp:positionV>
            <wp:extent cx="7172325" cy="2326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7172325" cy="232600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DELIVERY INSTRUCTIONS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(See Instructions 3 and 4)</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To be completed ONLY if Registered Notes or Restricted Notes not tendered are to be delivered to the registered holder(s) at an address other than that shown above.</w:t>
      </w:r>
    </w:p>
    <w:p>
      <w:pPr>
        <w:spacing w:after="0" w:line="143" w:lineRule="exact"/>
        <w:rPr>
          <w:sz w:val="20"/>
          <w:szCs w:val="20"/>
          <w:color w:val="auto"/>
        </w:rPr>
      </w:pPr>
    </w:p>
    <w:p>
      <w:pPr>
        <w:spacing w:after="0" w:line="161" w:lineRule="exact"/>
        <w:tabs>
          <w:tab w:leader="none" w:pos="960" w:val="left"/>
          <w:tab w:leader="none" w:pos="1200" w:val="left"/>
        </w:tabs>
        <w:rPr>
          <w:sz w:val="20"/>
          <w:szCs w:val="20"/>
          <w:color w:val="auto"/>
        </w:rPr>
      </w:pPr>
      <w:r>
        <w:rPr>
          <w:rFonts w:ascii="Times New Roman" w:cs="Times New Roman" w:eastAsia="Times New Roman" w:hAnsi="Times New Roman"/>
          <w:sz w:val="14"/>
          <w:szCs w:val="14"/>
          <w:color w:val="auto"/>
        </w:rPr>
        <w:t>Deliver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Restricted Notes not tendered to:</w:t>
      </w:r>
    </w:p>
    <w:p>
      <w:pPr>
        <w:spacing w:after="0" w:line="36" w:lineRule="exact"/>
        <w:rPr>
          <w:sz w:val="20"/>
          <w:szCs w:val="20"/>
          <w:color w:val="auto"/>
        </w:rPr>
      </w:pPr>
    </w:p>
    <w:p>
      <w:pPr>
        <w:ind w:left="1220" w:hanging="244"/>
        <w:spacing w:after="0"/>
        <w:tabs>
          <w:tab w:leader="none" w:pos="1220" w:val="left"/>
        </w:tabs>
        <w:numPr>
          <w:ilvl w:val="0"/>
          <w:numId w:val="4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Registered Notes to: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(Please Print)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(Including Zip Code)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Daytime Area Code and Telephone No.</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Taxpayer Identification No.</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15240</wp:posOffset>
            </wp:positionV>
            <wp:extent cx="716661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0280"/>
          </w:cols>
          <w:pgMar w:left="800" w:top="884" w:right="8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b w:val="1"/>
          <w:bCs w:val="1"/>
          <w:color w:val="auto"/>
        </w:rPr>
        <w:t>INSTRUCTIONS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FORMING PART OF THE TERMS AND CONDITIONS OF THE EXCHANGE OFFER</w:t>
      </w:r>
    </w:p>
    <w:p>
      <w:pPr>
        <w:spacing w:after="0" w:line="150" w:lineRule="exact"/>
        <w:rPr>
          <w:sz w:val="20"/>
          <w:szCs w:val="20"/>
          <w:color w:val="auto"/>
        </w:rPr>
      </w:pPr>
    </w:p>
    <w:p>
      <w:pPr>
        <w:ind w:left="480" w:hanging="479"/>
        <w:spacing w:after="0"/>
        <w:tabs>
          <w:tab w:leader="none" w:pos="480" w:val="left"/>
        </w:tabs>
        <w:numPr>
          <w:ilvl w:val="0"/>
          <w:numId w:val="4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Delivery of this Letter of Transmittal.</w:t>
      </w:r>
    </w:p>
    <w:p>
      <w:pPr>
        <w:spacing w:after="0" w:line="166" w:lineRule="exact"/>
        <w:rPr>
          <w:sz w:val="20"/>
          <w:szCs w:val="20"/>
          <w:color w:val="auto"/>
        </w:rPr>
      </w:pPr>
    </w:p>
    <w:p>
      <w:pPr>
        <w:jc w:val="both"/>
        <w:ind w:firstLine="244"/>
        <w:spacing w:after="0" w:line="252" w:lineRule="auto"/>
        <w:rPr>
          <w:sz w:val="20"/>
          <w:szCs w:val="20"/>
          <w:color w:val="auto"/>
        </w:rPr>
      </w:pPr>
      <w:r>
        <w:rPr>
          <w:rFonts w:ascii="Times New Roman" w:cs="Times New Roman" w:eastAsia="Times New Roman" w:hAnsi="Times New Roman"/>
          <w:sz w:val="14"/>
          <w:szCs w:val="14"/>
          <w:color w:val="auto"/>
        </w:rPr>
        <w:t>A holder of Restricted Notes may tender the same by (i) properly completing and signing this Letter of Transmittal and delivering the same, together with the Restricted Notes being tendered and any required signature guarantees and any other documents required by this Letter of Transmittal, to the Exchange Agent at its address set forth above on or prior to the Expiration Date or (ii) complying with the procedure for book-entry transfer described below.</w:t>
      </w:r>
    </w:p>
    <w:p>
      <w:pPr>
        <w:spacing w:after="0" w:line="142" w:lineRule="exact"/>
        <w:rPr>
          <w:sz w:val="20"/>
          <w:szCs w:val="20"/>
          <w:color w:val="auto"/>
        </w:rPr>
      </w:pPr>
    </w:p>
    <w:p>
      <w:pPr>
        <w:jc w:val="both"/>
        <w:ind w:firstLine="244"/>
        <w:spacing w:after="0" w:line="245" w:lineRule="auto"/>
        <w:rPr>
          <w:sz w:val="20"/>
          <w:szCs w:val="20"/>
          <w:color w:val="auto"/>
        </w:rPr>
      </w:pPr>
      <w:r>
        <w:rPr>
          <w:rFonts w:ascii="Times New Roman" w:cs="Times New Roman" w:eastAsia="Times New Roman" w:hAnsi="Times New Roman"/>
          <w:sz w:val="14"/>
          <w:szCs w:val="14"/>
          <w:color w:val="auto"/>
        </w:rPr>
        <w:t>Holders of Restricted Notes may tender Restricted Notes by book-entry transfer by crediting the Restricted Notes to the Exchange Agent’s account at DTC in accordance with ATOP and by complying with applicable ATOP procedures with respect to the Exchange Offer. DTC participants that are accepting the Exchange Offer should transmit their acceptance to DTC, which will edit and verify the acceptance and execute a book-entry delivery to the Exchange Agent’s account at DTC. DTC will then send a computer-generated message (an “</w:t>
      </w:r>
      <w:r>
        <w:rPr>
          <w:rFonts w:ascii="Times New Roman" w:cs="Times New Roman" w:eastAsia="Times New Roman" w:hAnsi="Times New Roman"/>
          <w:sz w:val="14"/>
          <w:szCs w:val="14"/>
          <w:i w:val="1"/>
          <w:iCs w:val="1"/>
          <w:color w:val="auto"/>
        </w:rPr>
        <w:t>Agent’s Message</w:t>
      </w:r>
      <w:r>
        <w:rPr>
          <w:rFonts w:ascii="Times New Roman" w:cs="Times New Roman" w:eastAsia="Times New Roman" w:hAnsi="Times New Roman"/>
          <w:sz w:val="14"/>
          <w:szCs w:val="14"/>
          <w:color w:val="auto"/>
        </w:rPr>
        <w:t>”) to the Exchange Agent for its acceptance in which the holder of the Restricted Notes acknowledges and agrees to be bound by the terms of, and makes the representations and warranties contained in, this Letter of Transmittal or the DTC participant confirms on behalf of itself and the beneficial owners of such Restricted Notes all provisions of this Letter of Transmittal (including any representations and warranties) applicable to it and such beneficial owners as fully as if it had completed the information required herein and executed and transmitted this Letter of Transmittal to the Exchange Agent. Delivery of the Agent’s Message by DTC will satisfy the terms of the Exchange Offer as to execution and delivery of a Letter of Transmittal by the participants identified in the Agent’s Message.</w:t>
      </w:r>
    </w:p>
    <w:p>
      <w:pPr>
        <w:spacing w:after="0" w:line="149" w:lineRule="exact"/>
        <w:rPr>
          <w:sz w:val="20"/>
          <w:szCs w:val="20"/>
          <w:color w:val="auto"/>
        </w:rPr>
      </w:pPr>
    </w:p>
    <w:p>
      <w:pPr>
        <w:jc w:val="both"/>
        <w:ind w:firstLine="244"/>
        <w:spacing w:after="0" w:line="246" w:lineRule="auto"/>
        <w:rPr>
          <w:sz w:val="20"/>
          <w:szCs w:val="20"/>
          <w:color w:val="auto"/>
        </w:rPr>
      </w:pPr>
      <w:r>
        <w:rPr>
          <w:rFonts w:ascii="Times New Roman" w:cs="Times New Roman" w:eastAsia="Times New Roman" w:hAnsi="Times New Roman"/>
          <w:sz w:val="14"/>
          <w:szCs w:val="14"/>
          <w:color w:val="auto"/>
        </w:rPr>
        <w:t>The method of delivery of this Letter of Transmittal, the Restricted Notes and any other required documents is at the election and risk of the holder, and except as otherwise provided below, the delivery will be deemed made only when actually received or confirmed by the Exchange Agent. If such delivery is by mail, it is suggested that registered mail with return receipt requested, properly insured, be used. In all cases, sufficient time should be allowed to permit timely delivery. No Restricted Notes or Letters of Transmittal should be sent to the Issuer. The Issuer reserves the right to reject any particular Restricted Note not properly tendered, or any acceptance that might, in the Issuer’s judgment, be unlawful. The Issuer also reserves the right to waive any defects or irregularities with respect to the form of, or procedures applicable to, the tender of any particular Restricted Note before the Expiration Date. Unless waived, any defects or irregularities in connection with tenders of Restricted Notes must be cured before the Expiration Date.</w:t>
      </w:r>
    </w:p>
    <w:p>
      <w:pPr>
        <w:spacing w:after="0" w:line="147" w:lineRule="exact"/>
        <w:rPr>
          <w:sz w:val="20"/>
          <w:szCs w:val="20"/>
          <w:color w:val="auto"/>
        </w:rPr>
      </w:pPr>
    </w:p>
    <w:p>
      <w:pPr>
        <w:jc w:val="both"/>
        <w:ind w:firstLine="244"/>
        <w:spacing w:after="0" w:line="262" w:lineRule="auto"/>
        <w:rPr>
          <w:sz w:val="20"/>
          <w:szCs w:val="20"/>
          <w:color w:val="auto"/>
        </w:rPr>
      </w:pPr>
      <w:r>
        <w:rPr>
          <w:rFonts w:ascii="Times New Roman" w:cs="Times New Roman" w:eastAsia="Times New Roman" w:hAnsi="Times New Roman"/>
          <w:sz w:val="14"/>
          <w:szCs w:val="14"/>
          <w:color w:val="auto"/>
        </w:rPr>
        <w:t>The Exchange Agent must receive the book-entry confirmation, together with this properly completed and duly executed Letter of Transmittal or Agent’s Message with any required signature guarantees and any other documents required by this Letter of Transmittal, prior to the Expiration Date, all as provided in the Prospectus.</w:t>
      </w:r>
    </w:p>
    <w:p>
      <w:pPr>
        <w:spacing w:after="0" w:line="136" w:lineRule="exact"/>
        <w:rPr>
          <w:sz w:val="20"/>
          <w:szCs w:val="20"/>
          <w:color w:val="auto"/>
        </w:rPr>
      </w:pPr>
    </w:p>
    <w:p>
      <w:pPr>
        <w:jc w:val="both"/>
        <w:ind w:firstLine="244"/>
        <w:spacing w:after="0" w:line="262" w:lineRule="auto"/>
        <w:rPr>
          <w:sz w:val="20"/>
          <w:szCs w:val="20"/>
          <w:color w:val="auto"/>
        </w:rPr>
      </w:pPr>
      <w:r>
        <w:rPr>
          <w:rFonts w:ascii="Times New Roman" w:cs="Times New Roman" w:eastAsia="Times New Roman" w:hAnsi="Times New Roman"/>
          <w:sz w:val="14"/>
          <w:szCs w:val="14"/>
          <w:color w:val="auto"/>
        </w:rPr>
        <w:t>No alternative, conditional, irregular or contingent tenders will be accepted. All tendering holders, by execution of this Letter of Transmittal, shall waive any right to receive notice of the acceptance of the Restricted Notes for exchange.</w:t>
      </w:r>
    </w:p>
    <w:p>
      <w:pPr>
        <w:spacing w:after="0" w:line="134" w:lineRule="exact"/>
        <w:rPr>
          <w:sz w:val="20"/>
          <w:szCs w:val="20"/>
          <w:color w:val="auto"/>
        </w:rPr>
      </w:pPr>
    </w:p>
    <w:p>
      <w:pPr>
        <w:ind w:left="480" w:hanging="479"/>
        <w:spacing w:after="0"/>
        <w:tabs>
          <w:tab w:leader="none" w:pos="480" w:val="left"/>
        </w:tabs>
        <w:numPr>
          <w:ilvl w:val="0"/>
          <w:numId w:val="4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Partial Tenders (not applicable to holders that tender by book-entry transfer); Withdrawals.</w:t>
      </w:r>
    </w:p>
    <w:p>
      <w:pPr>
        <w:spacing w:after="0" w:line="164" w:lineRule="exact"/>
        <w:rPr>
          <w:sz w:val="20"/>
          <w:szCs w:val="20"/>
          <w:color w:val="auto"/>
        </w:rPr>
      </w:pPr>
    </w:p>
    <w:p>
      <w:pPr>
        <w:jc w:val="both"/>
        <w:ind w:firstLine="244"/>
        <w:spacing w:after="0" w:line="265" w:lineRule="auto"/>
        <w:rPr>
          <w:sz w:val="20"/>
          <w:szCs w:val="20"/>
          <w:color w:val="auto"/>
        </w:rPr>
      </w:pPr>
      <w:r>
        <w:rPr>
          <w:rFonts w:ascii="Times New Roman" w:cs="Times New Roman" w:eastAsia="Times New Roman" w:hAnsi="Times New Roman"/>
          <w:sz w:val="14"/>
          <w:szCs w:val="14"/>
          <w:color w:val="auto"/>
        </w:rPr>
        <w:t>If less than the entire principal amount of Restricted Notes is tendered, the tendering holder must fill in the aggregate principal amount of Restricted Notes tendered in the box entitled “</w:t>
      </w:r>
      <w:r>
        <w:rPr>
          <w:rFonts w:ascii="Times New Roman" w:cs="Times New Roman" w:eastAsia="Times New Roman" w:hAnsi="Times New Roman"/>
          <w:sz w:val="14"/>
          <w:szCs w:val="14"/>
          <w:i w:val="1"/>
          <w:iCs w:val="1"/>
          <w:color w:val="auto"/>
        </w:rPr>
        <w:t>Description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Restricted Notes Tendered Herewith</w:t>
      </w:r>
      <w:r>
        <w:rPr>
          <w:rFonts w:ascii="Times New Roman" w:cs="Times New Roman" w:eastAsia="Times New Roman" w:hAnsi="Times New Roman"/>
          <w:sz w:val="14"/>
          <w:szCs w:val="14"/>
          <w:color w:val="auto"/>
        </w:rPr>
        <w:t>.” All Restricted Notes delivered to the Exchange Agent will be deemed to have been tendered unless otherwise clearly indicated.</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 tender pursuant to the Exchange Offer may be withdrawn prior to the Expiration Date.</w:t>
      </w:r>
    </w:p>
    <w:p>
      <w:pPr>
        <w:spacing w:after="0" w:line="164" w:lineRule="exact"/>
        <w:rPr>
          <w:sz w:val="20"/>
          <w:szCs w:val="20"/>
          <w:color w:val="auto"/>
        </w:rPr>
      </w:pPr>
    </w:p>
    <w:p>
      <w:pPr>
        <w:jc w:val="both"/>
        <w:ind w:firstLine="244"/>
        <w:spacing w:after="0" w:line="245" w:lineRule="auto"/>
        <w:rPr>
          <w:sz w:val="20"/>
          <w:szCs w:val="20"/>
          <w:color w:val="auto"/>
        </w:rPr>
      </w:pPr>
      <w:r>
        <w:rPr>
          <w:rFonts w:ascii="Times New Roman" w:cs="Times New Roman" w:eastAsia="Times New Roman" w:hAnsi="Times New Roman"/>
          <w:sz w:val="14"/>
          <w:szCs w:val="14"/>
          <w:color w:val="auto"/>
        </w:rPr>
        <w:t>To be effective with respect to the tender of Restricted Notes, a written notice of withdrawal must specify the name of the person who tendered the Restricted Notes to be withdrawn, identify the Restricted Notes to be withdrawn (including the principal amount of the Restricted Notes and the CUSIP number of the Restricted Notes) and, where certificates for Restricted Notes have been transmitted, specify the name in which the Restricted Notes were registered if different from that of the withdrawing holder. Any such notice of withdrawal must also be signed by the person having tendered the Restricted Notes to be withdrawn in the same manner as the original signature on the letter of transmittal by which these Restricted Notes were tendered, including any required signature guarantees, or be accompanied by documents of transfer sufficient to permit the trustee for the Restricted Notes to register the transfer of these Restricted Notes into the name of the person having made the original tender and withdrawing the tender and, if applicable because the Restricted Notes have been tendered through the book-entry procedure, specify the name and number of the participant’s account at DTC to be credited if different than that of the person having tendered the Restricted Notes to be withdrawn.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716661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1" w:right="319" w:bottom="1440" w:gutter="0" w:footer="0" w:header="0"/>
        </w:sectPr>
      </w:pPr>
    </w:p>
    <w:bookmarkStart w:id="80" w:name="page81"/>
    <w:bookmarkEnd w:id="80"/>
    <w:p>
      <w:pPr>
        <w:jc w:val="both"/>
        <w:ind w:firstLine="244"/>
        <w:spacing w:after="0" w:line="252" w:lineRule="auto"/>
        <w:rPr>
          <w:sz w:val="20"/>
          <w:szCs w:val="20"/>
          <w:color w:val="auto"/>
        </w:rPr>
      </w:pPr>
      <w:r>
        <w:rPr>
          <w:rFonts w:ascii="Times New Roman" w:cs="Times New Roman" w:eastAsia="Times New Roman" w:hAnsi="Times New Roman"/>
          <w:sz w:val="14"/>
          <w:szCs w:val="14"/>
          <w:color w:val="auto"/>
        </w:rPr>
        <w:t>If Restricted Notes have been delivered or otherwise identified to the Exchange Agent, then, prior to the release of such Restricted Notes, the withdrawing holder must also submit the serial numbers of the particular certificates to be withdrawn and a signed notice of withdrawal with signatures guaranteed by an Eligible Guarantor Institution (as defined below) unless such holder is an Eligible Guarantor Institution.</w:t>
      </w:r>
    </w:p>
    <w:p>
      <w:pPr>
        <w:spacing w:after="0" w:line="142" w:lineRule="exact"/>
        <w:rPr>
          <w:sz w:val="20"/>
          <w:szCs w:val="20"/>
          <w:color w:val="auto"/>
        </w:rPr>
      </w:pPr>
    </w:p>
    <w:p>
      <w:pPr>
        <w:jc w:val="both"/>
        <w:ind w:firstLine="244"/>
        <w:spacing w:after="0" w:line="245" w:lineRule="auto"/>
        <w:rPr>
          <w:sz w:val="20"/>
          <w:szCs w:val="20"/>
          <w:color w:val="auto"/>
        </w:rPr>
      </w:pPr>
      <w:r>
        <w:rPr>
          <w:rFonts w:ascii="Times New Roman" w:cs="Times New Roman" w:eastAsia="Times New Roman" w:hAnsi="Times New Roman"/>
          <w:sz w:val="14"/>
          <w:szCs w:val="14"/>
          <w:color w:val="auto"/>
        </w:rPr>
        <w:t>If Restricted Notes have been tendered pursuant to the procedure for book-entry transfer described above, any notice of withdrawal must specify the name and number of the account at DTC to be credited with the withdrawn Restricted Notes and otherwise comply with the procedures of such facility. The Issuer will determine all questions as to the validity, form and eligibility (including time of receipt) of such notices, and the Issuer’s determination shall be final and binding on all parties. The Issuer will deem any Restricted Notes so withdrawn not to have been validly tendered for exchange for purposes of the Exchange Offer. Any Restricted Notes that have been tendered for exchange but that are not exchanged for any reason will be returned to their holder without cost to the holder (or, in the case of Restricted Notes tendered by book-entry transfer into the Exchange Agent’s account of DTC according to the procedures described above, such Restricted Notes will be credited to an account maintained with DTC for Restricted Notes) promptly after withdrawal, rejection of tender or termination of the Exchange Offer. Properly withdrawn Restricted Notes may be retendered by following one of the procedures described under “</w:t>
      </w:r>
      <w:r>
        <w:rPr>
          <w:rFonts w:ascii="Times New Roman" w:cs="Times New Roman" w:eastAsia="Times New Roman" w:hAnsi="Times New Roman"/>
          <w:sz w:val="14"/>
          <w:szCs w:val="14"/>
          <w:i w:val="1"/>
          <w:iCs w:val="1"/>
          <w:color w:val="auto"/>
        </w:rPr>
        <w:t>Terms of the Exchange Offer–Procedures for Tendering the Restricted Notes</w:t>
      </w:r>
      <w:r>
        <w:rPr>
          <w:rFonts w:ascii="Times New Roman" w:cs="Times New Roman" w:eastAsia="Times New Roman" w:hAnsi="Times New Roman"/>
          <w:sz w:val="14"/>
          <w:szCs w:val="14"/>
          <w:color w:val="auto"/>
        </w:rPr>
        <w:t>” in the Prospectus at any time prior to the Expiration Date.</w:t>
      </w:r>
    </w:p>
    <w:p>
      <w:pPr>
        <w:spacing w:after="0" w:line="147" w:lineRule="exact"/>
        <w:rPr>
          <w:sz w:val="20"/>
          <w:szCs w:val="20"/>
          <w:color w:val="auto"/>
        </w:rPr>
      </w:pPr>
    </w:p>
    <w:p>
      <w:pPr>
        <w:ind w:left="480" w:hanging="479"/>
        <w:spacing w:after="0"/>
        <w:tabs>
          <w:tab w:leader="none" w:pos="480" w:val="left"/>
        </w:tabs>
        <w:numPr>
          <w:ilvl w:val="0"/>
          <w:numId w:val="5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Signature on this Letter of Transmittal; Written Instruments and Endorsements; Guarantee of Signatures.</w:t>
      </w:r>
    </w:p>
    <w:p>
      <w:pPr>
        <w:spacing w:after="0" w:line="166" w:lineRule="exact"/>
        <w:rPr>
          <w:sz w:val="20"/>
          <w:szCs w:val="20"/>
          <w:color w:val="auto"/>
        </w:rPr>
      </w:pPr>
    </w:p>
    <w:p>
      <w:pPr>
        <w:jc w:val="both"/>
        <w:ind w:firstLine="244"/>
        <w:spacing w:after="0" w:line="345" w:lineRule="auto"/>
        <w:rPr>
          <w:sz w:val="20"/>
          <w:szCs w:val="20"/>
          <w:color w:val="auto"/>
        </w:rPr>
      </w:pPr>
      <w:r>
        <w:rPr>
          <w:rFonts w:ascii="Times New Roman" w:cs="Times New Roman" w:eastAsia="Times New Roman" w:hAnsi="Times New Roman"/>
          <w:sz w:val="12"/>
          <w:szCs w:val="12"/>
          <w:color w:val="auto"/>
        </w:rPr>
        <w:t>If this Letter of Transmittal is signed by the registered holder(s) of the Restricted Notes tendered hereby, the signature must correspond with the name(s) as written on the face of the certificates without alteration, enlargement or any change whatsoever. If any of the Restricted Notes tendered hereby are owned of record by two or more joint owners, all such owners must sign this Letter of Transmittal.</w:t>
      </w:r>
    </w:p>
    <w:p>
      <w:pPr>
        <w:spacing w:after="0" w:line="90" w:lineRule="exact"/>
        <w:rPr>
          <w:sz w:val="20"/>
          <w:szCs w:val="20"/>
          <w:color w:val="auto"/>
        </w:rPr>
      </w:pPr>
    </w:p>
    <w:p>
      <w:pPr>
        <w:jc w:val="both"/>
        <w:ind w:firstLine="244"/>
        <w:spacing w:after="0" w:line="262" w:lineRule="auto"/>
        <w:rPr>
          <w:sz w:val="20"/>
          <w:szCs w:val="20"/>
          <w:color w:val="auto"/>
        </w:rPr>
      </w:pPr>
      <w:r>
        <w:rPr>
          <w:rFonts w:ascii="Times New Roman" w:cs="Times New Roman" w:eastAsia="Times New Roman" w:hAnsi="Times New Roman"/>
          <w:sz w:val="14"/>
          <w:szCs w:val="14"/>
          <w:color w:val="auto"/>
        </w:rPr>
        <w:t>If a number of Restricted Notes registered in different names are tendered, it will be necessary to complete, sign and submit as many separate copies of this Letter of Transmittal as there are different registrations of Restricted Notes.</w:t>
      </w:r>
    </w:p>
    <w:p>
      <w:pPr>
        <w:spacing w:after="0" w:line="136" w:lineRule="exact"/>
        <w:rPr>
          <w:sz w:val="20"/>
          <w:szCs w:val="20"/>
          <w:color w:val="auto"/>
        </w:rPr>
      </w:pPr>
    </w:p>
    <w:p>
      <w:pPr>
        <w:jc w:val="both"/>
        <w:ind w:firstLine="244"/>
        <w:spacing w:after="0" w:line="262" w:lineRule="auto"/>
        <w:rPr>
          <w:sz w:val="20"/>
          <w:szCs w:val="20"/>
          <w:color w:val="auto"/>
        </w:rPr>
      </w:pPr>
      <w:r>
        <w:rPr>
          <w:rFonts w:ascii="Times New Roman" w:cs="Times New Roman" w:eastAsia="Times New Roman" w:hAnsi="Times New Roman"/>
          <w:sz w:val="14"/>
          <w:szCs w:val="14"/>
          <w:color w:val="auto"/>
        </w:rPr>
        <w:t>When this Letter of Transmittal is signed by the registered holder or holders (which term, for the purposes described herein, shall include the book-entry transfer facility whose name appears on a security listing as the owner of the Restricted Notes) of Restricted Notes listed and tendered hereby, no endorsements of certificates or separate written instruments of transfer or exchange are required.</w:t>
      </w:r>
    </w:p>
    <w:p>
      <w:pPr>
        <w:spacing w:after="0" w:line="136" w:lineRule="exact"/>
        <w:rPr>
          <w:sz w:val="20"/>
          <w:szCs w:val="20"/>
          <w:color w:val="auto"/>
        </w:rPr>
      </w:pPr>
    </w:p>
    <w:p>
      <w:pPr>
        <w:jc w:val="both"/>
        <w:ind w:firstLine="244"/>
        <w:spacing w:after="0" w:line="252" w:lineRule="auto"/>
        <w:rPr>
          <w:sz w:val="20"/>
          <w:szCs w:val="20"/>
          <w:color w:val="auto"/>
        </w:rPr>
      </w:pPr>
      <w:r>
        <w:rPr>
          <w:rFonts w:ascii="Times New Roman" w:cs="Times New Roman" w:eastAsia="Times New Roman" w:hAnsi="Times New Roman"/>
          <w:sz w:val="14"/>
          <w:szCs w:val="14"/>
          <w:color w:val="auto"/>
        </w:rPr>
        <w:t>If this Letter of Transmittal is signed by a person other than the registered holder or holders of the Restricted Notes listed, such Restricted Notes must be endorsed or accompanied by separate written instruments of transfer or exchange in form satisfactory to the Issuer and duly executed by the registered holder, in either case signed exactly as the name or names of the registered holder or holders appear(s) on the Restricted Notes.</w:t>
      </w:r>
    </w:p>
    <w:p>
      <w:pPr>
        <w:spacing w:after="0" w:line="142" w:lineRule="exact"/>
        <w:rPr>
          <w:sz w:val="20"/>
          <w:szCs w:val="20"/>
          <w:color w:val="auto"/>
        </w:rPr>
      </w:pPr>
    </w:p>
    <w:p>
      <w:pPr>
        <w:jc w:val="both"/>
        <w:ind w:firstLine="244"/>
        <w:spacing w:after="0" w:line="252" w:lineRule="auto"/>
        <w:rPr>
          <w:sz w:val="20"/>
          <w:szCs w:val="20"/>
          <w:color w:val="auto"/>
        </w:rPr>
      </w:pPr>
      <w:r>
        <w:rPr>
          <w:rFonts w:ascii="Times New Roman" w:cs="Times New Roman" w:eastAsia="Times New Roman" w:hAnsi="Times New Roman"/>
          <w:sz w:val="14"/>
          <w:szCs w:val="14"/>
          <w:color w:val="auto"/>
        </w:rPr>
        <w:t>If this Letter of Transmittal, any certificates or separate written instruments of transfer or exchange are signed by trustees, executors, administrators, guardians, attorneys-in-fact, officers of corporations or others acting in a fiduciary or representative capacity, such persons should so indicate when signing, and, unless waived by the Issuer, proper evidence satisfactory to the Issuer of their authority so to act must be submitted.</w:t>
      </w:r>
    </w:p>
    <w:p>
      <w:pPr>
        <w:spacing w:after="0" w:line="1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Endorsements on certificates or signatures on separate written instruments of transfer or exchange required by this Instruction 3 must be guaranteed by an Eligible Guarantor Institution.</w:t>
      </w:r>
    </w:p>
    <w:p>
      <w:pPr>
        <w:spacing w:after="0" w:line="164" w:lineRule="exact"/>
        <w:rPr>
          <w:sz w:val="20"/>
          <w:szCs w:val="20"/>
          <w:color w:val="auto"/>
        </w:rPr>
      </w:pPr>
    </w:p>
    <w:p>
      <w:pPr>
        <w:jc w:val="both"/>
        <w:ind w:firstLine="244"/>
        <w:spacing w:after="0" w:line="245" w:lineRule="auto"/>
        <w:rPr>
          <w:sz w:val="20"/>
          <w:szCs w:val="20"/>
          <w:color w:val="auto"/>
        </w:rPr>
      </w:pPr>
      <w:r>
        <w:rPr>
          <w:rFonts w:ascii="Times New Roman" w:cs="Times New Roman" w:eastAsia="Times New Roman" w:hAnsi="Times New Roman"/>
          <w:sz w:val="14"/>
          <w:szCs w:val="14"/>
          <w:color w:val="auto"/>
        </w:rPr>
        <w:t>Signatures on this Letter of Transmittal must be guaranteed by an Eligible Guarantor Institution, unless Restricted Notes are tendered: (i) by a holder who has not completed the box entitled “Special Issuance Instructions” or “Special Delivery Instructions” on this Letter of Transmittal; or (ii) for the account of an Eligible Guarantor Institution. In the event that the signatures in this Letter of Transmittal or a notice of withdrawal, as the case may be, are required to be guaranteed, such guarantees must be by an Eligible Guarantor Institution which is a member of a firm of a registered national securities exchange or of the Financial Industry Regulatory Authority, a commercial bank or trust company having an office or correspondent in the United States or another “eligible guarantor institution” within the meaning of Rule 17Ad-15 under the Securities Exchange Act of 1934, as amended (an “</w:t>
      </w:r>
      <w:r>
        <w:rPr>
          <w:rFonts w:ascii="Times New Roman" w:cs="Times New Roman" w:eastAsia="Times New Roman" w:hAnsi="Times New Roman"/>
          <w:sz w:val="14"/>
          <w:szCs w:val="14"/>
          <w:i w:val="1"/>
          <w:iCs w:val="1"/>
          <w:color w:val="auto"/>
        </w:rPr>
        <w:t>Eligible Guarantor Institution</w:t>
      </w:r>
      <w:r>
        <w:rPr>
          <w:rFonts w:ascii="Times New Roman" w:cs="Times New Roman" w:eastAsia="Times New Roman" w:hAnsi="Times New Roman"/>
          <w:sz w:val="14"/>
          <w:szCs w:val="14"/>
          <w:color w:val="auto"/>
        </w:rPr>
        <w:t>”). If Restricted Notes are registered in the name of a person other than the signer of this Letter of Transmittal, the Restricted Notes surrendered for exchange must be endorsed by, or be accompanied by a written instrument or instruments of transfer or exchange, in satisfactory form as determined by the Issuer, in its sole discretion, duly executed by the registered holder with the signature thereon guaranteed by an Eligible Guarantor Institution.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716661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81" w:name="page82"/>
    <w:bookmarkEnd w:id="81"/>
    <w:p>
      <w:pPr>
        <w:ind w:left="480" w:hanging="479"/>
        <w:spacing w:after="0"/>
        <w:tabs>
          <w:tab w:leader="none" w:pos="480" w:val="left"/>
        </w:tabs>
        <w:numPr>
          <w:ilvl w:val="0"/>
          <w:numId w:val="5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Special Issuance and Delivery Instructions.</w:t>
      </w:r>
    </w:p>
    <w:p>
      <w:pPr>
        <w:spacing w:after="0" w:line="166" w:lineRule="exact"/>
        <w:rPr>
          <w:sz w:val="20"/>
          <w:szCs w:val="20"/>
          <w:color w:val="auto"/>
        </w:rPr>
      </w:pPr>
    </w:p>
    <w:p>
      <w:pPr>
        <w:jc w:val="both"/>
        <w:ind w:firstLine="244"/>
        <w:spacing w:after="0" w:line="248" w:lineRule="auto"/>
        <w:rPr>
          <w:sz w:val="20"/>
          <w:szCs w:val="20"/>
          <w:color w:val="auto"/>
        </w:rPr>
      </w:pPr>
      <w:r>
        <w:rPr>
          <w:rFonts w:ascii="Times New Roman" w:cs="Times New Roman" w:eastAsia="Times New Roman" w:hAnsi="Times New Roman"/>
          <w:sz w:val="14"/>
          <w:szCs w:val="14"/>
          <w:color w:val="auto"/>
        </w:rPr>
        <w:t>Tendering holders should indicate, as applicable, the name and address to which the Restricted Notes not exchanged are to be issued or delivered, if different from the name or address of the person signing this Letter of Transmittal. In the case of issuance in a different name, the taxpayer identification number of the person named must also be indicated and, as described in Instruction 7, a duly completed IRS Form W-9 or IRS Form W-8, as applicable, must be provided. Holders tendering Restricted Notes by book-entry transfer may request that Restricted Notes not exchanged be credited to such account maintained at the book-entry transfer facility as such holder may designate.</w:t>
      </w:r>
    </w:p>
    <w:p>
      <w:pPr>
        <w:spacing w:after="0" w:line="145" w:lineRule="exact"/>
        <w:rPr>
          <w:sz w:val="20"/>
          <w:szCs w:val="20"/>
          <w:color w:val="auto"/>
        </w:rPr>
      </w:pPr>
    </w:p>
    <w:p>
      <w:pPr>
        <w:ind w:left="480" w:hanging="479"/>
        <w:spacing w:after="0"/>
        <w:tabs>
          <w:tab w:leader="none" w:pos="480" w:val="left"/>
        </w:tabs>
        <w:numPr>
          <w:ilvl w:val="0"/>
          <w:numId w:val="5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Transfer Taxes.</w:t>
      </w:r>
    </w:p>
    <w:p>
      <w:pPr>
        <w:spacing w:after="0" w:line="166" w:lineRule="exact"/>
        <w:rPr>
          <w:sz w:val="20"/>
          <w:szCs w:val="20"/>
          <w:color w:val="auto"/>
        </w:rPr>
      </w:pPr>
    </w:p>
    <w:p>
      <w:pPr>
        <w:jc w:val="both"/>
        <w:ind w:firstLine="244"/>
        <w:spacing w:after="0" w:line="248" w:lineRule="auto"/>
        <w:rPr>
          <w:sz w:val="20"/>
          <w:szCs w:val="20"/>
          <w:color w:val="auto"/>
        </w:rPr>
      </w:pPr>
      <w:r>
        <w:rPr>
          <w:rFonts w:ascii="Times New Roman" w:cs="Times New Roman" w:eastAsia="Times New Roman" w:hAnsi="Times New Roman"/>
          <w:sz w:val="14"/>
          <w:szCs w:val="14"/>
          <w:color w:val="auto"/>
        </w:rPr>
        <w:t>If Restricted Notes for principal amounts not tendered or accepted for exchange are to be registered or issued in the name of any person other than the registered holder of the Restricted Notes tendered, or if tendered Restricted Notes or Registered Notes are to be registered in the name of any person other than the person signing this Letter of Transmittal, or if a transfer tax is imposed for any other reason, the amount of any such transfer taxes (whether imposed on the registered holder or any other person) will be payable by the applicable holder. If satisfactory evidence of payment of such taxes or exemption therefrom is not submitted herewith, the amount of such transfer taxes will be billed directly to such applicable holder.</w:t>
      </w:r>
    </w:p>
    <w:p>
      <w:pPr>
        <w:spacing w:after="0" w:line="145" w:lineRule="exact"/>
        <w:rPr>
          <w:sz w:val="20"/>
          <w:szCs w:val="20"/>
          <w:color w:val="auto"/>
        </w:rPr>
      </w:pPr>
    </w:p>
    <w:p>
      <w:pPr>
        <w:ind w:left="480" w:hanging="479"/>
        <w:spacing w:after="0"/>
        <w:tabs>
          <w:tab w:leader="none" w:pos="480" w:val="left"/>
        </w:tabs>
        <w:numPr>
          <w:ilvl w:val="0"/>
          <w:numId w:val="5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Waiver of Conditions.</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Issuer reserves the absolute right to waive, in whole or in part, any of the conditions to the Exchange Offer set forth in the Prospectus.</w:t>
      </w:r>
    </w:p>
    <w:p>
      <w:pPr>
        <w:spacing w:after="0" w:line="162" w:lineRule="exact"/>
        <w:rPr>
          <w:sz w:val="20"/>
          <w:szCs w:val="20"/>
          <w:color w:val="auto"/>
        </w:rPr>
      </w:pPr>
    </w:p>
    <w:p>
      <w:pPr>
        <w:ind w:left="480" w:hanging="479"/>
        <w:spacing w:after="0"/>
        <w:tabs>
          <w:tab w:leader="none" w:pos="480" w:val="left"/>
        </w:tabs>
        <w:numPr>
          <w:ilvl w:val="0"/>
          <w:numId w:val="5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Taxpayer Information; IRS Form W-9; IRS Form W-8.</w:t>
      </w:r>
    </w:p>
    <w:p>
      <w:pPr>
        <w:spacing w:after="0" w:line="166" w:lineRule="exact"/>
        <w:rPr>
          <w:sz w:val="20"/>
          <w:szCs w:val="20"/>
          <w:color w:val="auto"/>
        </w:rPr>
      </w:pPr>
    </w:p>
    <w:p>
      <w:pPr>
        <w:jc w:val="both"/>
        <w:ind w:firstLine="244"/>
        <w:spacing w:after="0" w:line="245" w:lineRule="auto"/>
        <w:rPr>
          <w:sz w:val="20"/>
          <w:szCs w:val="20"/>
          <w:color w:val="auto"/>
        </w:rPr>
      </w:pPr>
      <w:r>
        <w:rPr>
          <w:rFonts w:ascii="Times New Roman" w:cs="Times New Roman" w:eastAsia="Times New Roman" w:hAnsi="Times New Roman"/>
          <w:sz w:val="14"/>
          <w:szCs w:val="14"/>
          <w:color w:val="auto"/>
        </w:rPr>
        <w:t>Under U.S. federal income tax law, a holder of Registered Notes may be subject to backup withholding on reportable payments made on the Registered Notes unless the holder provides the Exchange Agent, Issuer, or other payor with its correct taxpayer identification number (“</w:t>
      </w:r>
      <w:r>
        <w:rPr>
          <w:rFonts w:ascii="Times New Roman" w:cs="Times New Roman" w:eastAsia="Times New Roman" w:hAnsi="Times New Roman"/>
          <w:sz w:val="14"/>
          <w:szCs w:val="14"/>
          <w:i w:val="1"/>
          <w:iCs w:val="1"/>
          <w:color w:val="auto"/>
        </w:rPr>
        <w:t>TIN</w:t>
      </w:r>
      <w:r>
        <w:rPr>
          <w:rFonts w:ascii="Times New Roman" w:cs="Times New Roman" w:eastAsia="Times New Roman" w:hAnsi="Times New Roman"/>
          <w:sz w:val="14"/>
          <w:szCs w:val="14"/>
          <w:color w:val="auto"/>
        </w:rPr>
        <w:t>”) and certain other information on Internal Revenue Service (“</w:t>
      </w:r>
      <w:r>
        <w:rPr>
          <w:rFonts w:ascii="Times New Roman" w:cs="Times New Roman" w:eastAsia="Times New Roman" w:hAnsi="Times New Roman"/>
          <w:sz w:val="14"/>
          <w:szCs w:val="14"/>
          <w:i w:val="1"/>
          <w:iCs w:val="1"/>
          <w:color w:val="auto"/>
        </w:rPr>
        <w:t>IRS</w:t>
      </w:r>
      <w:r>
        <w:rPr>
          <w:rFonts w:ascii="Times New Roman" w:cs="Times New Roman" w:eastAsia="Times New Roman" w:hAnsi="Times New Roman"/>
          <w:sz w:val="14"/>
          <w:szCs w:val="14"/>
          <w:color w:val="auto"/>
        </w:rPr>
        <w:t>”) Form W-9 (in the case of a U.S. Person), which is provided below, or otherwise establishes an exemption (including by submitting the applicable IRS Form W-8, in the case of a non-U.S. Person). If the Exchange Agent, Issuer or other payor is not provided with the correct TIN or an adequate basis for an exemption, a holder may be subject to a penalty imposed by the IRS, and backup withholding (currently, at a rate of 24%) may apply to any reportable payments on the Registered Notes made to such holder. Such reportable payments generally will be subject to information reporting, even if the Exchange Agent, Issuer or other payor is provided with a TIN. Backup withholding is not an additional tax. Rather, the U.S. federal income tax liability of a person subject to backup withholding will be reduced by the amount withheld. If backup withholding results in an overpayment of taxes, a refund may be obtained, provided that the required information is timely provided to the IRS.</w:t>
      </w:r>
    </w:p>
    <w:p>
      <w:pPr>
        <w:spacing w:after="0" w:line="147" w:lineRule="exact"/>
        <w:rPr>
          <w:sz w:val="20"/>
          <w:szCs w:val="20"/>
          <w:color w:val="auto"/>
        </w:rPr>
      </w:pPr>
    </w:p>
    <w:p>
      <w:pPr>
        <w:jc w:val="both"/>
        <w:ind w:firstLine="244"/>
        <w:spacing w:after="0" w:line="265" w:lineRule="auto"/>
        <w:rPr>
          <w:sz w:val="20"/>
          <w:szCs w:val="20"/>
          <w:color w:val="auto"/>
        </w:rPr>
      </w:pPr>
      <w:r>
        <w:rPr>
          <w:rFonts w:ascii="Times New Roman" w:cs="Times New Roman" w:eastAsia="Times New Roman" w:hAnsi="Times New Roman"/>
          <w:sz w:val="14"/>
          <w:szCs w:val="14"/>
          <w:color w:val="auto"/>
        </w:rPr>
        <w:t>To prevent backup withholding on reportable payments made on the Registered Notes, each holder that is a “United States person” for U.S. federal income tax purposes (a “</w:t>
      </w:r>
      <w:r>
        <w:rPr>
          <w:rFonts w:ascii="Times New Roman" w:cs="Times New Roman" w:eastAsia="Times New Roman" w:hAnsi="Times New Roman"/>
          <w:sz w:val="14"/>
          <w:szCs w:val="14"/>
          <w:i w:val="1"/>
          <w:iCs w:val="1"/>
          <w:color w:val="auto"/>
        </w:rPr>
        <w:t>U.S. Person</w:t>
      </w:r>
      <w:r>
        <w:rPr>
          <w:rFonts w:ascii="Times New Roman" w:cs="Times New Roman" w:eastAsia="Times New Roman" w:hAnsi="Times New Roman"/>
          <w:sz w:val="14"/>
          <w:szCs w:val="14"/>
          <w:color w:val="auto"/>
        </w:rPr>
        <w:t>”) should provide a properly completed and executed IRS Form W-9. Please see the instructions to the enclosed IRS Form W-9 for further information.</w:t>
      </w:r>
    </w:p>
    <w:p>
      <w:pPr>
        <w:spacing w:after="0" w:line="134" w:lineRule="exact"/>
        <w:rPr>
          <w:sz w:val="20"/>
          <w:szCs w:val="20"/>
          <w:color w:val="auto"/>
        </w:rPr>
      </w:pPr>
    </w:p>
    <w:p>
      <w:pPr>
        <w:jc w:val="both"/>
        <w:ind w:firstLine="244"/>
        <w:spacing w:after="0" w:line="314" w:lineRule="auto"/>
        <w:rPr>
          <w:sz w:val="20"/>
          <w:szCs w:val="20"/>
          <w:color w:val="auto"/>
        </w:rPr>
      </w:pPr>
      <w:r>
        <w:rPr>
          <w:rFonts w:ascii="Times New Roman" w:cs="Times New Roman" w:eastAsia="Times New Roman" w:hAnsi="Times New Roman"/>
          <w:sz w:val="12"/>
          <w:szCs w:val="12"/>
          <w:color w:val="auto"/>
        </w:rPr>
        <w:t xml:space="preserve">Certain holders (including, among others, generally all corporations and certain non-U.S. persons) are not subject to backup withholding. An exempt U.S. Person may establish its exempt status on IRS Form W-9. If IRS Form W-9 is not applicable to a holder because such holder is not a U.S. Person, such holder may establish its exempt status on IRS Form W-8BEN, Form W-8BEN-E, W-8ECI, W-8EXP or W-8IMY, as the case may be, signed under penalties of perjury, attesting to that holder’s exempt status. The applicable IRS Form W-8 can be obtained from the IRS website at </w:t>
      </w:r>
      <w:r>
        <w:rPr>
          <w:rFonts w:ascii="Times New Roman" w:cs="Times New Roman" w:eastAsia="Times New Roman" w:hAnsi="Times New Roman"/>
          <w:sz w:val="12"/>
          <w:szCs w:val="12"/>
          <w:i w:val="1"/>
          <w:iCs w:val="1"/>
          <w:color w:val="auto"/>
        </w:rPr>
        <w:t>www.irs.gov</w:t>
      </w:r>
      <w:r>
        <w:rPr>
          <w:rFonts w:ascii="Times New Roman" w:cs="Times New Roman" w:eastAsia="Times New Roman" w:hAnsi="Times New Roman"/>
          <w:sz w:val="12"/>
          <w:szCs w:val="12"/>
          <w:color w:val="auto"/>
        </w:rPr>
        <w: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716661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82" w:name="page83"/>
    <w:bookmarkEnd w:id="82"/>
    <w:p>
      <w:pPr>
        <w:ind w:left="480" w:hanging="479"/>
        <w:spacing w:after="0"/>
        <w:tabs>
          <w:tab w:leader="none" w:pos="480" w:val="left"/>
        </w:tabs>
        <w:numPr>
          <w:ilvl w:val="0"/>
          <w:numId w:val="5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Requests for Assistance or Additional Copies.</w:t>
      </w:r>
    </w:p>
    <w:p>
      <w:pPr>
        <w:spacing w:after="0" w:line="166" w:lineRule="exact"/>
        <w:rPr>
          <w:sz w:val="20"/>
          <w:szCs w:val="20"/>
          <w:color w:val="auto"/>
        </w:rPr>
      </w:pPr>
    </w:p>
    <w:p>
      <w:pPr>
        <w:jc w:val="both"/>
        <w:ind w:firstLine="244"/>
        <w:spacing w:after="0" w:line="252" w:lineRule="auto"/>
        <w:rPr>
          <w:sz w:val="20"/>
          <w:szCs w:val="20"/>
          <w:color w:val="auto"/>
        </w:rPr>
      </w:pPr>
      <w:r>
        <w:rPr>
          <w:rFonts w:ascii="Times New Roman" w:cs="Times New Roman" w:eastAsia="Times New Roman" w:hAnsi="Times New Roman"/>
          <w:sz w:val="14"/>
          <w:szCs w:val="14"/>
          <w:color w:val="auto"/>
        </w:rPr>
        <w:t>Questions relating to the procedure for tendering, as well as requests for additional copies of the Prospectus and this Letter of Transmittal, may be directed to the Exchange Agent at the address and telephone number set forth above. In addition, all questions relating to the Exchange Offer, as well as requests for assistance or additional copies of the Prospectus and this Letter of Transmittal, may be directed to the Exchange Agent at the address and telephone number indicated above.</w:t>
      </w:r>
    </w:p>
    <w:p>
      <w:pPr>
        <w:spacing w:after="0" w:line="142" w:lineRule="exact"/>
        <w:rPr>
          <w:sz w:val="20"/>
          <w:szCs w:val="20"/>
          <w:color w:val="auto"/>
        </w:rPr>
      </w:pPr>
    </w:p>
    <w:p>
      <w:pPr>
        <w:jc w:val="both"/>
        <w:ind w:firstLine="244"/>
        <w:spacing w:after="0" w:line="262" w:lineRule="auto"/>
        <w:rPr>
          <w:sz w:val="20"/>
          <w:szCs w:val="20"/>
          <w:color w:val="auto"/>
        </w:rPr>
      </w:pPr>
      <w:r>
        <w:rPr>
          <w:rFonts w:ascii="Times New Roman" w:cs="Times New Roman" w:eastAsia="Times New Roman" w:hAnsi="Times New Roman"/>
          <w:sz w:val="14"/>
          <w:szCs w:val="14"/>
          <w:color w:val="auto"/>
        </w:rPr>
        <w:t>IMPORTANT: This Letter of Transmittal (together with Restricted Notes or confirmation of book-entry transfer and all other required documents) must be received by the Exchange Agent on or prior to the Expiration Date.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716661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1621790</wp:posOffset>
            </wp:positionH>
            <wp:positionV relativeFrom="page">
              <wp:posOffset>462915</wp:posOffset>
            </wp:positionV>
            <wp:extent cx="4279265" cy="54394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4279265" cy="543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8890</wp:posOffset>
            </wp:positionV>
            <wp:extent cx="716661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1544320</wp:posOffset>
            </wp:positionH>
            <wp:positionV relativeFrom="page">
              <wp:posOffset>462915</wp:posOffset>
            </wp:positionV>
            <wp:extent cx="4433570" cy="5593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4433570" cy="559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8890</wp:posOffset>
            </wp:positionV>
            <wp:extent cx="716661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1467485</wp:posOffset>
            </wp:positionH>
            <wp:positionV relativeFrom="page">
              <wp:posOffset>462915</wp:posOffset>
            </wp:positionV>
            <wp:extent cx="4620895" cy="59416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4620895" cy="5941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8890</wp:posOffset>
            </wp:positionV>
            <wp:extent cx="716661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1609090</wp:posOffset>
            </wp:positionH>
            <wp:positionV relativeFrom="page">
              <wp:posOffset>462915</wp:posOffset>
            </wp:positionV>
            <wp:extent cx="4311650" cy="56000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4311650" cy="560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8890</wp:posOffset>
            </wp:positionV>
            <wp:extent cx="716661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1615440</wp:posOffset>
            </wp:positionH>
            <wp:positionV relativeFrom="page">
              <wp:posOffset>462915</wp:posOffset>
            </wp:positionV>
            <wp:extent cx="4318000" cy="48075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4318000" cy="4807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8890</wp:posOffset>
            </wp:positionV>
            <wp:extent cx="716661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1518920</wp:posOffset>
            </wp:positionH>
            <wp:positionV relativeFrom="page">
              <wp:posOffset>462915</wp:posOffset>
            </wp:positionV>
            <wp:extent cx="4511040" cy="2449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4511040" cy="2449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8890</wp:posOffset>
            </wp:positionV>
            <wp:extent cx="716661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9" w:name="page90"/>
    <w:bookmarkEnd w:id="89"/>
    <w:p>
      <w:pPr>
        <w:ind w:left="3520"/>
        <w:spacing w:after="0"/>
        <w:rPr>
          <w:sz w:val="20"/>
          <w:szCs w:val="20"/>
          <w:color w:val="auto"/>
        </w:rPr>
      </w:pPr>
      <w:r>
        <w:rPr>
          <w:rFonts w:ascii="Arial" w:cs="Arial" w:eastAsia="Arial" w:hAnsi="Arial"/>
          <w:sz w:val="27"/>
          <w:szCs w:val="27"/>
          <w:b w:val="1"/>
          <w:bCs w:val="1"/>
          <w:color w:val="auto"/>
        </w:rPr>
        <w:t>Calculation of Filing Fee Tables</w:t>
      </w:r>
    </w:p>
    <w:p>
      <w:pPr>
        <w:spacing w:after="0" w:line="167" w:lineRule="exact"/>
        <w:rPr>
          <w:sz w:val="20"/>
          <w:szCs w:val="20"/>
          <w:color w:val="auto"/>
        </w:rPr>
      </w:pPr>
    </w:p>
    <w:p>
      <w:pPr>
        <w:ind w:left="5320"/>
        <w:spacing w:after="0"/>
        <w:rPr>
          <w:sz w:val="20"/>
          <w:szCs w:val="20"/>
          <w:color w:val="auto"/>
        </w:rPr>
      </w:pPr>
      <w:r>
        <w:rPr>
          <w:rFonts w:ascii="Arial" w:cs="Arial" w:eastAsia="Arial" w:hAnsi="Arial"/>
          <w:sz w:val="27"/>
          <w:szCs w:val="27"/>
          <w:b w:val="1"/>
          <w:bCs w:val="1"/>
          <w:color w:val="auto"/>
        </w:rPr>
        <w:t>S-4</w:t>
      </w:r>
    </w:p>
    <w:p>
      <w:pPr>
        <w:spacing w:after="0" w:line="95"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WASTE MANAGEMENT INC</w:t>
      </w:r>
    </w:p>
    <w:p>
      <w:pPr>
        <w:spacing w:after="0" w:line="12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Table 1: Newly Registered and Carry Forward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28575</wp:posOffset>
            </wp:positionV>
            <wp:extent cx="7216140" cy="47237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7216140" cy="4723765"/>
                    </a:xfrm>
                    <a:prstGeom prst="rect">
                      <a:avLst/>
                    </a:prstGeom>
                    <a:noFill/>
                  </pic:spPr>
                </pic:pic>
              </a:graphicData>
            </a:graphic>
          </wp:anchor>
        </w:drawing>
      </w:r>
    </w:p>
    <w:p>
      <w:pPr>
        <w:sectPr>
          <w:pgSz w:w="11900" w:h="16838" w:orient="portrait"/>
          <w:cols w:equalWidth="0" w:num="1">
            <w:col w:w="11280"/>
          </w:cols>
          <w:pgMar w:left="340" w:top="141" w:right="279" w:bottom="1440" w:gutter="0" w:footer="0" w:header="0"/>
        </w:sectPr>
      </w:pP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629"/>
        </w:trPr>
        <w:tc>
          <w:tcPr>
            <w:tcW w:w="7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24"/>
                <w:szCs w:val="24"/>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0" w:type="dxa"/>
            <w:vAlign w:val="bottom"/>
          </w:tcPr>
          <w:p>
            <w:pPr>
              <w:spacing w:after="0"/>
              <w:rPr>
                <w:sz w:val="1"/>
                <w:szCs w:val="1"/>
                <w:color w:val="auto"/>
              </w:rPr>
            </w:pPr>
          </w:p>
        </w:tc>
      </w:tr>
      <w:tr>
        <w:trPr>
          <w:trHeight w:val="91"/>
        </w:trPr>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Calculation</w:t>
            </w:r>
          </w:p>
        </w:tc>
        <w:tc>
          <w:tcPr>
            <w:tcW w:w="20" w:type="dxa"/>
            <w:vAlign w:val="bottom"/>
          </w:tcPr>
          <w:p>
            <w:pPr>
              <w:spacing w:after="0"/>
              <w:rPr>
                <w:sz w:val="7"/>
                <w:szCs w:val="7"/>
                <w:color w:val="auto"/>
              </w:rPr>
            </w:pPr>
          </w:p>
        </w:tc>
        <w:tc>
          <w:tcPr>
            <w:tcW w:w="9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restart"/>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7"/>
                <w:szCs w:val="7"/>
                <w:color w:val="auto"/>
              </w:rPr>
            </w:pPr>
          </w:p>
        </w:tc>
        <w:tc>
          <w:tcPr>
            <w:tcW w:w="1160" w:type="dxa"/>
            <w:vAlign w:val="bottom"/>
            <w:vMerge w:val="restart"/>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vMerge w:val="restart"/>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Amount of</w:t>
            </w:r>
          </w:p>
        </w:tc>
        <w:tc>
          <w:tcPr>
            <w:tcW w:w="20" w:type="dxa"/>
            <w:vAlign w:val="bottom"/>
          </w:tcPr>
          <w:p>
            <w:pPr>
              <w:spacing w:after="0"/>
              <w:rPr>
                <w:sz w:val="7"/>
                <w:szCs w:val="7"/>
                <w:color w:val="auto"/>
              </w:rPr>
            </w:pPr>
          </w:p>
        </w:tc>
        <w:tc>
          <w:tcPr>
            <w:tcW w:w="6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9ADAF6"/>
          </w:tcPr>
          <w:p>
            <w:pP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7"/>
                <w:szCs w:val="7"/>
                <w:color w:val="auto"/>
              </w:rPr>
            </w:pPr>
          </w:p>
        </w:tc>
        <w:tc>
          <w:tcPr>
            <w:tcW w:w="1020" w:type="dxa"/>
            <w:vAlign w:val="bottom"/>
            <w:vMerge w:val="restart"/>
            <w:shd w:val="clear" w:color="auto" w:fill="9ADAF6"/>
          </w:tcPr>
          <w:p>
            <w:pPr>
              <w:ind w:left="20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7"/>
                <w:szCs w:val="7"/>
                <w:color w:val="auto"/>
              </w:rPr>
            </w:pPr>
          </w:p>
        </w:tc>
        <w:tc>
          <w:tcPr>
            <w:tcW w:w="9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7"/>
                <w:szCs w:val="7"/>
                <w:color w:val="auto"/>
              </w:rPr>
            </w:pPr>
          </w:p>
        </w:tc>
        <w:tc>
          <w:tcPr>
            <w:tcW w:w="7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7"/>
                <w:szCs w:val="7"/>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163"/>
        </w:trPr>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w w:val="99"/>
              </w:rPr>
              <w:t>or Carry</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4"/>
                <w:szCs w:val="14"/>
                <w:color w:val="auto"/>
              </w:rPr>
            </w:pPr>
          </w:p>
        </w:tc>
        <w:tc>
          <w:tcPr>
            <w:tcW w:w="116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4"/>
                <w:szCs w:val="14"/>
                <w:color w:val="auto"/>
              </w:rPr>
            </w:pPr>
          </w:p>
        </w:tc>
        <w:tc>
          <w:tcPr>
            <w:tcW w:w="98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ind w:left="140"/>
              <w:spacing w:after="0" w:line="183"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1020" w:type="dxa"/>
            <w:vAlign w:val="bottom"/>
            <w:shd w:val="clear" w:color="auto" w:fill="9ADAF6"/>
          </w:tcPr>
          <w:p>
            <w:pPr>
              <w:ind w:left="100"/>
              <w:spacing w:after="0" w:line="183" w:lineRule="exact"/>
              <w:rPr>
                <w:sz w:val="20"/>
                <w:szCs w:val="20"/>
                <w:color w:val="auto"/>
              </w:rPr>
            </w:pPr>
            <w:r>
              <w:rPr>
                <w:rFonts w:ascii="Arial" w:cs="Arial" w:eastAsia="Arial" w:hAnsi="Arial"/>
                <w:sz w:val="16"/>
                <w:szCs w:val="16"/>
                <w:b w:val="1"/>
                <w:bCs w:val="1"/>
                <w:color w:val="auto"/>
              </w:rPr>
              <w:t>Class Title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92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5"/>
                <w:szCs w:val="15"/>
                <w:color w:val="auto"/>
              </w:rPr>
            </w:pPr>
          </w:p>
        </w:tc>
        <w:tc>
          <w:tcPr>
            <w:tcW w:w="116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File</w:t>
            </w:r>
          </w:p>
        </w:tc>
        <w:tc>
          <w:tcPr>
            <w:tcW w:w="0" w:type="dxa"/>
            <w:vAlign w:val="bottom"/>
          </w:tcPr>
          <w:p>
            <w:pPr>
              <w:spacing w:after="0"/>
              <w:rPr>
                <w:sz w:val="1"/>
                <w:szCs w:val="1"/>
                <w:color w:val="auto"/>
              </w:rPr>
            </w:pPr>
          </w:p>
        </w:tc>
      </w:tr>
      <w:tr>
        <w:trPr>
          <w:trHeight w:val="183"/>
        </w:trPr>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Rule</w:t>
            </w: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5"/>
                <w:szCs w:val="15"/>
                <w:color w:val="auto"/>
              </w:rPr>
            </w:pPr>
          </w:p>
        </w:tc>
        <w:tc>
          <w:tcPr>
            <w:tcW w:w="11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Number</w:t>
            </w:r>
          </w:p>
        </w:tc>
        <w:tc>
          <w:tcPr>
            <w:tcW w:w="0" w:type="dxa"/>
            <w:vAlign w:val="bottom"/>
          </w:tcPr>
          <w:p>
            <w:pPr>
              <w:spacing w:after="0"/>
              <w:rPr>
                <w:sz w:val="1"/>
                <w:szCs w:val="1"/>
                <w:color w:val="auto"/>
              </w:rPr>
            </w:pPr>
          </w:p>
        </w:tc>
      </w:tr>
      <w:tr>
        <w:trPr>
          <w:trHeight w:val="60"/>
        </w:trPr>
        <w:tc>
          <w:tcPr>
            <w:tcW w:w="7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9ADAF6"/>
          </w:tcPr>
          <w:p>
            <w:pPr>
              <w:spacing w:after="0"/>
              <w:rPr>
                <w:sz w:val="5"/>
                <w:szCs w:val="5"/>
                <w:color w:val="auto"/>
              </w:rPr>
            </w:pPr>
          </w:p>
        </w:tc>
        <w:tc>
          <w:tcPr>
            <w:tcW w:w="0" w:type="dxa"/>
            <w:vAlign w:val="bottom"/>
          </w:tcPr>
          <w:p>
            <w:pPr>
              <w:spacing w:after="0"/>
              <w:rPr>
                <w:sz w:val="1"/>
                <w:szCs w:val="1"/>
                <w:color w:val="auto"/>
              </w:rPr>
            </w:pPr>
          </w:p>
        </w:tc>
      </w:tr>
      <w:tr>
        <w:trPr>
          <w:trHeight w:val="447"/>
        </w:trPr>
        <w:tc>
          <w:tcPr>
            <w:tcW w:w="7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gridSpan w:val="5"/>
          </w:tcPr>
          <w:p>
            <w:pPr>
              <w:ind w:left="60"/>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ind w:left="20"/>
              <w:spacing w:after="0"/>
              <w:rPr>
                <w:sz w:val="20"/>
                <w:szCs w:val="20"/>
                <w:color w:val="auto"/>
              </w:rPr>
            </w:pPr>
            <w:r>
              <w:rPr>
                <w:rFonts w:ascii="Arial" w:cs="Arial" w:eastAsia="Arial" w:hAnsi="Arial"/>
                <w:sz w:val="16"/>
                <w:szCs w:val="16"/>
                <w:color w:val="auto"/>
              </w:rPr>
              <w:t>3.875%</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ind w:left="20"/>
              <w:spacing w:after="0" w:line="183" w:lineRule="exact"/>
              <w:rPr>
                <w:sz w:val="20"/>
                <w:szCs w:val="20"/>
                <w:color w:val="auto"/>
              </w:rPr>
            </w:pPr>
            <w:r>
              <w:rPr>
                <w:rFonts w:ascii="Arial" w:cs="Arial" w:eastAsia="Arial" w:hAnsi="Arial"/>
                <w:sz w:val="16"/>
                <w:szCs w:val="16"/>
                <w:color w:val="auto"/>
              </w:rPr>
              <w:t>Senior Notes</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shd w:val="clear" w:color="auto" w:fill="E7E7E2"/>
          </w:tcPr>
          <w:p>
            <w:pPr>
              <w:spacing w:after="0" w:line="183"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5"/>
                <w:szCs w:val="15"/>
                <w:color w:val="auto"/>
              </w:rPr>
            </w:pPr>
          </w:p>
        </w:tc>
        <w:tc>
          <w:tcPr>
            <w:tcW w:w="6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1020" w:type="dxa"/>
            <w:vAlign w:val="bottom"/>
            <w:shd w:val="clear" w:color="auto" w:fill="E7E7E2"/>
          </w:tcPr>
          <w:p>
            <w:pPr>
              <w:ind w:left="20"/>
              <w:spacing w:after="0" w:line="183" w:lineRule="exact"/>
              <w:rPr>
                <w:sz w:val="20"/>
                <w:szCs w:val="20"/>
                <w:color w:val="auto"/>
              </w:rPr>
            </w:pPr>
            <w:r>
              <w:rPr>
                <w:rFonts w:ascii="Arial" w:cs="Arial" w:eastAsia="Arial" w:hAnsi="Arial"/>
                <w:sz w:val="16"/>
                <w:szCs w:val="16"/>
                <w:color w:val="auto"/>
              </w:rPr>
              <w:t>due 2029 of</w:t>
            </w:r>
          </w:p>
        </w:tc>
        <w:tc>
          <w:tcPr>
            <w:tcW w:w="20" w:type="dxa"/>
            <w:vAlign w:val="bottom"/>
          </w:tcPr>
          <w:p>
            <w:pPr>
              <w:spacing w:after="0"/>
              <w:rPr>
                <w:sz w:val="15"/>
                <w:szCs w:val="15"/>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485,084,000</w:t>
            </w: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jc w:val="right"/>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7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0.0001531</w:t>
            </w:r>
          </w:p>
        </w:tc>
        <w:tc>
          <w:tcPr>
            <w:tcW w:w="20" w:type="dxa"/>
            <w:vAlign w:val="bottom"/>
          </w:tcPr>
          <w:p>
            <w:pPr>
              <w:spacing w:after="0"/>
              <w:rPr>
                <w:sz w:val="15"/>
                <w:szCs w:val="15"/>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$ 74,266.36</w:t>
            </w: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shd w:val="clear" w:color="auto" w:fill="E7E7E2"/>
          </w:tcPr>
          <w:p>
            <w:pPr>
              <w:spacing w:after="0" w:line="183"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5"/>
                <w:szCs w:val="15"/>
                <w:color w:val="auto"/>
              </w:rPr>
            </w:pPr>
          </w:p>
        </w:tc>
        <w:tc>
          <w:tcPr>
            <w:tcW w:w="12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ind w:left="20"/>
              <w:spacing w:after="0" w:line="183" w:lineRule="exact"/>
              <w:rPr>
                <w:sz w:val="20"/>
                <w:szCs w:val="20"/>
                <w:color w:val="auto"/>
              </w:rPr>
            </w:pPr>
            <w:r>
              <w:rPr>
                <w:rFonts w:ascii="Arial" w:cs="Arial" w:eastAsia="Arial" w:hAnsi="Arial"/>
                <w:sz w:val="16"/>
                <w:szCs w:val="16"/>
                <w:color w:val="auto"/>
              </w:rPr>
              <w:t>Waste</w:t>
            </w:r>
          </w:p>
        </w:tc>
        <w:tc>
          <w:tcPr>
            <w:tcW w:w="20" w:type="dxa"/>
            <w:vAlign w:val="bottom"/>
          </w:tcPr>
          <w:p>
            <w:pPr>
              <w:spacing w:after="0"/>
              <w:rPr>
                <w:sz w:val="15"/>
                <w:szCs w:val="15"/>
                <w:color w:val="auto"/>
              </w:rPr>
            </w:pPr>
          </w:p>
        </w:tc>
        <w:tc>
          <w:tcPr>
            <w:tcW w:w="90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jc w:val="right"/>
              <w:spacing w:after="0" w:line="183" w:lineRule="exact"/>
              <w:rPr>
                <w:sz w:val="20"/>
                <w:szCs w:val="20"/>
                <w:color w:val="auto"/>
              </w:rPr>
            </w:pPr>
            <w:r>
              <w:rPr>
                <w:rFonts w:ascii="Arial" w:cs="Arial" w:eastAsia="Arial" w:hAnsi="Arial"/>
                <w:sz w:val="16"/>
                <w:szCs w:val="16"/>
                <w:color w:val="auto"/>
              </w:rPr>
              <w:t>485,084,000.00</w:t>
            </w:r>
          </w:p>
        </w:tc>
        <w:tc>
          <w:tcPr>
            <w:tcW w:w="20" w:type="dxa"/>
            <w:vAlign w:val="bottom"/>
          </w:tcPr>
          <w:p>
            <w:pPr>
              <w:spacing w:after="0"/>
              <w:rPr>
                <w:sz w:val="15"/>
                <w:szCs w:val="15"/>
                <w:color w:val="auto"/>
              </w:rPr>
            </w:pPr>
          </w:p>
        </w:tc>
        <w:tc>
          <w:tcPr>
            <w:tcW w:w="78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ind w:left="20"/>
              <w:spacing w:after="0" w:line="183" w:lineRule="exact"/>
              <w:rPr>
                <w:sz w:val="20"/>
                <w:szCs w:val="20"/>
                <w:color w:val="auto"/>
              </w:rPr>
            </w:pPr>
            <w:r>
              <w:rPr>
                <w:rFonts w:ascii="Arial" w:cs="Arial" w:eastAsia="Arial" w:hAnsi="Arial"/>
                <w:sz w:val="16"/>
                <w:szCs w:val="16"/>
                <w:color w:val="auto"/>
              </w:rPr>
              <w:t>Management,</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E7E7E2"/>
          </w:tcPr>
          <w:p>
            <w:pPr>
              <w:ind w:left="20"/>
              <w:spacing w:after="0"/>
              <w:rPr>
                <w:sz w:val="20"/>
                <w:szCs w:val="20"/>
                <w:color w:val="auto"/>
              </w:rPr>
            </w:pPr>
            <w:r>
              <w:rPr>
                <w:rFonts w:ascii="Arial" w:cs="Arial" w:eastAsia="Arial" w:hAnsi="Arial"/>
                <w:sz w:val="16"/>
                <w:szCs w:val="16"/>
                <w:color w:val="auto"/>
              </w:rPr>
              <w:t>Inc.</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auto"/>
              </w:rPr>
              <w:t>Guarantee of</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gridSpan w:val="2"/>
          </w:tcPr>
          <w:p>
            <w:pPr>
              <w:ind w:left="40"/>
              <w:spacing w:after="0" w:line="183" w:lineRule="exact"/>
              <w:rPr>
                <w:sz w:val="20"/>
                <w:szCs w:val="20"/>
                <w:color w:val="auto"/>
              </w:rPr>
            </w:pPr>
            <w:r>
              <w:rPr>
                <w:rFonts w:ascii="Arial" w:cs="Arial" w:eastAsia="Arial" w:hAnsi="Arial"/>
                <w:sz w:val="16"/>
                <w:szCs w:val="16"/>
                <w:color w:val="auto"/>
              </w:rPr>
              <w:t>3.875%</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ind w:left="20"/>
              <w:spacing w:after="0" w:line="183" w:lineRule="exact"/>
              <w:rPr>
                <w:sz w:val="20"/>
                <w:szCs w:val="20"/>
                <w:color w:val="auto"/>
              </w:rPr>
            </w:pPr>
            <w:r>
              <w:rPr>
                <w:rFonts w:ascii="Arial" w:cs="Arial" w:eastAsia="Arial" w:hAnsi="Arial"/>
                <w:sz w:val="16"/>
                <w:szCs w:val="16"/>
                <w:color w:val="auto"/>
              </w:rPr>
              <w:t>Senior Notes</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vMerge w:val="restart"/>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ind w:left="20"/>
              <w:spacing w:after="0" w:line="183" w:lineRule="exact"/>
              <w:rPr>
                <w:sz w:val="20"/>
                <w:szCs w:val="20"/>
                <w:color w:val="auto"/>
              </w:rPr>
            </w:pPr>
            <w:r>
              <w:rPr>
                <w:rFonts w:ascii="Arial" w:cs="Arial" w:eastAsia="Arial" w:hAnsi="Arial"/>
                <w:sz w:val="16"/>
                <w:szCs w:val="16"/>
                <w:color w:val="auto"/>
              </w:rPr>
              <w:t>due 2029 of</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tcPr>
          <w:p>
            <w:pPr>
              <w:ind w:left="20"/>
              <w:spacing w:after="0" w:line="107" w:lineRule="exact"/>
              <w:rPr>
                <w:sz w:val="20"/>
                <w:szCs w:val="20"/>
                <w:color w:val="auto"/>
              </w:rPr>
            </w:pPr>
            <w:r>
              <w:rPr>
                <w:rFonts w:ascii="Arial" w:cs="Arial" w:eastAsia="Arial" w:hAnsi="Arial"/>
                <w:sz w:val="12"/>
                <w:szCs w:val="12"/>
                <w:color w:val="auto"/>
              </w:rPr>
              <w:t>2 Other</w:t>
            </w:r>
          </w:p>
        </w:tc>
        <w:tc>
          <w:tcPr>
            <w:tcW w:w="20" w:type="dxa"/>
            <w:vAlign w:val="bottom"/>
          </w:tcPr>
          <w:p>
            <w:pPr>
              <w:spacing w:after="0"/>
              <w:rPr>
                <w:sz w:val="10"/>
                <w:szCs w:val="10"/>
                <w:color w:val="auto"/>
              </w:rPr>
            </w:pPr>
          </w:p>
        </w:tc>
        <w:tc>
          <w:tcPr>
            <w:tcW w:w="1020" w:type="dxa"/>
            <w:vAlign w:val="bottom"/>
          </w:tcPr>
          <w:p>
            <w:pPr>
              <w:ind w:left="20"/>
              <w:spacing w:after="0" w:line="107" w:lineRule="exact"/>
              <w:rPr>
                <w:sz w:val="20"/>
                <w:szCs w:val="20"/>
                <w:color w:val="auto"/>
              </w:rPr>
            </w:pPr>
            <w:r>
              <w:rPr>
                <w:rFonts w:ascii="Arial" w:cs="Arial" w:eastAsia="Arial" w:hAnsi="Arial"/>
                <w:sz w:val="12"/>
                <w:szCs w:val="12"/>
                <w:color w:val="auto"/>
              </w:rPr>
              <w:t>Waste</w:t>
            </w:r>
          </w:p>
        </w:tc>
        <w:tc>
          <w:tcPr>
            <w:tcW w:w="20" w:type="dxa"/>
            <w:vAlign w:val="bottom"/>
          </w:tcPr>
          <w:p>
            <w:pPr>
              <w:spacing w:after="0"/>
              <w:rPr>
                <w:sz w:val="10"/>
                <w:szCs w:val="10"/>
                <w:color w:val="auto"/>
              </w:rPr>
            </w:pPr>
          </w:p>
        </w:tc>
        <w:tc>
          <w:tcPr>
            <w:tcW w:w="900" w:type="dxa"/>
            <w:vAlign w:val="bottom"/>
          </w:tcPr>
          <w:p>
            <w:pPr>
              <w:jc w:val="center"/>
              <w:spacing w:after="0" w:line="107" w:lineRule="exact"/>
              <w:rPr>
                <w:sz w:val="20"/>
                <w:szCs w:val="20"/>
                <w:color w:val="auto"/>
              </w:rPr>
            </w:pPr>
            <w:r>
              <w:rPr>
                <w:rFonts w:ascii="Arial" w:cs="Arial" w:eastAsia="Arial" w:hAnsi="Arial"/>
                <w:sz w:val="12"/>
                <w:szCs w:val="12"/>
                <w:color w:val="auto"/>
              </w:rPr>
              <w:t>Other</w:t>
            </w: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gridSpan w:val="2"/>
          </w:tcPr>
          <w:p>
            <w:pPr>
              <w:jc w:val="center"/>
              <w:spacing w:after="0" w:line="107" w:lineRule="exact"/>
              <w:rPr>
                <w:sz w:val="20"/>
                <w:szCs w:val="20"/>
                <w:color w:val="auto"/>
              </w:rPr>
            </w:pPr>
            <w:r>
              <w:rPr>
                <w:rFonts w:ascii="Arial" w:cs="Arial" w:eastAsia="Arial" w:hAnsi="Arial"/>
                <w:sz w:val="12"/>
                <w:szCs w:val="12"/>
                <w:color w:val="auto"/>
              </w:rPr>
              <w:t>0.0001531</w:t>
            </w:r>
          </w:p>
        </w:tc>
        <w:tc>
          <w:tcPr>
            <w:tcW w:w="1000" w:type="dxa"/>
            <w:vAlign w:val="bottom"/>
            <w:gridSpan w:val="2"/>
          </w:tcPr>
          <w:p>
            <w:pPr>
              <w:jc w:val="right"/>
              <w:spacing w:after="0" w:line="107" w:lineRule="exact"/>
              <w:rPr>
                <w:sz w:val="20"/>
                <w:szCs w:val="20"/>
                <w:color w:val="auto"/>
              </w:rPr>
            </w:pPr>
            <w:r>
              <w:rPr>
                <w:rFonts w:ascii="Arial" w:cs="Arial" w:eastAsia="Arial" w:hAnsi="Arial"/>
                <w:sz w:val="12"/>
                <w:szCs w:val="12"/>
                <w:color w:val="auto"/>
              </w:rPr>
              <w:t>$ 0.00</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60" w:type="dxa"/>
            <w:vAlign w:val="bottom"/>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16"/>
                <w:szCs w:val="16"/>
                <w:color w:val="auto"/>
              </w:rPr>
              <w:t>Management,</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ind w:left="20"/>
              <w:spacing w:after="0" w:line="183" w:lineRule="exact"/>
              <w:rPr>
                <w:sz w:val="20"/>
                <w:szCs w:val="20"/>
                <w:color w:val="auto"/>
              </w:rPr>
            </w:pPr>
            <w:r>
              <w:rPr>
                <w:rFonts w:ascii="Arial" w:cs="Arial" w:eastAsia="Arial" w:hAnsi="Arial"/>
                <w:sz w:val="16"/>
                <w:szCs w:val="16"/>
                <w:color w:val="auto"/>
              </w:rPr>
              <w:t>Inc. by Waste</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ind w:left="20"/>
              <w:spacing w:after="0" w:line="183" w:lineRule="exact"/>
              <w:rPr>
                <w:sz w:val="20"/>
                <w:szCs w:val="20"/>
                <w:color w:val="auto"/>
              </w:rPr>
            </w:pPr>
            <w:r>
              <w:rPr>
                <w:rFonts w:ascii="Arial" w:cs="Arial" w:eastAsia="Arial" w:hAnsi="Arial"/>
                <w:sz w:val="16"/>
                <w:szCs w:val="16"/>
                <w:color w:val="auto"/>
              </w:rPr>
              <w:t>Management</w:t>
            </w:r>
          </w:p>
        </w:tc>
        <w:tc>
          <w:tcPr>
            <w:tcW w:w="0" w:type="dxa"/>
            <w:vAlign w:val="bottom"/>
          </w:tcPr>
          <w:p>
            <w:pPr>
              <w:spacing w:after="0"/>
              <w:rPr>
                <w:sz w:val="1"/>
                <w:szCs w:val="1"/>
                <w:color w:val="auto"/>
              </w:rPr>
            </w:pPr>
          </w:p>
        </w:tc>
      </w:tr>
      <w:tr>
        <w:trPr>
          <w:trHeight w:val="224"/>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auto"/>
              </w:rPr>
              <w:t>Holdings, Inc.</w:t>
            </w: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shd w:val="clear" w:color="auto" w:fill="E7E7E2"/>
          </w:tcPr>
          <w:p>
            <w:pPr>
              <w:spacing w:after="0" w:line="183" w:lineRule="exact"/>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Carry Forward Securities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Carry</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Forward</w:t>
      </w:r>
    </w:p>
    <w:p>
      <w:pPr>
        <w:spacing w:after="0"/>
        <w:rPr>
          <w:sz w:val="20"/>
          <w:szCs w:val="20"/>
          <w:color w:val="auto"/>
        </w:rPr>
      </w:pPr>
      <w:r>
        <w:rPr>
          <w:rFonts w:ascii="Arial" w:cs="Arial" w:eastAsia="Arial" w:hAnsi="Arial"/>
          <w:sz w:val="16"/>
          <w:szCs w:val="16"/>
          <w:color w:val="auto"/>
        </w:rPr>
        <w:t>Securities</w:t>
      </w:r>
    </w:p>
    <w:p>
      <w:pPr>
        <w:spacing w:after="0" w:line="22" w:lineRule="exact"/>
        <w:rPr>
          <w:sz w:val="20"/>
          <w:szCs w:val="20"/>
          <w:color w:val="auto"/>
        </w:rPr>
      </w:pPr>
    </w:p>
    <w:tbl>
      <w:tblPr>
        <w:tblLayout w:type="fixed"/>
        <w:tblInd w:w="2780" w:type="dxa"/>
        <w:tblCellMar>
          <w:top w:w="0" w:type="dxa"/>
          <w:left w:w="0" w:type="dxa"/>
          <w:bottom w:w="0" w:type="dxa"/>
          <w:right w:w="0" w:type="dxa"/>
        </w:tblCellMar>
      </w:tblPr>
      <w:tr>
        <w:trPr>
          <w:trHeight w:val="184"/>
        </w:trPr>
        <w:tc>
          <w:tcPr>
            <w:tcW w:w="2120" w:type="dxa"/>
            <w:vAlign w:val="bottom"/>
          </w:tcPr>
          <w:p>
            <w:pPr>
              <w:spacing w:after="0"/>
              <w:rPr>
                <w:sz w:val="20"/>
                <w:szCs w:val="20"/>
                <w:color w:val="auto"/>
              </w:rPr>
            </w:pPr>
            <w:r>
              <w:rPr>
                <w:rFonts w:ascii="Arial" w:cs="Arial" w:eastAsia="Arial" w:hAnsi="Arial"/>
                <w:sz w:val="16"/>
                <w:szCs w:val="16"/>
                <w:color w:val="auto"/>
              </w:rPr>
              <w:t>Total Offering Amounts:</w:t>
            </w:r>
          </w:p>
        </w:tc>
        <w:tc>
          <w:tcPr>
            <w:tcW w:w="20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$ 74,266.36</w:t>
            </w:r>
          </w:p>
        </w:tc>
      </w:tr>
      <w:tr>
        <w:trPr>
          <w:trHeight w:val="215"/>
        </w:trPr>
        <w:tc>
          <w:tcPr>
            <w:tcW w:w="2120" w:type="dxa"/>
            <w:vAlign w:val="bottom"/>
          </w:tcPr>
          <w:p>
            <w:pPr>
              <w:spacing w:after="0"/>
              <w:rPr>
                <w:sz w:val="18"/>
                <w:szCs w:val="18"/>
                <w:color w:val="auto"/>
              </w:rPr>
            </w:pPr>
          </w:p>
        </w:tc>
        <w:tc>
          <w:tcPr>
            <w:tcW w:w="2020" w:type="dxa"/>
            <w:vAlign w:val="bottom"/>
          </w:tcPr>
          <w:p>
            <w:pPr>
              <w:jc w:val="right"/>
              <w:ind w:right="399"/>
              <w:spacing w:after="0"/>
              <w:rPr>
                <w:sz w:val="20"/>
                <w:szCs w:val="20"/>
                <w:color w:val="auto"/>
              </w:rPr>
            </w:pPr>
            <w:r>
              <w:rPr>
                <w:rFonts w:ascii="Arial" w:cs="Arial" w:eastAsia="Arial" w:hAnsi="Arial"/>
                <w:sz w:val="16"/>
                <w:szCs w:val="16"/>
                <w:color w:val="auto"/>
              </w:rPr>
              <w:t>485,084,000.00</w:t>
            </w:r>
          </w:p>
        </w:tc>
        <w:tc>
          <w:tcPr>
            <w:tcW w:w="13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Filing Fee</w:t>
      </w:r>
    </w:p>
    <w:p>
      <w:pPr>
        <w:spacing w:after="0" w:line="1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Previously</w:t>
      </w:r>
    </w:p>
    <w:p>
      <w:pPr>
        <w:ind w:left="20" w:firstLine="108"/>
        <w:spacing w:after="0" w:line="217" w:lineRule="auto"/>
        <w:rPr>
          <w:sz w:val="20"/>
          <w:szCs w:val="20"/>
          <w:color w:val="auto"/>
        </w:rPr>
      </w:pPr>
      <w:r>
        <w:rPr>
          <w:rFonts w:ascii="Arial" w:cs="Arial" w:eastAsia="Arial" w:hAnsi="Arial"/>
          <w:sz w:val="22"/>
          <w:szCs w:val="22"/>
          <w:b w:val="1"/>
          <w:bCs w:val="1"/>
          <w:color w:val="auto"/>
          <w:vertAlign w:val="subscript"/>
        </w:rPr>
        <w:t>Carry</w:t>
      </w:r>
      <w:r>
        <w:rPr>
          <w:rFonts w:ascii="Arial" w:cs="Arial" w:eastAsia="Arial" w:hAnsi="Arial"/>
          <w:sz w:val="13"/>
          <w:szCs w:val="13"/>
          <w:b w:val="1"/>
          <w:bCs w:val="1"/>
          <w:color w:val="auto"/>
        </w:rPr>
        <w:t xml:space="preserve"> Paid in </w:t>
      </w:r>
      <w:r>
        <w:rPr>
          <w:rFonts w:ascii="Arial" w:cs="Arial" w:eastAsia="Arial" w:hAnsi="Arial"/>
          <w:sz w:val="22"/>
          <w:szCs w:val="22"/>
          <w:b w:val="1"/>
          <w:bCs w:val="1"/>
          <w:color w:val="auto"/>
          <w:vertAlign w:val="subscript"/>
        </w:rPr>
        <w:t>Forward</w:t>
      </w:r>
      <w:r>
        <w:rPr>
          <w:rFonts w:ascii="Arial" w:cs="Arial" w:eastAsia="Arial" w:hAnsi="Arial"/>
          <w:sz w:val="13"/>
          <w:szCs w:val="13"/>
          <w:b w:val="1"/>
          <w:bCs w:val="1"/>
          <w:color w:val="auto"/>
        </w:rPr>
        <w:t xml:space="preserve"> Connection</w:t>
      </w:r>
    </w:p>
    <w:p>
      <w:pPr>
        <w:spacing w:after="0" w:line="1" w:lineRule="exact"/>
        <w:rPr>
          <w:sz w:val="20"/>
          <w:szCs w:val="20"/>
          <w:color w:val="auto"/>
        </w:rPr>
      </w:pPr>
    </w:p>
    <w:p>
      <w:pPr>
        <w:ind w:right="160" w:firstLine="126"/>
        <w:spacing w:after="0" w:line="181" w:lineRule="auto"/>
        <w:rPr>
          <w:sz w:val="20"/>
          <w:szCs w:val="20"/>
          <w:color w:val="auto"/>
        </w:rPr>
      </w:pPr>
      <w:r>
        <w:rPr>
          <w:rFonts w:ascii="Arial" w:cs="Arial" w:eastAsia="Arial" w:hAnsi="Arial"/>
          <w:sz w:val="12"/>
          <w:szCs w:val="12"/>
          <w:b w:val="1"/>
          <w:bCs w:val="1"/>
          <w:color w:val="auto"/>
        </w:rPr>
        <w:t xml:space="preserve">Initial </w:t>
      </w:r>
      <w:r>
        <w:rPr>
          <w:rFonts w:ascii="Arial" w:cs="Arial" w:eastAsia="Arial" w:hAnsi="Arial"/>
          <w:sz w:val="21"/>
          <w:szCs w:val="21"/>
          <w:b w:val="1"/>
          <w:bCs w:val="1"/>
          <w:color w:val="auto"/>
          <w:vertAlign w:val="superscript"/>
        </w:rPr>
        <w:t>with</w:t>
      </w:r>
      <w:r>
        <w:rPr>
          <w:rFonts w:ascii="Arial" w:cs="Arial" w:eastAsia="Arial" w:hAnsi="Arial"/>
          <w:sz w:val="12"/>
          <w:szCs w:val="12"/>
          <w:b w:val="1"/>
          <w:bCs w:val="1"/>
          <w:color w:val="auto"/>
        </w:rPr>
        <w:t xml:space="preserve"> Effective </w:t>
      </w:r>
      <w:r>
        <w:rPr>
          <w:rFonts w:ascii="Arial" w:cs="Arial" w:eastAsia="Arial" w:hAnsi="Arial"/>
          <w:sz w:val="21"/>
          <w:szCs w:val="21"/>
          <w:b w:val="1"/>
          <w:bCs w:val="1"/>
          <w:color w:val="auto"/>
          <w:vertAlign w:val="superscript"/>
        </w:rPr>
        <w:t>Unsold</w:t>
      </w:r>
    </w:p>
    <w:p>
      <w:pPr>
        <w:spacing w:after="0" w:line="1" w:lineRule="exact"/>
        <w:rPr>
          <w:sz w:val="20"/>
          <w:szCs w:val="20"/>
          <w:color w:val="auto"/>
        </w:rPr>
      </w:pPr>
    </w:p>
    <w:p>
      <w:pPr>
        <w:ind w:left="780" w:right="60" w:hanging="808"/>
        <w:spacing w:after="0" w:line="254" w:lineRule="auto"/>
        <w:tabs>
          <w:tab w:leader="none" w:pos="760" w:val="left"/>
        </w:tabs>
        <w:rPr>
          <w:sz w:val="20"/>
          <w:szCs w:val="20"/>
          <w:color w:val="auto"/>
        </w:rPr>
      </w:pPr>
      <w:r>
        <w:rPr>
          <w:rFonts w:ascii="Arial" w:cs="Arial" w:eastAsia="Arial" w:hAnsi="Arial"/>
          <w:sz w:val="32"/>
          <w:szCs w:val="32"/>
          <w:b w:val="1"/>
          <w:bCs w:val="1"/>
          <w:color w:val="auto"/>
          <w:vertAlign w:val="subscript"/>
        </w:rPr>
        <w:t>Date</w:t>
      </w:r>
      <w:r>
        <w:rPr>
          <w:sz w:val="20"/>
          <w:szCs w:val="20"/>
          <w:color w:val="auto"/>
        </w:rPr>
        <w:tab/>
      </w:r>
      <w:r>
        <w:rPr>
          <w:rFonts w:ascii="Arial" w:cs="Arial" w:eastAsia="Arial" w:hAnsi="Arial"/>
          <w:sz w:val="15"/>
          <w:szCs w:val="15"/>
          <w:b w:val="1"/>
          <w:bCs w:val="1"/>
          <w:color w:val="auto"/>
        </w:rPr>
        <w:t>Securities to be</w:t>
      </w:r>
    </w:p>
    <w:p>
      <w:pPr>
        <w:ind w:left="880"/>
        <w:spacing w:after="0" w:line="238" w:lineRule="auto"/>
        <w:rPr>
          <w:sz w:val="20"/>
          <w:szCs w:val="20"/>
          <w:color w:val="auto"/>
        </w:rPr>
      </w:pPr>
      <w:r>
        <w:rPr>
          <w:rFonts w:ascii="Arial" w:cs="Arial" w:eastAsia="Arial" w:hAnsi="Arial"/>
          <w:sz w:val="16"/>
          <w:szCs w:val="16"/>
          <w:b w:val="1"/>
          <w:bCs w:val="1"/>
          <w:color w:val="auto"/>
        </w:rPr>
        <w:t>Carried</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Forward</w:t>
      </w:r>
    </w:p>
    <w:p>
      <w:pPr>
        <w:spacing w:after="0" w:line="4874" w:lineRule="exact"/>
        <w:rPr>
          <w:sz w:val="20"/>
          <w:szCs w:val="20"/>
          <w:color w:val="auto"/>
        </w:rPr>
      </w:pPr>
    </w:p>
    <w:p>
      <w:pPr>
        <w:sectPr>
          <w:pgSz w:w="11900" w:h="16838" w:orient="portrait"/>
          <w:cols w:equalWidth="0" w:num="2">
            <w:col w:w="9640" w:space="40"/>
            <w:col w:w="1600"/>
          </w:cols>
          <w:pgMar w:left="340" w:top="141" w:right="279" w:bottom="1440" w:gutter="0" w:footer="0" w:header="0"/>
          <w:type w:val="continuous"/>
        </w:sectPr>
      </w:pPr>
    </w:p>
    <w:tbl>
      <w:tblPr>
        <w:tblLayout w:type="fixed"/>
        <w:tblInd w:w="2520" w:type="dxa"/>
        <w:tblCellMar>
          <w:top w:w="0" w:type="dxa"/>
          <w:left w:w="0" w:type="dxa"/>
          <w:bottom w:w="0" w:type="dxa"/>
          <w:right w:w="0" w:type="dxa"/>
        </w:tblCellMar>
      </w:tblPr>
      <w:tr>
        <w:trPr>
          <w:trHeight w:val="215"/>
        </w:trPr>
        <w:tc>
          <w:tcPr>
            <w:tcW w:w="3420" w:type="dxa"/>
            <w:vAlign w:val="bottom"/>
          </w:tcPr>
          <w:p>
            <w:pPr>
              <w:jc w:val="right"/>
              <w:ind w:right="1379"/>
              <w:spacing w:after="0"/>
              <w:rPr>
                <w:sz w:val="20"/>
                <w:szCs w:val="20"/>
                <w:color w:val="auto"/>
              </w:rPr>
            </w:pPr>
            <w:r>
              <w:rPr>
                <w:rFonts w:ascii="Arial" w:cs="Arial" w:eastAsia="Arial" w:hAnsi="Arial"/>
                <w:sz w:val="16"/>
                <w:szCs w:val="16"/>
                <w:color w:val="auto"/>
                <w:w w:val="99"/>
              </w:rPr>
              <w:t>Total Fees Previously Paid:</w:t>
            </w:r>
          </w:p>
        </w:tc>
        <w:tc>
          <w:tcPr>
            <w:tcW w:w="2320" w:type="dxa"/>
            <w:vAlign w:val="bottom"/>
          </w:tcPr>
          <w:p>
            <w:pPr>
              <w:jc w:val="right"/>
              <w:spacing w:after="0"/>
              <w:rPr>
                <w:sz w:val="20"/>
                <w:szCs w:val="20"/>
                <w:color w:val="auto"/>
              </w:rPr>
            </w:pPr>
            <w:r>
              <w:rPr>
                <w:rFonts w:ascii="Arial" w:cs="Arial" w:eastAsia="Arial" w:hAnsi="Arial"/>
                <w:sz w:val="16"/>
                <w:szCs w:val="16"/>
                <w:color w:val="auto"/>
              </w:rPr>
              <w:t>$ 0.00</w:t>
            </w:r>
          </w:p>
        </w:tc>
      </w:tr>
      <w:tr>
        <w:trPr>
          <w:trHeight w:val="223"/>
        </w:trPr>
        <w:tc>
          <w:tcPr>
            <w:tcW w:w="3420" w:type="dxa"/>
            <w:vAlign w:val="bottom"/>
          </w:tcPr>
          <w:p>
            <w:pPr>
              <w:jc w:val="right"/>
              <w:ind w:right="1379"/>
              <w:spacing w:after="0"/>
              <w:rPr>
                <w:sz w:val="20"/>
                <w:szCs w:val="20"/>
                <w:color w:val="auto"/>
              </w:rPr>
            </w:pPr>
            <w:r>
              <w:rPr>
                <w:rFonts w:ascii="Arial" w:cs="Arial" w:eastAsia="Arial" w:hAnsi="Arial"/>
                <w:sz w:val="16"/>
                <w:szCs w:val="16"/>
                <w:color w:val="auto"/>
              </w:rPr>
              <w:t>Total Fee Offsets:</w:t>
            </w:r>
          </w:p>
        </w:tc>
        <w:tc>
          <w:tcPr>
            <w:tcW w:w="2320" w:type="dxa"/>
            <w:vAlign w:val="bottom"/>
          </w:tcPr>
          <w:p>
            <w:pPr>
              <w:jc w:val="right"/>
              <w:spacing w:after="0"/>
              <w:rPr>
                <w:sz w:val="20"/>
                <w:szCs w:val="20"/>
                <w:color w:val="auto"/>
              </w:rPr>
            </w:pPr>
            <w:r>
              <w:rPr>
                <w:rFonts w:ascii="Arial" w:cs="Arial" w:eastAsia="Arial" w:hAnsi="Arial"/>
                <w:sz w:val="16"/>
                <w:szCs w:val="16"/>
                <w:color w:val="auto"/>
              </w:rPr>
              <w:t>$ 0.00</w:t>
            </w:r>
          </w:p>
        </w:tc>
      </w:tr>
      <w:tr>
        <w:trPr>
          <w:trHeight w:val="223"/>
        </w:trPr>
        <w:tc>
          <w:tcPr>
            <w:tcW w:w="3420" w:type="dxa"/>
            <w:vAlign w:val="bottom"/>
          </w:tcPr>
          <w:p>
            <w:pPr>
              <w:jc w:val="right"/>
              <w:ind w:right="1379"/>
              <w:spacing w:after="0"/>
              <w:rPr>
                <w:sz w:val="20"/>
                <w:szCs w:val="20"/>
                <w:color w:val="auto"/>
              </w:rPr>
            </w:pPr>
            <w:r>
              <w:rPr>
                <w:rFonts w:ascii="Arial" w:cs="Arial" w:eastAsia="Arial" w:hAnsi="Arial"/>
                <w:sz w:val="16"/>
                <w:szCs w:val="16"/>
                <w:color w:val="auto"/>
              </w:rPr>
              <w:t>Net Fee Due:</w:t>
            </w:r>
          </w:p>
        </w:tc>
        <w:tc>
          <w:tcPr>
            <w:tcW w:w="2320" w:type="dxa"/>
            <w:vAlign w:val="bottom"/>
          </w:tcPr>
          <w:p>
            <w:pPr>
              <w:jc w:val="right"/>
              <w:spacing w:after="0"/>
              <w:rPr>
                <w:sz w:val="20"/>
                <w:szCs w:val="20"/>
                <w:color w:val="auto"/>
              </w:rPr>
            </w:pPr>
            <w:r>
              <w:rPr>
                <w:rFonts w:ascii="Arial" w:cs="Arial" w:eastAsia="Arial" w:hAnsi="Arial"/>
                <w:sz w:val="16"/>
                <w:szCs w:val="16"/>
                <w:color w:val="auto"/>
              </w:rPr>
              <w:t>$ 74,266.36</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Offering Note</w:t>
      </w:r>
    </w:p>
    <w:p>
      <w:pPr>
        <w:spacing w:after="0" w:line="121"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57" w:lineRule="exact"/>
        <w:rPr>
          <w:sz w:val="20"/>
          <w:szCs w:val="20"/>
          <w:color w:val="auto"/>
        </w:rPr>
      </w:pPr>
    </w:p>
    <w:p>
      <w:pPr>
        <w:ind w:left="160" w:right="260"/>
        <w:spacing w:after="0" w:line="278" w:lineRule="auto"/>
        <w:rPr>
          <w:sz w:val="20"/>
          <w:szCs w:val="20"/>
          <w:color w:val="auto"/>
        </w:rPr>
      </w:pPr>
      <w:r>
        <w:rPr>
          <w:rFonts w:ascii="Arial" w:cs="Arial" w:eastAsia="Arial" w:hAnsi="Arial"/>
          <w:sz w:val="16"/>
          <w:szCs w:val="16"/>
          <w:color w:val="auto"/>
        </w:rPr>
        <w:t>(1A) The maximum aggregate offering price represents the aggregate principal amount of Waste Management, Inc.'s 3.875% Senior Notes due 2029 to be offered in the exchange offer to which the registration statement relates.</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(1B) The registration fee is calculated pursuant to Rule 457(f)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76835</wp:posOffset>
            </wp:positionV>
            <wp:extent cx="7056120"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056120" cy="3810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Waste Management Holdings, Inc. will fully and unconditionally guarantee the 3.875% Senior Notes due 2029 issued by Waste Management, Inc.</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Pursuant to Rule 457(n) under the Securities Act of 1933, as amended, no separate fee is payable with respect to each such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299085</wp:posOffset>
            </wp:positionV>
            <wp:extent cx="7056120"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7056120" cy="38100"/>
                    </a:xfrm>
                    <a:prstGeom prst="rect">
                      <a:avLst/>
                    </a:prstGeom>
                    <a:noFill/>
                  </pic:spPr>
                </pic:pic>
              </a:graphicData>
            </a:graphic>
          </wp:anchor>
        </w:drawing>
      </w:r>
    </w:p>
    <w:sectPr>
      <w:pgSz w:w="11900" w:h="16838" w:orient="portrait"/>
      <w:cols w:equalWidth="0" w:num="1">
        <w:col w:w="11280"/>
      </w:cols>
      <w:pgMar w:left="340" w:top="141"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lowerRoman"/>
      <w:start w:val="3"/>
    </w:lvl>
    <w:lvl w:ilvl="1">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lowerRoman"/>
      <w:start w:val="2"/>
    </w:lvl>
  </w:abstractNum>
  <w:abstractNum w:abstractNumId="15">
    <w:nsid w:val="440BADFC"/>
    <w:multiLevelType w:val="hybridMultilevel"/>
    <w:lvl w:ilvl="0">
      <w:lvlJc w:val="left"/>
      <w:lvlText w:val="(%1)"/>
      <w:numFmt w:val="lowerLetter"/>
      <w:start w:val="1"/>
    </w:lvl>
    <w:lvl w:ilvl="1">
      <w:lvlJc w:val="left"/>
      <w:lvlText w:val="•"/>
      <w:numFmt w:val="bullet"/>
      <w:start w:val="1"/>
    </w:lvl>
  </w:abstractNum>
  <w:abstractNum w:abstractNumId="16">
    <w:nsid w:val="5072367"/>
    <w:multiLevelType w:val="hybridMultilevel"/>
    <w:lvl w:ilvl="0">
      <w:lvlJc w:val="left"/>
      <w:lvlText w:val="(%1)"/>
      <w:numFmt w:val="lowerLetter"/>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1"/>
    </w:lvl>
    <w:lvl w:ilvl="1">
      <w:lvlJc w:val="left"/>
      <w:lvlText w:val="(%2)"/>
      <w:numFmt w:val="lowerLetter"/>
      <w:start w:val="1"/>
    </w:lvl>
  </w:abstractNum>
  <w:abstractNum w:abstractNumId="26">
    <w:nsid w:val="153EA438"/>
    <w:multiLevelType w:val="hybridMultilevel"/>
    <w:lvl w:ilvl="0">
      <w:lvlJc w:val="left"/>
      <w:lvlText w:val="(%1)"/>
      <w:numFmt w:val="decimal"/>
      <w:start w:val="2"/>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decimal"/>
      <w:start w:val="1"/>
    </w:lvl>
    <w:lvl w:ilvl="1">
      <w:lvlJc w:val="left"/>
      <w:lvlText w:val="(%2)"/>
      <w:numFmt w:val="lowerRoman"/>
      <w:start w:val="1"/>
    </w:lvl>
  </w:abstractNum>
  <w:abstractNum w:abstractNumId="33">
    <w:nsid w:val="2CD89A32"/>
    <w:multiLevelType w:val="hybridMultilevel"/>
    <w:lvl w:ilvl="0">
      <w:lvlJc w:val="left"/>
      <w:lvlText w:val="%1"/>
      <w:numFmt w:val="decimal"/>
      <w:start w:val="1"/>
    </w:lvl>
    <w:lvl w:ilvl="1">
      <w:lvlJc w:val="left"/>
      <w:lvlText w:val="(%2)"/>
      <w:numFmt w:val="lowerRoman"/>
      <w:start w:val="2"/>
    </w:lvl>
  </w:abstractNum>
  <w:abstractNum w:abstractNumId="34">
    <w:nsid w:val="57E4CCAF"/>
    <w:multiLevelType w:val="hybridMultilevel"/>
    <w:lvl w:ilvl="0">
      <w:lvlJc w:val="left"/>
      <w:lvlText w:val="(%1)"/>
      <w:numFmt w:val="decimal"/>
      <w:start w:val="6"/>
    </w:lvl>
    <w:lvl w:ilvl="1">
      <w:lvlJc w:val="left"/>
      <w:lvlText w:val="%2"/>
      <w:numFmt w:val="lowerRoman"/>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1)"/>
      <w:numFmt w:val="lowerRoman"/>
      <w:start w:val="4"/>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1"/>
    </w:lvl>
    <w:lvl w:ilvl="1">
      <w:lvlJc w:val="left"/>
      <w:lvlText w:val="(%2)"/>
      <w:numFmt w:val="lowerLetter"/>
      <w:start w:val="1"/>
    </w:lvl>
  </w:abstractNum>
  <w:abstractNum w:abstractNumId="39">
    <w:nsid w:val="38437FDB"/>
    <w:multiLevelType w:val="hybridMultilevel"/>
    <w:lvl w:ilvl="0">
      <w:lvlJc w:val="left"/>
      <w:lvlText w:val="%1"/>
      <w:numFmt w:val="decimal"/>
      <w:start w:val="1"/>
    </w:lvl>
    <w:lvl w:ilvl="1">
      <w:lvlJc w:val="left"/>
      <w:lvlText w:val="(%2)"/>
      <w:numFmt w:val="lowerLetter"/>
      <w:start w:val="2"/>
    </w:lvl>
  </w:abstractNum>
  <w:abstractNum w:abstractNumId="40">
    <w:nsid w:val="7644A45C"/>
    <w:multiLevelType w:val="hybridMultilevel"/>
    <w:lvl w:ilvl="0">
      <w:lvlJc w:val="left"/>
      <w:lvlText w:val="%1."/>
      <w:numFmt w:val="decimal"/>
      <w:start w:val="2"/>
    </w:lvl>
    <w:lvl w:ilvl="1">
      <w:lvlJc w:val="left"/>
      <w:lvlText w:val="%2"/>
      <w:numFmt w:val="lowerLetter"/>
      <w:start w:val="1"/>
    </w:lvl>
  </w:abstractNum>
  <w:abstractNum w:abstractNumId="41">
    <w:nsid w:val="32FFF902"/>
    <w:multiLevelType w:val="hybridMultilevel"/>
    <w:lvl w:ilvl="0">
      <w:lvlJc w:val="left"/>
      <w:lvlText w:val="%1."/>
      <w:numFmt w:val="decimal"/>
      <w:start w:val="16"/>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lowerRoman"/>
      <w:start w:val="4"/>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decimal"/>
      <w:start w:val="2"/>
    </w:lvl>
  </w:abstractNum>
  <w:abstractNum w:abstractNumId="49">
    <w:nsid w:val="12E685FB"/>
    <w:multiLevelType w:val="hybridMultilevel"/>
    <w:lvl w:ilvl="0">
      <w:lvlJc w:val="left"/>
      <w:lvlText w:val="%1."/>
      <w:numFmt w:val="decimal"/>
      <w:start w:val="3"/>
    </w:lvl>
  </w:abstractNum>
  <w:abstractNum w:abstractNumId="50">
    <w:nsid w:val="70C6A529"/>
    <w:multiLevelType w:val="hybridMultilevel"/>
    <w:lvl w:ilvl="0">
      <w:lvlJc w:val="left"/>
      <w:lvlText w:val="%1."/>
      <w:numFmt w:val="decimal"/>
      <w:start w:val="4"/>
    </w:lvl>
  </w:abstractNum>
  <w:abstractNum w:abstractNumId="51">
    <w:nsid w:val="520EEDD1"/>
    <w:multiLevelType w:val="hybridMultilevel"/>
    <w:lvl w:ilvl="0">
      <w:lvlJc w:val="left"/>
      <w:lvlText w:val="%1."/>
      <w:numFmt w:val="decimal"/>
      <w:start w:val="5"/>
    </w:lvl>
  </w:abstractNum>
  <w:abstractNum w:abstractNumId="52">
    <w:nsid w:val="374A3FE6"/>
    <w:multiLevelType w:val="hybridMultilevel"/>
    <w:lvl w:ilvl="0">
      <w:lvlJc w:val="left"/>
      <w:lvlText w:val="%1."/>
      <w:numFmt w:val="decimal"/>
      <w:start w:val="6"/>
    </w:lvl>
  </w:abstractNum>
  <w:abstractNum w:abstractNumId="53">
    <w:nsid w:val="4F4EF005"/>
    <w:multiLevelType w:val="hybridMultilevel"/>
    <w:lvl w:ilvl="0">
      <w:lvlJc w:val="left"/>
      <w:lvlText w:val="%1."/>
      <w:numFmt w:val="decimal"/>
      <w:start w:val="7"/>
    </w:lvl>
  </w:abstractNum>
  <w:abstractNum w:abstractNumId="54">
    <w:nsid w:val="23F9C13C"/>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6"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jpe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jpeg"/><Relationship Id="rId137" Type="http://schemas.openxmlformats.org/officeDocument/2006/relationships/image" Target="media/image116.png"/><Relationship Id="rId138" Type="http://schemas.openxmlformats.org/officeDocument/2006/relationships/image" Target="media/image117.jpeg"/><Relationship Id="rId139" Type="http://schemas.openxmlformats.org/officeDocument/2006/relationships/image" Target="media/image118.png"/><Relationship Id="rId140" Type="http://schemas.openxmlformats.org/officeDocument/2006/relationships/image" Target="media/image119.jpe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jpeg"/><Relationship Id="rId167" Type="http://schemas.openxmlformats.org/officeDocument/2006/relationships/image" Target="media/image146.png"/><Relationship Id="rId168" Type="http://schemas.openxmlformats.org/officeDocument/2006/relationships/image" Target="media/image147.jpeg"/><Relationship Id="rId169" Type="http://schemas.openxmlformats.org/officeDocument/2006/relationships/image" Target="media/image148.png"/><Relationship Id="rId170" Type="http://schemas.openxmlformats.org/officeDocument/2006/relationships/image" Target="media/image149.jpeg"/><Relationship Id="rId171" Type="http://schemas.openxmlformats.org/officeDocument/2006/relationships/image" Target="media/image150.png"/><Relationship Id="rId172" Type="http://schemas.openxmlformats.org/officeDocument/2006/relationships/image" Target="media/image151.jpeg"/><Relationship Id="rId173" Type="http://schemas.openxmlformats.org/officeDocument/2006/relationships/image" Target="media/image152.png"/><Relationship Id="rId174" Type="http://schemas.openxmlformats.org/officeDocument/2006/relationships/image" Target="media/image153.jpeg"/><Relationship Id="rId175" Type="http://schemas.openxmlformats.org/officeDocument/2006/relationships/image" Target="media/image154.png"/><Relationship Id="rId176" Type="http://schemas.openxmlformats.org/officeDocument/2006/relationships/image" Target="media/image155.jpe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27" Type="http://schemas.openxmlformats.org/officeDocument/2006/relationships/hyperlink" Target="https://www.sec.gov/ix?doc=/Archives/edgar/data/823768/000155837025001132/wm-20241231x10k.htm" TargetMode="External"/><Relationship Id="rId94" Type="http://schemas.openxmlformats.org/officeDocument/2006/relationships/hyperlink" Target="https://www.sec.gov/ix?doc=/Archives/edgar/data/823768/000155837025005805/wm-20250331x10q.htm" TargetMode="External"/><Relationship Id="rId95" Type="http://schemas.openxmlformats.org/officeDocument/2006/relationships/hyperlink" Target="https://www.sec.gov/ix?doc=/Archives/edgar/data/823768/000110465925019125/tm257911d1_8k.htm" TargetMode="External"/><Relationship Id="rId97" Type="http://schemas.openxmlformats.org/officeDocument/2006/relationships/hyperlink" Target="https://www.sec.gov/ix?doc=/Archives/edgar/data/823768/000110465925030318/tm251991-2_def14a.htm" TargetMode="External"/><Relationship Id="rId107" Type="http://schemas.openxmlformats.org/officeDocument/2006/relationships/hyperlink" Target="https://www.sec.gov/Archives/edgar/data/823768/000110465924068410/tm2416276d1_ex2-1.htm" TargetMode="External"/><Relationship Id="rId108" Type="http://schemas.openxmlformats.org/officeDocument/2006/relationships/hyperlink" Target="https://www.sec.gov/Archives/edgar/data/823768/000110465924063047/tm2412128d3_ex3-2.htm" TargetMode="External"/><Relationship Id="rId109" Type="http://schemas.openxmlformats.org/officeDocument/2006/relationships/hyperlink" Target="https://www.sec.gov/Archives/edgar/data/823768/000110465923115047/tm2329883d1_ex3-2.htm" TargetMode="External"/><Relationship Id="rId110" Type="http://schemas.openxmlformats.org/officeDocument/2006/relationships/hyperlink" Target="https://www.sec.gov/Archives/edgar/data/823768/000095012315002550/d793975dex42.htm" TargetMode="External"/><Relationship Id="rId111" Type="http://schemas.openxmlformats.org/officeDocument/2006/relationships/hyperlink" Target="https://www.sec.gov/Archives/edgar/data/823768/000119312514283972/d740524dex43.htm" TargetMode="External"/><Relationship Id="rId112" Type="http://schemas.openxmlformats.org/officeDocument/2006/relationships/hyperlink" Target="https://www.sec.gov/Archives/edgar/data/823768/0000950129-97-003909.txt" TargetMode="External"/><Relationship Id="rId113" Type="http://schemas.openxmlformats.org/officeDocument/2006/relationships/hyperlink" Target="https://www.sec.gov/Archives/edgar/data/823768/000110465924115866/tm2427884d1_ex4-5.htm" TargetMode="External"/><Relationship Id="rId114" Type="http://schemas.openxmlformats.org/officeDocument/2006/relationships/hyperlink" Target="https://www.sec.gov/Archives/edgar/data/823768/000110465924115866/tm2427884d1_ex4-2.htm" TargetMode="External"/><Relationship Id="rId115" Type="http://schemas.openxmlformats.org/officeDocument/2006/relationships/hyperlink" Target="https://www.sec.gov/Archives/edgar/data/823768/000110465924115866/tm2427884d1_ex4-4.htm" TargetMode="External"/><Relationship Id="rId116" Type="http://schemas.openxmlformats.org/officeDocument/2006/relationships/hyperlink" Target="https://www.sec.gov/Archives/edgar/data/823768/000155837025001132/wm-20241231xex2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2025-05-08T15:31:58Z</dcterms:created>
  <dcterms:modified xsi:type="dcterms:W3CDTF">2025-05-08T15:31:58Z</dcterms:modified>
</cp:coreProperties>
</file>