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0"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Waste Management,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020" w:hanging="652"/>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73" w:lineRule="exact"/>
        <w:rPr>
          <w:rFonts w:ascii="MS PGothic" w:cs="MS PGothic" w:eastAsia="MS PGothic" w:hAnsi="MS PGothic"/>
          <w:sz w:val="18"/>
          <w:szCs w:val="18"/>
          <w:color w:val="auto"/>
        </w:rPr>
      </w:pPr>
    </w:p>
    <w:p>
      <w:pPr>
        <w:ind w:left="460" w:right="3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5" w:lineRule="exact"/>
        <w:rPr>
          <w:rFonts w:ascii="MS PGothic" w:cs="MS PGothic" w:eastAsia="MS PGothic" w:hAnsi="MS PGothic"/>
          <w:sz w:val="17"/>
          <w:szCs w:val="17"/>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-3500755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-3209290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-2780030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-2411730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-2119630</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-721995</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-430530</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-139065</wp:posOffset>
            </wp:positionV>
            <wp:extent cx="6603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152400</wp:posOffset>
            </wp:positionV>
            <wp:extent cx="66033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0" w:right="3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205740</wp:posOffset>
            </wp:positionV>
            <wp:extent cx="2478405" cy="875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84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Houston, Texas 77002</w:t>
      </w:r>
    </w:p>
    <w:p>
      <w:pPr>
        <w:spacing w:after="0" w:line="63"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OF WASTE MANAGEMENT,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May 12, 2016 at 11:00 a.m., Central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Maury Myers Conference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ten directors;</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2016;</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proposal to approve our executive compensation;</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stockholder proposal regarding a policy on acceleration of vesting of equity awards in the event of a change in control, if properly presented at the meeting;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15, 2016 may vote at the meeting.</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334010</wp:posOffset>
            </wp:positionV>
            <wp:extent cx="164655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76465" cy="561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61340"/>
                    </a:xfrm>
                    <a:prstGeom prst="rect">
                      <a:avLst/>
                    </a:prstGeom>
                    <a:noFill/>
                  </pic:spPr>
                </pic:pic>
              </a:graphicData>
            </a:graphic>
          </wp:anchor>
        </w:drawing>
      </w:r>
    </w:p>
    <w:p>
      <w:pPr>
        <w:spacing w:after="0" w:line="336" w:lineRule="exact"/>
        <w:rPr>
          <w:sz w:val="20"/>
          <w:szCs w:val="20"/>
          <w:color w:val="auto"/>
        </w:rPr>
      </w:pPr>
    </w:p>
    <w:p>
      <w:pPr>
        <w:ind w:left="260" w:right="32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12, 2016: This Notice of Annual Meeting and Proxy Statement and the Company’s Annual Report on Form 10-K for the year ended December 31, 2015 are available at www.wm.com.</w:t>
      </w:r>
    </w:p>
    <w:p>
      <w:pPr>
        <w:sectPr>
          <w:pgSz w:w="11900" w:h="16838" w:orient="portrait"/>
          <w:cols w:equalWidth="0" w:num="1">
            <w:col w:w="10960"/>
          </w:cols>
          <w:pgMar w:left="240" w:top="459" w:right="6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7"/>
          </w:tcPr>
          <w:p>
            <w:pPr>
              <w:ind w:left="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8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w:t>
              </w:r>
            </w:hyperlink>
          </w:p>
        </w:tc>
        <w:tc>
          <w:tcPr>
            <w:tcW w:w="8740" w:type="dxa"/>
            <w:vAlign w:val="bottom"/>
            <w:gridSpan w:val="27"/>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80" w:type="dxa"/>
            <w:vAlign w:val="bottom"/>
            <w:tcBorders>
              <w:bottom w:val="single" w:sz="8" w:color="0000EE"/>
            </w:tcBorders>
            <w:gridSpan w:val="14"/>
            <w:vMerge w:val="continue"/>
          </w:tcPr>
          <w:p>
            <w:pPr>
              <w:spacing w:after="0"/>
              <w:rPr>
                <w:sz w:val="14"/>
                <w:szCs w:val="14"/>
                <w:color w:val="auto"/>
              </w:rPr>
            </w:pPr>
          </w:p>
        </w:tc>
        <w:tc>
          <w:tcPr>
            <w:tcW w:w="8740" w:type="dxa"/>
            <w:vAlign w:val="bottom"/>
            <w:gridSpan w:val="27"/>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20" w:type="dxa"/>
            <w:vAlign w:val="bottom"/>
            <w:gridSpan w:val="41"/>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BOARD OF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Leadership Structure</w:t>
              </w:r>
            </w:hyperlink>
          </w:p>
        </w:tc>
        <w:tc>
          <w:tcPr>
            <w:tcW w:w="360" w:type="dxa"/>
            <w:vAlign w:val="bottom"/>
            <w:tcBorders>
              <w:top w:val="single" w:sz="8" w:color="0000EE"/>
            </w:tcBorders>
            <w:gridSpan w:val="5"/>
          </w:tcPr>
          <w:p>
            <w:pPr>
              <w:spacing w:after="0"/>
              <w:rPr>
                <w:sz w:val="17"/>
                <w:szCs w:val="17"/>
                <w:color w:val="auto"/>
              </w:rPr>
            </w:pPr>
          </w:p>
        </w:tc>
        <w:tc>
          <w:tcPr>
            <w:tcW w:w="896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Role in Risk Oversight</w:t>
              </w:r>
            </w:hyperlink>
          </w:p>
        </w:tc>
        <w:tc>
          <w:tcPr>
            <w:tcW w:w="916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Independence of Board Members</w:t>
              </w:r>
            </w:hyperlink>
          </w:p>
        </w:tc>
        <w:tc>
          <w:tcPr>
            <w:tcW w:w="842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4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Meetings and Board Committees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Audit Committee</w:t>
              </w:r>
            </w:hyperlink>
          </w:p>
        </w:tc>
        <w:tc>
          <w:tcPr>
            <w:tcW w:w="84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Audit Committee Report</w:t>
              </w:r>
            </w:hyperlink>
          </w:p>
        </w:tc>
        <w:tc>
          <w:tcPr>
            <w:tcW w:w="904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 Development and Compensation Committee</w:t>
              </w:r>
            </w:hyperlink>
          </w:p>
        </w:tc>
        <w:tc>
          <w:tcPr>
            <w:tcW w:w="66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4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Compensation Committee Report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Compensation Committee Interlocks and Insider Participation</w:t>
              </w:r>
            </w:hyperlink>
          </w:p>
        </w:tc>
        <w:tc>
          <w:tcPr>
            <w:tcW w:w="63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Nominating and Governance Committee</w:t>
              </w:r>
            </w:hyperlink>
          </w:p>
        </w:tc>
        <w:tc>
          <w:tcPr>
            <w:tcW w:w="790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4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Related Party Transactions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Special Committee</w:t>
              </w:r>
            </w:hyperlink>
          </w:p>
        </w:tc>
        <w:tc>
          <w:tcPr>
            <w:tcW w:w="8900" w:type="dxa"/>
            <w:vAlign w:val="bottom"/>
            <w:gridSpan w:val="2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0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Board of Directors Governing Documents</w:t>
              </w:r>
            </w:hyperlink>
          </w:p>
        </w:tc>
        <w:tc>
          <w:tcPr>
            <w:tcW w:w="78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Non-Employee Director Compensation</w:t>
              </w:r>
            </w:hyperlink>
          </w:p>
        </w:tc>
        <w:tc>
          <w:tcPr>
            <w:tcW w:w="798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ELECTION OF DIRECTORS (Item 1 on the Proxy Card)</w:t>
              </w:r>
            </w:hyperlink>
          </w:p>
        </w:tc>
        <w:tc>
          <w:tcPr>
            <w:tcW w:w="65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41"/>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DIRECTOR AND OFFICER STOCK OWNERSHIP</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41"/>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SECURITY OWNERSHIP OF CERTAIN BENEFICIAL OWNERS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41"/>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SECTION 16(A) BENEFICIAL OWNERSHIP REPORTING COMPLIANCE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EXECUTIVE OFFICERS</w:t>
              </w:r>
            </w:hyperlink>
          </w:p>
        </w:tc>
        <w:tc>
          <w:tcPr>
            <w:tcW w:w="4000" w:type="dxa"/>
            <w:vAlign w:val="bottom"/>
            <w:tcBorders>
              <w:top w:val="single" w:sz="8" w:color="0000EE"/>
            </w:tcBorders>
            <w:gridSpan w:val="28"/>
          </w:tcPr>
          <w:p>
            <w:pPr>
              <w:spacing w:after="0"/>
              <w:rPr>
                <w:sz w:val="17"/>
                <w:szCs w:val="17"/>
                <w:color w:val="auto"/>
              </w:rPr>
            </w:pPr>
          </w:p>
        </w:tc>
        <w:tc>
          <w:tcPr>
            <w:tcW w:w="49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EXECUTIVE COMPENSATION</w:t>
              </w:r>
            </w:hyperlink>
          </w:p>
        </w:tc>
        <w:tc>
          <w:tcPr>
            <w:tcW w:w="8420" w:type="dxa"/>
            <w:vAlign w:val="bottom"/>
            <w:gridSpan w:val="2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40" w:type="dxa"/>
            <w:vAlign w:val="bottom"/>
            <w:gridSpan w:val="40"/>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Compensation Discussion and Analysis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Executive Summary</w:t>
              </w:r>
            </w:hyperlink>
          </w:p>
        </w:tc>
        <w:tc>
          <w:tcPr>
            <w:tcW w:w="1340" w:type="dxa"/>
            <w:vAlign w:val="bottom"/>
            <w:tcBorders>
              <w:top w:val="single" w:sz="8" w:color="0000EE"/>
            </w:tcBorders>
            <w:gridSpan w:val="17"/>
          </w:tcPr>
          <w:p>
            <w:pPr>
              <w:spacing w:after="0"/>
              <w:rPr>
                <w:sz w:val="17"/>
                <w:szCs w:val="17"/>
                <w:color w:val="auto"/>
              </w:rPr>
            </w:pPr>
          </w:p>
        </w:tc>
        <w:tc>
          <w:tcPr>
            <w:tcW w:w="784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60" w:type="dxa"/>
            <w:vAlign w:val="bottom"/>
            <w:gridSpan w:val="3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Our Compensation Philosophy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60" w:type="dxa"/>
            <w:vAlign w:val="bottom"/>
            <w:gridSpan w:val="3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Overview of Elements of Our 2015 Compensation Program</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60" w:type="dxa"/>
            <w:vAlign w:val="bottom"/>
            <w:gridSpan w:val="3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How Named Executive Officer Compensation Decisions are Made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Named Executives’ 2015 Compensation Program and Results</w:t>
              </w:r>
            </w:hyperlink>
          </w:p>
        </w:tc>
        <w:tc>
          <w:tcPr>
            <w:tcW w:w="340" w:type="dxa"/>
            <w:vAlign w:val="bottom"/>
            <w:tcBorders>
              <w:top w:val="single" w:sz="8" w:color="0000EE"/>
            </w:tcBorders>
          </w:tcPr>
          <w:p>
            <w:pPr>
              <w:spacing w:after="0"/>
              <w:rPr>
                <w:sz w:val="17"/>
                <w:szCs w:val="17"/>
                <w:color w:val="auto"/>
              </w:rPr>
            </w:pPr>
          </w:p>
        </w:tc>
        <w:tc>
          <w:tcPr>
            <w:tcW w:w="5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Other Compensation Policies and Practices</w:t>
              </w:r>
            </w:hyperlink>
          </w:p>
        </w:tc>
        <w:tc>
          <w:tcPr>
            <w:tcW w:w="75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8"/>
              </w:rPr>
            </w:pPr>
            <w:hyperlink w:anchor="page44">
              <w:r>
                <w:rPr>
                  <w:rFonts w:ascii="Arial" w:cs="Arial" w:eastAsia="Arial" w:hAnsi="Arial"/>
                  <w:sz w:val="18"/>
                  <w:szCs w:val="18"/>
                  <w:b w:val="1"/>
                  <w:bCs w:val="1"/>
                  <w:color w:val="0000EE"/>
                  <w:w w:val="88"/>
                </w:rPr>
                <w:t>Executive Compensation Tables</w:t>
              </w:r>
            </w:hyperlink>
          </w:p>
        </w:tc>
        <w:tc>
          <w:tcPr>
            <w:tcW w:w="838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Summary Compensation Table</w:t>
              </w:r>
            </w:hyperlink>
          </w:p>
        </w:tc>
        <w:tc>
          <w:tcPr>
            <w:tcW w:w="8420" w:type="dxa"/>
            <w:vAlign w:val="bottom"/>
            <w:gridSpan w:val="2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Grant of Plan-Based Awards in 2015</w:t>
              </w:r>
            </w:hyperlink>
          </w:p>
        </w:tc>
        <w:tc>
          <w:tcPr>
            <w:tcW w:w="800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Outstanding Equity Awards at December 31, 2015</w:t>
              </w:r>
            </w:hyperlink>
          </w:p>
        </w:tc>
        <w:tc>
          <w:tcPr>
            <w:tcW w:w="70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60" w:type="dxa"/>
            <w:vAlign w:val="bottom"/>
            <w:gridSpan w:val="3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Option Exercises and Stock Vested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Nonqualified Deferred Compensation in 2015</w:t>
              </w:r>
            </w:hyperlink>
          </w:p>
        </w:tc>
        <w:tc>
          <w:tcPr>
            <w:tcW w:w="73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60" w:type="dxa"/>
            <w:vAlign w:val="bottom"/>
            <w:gridSpan w:val="3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Potential Payments Upon Termination or Change in Control</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Equity Compensation Plan Table</w:t>
              </w:r>
            </w:hyperlink>
          </w:p>
        </w:tc>
        <w:tc>
          <w:tcPr>
            <w:tcW w:w="63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RATIFICATION OF INDEPENDENT REGISTERED PUBLIC ACCOUNTING FIRM</w:t>
              </w:r>
            </w:hyperlink>
          </w:p>
        </w:tc>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40" w:type="dxa"/>
            <w:vAlign w:val="bottom"/>
            <w:gridSpan w:val="40"/>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(Item 2 on the Proxy Card)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ADVISORY VOTE ON EXECUTIVE COMPENSATION (Item 3 on the Proxy Card)</w:t>
              </w:r>
            </w:hyperlink>
          </w:p>
        </w:tc>
        <w:tc>
          <w:tcPr>
            <w:tcW w:w="44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41"/>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STOCKHOLDER PROPOSAL (Item 4 on the Proxy Card)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OTHER MATTERS</w:t>
              </w:r>
            </w:hyperlink>
          </w:p>
        </w:tc>
        <w:tc>
          <w:tcPr>
            <w:tcW w:w="2980" w:type="dxa"/>
            <w:vAlign w:val="bottom"/>
            <w:tcBorders>
              <w:top w:val="single" w:sz="8" w:color="0000EE"/>
            </w:tcBorders>
            <w:gridSpan w:val="27"/>
          </w:tcPr>
          <w:p>
            <w:pPr>
              <w:spacing w:after="0"/>
              <w:rPr>
                <w:sz w:val="17"/>
                <w:szCs w:val="17"/>
                <w:color w:val="auto"/>
              </w:rPr>
            </w:pPr>
          </w:p>
        </w:tc>
        <w:tc>
          <w:tcPr>
            <w:tcW w:w="646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1001 Fannin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is soliciting your proxy for the 2016 Annual Meeting of Stockholders and at any postponement or adjournment of the meeting. We are furnishing proxy materials to our stockholders primarily via the Internet. On March 25, 2016, we sent an electronic notice of how to access our proxy materials, including our Annual Report, to stockholders that have previously signed up to receive their proxy materials via the Internet. On March 25, 2016,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ectPr>
          <w:pgSz w:w="11900" w:h="16838" w:orient="portrait"/>
          <w:cols w:equalWidth="0" w:num="1">
            <w:col w:w="11420"/>
          </w:cols>
          <w:pgMar w:left="240" w:top="459"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163"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majority of shares outstanding on the record date must be present in person or by proxy.</w:t>
      </w:r>
    </w:p>
    <w:p>
      <w:pPr>
        <w:spacing w:after="0" w:line="163"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Shares Outstanding</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There were 444,639,871 shares of Common Stock outstanding and entitled to vote as of March 15, 2016.</w:t>
      </w:r>
    </w:p>
    <w:p>
      <w:pPr>
        <w:spacing w:after="0" w:line="7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by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Internet, phone, or mail.</w:t>
      </w:r>
    </w:p>
    <w:p>
      <w:pPr>
        <w:spacing w:after="0" w:line="163"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at the Meeting</w:t>
      </w:r>
    </w:p>
    <w:p>
      <w:pPr>
        <w:spacing w:after="0" w:line="20" w:lineRule="exact"/>
        <w:rPr>
          <w:sz w:val="20"/>
          <w:szCs w:val="20"/>
          <w:color w:val="auto"/>
        </w:rPr>
      </w:pPr>
      <w:r>
        <w:rPr>
          <w:sz w:val="20"/>
          <w:szCs w:val="20"/>
          <w:color w:val="auto"/>
        </w:rPr>
        <w:br w:type="column"/>
      </w:r>
    </w:p>
    <w:p>
      <w:pPr>
        <w:ind w:right="140"/>
        <w:spacing w:after="0" w:line="302" w:lineRule="auto"/>
        <w:rPr>
          <w:sz w:val="20"/>
          <w:szCs w:val="20"/>
          <w:color w:val="auto"/>
        </w:rPr>
      </w:pPr>
      <w:r>
        <w:rPr>
          <w:rFonts w:ascii="Arial" w:cs="Arial" w:eastAsia="Arial" w:hAnsi="Arial"/>
          <w:sz w:val="16"/>
          <w:szCs w:val="16"/>
          <w:color w:val="auto"/>
        </w:rPr>
        <w:t>Stockholders can vote in person during the meeting. Stockholders of record will be on a list held by the inspector of elections. Beneficial holders must obtain a proxy from their brokerage firm, bank, or other stockholder of record and present it to the inspector of elections with their ballot. Voting in person by a stockholder will replace any previous votes submitted by proxy.</w:t>
      </w:r>
    </w:p>
    <w:p>
      <w:pPr>
        <w:spacing w:after="0" w:line="56"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Changing Your Vote</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Stockholders of record may revoke their proxy at any time before we vote it at the meeting by submitting a later-dated proxy via the Internet, by telephone, by mail, by delivering instructions to our Corporate Secretary before the annual meeting revoking the proxy or by voting in person at the annual meeting. If you hold shares through a bank or brokerage firm, you may revoke any prior voting instructions by contacting that firm.</w:t>
      </w:r>
    </w:p>
    <w:p>
      <w:pPr>
        <w:spacing w:after="0" w:line="9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Votes Required to Adopt Proposals</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Each share of our Common Stock outstanding on the record date is entitled to one vote on each of the ten director nominees and one vote on each other matter. To be elected, a director must receive a majority of the votes cast with respect to that director at the meeting. This means that the number of shares voted “for” a director must exceed 50% of the votes cast with respect to that director. Each of the other proposals requires the favorable vote of a majority of the shares present, either by proxy or in person, and entitled to vote.</w:t>
      </w:r>
    </w:p>
    <w:p>
      <w:pPr>
        <w:spacing w:after="0" w:line="8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 of Abstentions and Broker Non-Votes</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 xml:space="preserve">Abstentions will have no effect on the election of directors. For each of the other proposals, abstentions will have the same effect as a vote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these matters because they are considered present and entitled to vote.</w:t>
      </w:r>
    </w:p>
    <w:p>
      <w:pPr>
        <w:spacing w:after="0" w:line="11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Stockholder Proposals and Nominees for the 2017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your shares are held by a broker, the broker will ask you how you want your shares to be voted. If you give the broker instructions, your shares must be voted as you direct. If you do not give instructions, one of two things can happen depending on the type of proposal. For the proposal to ratify selection of the Company’s independent registered public accounting firm, the broker may vote your shares at its discretion. But for all other proposals in this Proxy Statement, including the election of directors, the advisory vote on executive compensation, and the stockholder proposal, the broker cannot vote your shares at all. When that happens, it is called a “broker non-vote.” Broker non-votes are counted in determining the presence of a quorum at the meeting, but they are not counted for purposes of calculating the shares present and entitled to vote on particular proposals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-1927225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You may receive more than one proxy card depending on how you hold your shares. If you hold shares through a broker, your ability to vote by phone or over the Internet depends on your broker’s voting process. You should complete and return each proxy or other voting instruction request provided to you.</w:t>
      </w:r>
    </w:p>
    <w:p>
      <w:pPr>
        <w:spacing w:after="0" w:line="9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If you complete and submit your proxy voting instructions, the persons named as proxies will follow your instructions. If you submit your proxy but do not give voting instructions, we will vote your shares as follows:</w:t>
      </w:r>
    </w:p>
    <w:p>
      <w:pPr>
        <w:spacing w:after="0" w:line="87" w:lineRule="exact"/>
        <w:rPr>
          <w:sz w:val="20"/>
          <w:szCs w:val="20"/>
          <w:color w:val="auto"/>
        </w:rPr>
      </w:pPr>
    </w:p>
    <w:p>
      <w:pPr>
        <w:ind w:left="220" w:hanging="17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FOR </w:t>
      </w:r>
      <w:r>
        <w:rPr>
          <w:rFonts w:ascii="Arial" w:cs="Arial" w:eastAsia="Arial" w:hAnsi="Arial"/>
          <w:sz w:val="18"/>
          <w:szCs w:val="18"/>
          <w:color w:val="auto"/>
        </w:rPr>
        <w:t>our director candidates;</w:t>
      </w:r>
    </w:p>
    <w:p>
      <w:pPr>
        <w:spacing w:after="0" w:line="130" w:lineRule="exact"/>
        <w:rPr>
          <w:rFonts w:ascii="Arial" w:cs="Arial" w:eastAsia="Arial" w:hAnsi="Arial"/>
          <w:sz w:val="18"/>
          <w:szCs w:val="18"/>
          <w:color w:val="auto"/>
        </w:rPr>
      </w:pPr>
    </w:p>
    <w:p>
      <w:pPr>
        <w:ind w:left="220" w:hanging="17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FOR </w:t>
      </w:r>
      <w:r>
        <w:rPr>
          <w:rFonts w:ascii="Arial" w:cs="Arial" w:eastAsia="Arial" w:hAnsi="Arial"/>
          <w:sz w:val="18"/>
          <w:szCs w:val="18"/>
          <w:color w:val="auto"/>
        </w:rPr>
        <w:t>the ratification of the independent registered public accounting firm;</w:t>
      </w:r>
    </w:p>
    <w:p>
      <w:pPr>
        <w:spacing w:after="0" w:line="130" w:lineRule="exact"/>
        <w:rPr>
          <w:rFonts w:ascii="Arial" w:cs="Arial" w:eastAsia="Arial" w:hAnsi="Arial"/>
          <w:sz w:val="18"/>
          <w:szCs w:val="18"/>
          <w:color w:val="auto"/>
        </w:rPr>
      </w:pPr>
    </w:p>
    <w:p>
      <w:pPr>
        <w:ind w:left="220" w:hanging="17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FOR </w:t>
      </w:r>
      <w:r>
        <w:rPr>
          <w:rFonts w:ascii="Arial" w:cs="Arial" w:eastAsia="Arial" w:hAnsi="Arial"/>
          <w:sz w:val="18"/>
          <w:szCs w:val="18"/>
          <w:color w:val="auto"/>
        </w:rPr>
        <w:t>approval of our executive compensation; and</w:t>
      </w:r>
    </w:p>
    <w:p>
      <w:pPr>
        <w:spacing w:after="0" w:line="130" w:lineRule="exact"/>
        <w:rPr>
          <w:rFonts w:ascii="Arial" w:cs="Arial" w:eastAsia="Arial" w:hAnsi="Arial"/>
          <w:sz w:val="18"/>
          <w:szCs w:val="18"/>
          <w:color w:val="auto"/>
        </w:rPr>
      </w:pPr>
    </w:p>
    <w:p>
      <w:pPr>
        <w:ind w:left="220" w:right="380" w:hanging="172"/>
        <w:spacing w:after="0" w:line="277"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AGAINST </w:t>
      </w:r>
      <w:r>
        <w:rPr>
          <w:rFonts w:ascii="Arial" w:cs="Arial" w:eastAsia="Arial" w:hAnsi="Arial"/>
          <w:sz w:val="18"/>
          <w:szCs w:val="18"/>
          <w:color w:val="auto"/>
        </w:rPr>
        <w:t>the stockholder proposal regarding a policy on acceleration of vesting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the event of a change in control.</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give us your proxy, any other matters that may properly come before the meeting will be voted at the discretion of the proxy holders.</w:t>
      </w:r>
    </w:p>
    <w:p>
      <w:pPr>
        <w:spacing w:after="0" w:line="7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stock in order to be admitted to the meeting. If you are planning to attend our annual meeting and require directions to the meeting, please contact our Corporate Secretary at 713-512-6200.</w:t>
      </w:r>
    </w:p>
    <w:p>
      <w:pPr>
        <w:spacing w:after="0" w:line="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only items that will be discussed at this year’s annual meeting will be the items set out in the Notice. There will be no presentations.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Eligible stockholders who wish to submit a proposal for inclusion in the Proxy Statement for our 2017 Annual Meeting should notify our</w:t>
      </w:r>
    </w:p>
    <w:p>
      <w:pPr>
        <w:spacing w:after="0" w:line="1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820" w:space="520"/>
            <w:col w:w="7080"/>
          </w:cols>
          <w:pgMar w:left="240" w:top="45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22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0"/>
              </w:rPr>
              <w:t>Corporate Secretary at Waste Management, Inc., 1001 Fannin Street, Houston, Texas 77002.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9"/>
              </w:rPr>
              <w:t>written proposal must be received at our offices on or before November 26, 2016, and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stockholder must have been the registered or beneficial owner of (a) at least 1% of our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1"/>
              </w:rPr>
              <w:t>outstanding Common Stock or (b) shares of our Common Stock with a market value of $2,000 for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0"/>
              </w:rPr>
              <w:t>at least one year before submitting the proposal. The proposal must comply with the requirements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1"/>
              </w:rPr>
              <w:t>set forth in the federal securities laws, including Rule 14a-8 under the Securities Exchange Act of</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1934, as amended (the “Exchange Act”), in order to be included in the Company’s proxy</w:t>
            </w:r>
          </w:p>
        </w:tc>
      </w:tr>
      <w:tr>
        <w:trPr>
          <w:trHeight w:val="230"/>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statement and proxy card for the 2017 Annual Meeting.</w:t>
            </w:r>
          </w:p>
        </w:tc>
      </w:tr>
      <w:tr>
        <w:trPr>
          <w:trHeight w:val="337"/>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1"/>
              </w:rPr>
              <w:t>In addition, the Company’s By-laws establish an advance notice procedure with regard to certain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1"/>
              </w:rPr>
              <w:t>matters to be brought before an annual meeting of stockholders, including stockholder proposals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0"/>
              </w:rPr>
              <w:t>that are not included in the Company’s proxy materials and nominations of persons for election as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4"/>
              </w:rPr>
              <w:t>directors. In accordance with our By-laws, for a proposal or nominee not included in our proxy</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1"/>
              </w:rPr>
              <w:t>materials to be properly brought before the 2017 Annual Meeting, a stockholder’s notice must be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3"/>
              </w:rPr>
              <w:t>delivered to or mailed and received by the Company not less than 120 days nor more than 150</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8"/>
              </w:rPr>
              <w:t>days in advance of the first anniversary of the 2016 Annual Meeting. As a result, any such</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1"/>
              </w:rPr>
              <w:t>stockholder’s notice for the 2017 Annual Meeting shall be received no earlier than December 13,</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4"/>
              </w:rPr>
              <w:t>2016 and no later than January 12, 2017 and must contain certain information specified in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4"/>
              </w:rPr>
              <w:t>Company’s By-laws. The stockholder’s notice should be delivered to our Corporate Security at</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0"/>
              </w:rPr>
              <w:t>Waste Management, Inc., 1001 Fannin Street, Houston, Texas 77002. A copy of our By-laws may</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be obtained free of charge by writing to our Corporate Secretary and is available on the</w:t>
            </w:r>
          </w:p>
        </w:tc>
      </w:tr>
      <w:tr>
        <w:trPr>
          <w:trHeight w:val="230"/>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0"/>
              </w:rPr>
              <w:t xml:space="preserve">“Corporate Governance” section of the “Investor Relations” page on our website at </w:t>
            </w:r>
            <w:r>
              <w:rPr>
                <w:rFonts w:ascii="Arial" w:cs="Arial" w:eastAsia="Arial" w:hAnsi="Arial"/>
                <w:sz w:val="18"/>
                <w:szCs w:val="18"/>
                <w:i w:val="1"/>
                <w:iCs w:val="1"/>
                <w:color w:val="auto"/>
                <w:w w:val="90"/>
              </w:rPr>
              <w:t>www.wm.com</w:t>
            </w:r>
            <w:r>
              <w:rPr>
                <w:rFonts w:ascii="Arial" w:cs="Arial" w:eastAsia="Arial" w:hAnsi="Arial"/>
                <w:sz w:val="18"/>
                <w:szCs w:val="18"/>
                <w:color w:val="auto"/>
                <w:w w:val="90"/>
              </w:rPr>
              <w:t>.</w:t>
            </w:r>
          </w:p>
        </w:tc>
      </w:tr>
      <w:tr>
        <w:trPr>
          <w:trHeight w:val="32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Expenses of Solicitation</w:t>
            </w:r>
          </w:p>
        </w:tc>
        <w:tc>
          <w:tcPr>
            <w:tcW w:w="8220" w:type="dxa"/>
            <w:vAlign w:val="bottom"/>
          </w:tcPr>
          <w:p>
            <w:pPr>
              <w:ind w:left="1140"/>
              <w:spacing w:after="0"/>
              <w:rPr>
                <w:sz w:val="20"/>
                <w:szCs w:val="20"/>
                <w:color w:val="auto"/>
              </w:rPr>
            </w:pPr>
            <w:r>
              <w:rPr>
                <w:rFonts w:ascii="Arial" w:cs="Arial" w:eastAsia="Arial" w:hAnsi="Arial"/>
                <w:sz w:val="18"/>
                <w:szCs w:val="18"/>
                <w:color w:val="auto"/>
                <w:w w:val="92"/>
              </w:rPr>
              <w:t>We pay the cost of preparing, assembling and mailing this proxy-soliciting material. In addition to</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5"/>
              </w:rPr>
              <w:t>the use of the mail, proxies may be solicited personally, by Internet or telephone, or by Waste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8"/>
              </w:rPr>
              <w:t>Management officers and employees without additional compensation. We pay all costs of</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1"/>
              </w:rPr>
              <w:t>solicitation, including certain expenses of brokers and nominees who mail proxy materials to their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customers or principals. Also, Innisfree M&amp;A Incorporated has been hired to help in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8"/>
              </w:rPr>
              <w:t>solicitation of proxies for the 2016 Annual Meeting for a fee of approximately $15,000 plus</w:t>
            </w:r>
          </w:p>
        </w:tc>
      </w:tr>
      <w:tr>
        <w:trPr>
          <w:trHeight w:val="230"/>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associated costs and expenses.</w:t>
            </w:r>
          </w:p>
        </w:tc>
      </w:tr>
      <w:tr>
        <w:trPr>
          <w:trHeight w:val="32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Annual Report</w:t>
            </w:r>
          </w:p>
        </w:tc>
        <w:tc>
          <w:tcPr>
            <w:tcW w:w="8220" w:type="dxa"/>
            <w:vAlign w:val="bottom"/>
          </w:tcPr>
          <w:p>
            <w:pPr>
              <w:ind w:left="1140"/>
              <w:spacing w:after="0"/>
              <w:rPr>
                <w:sz w:val="20"/>
                <w:szCs w:val="20"/>
                <w:color w:val="auto"/>
              </w:rPr>
            </w:pPr>
            <w:r>
              <w:rPr>
                <w:rFonts w:ascii="Arial" w:cs="Arial" w:eastAsia="Arial" w:hAnsi="Arial"/>
                <w:sz w:val="18"/>
                <w:szCs w:val="18"/>
                <w:color w:val="auto"/>
                <w:w w:val="99"/>
              </w:rPr>
              <w:t>A copy of our Annual Report on Form 10-K for the year ended December 31, 2015, which</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2"/>
              </w:rPr>
              <w:t>includes our financial statements for fiscal year 2015, is included with this Proxy Statement.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8"/>
              </w:rPr>
              <w:t>Annual Report on Form 10-K is not incorporated by reference into this Proxy Statement or</w:t>
            </w:r>
          </w:p>
        </w:tc>
      </w:tr>
      <w:tr>
        <w:trPr>
          <w:trHeight w:val="230"/>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deemed to be a part of the materials for the solicitation of proxies.</w:t>
            </w:r>
          </w:p>
        </w:tc>
      </w:tr>
      <w:tr>
        <w:trPr>
          <w:trHeight w:val="32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Householding Information</w:t>
            </w:r>
          </w:p>
        </w:tc>
        <w:tc>
          <w:tcPr>
            <w:tcW w:w="8220" w:type="dxa"/>
            <w:vAlign w:val="bottom"/>
          </w:tcPr>
          <w:p>
            <w:pPr>
              <w:ind w:left="1140"/>
              <w:spacing w:after="0"/>
              <w:rPr>
                <w:sz w:val="20"/>
                <w:szCs w:val="20"/>
                <w:color w:val="auto"/>
              </w:rPr>
            </w:pPr>
            <w:r>
              <w:rPr>
                <w:rFonts w:ascii="Arial" w:cs="Arial" w:eastAsia="Arial" w:hAnsi="Arial"/>
                <w:sz w:val="18"/>
                <w:szCs w:val="18"/>
                <w:color w:val="auto"/>
                <w:w w:val="90"/>
              </w:rPr>
              <w:t>We have adopted a procedure approved by the SEC called “householding.” Under this procedure,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w w:val="97"/>
              </w:rPr>
              <w:t>stockholders of record who have the same address and last name and do not participate in</w:t>
            </w:r>
          </w:p>
        </w:tc>
      </w:tr>
      <w:tr>
        <w:trPr>
          <w:trHeight w:val="230"/>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Arial" w:cs="Arial" w:eastAsia="Arial" w:hAnsi="Arial"/>
                <w:sz w:val="18"/>
                <w:szCs w:val="18"/>
                <w:color w:val="auto"/>
              </w:rPr>
              <w:t>electronic delivery of proxy materials will receive only one copy of</w:t>
            </w:r>
          </w:p>
        </w:tc>
      </w:tr>
      <w:tr>
        <w:trPr>
          <w:trHeight w:val="365"/>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2460"/>
              <w:spacing w:after="0"/>
              <w:rPr>
                <w:sz w:val="20"/>
                <w:szCs w:val="20"/>
                <w:color w:val="auto"/>
              </w:rPr>
            </w:pPr>
            <w:r>
              <w:rPr>
                <w:rFonts w:ascii="Arial" w:cs="Arial" w:eastAsia="Arial" w:hAnsi="Arial"/>
                <w:sz w:val="18"/>
                <w:szCs w:val="18"/>
                <w:color w:val="auto"/>
              </w:rPr>
              <w:t>3</w:t>
            </w:r>
          </w:p>
        </w:tc>
      </w:tr>
    </w:tbl>
    <w:p>
      <w:pPr>
        <w:ind w:left="246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right="60"/>
        <w:spacing w:after="0" w:line="264" w:lineRule="auto"/>
        <w:rPr>
          <w:sz w:val="20"/>
          <w:szCs w:val="20"/>
          <w:color w:val="auto"/>
        </w:rPr>
      </w:pPr>
      <w:r>
        <w:rPr>
          <w:rFonts w:ascii="Arial" w:cs="Arial" w:eastAsia="Arial" w:hAnsi="Arial"/>
          <w:sz w:val="18"/>
          <w:szCs w:val="18"/>
          <w:color w:val="auto"/>
        </w:rPr>
        <w:t>the Proxy Statement and Annual Report unless we are notified that one or more of these individuals wishes to receive separate copies. This procedure helps reduce our printing costs and postage fees.</w:t>
      </w:r>
    </w:p>
    <w:p>
      <w:pPr>
        <w:spacing w:after="0" w:line="100" w:lineRule="exact"/>
        <w:rPr>
          <w:sz w:val="20"/>
          <w:szCs w:val="20"/>
          <w:color w:val="auto"/>
        </w:rPr>
      </w:pPr>
    </w:p>
    <w:p>
      <w:pPr>
        <w:ind w:left="4340" w:right="340"/>
        <w:spacing w:after="0" w:line="264" w:lineRule="auto"/>
        <w:rPr>
          <w:sz w:val="20"/>
          <w:szCs w:val="20"/>
          <w:color w:val="auto"/>
        </w:rPr>
      </w:pPr>
      <w:r>
        <w:rPr>
          <w:rFonts w:ascii="Arial" w:cs="Arial" w:eastAsia="Arial" w:hAnsi="Arial"/>
          <w:sz w:val="18"/>
          <w:szCs w:val="18"/>
          <w:color w:val="auto"/>
        </w:rPr>
        <w:t>If you wish to receive a separate copy of this Proxy Statement and the Annual Report, please contact: Waste Management, Inc., Corporate Secretary, 1001 Fannin Street, Houston, Texas 77002, telephone 713-512-6200.</w:t>
      </w:r>
    </w:p>
    <w:p>
      <w:pPr>
        <w:spacing w:after="0" w:line="87" w:lineRule="exact"/>
        <w:rPr>
          <w:sz w:val="20"/>
          <w:szCs w:val="20"/>
          <w:color w:val="auto"/>
        </w:rPr>
      </w:pPr>
    </w:p>
    <w:p>
      <w:pPr>
        <w:ind w:left="4340"/>
        <w:spacing w:after="0" w:line="276" w:lineRule="auto"/>
        <w:rPr>
          <w:sz w:val="20"/>
          <w:szCs w:val="20"/>
          <w:color w:val="auto"/>
        </w:rPr>
      </w:pPr>
      <w:r>
        <w:rPr>
          <w:rFonts w:ascii="Arial" w:cs="Arial" w:eastAsia="Arial" w:hAnsi="Arial"/>
          <w:sz w:val="17"/>
          <w:szCs w:val="17"/>
          <w:color w:val="auto"/>
        </w:rPr>
        <w:t>If you do not wish to participate in householding in the future, and prefer to receive separate copies of the proxy materials, please contact: Broadridge Financial Solutions, Attention Householding Department, 51 Mercedes Way, Edgewood, NY 11717, telephone 1-800-542-1061. If you are currently receiving multiple copies of proxy materials and wish to receive only one copy for your household, please contact Broadridge.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B</w:t>
      </w:r>
      <w:r>
        <w:rPr>
          <w:rFonts w:ascii="Arial" w:cs="Arial" w:eastAsia="Arial" w:hAnsi="Arial"/>
          <w:sz w:val="23"/>
          <w:szCs w:val="23"/>
          <w:b w:val="1"/>
          <w:bCs w:val="1"/>
          <w:color w:val="auto"/>
        </w:rPr>
        <w:t>OARD OF</w:t>
      </w:r>
      <w:r>
        <w:rPr>
          <w:rFonts w:ascii="Arial" w:cs="Arial" w:eastAsia="Arial" w:hAnsi="Arial"/>
          <w:sz w:val="29"/>
          <w:szCs w:val="29"/>
          <w:b w:val="1"/>
          <w:bCs w:val="1"/>
          <w:color w:val="auto"/>
        </w:rPr>
        <w:t xml:space="preserve"> D</w:t>
      </w:r>
      <w:r>
        <w:rPr>
          <w:rFonts w:ascii="Arial" w:cs="Arial" w:eastAsia="Arial" w:hAnsi="Arial"/>
          <w:sz w:val="23"/>
          <w:szCs w:val="23"/>
          <w:b w:val="1"/>
          <w:bCs w:val="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Board of Directors currently has ten members. Each member of our Board is elected annually. Mr. Reum is the Non-Executive Chairman of the Board and presides over all meetings of the Board, including executive sessions that only non-employee directors attend.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 Robert Reum, Non-Executive Chairman of the Board, c/o Waste Management, Inc., P.O. Box 53569, Houston, Texas 77052-3569.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Non-Executive Chairman’s responsibilities include leading full Board meetings and executive sessions and managing the Board function. The Board named Mr. Reum Chairman of the Board effective January 1, 2012, due to his tenure with, and experience and understanding of, the Company, as well as his experience on public company boards of directors.</w:t>
      </w:r>
    </w:p>
    <w:p>
      <w:pPr>
        <w:spacing w:after="0" w:line="5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separation of the positions allows Mr. Reum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functioning as directed. The primary means by which the Board oversees our risk management structures and policies is through its regular communications with management and our enterprise risk management process. The Company believes that its leadership structure is conducive to comprehensive risk management practices and that the Board’s involvement is appropriate to ensure effective oversight.</w:t>
      </w:r>
    </w:p>
    <w:p>
      <w:pPr>
        <w:spacing w:after="0" w:line="6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has an enterprise risk management, or ERM, process that is coordinated by an ERM Committee consisting of our Chief Financial Officer, Chief Operating Officer, Chief Legal Officer and head of Internal Audit. The ERM process begins with identification of the Company’s programs and processes related to risk management and the individuals responsible for them through use of a risk assessment conducted by Internal Audit. The risk assessment identifies perceived risks to the Company, with follow-up interviews with members of senior management to review any gaps between their and their direct reports’ responses.</w:t>
      </w:r>
    </w:p>
    <w:p>
      <w:pPr>
        <w:spacing w:after="0" w:line="8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2016, we interviewed the Company’s Senior Leadership team and additional members of senior management to capture their insight on the strategic risks that could affect our ability to execute against our strategy, as well as the more long-term risk landscape and the potential effect of such risks on the viability of the business. As a result of this process, we have grouped our risk focus across the following areas:</w:t>
      </w:r>
    </w:p>
    <w:p>
      <w:pPr>
        <w:spacing w:after="0" w:line="87"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and Regulatory Developments;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Security and Technology;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People Management;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Risk Management.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ERM program and process continue to evolve with enhancements made annually. Board members are polled to collect their thoughts on significant risks facing the Company and how the reporting format should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revised to improve management’s communication of enterprise risks to the Board. We assign champions across the aforementioned areas that will work with the ERM Committee to establish a more comprehensive risk mitigation strategy. In addition, external stakeholders will continue to be interviewed to gather their views on risks that they perceive could have a significant impact on the Company or the industry. The ERM Committee will review the assessment of the risks in each area and the proposed mitigation strategy and determine what adjustments, additions, or changes are appropriate.</w:t>
      </w:r>
    </w:p>
    <w:p>
      <w:pPr>
        <w:spacing w:after="0" w:line="4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generally meets seven times a year, five times in person, including one meeting that is dedicated specifically to strategic planning, and regular updates are given to the Board of Directors on all Company risks. At each of these meetings, our President and Chief Executive Officer; Chief Financial Officer; and Chief Legal Officer are asked to report to the Board and, when appropriate, specific committees. Additionally, other members of management and employees are requested to attend meetings and present information, including those responsible for our Internal Audit, Environmental Audit, Business Ethics and Compliance, Human Resources, Government Affairs, Information Technology, Risk Management, Safety and Accounting functions.</w:t>
      </w:r>
    </w:p>
    <w:p>
      <w:pPr>
        <w:spacing w:after="0" w:line="8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 pre-defined strategies generally. These direct communications between management and the Board of Directors allow the Board to assess management’s evaluation and management of the risks of the Company.</w:t>
      </w:r>
    </w:p>
    <w:p>
      <w:pPr>
        <w:spacing w:after="0" w:line="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Management is encouraged to communicate with the Board of Directors with respect to extraordinary risk issues or developments that may require more immediate attention between regularly scheduled Board meetings. Mr. Reum, as Non-Executive Chairman, facilitates communications with the Board of Directors as a whole and is integral in initiating the discussions among the independent Board members necessary to ensure management is adequately evaluating and managing the Company’s risks. These intra-Board communications are essential to the Board’s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evaluating other risks.</w:t>
      </w:r>
    </w:p>
    <w:p>
      <w:pPr>
        <w:spacing w:after="0" w:line="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 Members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Board of Directors has determined that each of the following nine non-employee director candidates is independent in accordance with the New York Stock Exchange listing standards: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Bradbury H. Anderson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Kathleen M. Mazzarella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Thomas H. Weidemeyer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Steiner is an employee of the Company and, as such, is not considered an “independent” director.</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on our website. In addition to these categorical standards, our Board makes a subjective determination of independence considering relevant facts and circumstances.</w:t>
      </w:r>
    </w:p>
    <w:p>
      <w:pPr>
        <w:spacing w:after="0" w:line="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Amsted Industries Incorporated and Proto Labs, Inc. Ms. Mazzarella, Mr. Gluski, Mr. Reum and Ms. Holt, respectively, are the chief executive officer of these entities. The Board concluded there are no transactions between the Company and any entity with which a non-employee director is affiliated that (a) are prohibited by our categorical standards of independence, (b) are material individually or in the aggregate, or (c) in which any of the Company’s non-employee directors have or had a material direct or indirect interest. Accordingly, the Board has determined that each non-employee director candidate meets the categorical standards of independence and that there are no relationships that would affect independence.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Last year the Board held seven meetings and each committee of the Board met independently as set forth below. Each director attended at least 75% of the meetings of the Board and the committees on which he or she served. In addition, all directors attended the 2015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although all members of the Board are invited to attend all committee meetings and the committee reviews the results of its meetings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Mr. Gross has been the Chairman of our Audit Committee since May 2010. The other members of our Audit Committee are Ms. Holt and Messrs. Clark, Gluski, Reum and Weidemeyer. Each member of our Audit Committee satisfies the additional New York Stock Exchange independence standards for audit committees set forth in Section 10A of the Exchange Act. Our Audit Committee held nine meetings in 2015.</w:t>
      </w:r>
    </w:p>
    <w:p>
      <w:pPr>
        <w:spacing w:after="0" w:line="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Board of Directors has determined that Mr. Gross and each of Ms. Holt and Messrs. Clark, Gluski and Reum are audit committee financial experts as defined by the SEC based on a thorough review of their education and financial and public company experience.</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Gross was a founder of American Management Systems where he was principal executive officer for over 30 years. Since 2001, he has served as Chairman of The Lovell Group, a private investment and advisory firm. Mr. Gross holds an MBA from the Stanford University Graduate School of Business, a master’s degree in engineering science from the University of Michigan and a bachelor’s degree in engineering science from Rensselaer Polytechnic Institute.</w:t>
      </w:r>
    </w:p>
    <w:p>
      <w:pPr>
        <w:spacing w:after="0" w:line="7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Ms. Holt has served as President and Chief Executive Officer of Proto Labs, Inc. since February 2014 and was President and Chief Executive of Spartech Corporation from September 2010 to March 2013. Prior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joining Spartech, she served as Senior Vice President of PPG Industries for over five years. Ms. Holt holds an MBA from Pace University and a bachelor’s degree in chemistry from Duke University.</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Mr. Clark served as Chairman and Chief Executive Officer of ComEd from November 2005 to February 2012 and President of ComEd from 2001 to 2005. Mr. Clark holds an LLB from DePaul University College of Law and a BBA from DePaul University.</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Mr. Gluski has served as President and Chief Executive Officer of The AES Corporation since 2011 and was Executive Vice President and Chief Operating Officer of The AES Corporation from 2007 to 2011. Mr. Gluski is a graduate of Wake Forest University and holds an MA and PhD in Economics from the University of Virginia.</w:t>
      </w:r>
    </w:p>
    <w:p>
      <w:pPr>
        <w:spacing w:after="0" w:line="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Mr. Reum has served as Chairman, President and Chief Executive Officer of Amsted Industries Incorporated since March 2001. He also served as Chairman, President and CEO of a public diversified metal products company for many years. Mr. Reum holds an MBA from Harvard University, a JD from The University of Michigan Law School and a bachelor’s degree from Yale University.</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Administrative Responsibilities</w:t>
      </w:r>
    </w:p>
    <w:p>
      <w:pPr>
        <w:spacing w:after="0" w:line="131"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Audit Committee;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Auditor</w:t>
      </w:r>
    </w:p>
    <w:p>
      <w:pPr>
        <w:spacing w:after="0" w:line="13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our policies for hiring current or former employees of the independent auditor;</w:t>
      </w:r>
    </w:p>
    <w:p>
      <w:pPr>
        <w:spacing w:after="0" w:line="153" w:lineRule="exact"/>
        <w:rPr>
          <w:rFonts w:ascii="Arial" w:cs="Arial" w:eastAsia="Arial" w:hAnsi="Arial"/>
          <w:sz w:val="16"/>
          <w:szCs w:val="16"/>
          <w:color w:val="auto"/>
        </w:rPr>
      </w:pPr>
    </w:p>
    <w:p>
      <w:pPr>
        <w:ind w:left="660" w:right="180" w:hanging="20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Audit</w:t>
      </w:r>
    </w:p>
    <w:p>
      <w:pPr>
        <w:spacing w:after="0" w:line="13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Statements</w:t>
      </w:r>
    </w:p>
    <w:p>
      <w:pPr>
        <w:spacing w:after="0" w:line="13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all earnings press releases and discuss with management the type of earnings guidance that we provide to analysts and rating agencies;</w:t>
      </w:r>
    </w:p>
    <w:p>
      <w:pPr>
        <w:spacing w:after="0" w:line="180"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700" w:hanging="206"/>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Discuss with the independent auditor any material changes to our accounting principles and matters required to be communicated by Public Company Accounting Oversight Board (United States) Auditing Standard No. 16 </w:t>
      </w:r>
      <w:r>
        <w:rPr>
          <w:rFonts w:ascii="Arial" w:cs="Arial" w:eastAsia="Arial" w:hAnsi="Arial"/>
          <w:sz w:val="17"/>
          <w:szCs w:val="17"/>
          <w:i w:val="1"/>
          <w:iCs w:val="1"/>
          <w:color w:val="auto"/>
        </w:rPr>
        <w:t>Communications with Audit Committees;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management’s and the independent auditor’s assessment of the adequacy and effectiveness of internal controls over financial reporting; and</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executive officer certifications related to our reports and filings.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8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2015 with management and the independent registered public accounting firm, and has taken the following steps in making its recommendation that the Company’s financial statements be included in its annual report:</w:t>
      </w:r>
    </w:p>
    <w:p>
      <w:pPr>
        <w:spacing w:after="0" w:line="87" w:lineRule="exact"/>
        <w:rPr>
          <w:sz w:val="20"/>
          <w:szCs w:val="20"/>
          <w:color w:val="auto"/>
        </w:rPr>
      </w:pPr>
    </w:p>
    <w:p>
      <w:pPr>
        <w:ind w:left="900" w:right="320" w:hanging="325"/>
        <w:spacing w:after="0" w:line="279"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First, the Audit Committee discussed with Ernst &amp; Young, the Company’s independent registered public accounting firm for fiscal year 2015, those matters required to be discussed by Public Company Accounting Oversight Board (United States)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including information regarding the scope and results of the audit. These communications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discussions are intended to assist the Audit Committee in overseeing the financial reporting and disclosure process.</w:t>
      </w:r>
    </w:p>
    <w:p>
      <w:pPr>
        <w:spacing w:after="0" w:line="76"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92"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2015, as well as Ernst &amp; Young’s report regarding the effectiveness of internal control over financial reporting.</w:t>
      </w:r>
    </w:p>
    <w:p>
      <w:pPr>
        <w:spacing w:after="0" w:line="92"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2015, and consolidated statements of operations, comprehensive income, cash flows and equity for the fiscal year ended December 31, 2015, including the quality, not just the acceptability, of the accounting principles, the reasonableness of significant judgments and the clarity of the disclosure.</w:t>
      </w:r>
    </w:p>
    <w:p>
      <w:pPr>
        <w:spacing w:after="0" w:line="7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5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2015. The Committee has also approved the selection of Ernst &amp; Young as the Company’s independent registered public accounting firm for fiscal year 2016.</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 of the Board of Directors</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Patrick W. Gross,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H. Weidemeyer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Management Development and Compensation Committee</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Mr. Clark has served as the Chairman of our MD&amp;C Committee since May 2011. The other members of the Committee are Ms. Holt, Ms. Mazzarella and Messrs. Anderson, Gluski, Pope and Reum. Each member of our MD&amp;C Committee is independent in accordance with the rules and regulations of the New York Stock Exchange. The MD&amp;C Committee met five times in 2015.</w:t>
      </w:r>
    </w:p>
    <w:p>
      <w:pPr>
        <w:spacing w:after="0" w:line="7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MD&amp;C Committee is responsible for overseeing all of our executive officer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8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the compensation of our executive officers and senior leadership team and set the bonus plan goals for those individuals;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130" w:lineRule="exact"/>
        <w:rPr>
          <w:rFonts w:ascii="Arial" w:cs="Arial" w:eastAsia="Arial" w:hAnsi="Arial"/>
          <w:sz w:val="18"/>
          <w:szCs w:val="18"/>
          <w:color w:val="auto"/>
        </w:rPr>
      </w:pPr>
    </w:p>
    <w:p>
      <w:pPr>
        <w:ind w:left="660" w:right="78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independence of the MD&amp;C Committee’s compensation consultant annually;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under those plans for matters affecting the compensation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benefits of the executive officers. For additional information on the MD&amp;C Committee, see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beginning on page 24.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beginning on page 24, with management. Based on the review and discussions, the MD&amp;C Committee recommended to the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the Company’s Proxy Statement.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Management Development and Compensation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Committee of the Board of Directors</w:t>
      </w:r>
    </w:p>
    <w:p>
      <w:pPr>
        <w:spacing w:after="0" w:line="1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Frank M. Clark, Jr., </w:t>
      </w:r>
      <w:r>
        <w:rPr>
          <w:rFonts w:ascii="Arial" w:cs="Arial" w:eastAsia="Arial" w:hAnsi="Arial"/>
          <w:sz w:val="18"/>
          <w:szCs w:val="18"/>
          <w:i w:val="1"/>
          <w:iCs w:val="1"/>
          <w:color w:val="auto"/>
        </w:rPr>
        <w:t>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Bradbury H. Anderson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Kathleen M. Mazzarella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2015, Ms. Holt, Ms. Mazzarella and Messrs. Anderson, Clark, Gluski, Pope and Reum served on the MD&amp;C Committee. No member of the MD&amp;C Committee was an officer or employee of the Company during 2015; no member of the MD&amp;C Committee is a former officer of the Company; and during 2015, none of our executive officers served as a member of a board of directors or compensation committee of any entity that has one or more executive officers who serve on our Board of Directors or MD&amp;C Committee.</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Nominating and Governance Committee</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Mr. Weidemeyer has served as the Chairman of our Nominating and Governance Committee since May 2011. The other members of the Committee include Ms. Mazzarella and Messrs. Anderson, Gross, Pope and Reum. Each member of our Nominating and Governance Committee is independent in accordance with the rules and regulations of the New York Stock Exchange. In 2015, the Nominating and Governance Committee met five times.</w:t>
      </w:r>
    </w:p>
    <w:p>
      <w:pPr>
        <w:spacing w:after="0" w:line="3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87" w:lineRule="exact"/>
        <w:rPr>
          <w:sz w:val="20"/>
          <w:szCs w:val="20"/>
          <w:color w:val="auto"/>
        </w:rPr>
      </w:pPr>
    </w:p>
    <w:p>
      <w:pPr>
        <w:ind w:left="660" w:right="10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directors to serve as committee chairs;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 individual director’s performance in consultation with the Chairman of the Board and review the overall effectiveness of the Board;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Potential director candidates are identified through various methods; the Nominating and Governance Committee welcomes suggestions from directors, members of management, and stockholders. From time to time, the Nominating and Governance Committee uses outside consultants to assist it with identifying potential director candidates. In 2015, the Nominating and Governance Committee retained an outside consultant who identified Ms. Kathleen M. Mazzarella as a potential director candidate. Our Board of Directors elected Ms. Mazzarella as a member of the Board effective October 1, 2015, and she was appointed to the MD&amp;C Committee and the Nominating and Governance Committee. She is a nominee for re-election at the annual meeting.</w:t>
      </w:r>
    </w:p>
    <w:p>
      <w:pPr>
        <w:spacing w:after="0" w:line="5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8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1001 Fannin Street, Houston, Texas 77002, between October 27, 2016 and November 26,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w:t>
      </w:r>
    </w:p>
    <w:p>
      <w:pPr>
        <w:ind w:right="200" w:firstLine="8"/>
        <w:spacing w:after="0" w:line="281"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w:t>
      </w:r>
    </w:p>
    <w:p>
      <w:pPr>
        <w:spacing w:after="0" w:line="2" w:lineRule="exact"/>
        <w:rPr>
          <w:rFonts w:ascii="Arial" w:cs="Arial" w:eastAsia="Arial" w:hAnsi="Arial"/>
          <w:sz w:val="16"/>
          <w:szCs w:val="16"/>
          <w:color w:val="auto"/>
        </w:rPr>
      </w:pPr>
    </w:p>
    <w:p>
      <w:pPr>
        <w:ind w:right="120" w:firstLine="8"/>
        <w:spacing w:after="0" w:line="295" w:lineRule="auto"/>
        <w:tabs>
          <w:tab w:leader="none" w:pos="3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53"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All executive officers and directors are required to notify the Chief Legal Officer or the Corporate Secretary as soon as practicable of any proposed transaction that they or their family members are considering entering into that involves the Company. The Chief Legal Officer will determine whether potential transactions or relationships constitute related party transactions that must be referred to the Nominating and Governance Committee.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131"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whether to approve a related party transaction, the Nominating and Governance Committee will consider, among other things, whether:</w:t>
      </w:r>
    </w:p>
    <w:p>
      <w:pPr>
        <w:spacing w:after="0" w:line="154"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related party transaction are fair to the Company and such terms would be reasonable in an arms-length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business reasons for the Company to enter into the related party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related party transaction would impair the independence of any non-employee director;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related party transaction would present an improper conflict of interest for any director or executive officer of the Company;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related party transaction is material to the Company or the individual.</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Any member of the Nominating and Governance Committee who has an interest in a transaction presented for consideration will abstain from voting on the related party transaction.</w:t>
      </w:r>
    </w:p>
    <w:p>
      <w:pPr>
        <w:spacing w:after="0" w:line="62"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As discussed above under “Independence of Board Members,” the Company reviewed all transactions between the Company and each entity with which a non-employee director is affiliated, as well as all transactions between the Company and each entity with which an executive officer is affiliated, and the Company is not aware of any transactions that are required to be disclosed.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Governing Documents</w:t>
      </w:r>
    </w:p>
    <w:p>
      <w:pPr>
        <w:spacing w:after="0" w:line="121" w:lineRule="exact"/>
        <w:rPr>
          <w:sz w:val="20"/>
          <w:szCs w:val="20"/>
          <w:color w:val="auto"/>
        </w:rPr>
      </w:pPr>
    </w:p>
    <w:p>
      <w:pPr>
        <w:jc w:val="center"/>
        <w:ind w:right="120"/>
        <w:spacing w:after="0" w:line="312" w:lineRule="auto"/>
        <w:rPr>
          <w:sz w:val="20"/>
          <w:szCs w:val="20"/>
          <w:color w:val="auto"/>
        </w:rPr>
      </w:pPr>
      <w:r>
        <w:rPr>
          <w:rFonts w:ascii="Arial" w:cs="Arial" w:eastAsia="Arial" w:hAnsi="Arial"/>
          <w:sz w:val="16"/>
          <w:szCs w:val="16"/>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Houston, Texas 77002 or by accessing the “Corporate Governance” section of the “Investor Relations” page on our website at </w:t>
      </w:r>
      <w:r>
        <w:rPr>
          <w:rFonts w:ascii="Arial" w:cs="Arial" w:eastAsia="Arial" w:hAnsi="Arial"/>
          <w:sz w:val="16"/>
          <w:szCs w:val="16"/>
          <w:i w:val="1"/>
          <w:iCs w:val="1"/>
          <w:color w:val="auto"/>
        </w:rPr>
        <w:t>www.wm.com</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non-employee director compensation program consists of equity awards and cash consideration. Director compensation is recommended annually by the MD&amp;C Committee, with the assistance of an independent third-party consultant, and set by action of the Board of Directors. Our non-employee director compensation was last increased in February 2014.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Non-employee directors receive an annual grant of shares of Common Stock under the Company’s Stock Incentive Plan. The shares are fully vested at the time of grant; however, non-employee directors are subject to ownership guidelines discussed below. The grant of shares is generally made in two equal installments, and the number of shares issued is based on the market value of our Common Stock on the dates of grant, which historically have been January 15 and July 15 of each year. The current value of the annual stock award granted to non-employee directors is $140,000. Accordingly, each non-employee director received a grant of Common Stock valued at $70,000 on January 15, 2015 and July 15, 2015 under the 2014 Stock Incentive Plan.</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Reum received an additional grant of Common Stock valued at $100,000 for his service as Non-Executive Chairman of the Board in 2015, which was also made in two equal installments on January 15 and July 15.</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2015: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Annual Retainer</w:t>
            </w:r>
          </w:p>
        </w:tc>
        <w:tc>
          <w:tcPr>
            <w:tcW w:w="8700" w:type="dxa"/>
            <w:vAlign w:val="bottom"/>
          </w:tcPr>
          <w:p>
            <w:pPr>
              <w:ind w:left="6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Annual Chair Retainers</w:t>
            </w:r>
          </w:p>
        </w:tc>
        <w:tc>
          <w:tcPr>
            <w:tcW w:w="8700" w:type="dxa"/>
            <w:vAlign w:val="bottom"/>
          </w:tcPr>
          <w:p>
            <w:pPr>
              <w:ind w:left="620"/>
              <w:spacing w:after="0"/>
              <w:rPr>
                <w:sz w:val="20"/>
                <w:szCs w:val="20"/>
                <w:color w:val="auto"/>
              </w:rPr>
            </w:pPr>
            <w:r>
              <w:rPr>
                <w:rFonts w:ascii="Arial" w:cs="Arial" w:eastAsia="Arial" w:hAnsi="Arial"/>
                <w:sz w:val="18"/>
                <w:szCs w:val="18"/>
                <w:color w:val="auto"/>
              </w:rPr>
              <w:t>$100,000 for Non-Executive Chairman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$25,000 for Audit Committee Chair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$20,000 for MD&amp;C Committee Chair</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Other Annual Retainers</w:t>
            </w:r>
          </w:p>
        </w:tc>
        <w:tc>
          <w:tcPr>
            <w:tcW w:w="8700" w:type="dxa"/>
            <w:vAlign w:val="bottom"/>
          </w:tcPr>
          <w:p>
            <w:pPr>
              <w:ind w:left="620"/>
              <w:spacing w:after="0"/>
              <w:rPr>
                <w:sz w:val="20"/>
                <w:szCs w:val="20"/>
                <w:color w:val="auto"/>
              </w:rPr>
            </w:pPr>
            <w:r>
              <w:rPr>
                <w:rFonts w:ascii="Arial" w:cs="Arial" w:eastAsia="Arial" w:hAnsi="Arial"/>
                <w:sz w:val="18"/>
                <w:szCs w:val="18"/>
                <w:color w:val="auto"/>
              </w:rPr>
              <w:t>$15,000 for Nominating and Governance Committee Chair</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w w:val="90"/>
              </w:rPr>
              <w:t>$10,000 for Special Committee (Paid only in years when convened; the Special Committee was not convened in</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non-employee directors are subject to ownership guidelines that establish a minimum ownership level and require that all net shares received in connection with a stock award, after selling shares to pay all applicable taxes, be held during their tenure as a director and for one year following termination of Board service. The guidelines require each director to hold Common Stock or share-based instruments valued at approximately five times the annual cash retainer for non-employee directors based on a $40 stock price. As a result, non-employee directors currently are required to hold 13,500 shares. There is no deadline set for non-employee directors to reach their ownership guideline; however, the MD&amp;C Committee performs regular reviews to confirm all non-employee directors are in compliance or are showing sustained progress toward achievement of their ownership guideline. Each of Messrs. Anderson, Clark, Gross, Pope, Reum and Weidemeyer have reached their ownership guideline. Our three newest directors, Ms. Mazzarella, Mr. Gluski and Ms. Holt, are making appropriate progress toward their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2015 in accordance with the descriptions set forth above: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Fees Earned</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Stock</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940" w:type="dxa"/>
            <w:vAlign w:val="bottom"/>
            <w:vMerge w:val="restart"/>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694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Cash ($)</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Bradbury H. Anderson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140,000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130,000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140,000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270,000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140,000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135,000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140,000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275,000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140,000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Kathleen M. Mazzarella</w:t>
            </w:r>
            <w:r>
              <w:rPr>
                <w:rFonts w:ascii="Arial" w:cs="Arial" w:eastAsia="Arial" w:hAnsi="Arial"/>
                <w:sz w:val="15"/>
                <w:szCs w:val="15"/>
                <w:color w:val="auto"/>
              </w:rPr>
              <w:t>2</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27,500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35,000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140,000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210,000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240,000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125,000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140,000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31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in this column represent the grant date fair value of stock awards granted in 2015,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Prorated compensation for the period from Ms. Mazzarella’s election on October 1, 2015 through December 31, 2015.</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LECTION OF</w:t>
      </w:r>
      <w:r>
        <w:rPr>
          <w:rFonts w:ascii="Arial" w:cs="Arial" w:eastAsia="Arial" w:hAnsi="Arial"/>
          <w:sz w:val="29"/>
          <w:szCs w:val="29"/>
          <w:b w:val="1"/>
          <w:bCs w:val="1"/>
          <w:color w:val="auto"/>
        </w:rPr>
        <w:t xml:space="preserve"> D</w:t>
      </w:r>
      <w:r>
        <w:rPr>
          <w:rFonts w:ascii="Arial" w:cs="Arial" w:eastAsia="Arial" w:hAnsi="Arial"/>
          <w:sz w:val="23"/>
          <w:szCs w:val="23"/>
          <w:b w:val="1"/>
          <w:bCs w:val="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1 </w:t>
      </w:r>
      <w:r>
        <w:rPr>
          <w:rFonts w:ascii="Arial" w:cs="Arial" w:eastAsia="Arial" w:hAnsi="Arial"/>
          <w:sz w:val="15"/>
          <w:szCs w:val="15"/>
          <w:b w:val="1"/>
          <w:bCs w:val="1"/>
          <w:color w:val="auto"/>
        </w:rPr>
        <w:t>ON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The first proposal on the agenda is the election of ten directors to serve until the 2017 Annual Meeting of Stockholders or until their respective successors have been duly elected and qualified. The Board has nominated the ten director candidates named below, and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or she will tender his or her resignation to the Board of Directors. The Nominating and Governance Committee will then make a recommendation to the Board on whether to accept or reject the resignation, or whether other action should be taken.</w:t>
      </w:r>
    </w:p>
    <w:p>
      <w:pPr>
        <w:spacing w:after="0" w:line="70" w:lineRule="exact"/>
        <w:rPr>
          <w:sz w:val="20"/>
          <w:szCs w:val="20"/>
          <w:color w:val="auto"/>
        </w:rPr>
      </w:pPr>
    </w:p>
    <w:p>
      <w:pPr>
        <w:ind w:right="560" w:firstLine="456"/>
        <w:spacing w:after="0" w:line="302" w:lineRule="auto"/>
        <w:rPr>
          <w:sz w:val="20"/>
          <w:szCs w:val="20"/>
          <w:color w:val="auto"/>
        </w:rPr>
      </w:pPr>
      <w:r>
        <w:rPr>
          <w:rFonts w:ascii="Arial" w:cs="Arial" w:eastAsia="Arial" w:hAnsi="Arial"/>
          <w:sz w:val="16"/>
          <w:szCs w:val="16"/>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Nominees</w:t>
      </w:r>
    </w:p>
    <w:p>
      <w:pPr>
        <w:sectPr>
          <w:pgSz w:w="11900" w:h="16838" w:orient="portrait"/>
          <w:cols w:equalWidth="0" w:num="1">
            <w:col w:w="11400"/>
          </w:cols>
          <w:pgMar w:left="240" w:top="459"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Bradbury H. Anderson, 66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August 2011</w:t>
      </w:r>
    </w:p>
    <w:p>
      <w:pPr>
        <w:spacing w:after="0" w:line="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Vice Chairman and Chief Executive Officer — Best Buy Co., Inc. (multinational retailer of technology and entertainment products and services) from 2002 to 2009; President and Chief Operating Officer of Best Buy from 1991 to 2002.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Director of Best Buy Co., Inc. since June 2013 (retiring June 2016).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General Mills, Inc. since 2007.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Carlson Companies, a private company, since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M. Clark, Jr.,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2002</w:t>
      </w:r>
    </w:p>
    <w:p>
      <w:pPr>
        <w:spacing w:after="0" w:line="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Chairman and Chief Executive Officer — ComEd (energy services company and subsidiary of Exelon Corporation) from November 2005 to February 2012; President — ComEd from 2001 to November 2005.</w:t>
      </w:r>
    </w:p>
    <w:p>
      <w:pPr>
        <w:spacing w:after="0" w:line="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Executive Vice President and Chief of Staff — Exelon Corporation (public utility holding company) from 2004 to 2005; Senior Vice President — Exelon Corporation from 2001 to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Director of Aetna, Inc. since 2006.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BMO Financial Corp., a private company, since 2005.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24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Mr. Anderson served in the positions of chief executive officer and chief operating officer of a large public retail company for several years, during a customer segmentation transformation, which provided him with extensive knowledge of management and operations of large public companies, including experience implementing customer focused strategies. He also has over 19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Mr. Clark served in executive positions at a large public utility company for over a decade, providing him with extensive experience and knowledge of large company management, operations and business critical functions. He also brings over 13 years of experience as a member of a public company board of directors.</w:t>
      </w:r>
    </w:p>
    <w:p>
      <w:pPr>
        <w:sectPr>
          <w:pgSz w:w="11900" w:h="16838" w:orient="portrait"/>
          <w:cols w:equalWidth="0" w:num="2">
            <w:col w:w="5800" w:space="260"/>
            <w:col w:w="534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Andrés R. Gluski, 58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January 2015</w:t>
      </w:r>
    </w:p>
    <w:p>
      <w:pPr>
        <w:spacing w:after="0" w:line="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President and Chief Executive Officer — The AES Corporation (global power company) since September 2011;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 — The AES Corporation from 2007 to September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Director of The AES Corporation since September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Cliffs Natural Resources from 2011 to July 2014.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W. Gross,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2006</w:t>
      </w:r>
    </w:p>
    <w:p>
      <w:pPr>
        <w:spacing w:after="0" w:line="9"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Chairman — The Lovell Group (private investment and advisory firm) since 2001.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Director of Capital One Financial Corporation since 1995.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Liquidity Services, Inc. since 2001.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Career Education Corporation since 2005.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Rosetta Stone, Inc. since 2009.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Taleo Corporation from 2006 to February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Victoria M. Holt,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January 2013</w:t>
      </w:r>
    </w:p>
    <w:p>
      <w:pPr>
        <w:spacing w:after="0" w:line="9" w:lineRule="exact"/>
        <w:rPr>
          <w:sz w:val="20"/>
          <w:szCs w:val="20"/>
          <w:color w:val="auto"/>
        </w:rPr>
      </w:pPr>
    </w:p>
    <w:p>
      <w:pPr>
        <w:ind w:right="780"/>
        <w:spacing w:after="0" w:line="341" w:lineRule="auto"/>
        <w:rPr>
          <w:sz w:val="20"/>
          <w:szCs w:val="20"/>
          <w:color w:val="auto"/>
        </w:rPr>
      </w:pPr>
      <w:r>
        <w:rPr>
          <w:rFonts w:ascii="Arial" w:cs="Arial" w:eastAsia="Arial" w:hAnsi="Arial"/>
          <w:sz w:val="16"/>
          <w:szCs w:val="16"/>
          <w:color w:val="auto"/>
        </w:rPr>
        <w:t>President and Chief Executive Officer — Proto Labs, Inc. (online and technology-enabled quick-turn manufacturer) since February 2014.</w:t>
      </w:r>
    </w:p>
    <w:p>
      <w:pPr>
        <w:spacing w:after="0" w:line="3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President and Chief Executive Officer — Spartech Corporation (a leading producer of plastic sheet, compounds and packaging products) from 2010 to March 2013.</w:t>
      </w:r>
    </w:p>
    <w:p>
      <w:pPr>
        <w:spacing w:after="0" w:line="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Senior Vice President, Glass and Fiber Glass, PPG Industries, Inc. (a leading coatings and specialty products company) from 2005 to 2010.</w:t>
      </w:r>
    </w:p>
    <w:p>
      <w:pPr>
        <w:spacing w:after="0" w:line="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Director of Watlow Electric Manufacturing Company, a private company, since December 2012.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Director of Spartech Corporation from 2005 to March 2013.</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24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his tenure as President and CEO of the AES Corporation, a Fortune 200 company in the energy business, Mr. Gluski has led a major reorganization and cost savings program and construction program. Over the past twenty years, Mr. Gluski has served in executive positions in the electricity, telecoms and banking sectors and has been involved in many aspects of acquisitions, sales, financings and debt restructuring. He has served on boards of major corporations, currently serves on President Obama’s Export Council and is the Chairman of the Council of the Americas/Americas Society.</w:t>
      </w:r>
    </w:p>
    <w:p>
      <w:pPr>
        <w:spacing w:after="0" w:line="200" w:lineRule="exact"/>
        <w:rPr>
          <w:sz w:val="20"/>
          <w:szCs w:val="20"/>
          <w:color w:val="auto"/>
        </w:rPr>
      </w:pPr>
    </w:p>
    <w:p>
      <w:pPr>
        <w:spacing w:after="0" w:line="21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Mr. Gross was a founder of American Management Systems, Inc., a global business and information technology firm, where he was a principal executive officer for over 30 years. Mr. Gross built and supervised the AMS financial services business that provided IT-based applications to major banks. As a result, he has extensive experience in applying information technology, advanced data analytics and risk management analytics in global companies. His background, education and board service also provide him with expertise in finance, accounting and cybersecurity. He also brings over 30 years of experience serving on the board of directors for public companies.</w:t>
      </w:r>
    </w:p>
    <w:p>
      <w:pPr>
        <w:spacing w:after="0" w:line="3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 She also has many years of experience serving on a public company board of directors.</w:t>
      </w:r>
    </w:p>
    <w:p>
      <w:pPr>
        <w:sectPr>
          <w:pgSz w:w="11900" w:h="16838" w:orient="portrait"/>
          <w:cols w:equalWidth="0" w:num="2">
            <w:col w:w="5820" w:space="240"/>
            <w:col w:w="526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Kathleen M. Mazzarella, 56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October 2015</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Chairman, President and Chief Executive Officer — Graybar Electric Company, Inc. (distributor of electrical, communications and data networking products and provider of related supply chain management and logistics services) since January 2013; President and Chief Executive Officer — Graybar Electric Company, Inc. from June 2012 to January 2013; Executive Vice President and Chief Operating Officer — Graybar Electric Company, Inc. from 2010 to June 2012.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Director of Federal Reserve Bank of St. Louis since January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 Pope,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Chairman of the Board from 2004 through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 PFI Group (private investment firm) since 1994.</w:t>
      </w:r>
    </w:p>
    <w:p>
      <w:pPr>
        <w:spacing w:after="0" w:line="14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Chairman of the Board — R.R. Donnelley &amp; Sons Company since May 2014; Director of R.R. Donnelley &amp; Sons Company, or predecessor companies, since 1996.</w:t>
      </w:r>
    </w:p>
    <w:p>
      <w:pPr>
        <w:spacing w:after="0" w:line="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Director of The Kraft Heinz Company, or predecessor companies including Kraft Foods Group, Inc., since 2001.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Director of Talgo S.A. since May 2015.</w:t>
      </w:r>
    </w:p>
    <w:p>
      <w:pPr>
        <w:spacing w:after="0" w:line="13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Former Directorships: Con-way, Inc., or predecessor companies, from 2003 to October 2015; Dollar Thrifty Automotive Group, Inc. from 1997 to November 2012; and Navistar International Corporation from October 2012 to July 2013.</w:t>
      </w:r>
    </w:p>
    <w:p>
      <w:pPr>
        <w:spacing w:after="0"/>
        <w:rPr>
          <w:sz w:val="20"/>
          <w:szCs w:val="20"/>
          <w:color w:val="auto"/>
        </w:rPr>
      </w:pPr>
      <w:r>
        <w:rPr>
          <w:rFonts w:ascii="Arial" w:cs="Arial" w:eastAsia="Arial" w:hAnsi="Arial"/>
          <w:sz w:val="18"/>
          <w:szCs w:val="18"/>
          <w:b w:val="1"/>
          <w:bCs w:val="1"/>
          <w:color w:val="auto"/>
        </w:rPr>
        <w:t>W. Robert Reum,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Chairman of the Board since January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2003</w:t>
      </w:r>
    </w:p>
    <w:p>
      <w:pPr>
        <w:spacing w:after="0" w:line="9"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Chairman, President and CEO — Amsted Industries Incorporated (diversified manufacturer for the railroad, vehicular and construction industries) since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24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Ms. Mazzarella has experience serving as the chief executive of a large corporation, developing expertise in the areas of logistics and supply chain management. During her 36-year tenure at Graybar, Ms. Mazzarella has held executive-level positions in sales, human resources, strategic planning and marketing. This diverse background combined with her deep and valuable experience leading various aspects of a customer-focused business will help the Company achieve its strategy to know and service its customers better than anyone in the industry. She also has experience serving on private and non-profit boards.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Prior to his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Mr. Reum has served as the chief executive of a private diversified manufacturing company for 15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20 years of experience serving on the board of directors for public companies.</w:t>
      </w:r>
    </w:p>
    <w:p>
      <w:pPr>
        <w:sectPr>
          <w:pgSz w:w="11900" w:h="16838" w:orient="portrait"/>
          <w:cols w:equalWidth="0" w:num="2">
            <w:col w:w="5800" w:space="260"/>
            <w:col w:w="5360"/>
          </w:cols>
          <w:pgMar w:left="240" w:top="459"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420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P. Steiner, 55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Director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since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 from 2003 to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Director of FedEx Corporation since 2009.</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Director of TE Connectivity Ltd. (formerly Tyco Electronics Corporation) from 2007 to March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H. Weidemeyer,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2005</w:t>
      </w:r>
    </w:p>
    <w:p>
      <w:pPr>
        <w:spacing w:after="0" w:line="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Chief Operating Officer — United Parcel Service, Inc. (package delivery and supply chain services company) from 2001 to 2003; Senior Vice President — United Parcel Service, Inc. from 1994 to 2003.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President, UPS Airlines (UPS owned airline) from 1994 to 2003.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NRG Energy, Inc. since 2003.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The Goodyear Tire &amp; Rubber Company since 2004.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24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Mr. Steiner is our President and Chief Executive Officer and, in that capacity, brings extensive knowledge of the details of our Company and its employees, as well as the front-line experiences of running our Company, to his service as a member of our Board. Mr. Steiner also brings his experience serving on the board of directors of other major public companies.</w:t>
      </w:r>
    </w:p>
    <w:p>
      <w:pPr>
        <w:spacing w:after="0" w:line="200" w:lineRule="exact"/>
        <w:rPr>
          <w:sz w:val="20"/>
          <w:szCs w:val="20"/>
          <w:color w:val="auto"/>
        </w:rPr>
      </w:pP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including supply chain and logistics management. Mr. Weidemeyer also has over 13 years of experience serving on the board of directors for public companies.</w:t>
      </w:r>
    </w:p>
    <w:p>
      <w:pPr>
        <w:spacing w:after="0" w:line="577" w:lineRule="exact"/>
        <w:rPr>
          <w:sz w:val="20"/>
          <w:szCs w:val="20"/>
          <w:color w:val="auto"/>
        </w:rPr>
      </w:pPr>
    </w:p>
    <w:p>
      <w:pPr>
        <w:sectPr>
          <w:pgSz w:w="11900" w:h="16838" w:orient="portrait"/>
          <w:cols w:equalWidth="0" w:num="2">
            <w:col w:w="5740" w:space="320"/>
            <w:col w:w="5340"/>
          </w:cols>
          <w:pgMar w:left="240" w:top="459" w:right="259" w:bottom="1440" w:gutter="0" w:footer="0" w:header="0"/>
          <w:type w:val="continuous"/>
        </w:sectPr>
      </w:pPr>
    </w:p>
    <w:p>
      <w:pPr>
        <w:ind w:right="76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TEN NOMINEE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D</w:t>
      </w:r>
      <w:r>
        <w:rPr>
          <w:rFonts w:ascii="Arial" w:cs="Arial" w:eastAsia="Arial" w:hAnsi="Arial"/>
          <w:sz w:val="23"/>
          <w:szCs w:val="23"/>
          <w:b w:val="1"/>
          <w:bCs w:val="1"/>
          <w:color w:val="auto"/>
        </w:rPr>
        <w:t>IRECTOR AND</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FFICER</w:t>
      </w:r>
      <w:r>
        <w:rPr>
          <w:rFonts w:ascii="Arial" w:cs="Arial" w:eastAsia="Arial" w:hAnsi="Arial"/>
          <w:sz w:val="29"/>
          <w:szCs w:val="29"/>
          <w:b w:val="1"/>
          <w:bCs w:val="1"/>
          <w:color w:val="auto"/>
        </w:rPr>
        <w:t xml:space="preserve"> S</w:t>
      </w:r>
      <w:r>
        <w:rPr>
          <w:rFonts w:ascii="Arial" w:cs="Arial" w:eastAsia="Arial" w:hAnsi="Arial"/>
          <w:sz w:val="23"/>
          <w:szCs w:val="23"/>
          <w:b w:val="1"/>
          <w:bCs w:val="1"/>
          <w:color w:val="auto"/>
        </w:rPr>
        <w:t>TOCK</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Our Board of Directors has adopted stock ownership guidelines for our non-employee directors based on the recommendation of the MD&amp;C Committee, as described in Non-Employee Director Compensation on page 14 of this Proxy Statement. Our executive officers, including Mr. Steiner, are also subject to stock ownership guidelines, as described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on page 38 of this Proxy Statement.</w:t>
      </w:r>
    </w:p>
    <w:p>
      <w:pPr>
        <w:spacing w:after="0" w:line="5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nominee and each executive officer named in the Summary Compensation Table on page 41 beneficially owned as of March 15, 2016, our record date for the annual meeting, as well as the number owned by all directors and executive officers as a group. These individuals, both individually and in the aggregate, own less than 1% of our outstanding shares as of the record date.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Management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w w:val="90"/>
              </w:rPr>
              <w:t>Shares of Common</w:t>
            </w:r>
          </w:p>
        </w:tc>
        <w:tc>
          <w:tcPr>
            <w:tcW w:w="2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Shares of Common</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6"/>
              </w:rPr>
              <w:t>Phantom</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0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1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Stock Covered by</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5200" w:type="dxa"/>
            <w:vAlign w:val="bottom"/>
            <w:vMerge w:val="continue"/>
          </w:tcPr>
          <w:p>
            <w:pPr>
              <w:spacing w:after="0"/>
              <w:rPr>
                <w:sz w:val="14"/>
                <w:szCs w:val="14"/>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b w:val="1"/>
                <w:bCs w:val="1"/>
                <w:color w:val="auto"/>
              </w:rPr>
              <w:t>Stock Owned</w:t>
            </w:r>
            <w:r>
              <w:rPr>
                <w:rFonts w:ascii="Arial" w:cs="Arial" w:eastAsia="Arial" w:hAnsi="Arial"/>
                <w:sz w:val="12"/>
                <w:szCs w:val="12"/>
                <w:b w:val="1"/>
                <w:bCs w:val="1"/>
                <w:color w:val="auto"/>
              </w:rPr>
              <w:t>1</w:t>
            </w:r>
          </w:p>
        </w:tc>
        <w:tc>
          <w:tcPr>
            <w:tcW w:w="860" w:type="dxa"/>
            <w:vAlign w:val="bottom"/>
          </w:tcPr>
          <w:p>
            <w:pPr>
              <w:spacing w:after="0"/>
              <w:rPr>
                <w:sz w:val="14"/>
                <w:szCs w:val="14"/>
                <w:color w:val="auto"/>
              </w:rPr>
            </w:pPr>
          </w:p>
        </w:tc>
        <w:tc>
          <w:tcPr>
            <w:tcW w:w="2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Exercisable Options</w:t>
            </w:r>
            <w:r>
              <w:rPr>
                <w:rFonts w:ascii="Arial" w:cs="Arial" w:eastAsia="Arial" w:hAnsi="Arial"/>
                <w:sz w:val="12"/>
                <w:szCs w:val="12"/>
                <w:b w:val="1"/>
                <w:bCs w:val="1"/>
                <w:color w:val="auto"/>
                <w:w w:val="90"/>
              </w:rPr>
              <w:t>2</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Bradbury H. Anderson</w:t>
            </w:r>
            <w:r>
              <w:rPr>
                <w:rFonts w:ascii="Arial" w:cs="Arial" w:eastAsia="Arial" w:hAnsi="Arial"/>
                <w:sz w:val="15"/>
                <w:szCs w:val="15"/>
                <w:color w:val="auto"/>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86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28,049</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8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21,090</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10,249</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Kathleen M. Mazzarella</w:t>
            </w:r>
            <w:r>
              <w:rPr>
                <w:rFonts w:ascii="Arial" w:cs="Arial" w:eastAsia="Arial" w:hAnsi="Arial"/>
                <w:sz w:val="15"/>
                <w:szCs w:val="15"/>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2,059</w:t>
            </w:r>
          </w:p>
        </w:tc>
        <w:tc>
          <w:tcPr>
            <w:tcW w:w="860" w:type="dxa"/>
            <w:vAlign w:val="bottom"/>
          </w:tcPr>
          <w:p>
            <w:pPr>
              <w:spacing w:after="0"/>
              <w:rPr>
                <w:sz w:val="18"/>
                <w:szCs w:val="18"/>
                <w:color w:val="auto"/>
              </w:rPr>
            </w:pP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r>
              <w:rPr>
                <w:rFonts w:ascii="Arial" w:cs="Arial" w:eastAsia="Arial" w:hAnsi="Arial"/>
                <w:sz w:val="15"/>
                <w:szCs w:val="15"/>
                <w:color w:val="auto"/>
              </w:rPr>
              <w:t>6</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49,707</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33,420</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23,348</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David P. Steiner</w:t>
            </w:r>
            <w:r>
              <w:rPr>
                <w:rFonts w:ascii="Arial" w:cs="Arial" w:eastAsia="Arial" w:hAnsi="Arial"/>
                <w:sz w:val="15"/>
                <w:szCs w:val="15"/>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1,000,323</w:t>
            </w:r>
          </w:p>
        </w:tc>
        <w:tc>
          <w:tcPr>
            <w:tcW w:w="860" w:type="dxa"/>
            <w:vAlign w:val="bottom"/>
          </w:tcPr>
          <w:p>
            <w:pPr>
              <w:spacing w:after="0"/>
              <w:rPr>
                <w:sz w:val="18"/>
                <w:szCs w:val="18"/>
                <w:color w:val="auto"/>
              </w:rPr>
            </w:pP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1,615,551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116,089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 Jr.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297,374</w:t>
            </w:r>
          </w:p>
        </w:tc>
        <w:tc>
          <w:tcPr>
            <w:tcW w:w="8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78,270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James C. Fish, Jr.</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110,658</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48,813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 Harris</w:t>
            </w:r>
            <w:r>
              <w:rPr>
                <w:rFonts w:ascii="Arial" w:cs="Arial" w:eastAsia="Arial" w:hAnsi="Arial"/>
                <w:sz w:val="15"/>
                <w:szCs w:val="15"/>
                <w:color w:val="auto"/>
              </w:rPr>
              <w:t>8</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88,240</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89,862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John J. Morris, Jr.</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44,483</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46,523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(19 persons)</w:t>
            </w:r>
            <w:r>
              <w:rPr>
                <w:rFonts w:ascii="Arial" w:cs="Arial" w:eastAsia="Arial" w:hAnsi="Arial"/>
                <w:sz w:val="15"/>
                <w:szCs w:val="15"/>
                <w:color w:val="auto"/>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1,878,071</w:t>
            </w:r>
          </w:p>
        </w:tc>
        <w:tc>
          <w:tcPr>
            <w:tcW w:w="8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2,020,093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0" w:hanging="452"/>
        <w:spacing w:after="0" w:line="27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table reports beneficial ownership in accordance with Rule 13d-3 under the Exchange Act. The amounts reported above include 12,149 stock equivalents attributed to Mr. Steiner, 3,644 stock equivalents attributed to Mr. Fish, and 2,049 stock equivalents attributable to Mr. Morris, based on their holdings in the Company’s 401(k) Retirement Savings Plan stock fund. The amounts reported above also include 506,302 shares of Common Stock deferred by Mr. Steiner, 2,709 shares of Common Stock deferred by Mr. Trevathan, and 42,992 shares of Common Stock deferred by Mr. Fish. Deferred shares were earned on account of vested equity awards and pay out in shares of Common Stock after the executive’s departure from the Company pursuant to the Company’s 409A Deferral Plan.</w:t>
      </w:r>
    </w:p>
    <w:p>
      <w:pPr>
        <w:spacing w:after="0" w:line="83"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our record date.</w:t>
      </w:r>
    </w:p>
    <w:p>
      <w:pPr>
        <w:spacing w:after="0" w:line="130"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Phantom stock receives dividend equivalents, in the form of additional phantom stock, at the same time that holders of shares of Common Stock receive dividends. The value of the phantom stock is paid out, in cash, after the executive’s departure from the Company. Phantom stock is not considered as equity ownership for SEC disclosure purposes; we have provided supplemental disclosure of phantom stock in this table because it represents an investment risk based on the performance of our Common Stock.</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owned by Mr. Anderson includes 100 shares held by his wife.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are held by the Mazzarella Living Trust, a joint revocable trust for which Ms. Mazzarella and her husband serve as trustees.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owned by Mr. Steiner includes 343,294 shares held by Steiner Family Holdings, LLC. Mr. Steiner is the sole manager of this company. All of the shares held by Steiner Family Holdings, LLC are pledged as security for a loan.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64,410 shares held by the Jeff Harris Revocable Trust, for which Mr. Harris serves as trustee.</w:t>
      </w:r>
    </w:p>
    <w:p>
      <w:pPr>
        <w:spacing w:after="0" w:line="130"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17,842 stock equivalents attributable to the executive officers’ collective holdings in the Company’s 401(k) Retirement Savings Plan stock fund and 552,003 shares of Common Stock deferred on account of vested equity awards pursuant to the Company’s 409A Deferral Plan.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ECURITY</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WNERSHIP OF</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ERTAIN</w:t>
      </w:r>
      <w:r>
        <w:rPr>
          <w:rFonts w:ascii="Arial" w:cs="Arial" w:eastAsia="Arial" w:hAnsi="Arial"/>
          <w:sz w:val="29"/>
          <w:szCs w:val="29"/>
          <w:b w:val="1"/>
          <w:bCs w:val="1"/>
          <w:color w:val="auto"/>
        </w:rPr>
        <w:t xml:space="preserve"> B</w:t>
      </w:r>
      <w:r>
        <w:rPr>
          <w:rFonts w:ascii="Arial" w:cs="Arial" w:eastAsia="Arial" w:hAnsi="Arial"/>
          <w:sz w:val="23"/>
          <w:szCs w:val="23"/>
          <w:b w:val="1"/>
          <w:bCs w:val="1"/>
          <w:color w:val="auto"/>
        </w:rPr>
        <w:t>ENEFICIAL</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15, 2016.</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280" w:type="dxa"/>
            <w:vAlign w:val="bottom"/>
            <w:gridSpan w:val="4"/>
          </w:tcPr>
          <w:p>
            <w:pPr>
              <w:ind w:left="50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1"/>
        </w:trPr>
        <w:tc>
          <w:tcPr>
            <w:tcW w:w="9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w w:val="94"/>
              </w:rPr>
              <w:t>Owned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gridSpan w:val="3"/>
            <w:vMerge w:val="continue"/>
          </w:tcPr>
          <w:p>
            <w:pPr>
              <w:spacing w:after="0"/>
              <w:rPr>
                <w:sz w:val="12"/>
                <w:szCs w:val="12"/>
                <w:color w:val="auto"/>
              </w:rPr>
            </w:pPr>
          </w:p>
        </w:tc>
        <w:tc>
          <w:tcPr>
            <w:tcW w:w="1640" w:type="dxa"/>
            <w:vAlign w:val="bottom"/>
            <w:gridSpan w:val="2"/>
          </w:tcPr>
          <w:p>
            <w:pPr>
              <w:jc w:val="right"/>
              <w:ind w:right="886"/>
              <w:spacing w:after="0" w:line="142" w:lineRule="exact"/>
              <w:rPr>
                <w:sz w:val="20"/>
                <w:szCs w:val="20"/>
                <w:color w:val="auto"/>
              </w:rPr>
            </w:pPr>
            <w:r>
              <w:rPr>
                <w:rFonts w:ascii="Arial" w:cs="Arial" w:eastAsia="Arial" w:hAnsi="Arial"/>
                <w:sz w:val="14"/>
                <w:szCs w:val="14"/>
                <w:b w:val="1"/>
                <w:bCs w:val="1"/>
                <w:color w:val="auto"/>
              </w:rPr>
              <w:t>Number</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r>
              <w:rPr>
                <w:rFonts w:ascii="Arial" w:cs="Arial" w:eastAsia="Arial" w:hAnsi="Arial"/>
                <w:sz w:val="12"/>
                <w:szCs w:val="12"/>
                <w:b w:val="1"/>
                <w:bCs w:val="1"/>
                <w:color w:val="auto"/>
                <w:w w:val="89"/>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William H. Gates</w:t>
            </w:r>
          </w:p>
        </w:tc>
        <w:tc>
          <w:tcPr>
            <w:tcW w:w="796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III</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31,894,679</w:t>
            </w:r>
          </w:p>
        </w:tc>
        <w:tc>
          <w:tcPr>
            <w:tcW w:w="780" w:type="dxa"/>
            <w:vAlign w:val="bottom"/>
            <w:tcBorders>
              <w:top w:val="single" w:sz="8" w:color="CCEEFF"/>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2</w:t>
            </w: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Microsoft Way</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Redmond, WA 98052</w:t>
            </w: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9140" w:type="dxa"/>
            <w:vAlign w:val="bottom"/>
            <w:gridSpan w:val="3"/>
          </w:tcPr>
          <w:p>
            <w:pPr>
              <w:spacing w:after="0"/>
              <w:rPr>
                <w:sz w:val="20"/>
                <w:szCs w:val="20"/>
                <w:color w:val="auto"/>
              </w:rPr>
            </w:pPr>
            <w:r>
              <w:rPr>
                <w:rFonts w:ascii="Arial" w:cs="Arial" w:eastAsia="Arial" w:hAnsi="Arial"/>
                <w:sz w:val="18"/>
                <w:szCs w:val="18"/>
                <w:color w:val="auto"/>
              </w:rPr>
              <w:t>Capital World Investors</w:t>
            </w:r>
          </w:p>
        </w:tc>
        <w:tc>
          <w:tcPr>
            <w:tcW w:w="1640" w:type="dxa"/>
            <w:vAlign w:val="bottom"/>
            <w:gridSpan w:val="2"/>
          </w:tcPr>
          <w:p>
            <w:pPr>
              <w:jc w:val="right"/>
              <w:ind w:right="626"/>
              <w:spacing w:after="0"/>
              <w:rPr>
                <w:sz w:val="20"/>
                <w:szCs w:val="20"/>
                <w:color w:val="auto"/>
              </w:rPr>
            </w:pPr>
            <w:r>
              <w:rPr>
                <w:rFonts w:ascii="Arial" w:cs="Arial" w:eastAsia="Arial" w:hAnsi="Arial"/>
                <w:sz w:val="18"/>
                <w:szCs w:val="18"/>
                <w:color w:val="auto"/>
                <w:w w:val="93"/>
              </w:rPr>
              <w:t>28,081,128</w:t>
            </w:r>
            <w:r>
              <w:rPr>
                <w:rFonts w:ascii="Arial" w:cs="Arial" w:eastAsia="Arial" w:hAnsi="Arial"/>
                <w:sz w:val="15"/>
                <w:szCs w:val="15"/>
                <w:color w:val="auto"/>
                <w:w w:val="93"/>
              </w:rPr>
              <w:t>3</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60"/>
              <w:spacing w:after="0"/>
              <w:rPr>
                <w:sz w:val="20"/>
                <w:szCs w:val="20"/>
                <w:color w:val="auto"/>
              </w:rPr>
            </w:pPr>
            <w:r>
              <w:rPr>
                <w:rFonts w:ascii="Arial" w:cs="Arial" w:eastAsia="Arial" w:hAnsi="Arial"/>
                <w:sz w:val="18"/>
                <w:szCs w:val="18"/>
                <w:color w:val="auto"/>
              </w:rPr>
              <w:t>333 South Hope Street</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tcPr>
          <w:p>
            <w:pPr>
              <w:ind w:left="160"/>
              <w:spacing w:after="0"/>
              <w:rPr>
                <w:sz w:val="20"/>
                <w:szCs w:val="20"/>
                <w:color w:val="auto"/>
              </w:rPr>
            </w:pPr>
            <w:r>
              <w:rPr>
                <w:rFonts w:ascii="Arial" w:cs="Arial" w:eastAsia="Arial" w:hAnsi="Arial"/>
                <w:sz w:val="18"/>
                <w:szCs w:val="18"/>
                <w:color w:val="auto"/>
              </w:rPr>
              <w:t>Los Angeles, CA 90071</w:t>
            </w: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1640" w:type="dxa"/>
            <w:vAlign w:val="bottom"/>
            <w:gridSpan w:val="2"/>
            <w:shd w:val="clear" w:color="auto" w:fill="CCEEFF"/>
          </w:tcPr>
          <w:p>
            <w:pPr>
              <w:jc w:val="right"/>
              <w:ind w:right="626"/>
              <w:spacing w:after="0" w:line="201" w:lineRule="exact"/>
              <w:rPr>
                <w:sz w:val="20"/>
                <w:szCs w:val="20"/>
                <w:color w:val="auto"/>
              </w:rPr>
            </w:pPr>
            <w:r>
              <w:rPr>
                <w:rFonts w:ascii="Arial" w:cs="Arial" w:eastAsia="Arial" w:hAnsi="Arial"/>
                <w:sz w:val="18"/>
                <w:szCs w:val="18"/>
                <w:color w:val="auto"/>
                <w:w w:val="93"/>
              </w:rPr>
              <w:t>27,800,715</w:t>
            </w:r>
            <w:r>
              <w:rPr>
                <w:rFonts w:ascii="Arial" w:cs="Arial" w:eastAsia="Arial" w:hAnsi="Arial"/>
                <w:sz w:val="15"/>
                <w:szCs w:val="15"/>
                <w:color w:val="auto"/>
                <w:w w:val="93"/>
              </w:rPr>
              <w:t>4</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55 East 52nd Street</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10055</w:t>
            </w: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9140" w:type="dxa"/>
            <w:vAlign w:val="bottom"/>
            <w:gridSpan w:val="3"/>
          </w:tcPr>
          <w:p>
            <w:pPr>
              <w:spacing w:after="0"/>
              <w:rPr>
                <w:sz w:val="20"/>
                <w:szCs w:val="20"/>
                <w:color w:val="auto"/>
              </w:rPr>
            </w:pPr>
            <w:r>
              <w:rPr>
                <w:rFonts w:ascii="Arial" w:cs="Arial" w:eastAsia="Arial" w:hAnsi="Arial"/>
                <w:sz w:val="18"/>
                <w:szCs w:val="18"/>
                <w:color w:val="auto"/>
              </w:rPr>
              <w:t>The Vanguard Group</w:t>
            </w:r>
          </w:p>
        </w:tc>
        <w:tc>
          <w:tcPr>
            <w:tcW w:w="1640" w:type="dxa"/>
            <w:vAlign w:val="bottom"/>
            <w:gridSpan w:val="2"/>
          </w:tcPr>
          <w:p>
            <w:pPr>
              <w:jc w:val="right"/>
              <w:ind w:right="626"/>
              <w:spacing w:after="0"/>
              <w:rPr>
                <w:sz w:val="20"/>
                <w:szCs w:val="20"/>
                <w:color w:val="auto"/>
              </w:rPr>
            </w:pPr>
            <w:r>
              <w:rPr>
                <w:rFonts w:ascii="Arial" w:cs="Arial" w:eastAsia="Arial" w:hAnsi="Arial"/>
                <w:sz w:val="18"/>
                <w:szCs w:val="18"/>
                <w:color w:val="auto"/>
                <w:w w:val="93"/>
              </w:rPr>
              <w:t>24,980,290</w:t>
            </w:r>
            <w:r>
              <w:rPr>
                <w:rFonts w:ascii="Arial" w:cs="Arial" w:eastAsia="Arial" w:hAnsi="Arial"/>
                <w:sz w:val="15"/>
                <w:szCs w:val="15"/>
                <w:color w:val="auto"/>
                <w:w w:val="93"/>
              </w:rPr>
              <w:t>5</w:t>
            </w: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60"/>
              <w:spacing w:after="0"/>
              <w:rPr>
                <w:sz w:val="20"/>
                <w:szCs w:val="20"/>
                <w:color w:val="auto"/>
              </w:rPr>
            </w:pPr>
            <w:r>
              <w:rPr>
                <w:rFonts w:ascii="Arial" w:cs="Arial" w:eastAsia="Arial" w:hAnsi="Arial"/>
                <w:sz w:val="18"/>
                <w:szCs w:val="18"/>
                <w:color w:val="auto"/>
              </w:rPr>
              <w:t>100 Vanguard Boulevard</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tcPr>
          <w:p>
            <w:pPr>
              <w:ind w:left="160"/>
              <w:spacing w:after="0"/>
              <w:rPr>
                <w:sz w:val="20"/>
                <w:szCs w:val="20"/>
                <w:color w:val="auto"/>
              </w:rPr>
            </w:pPr>
            <w:r>
              <w:rPr>
                <w:rFonts w:ascii="Arial" w:cs="Arial" w:eastAsia="Arial" w:hAnsi="Arial"/>
                <w:sz w:val="18"/>
                <w:szCs w:val="18"/>
                <w:color w:val="auto"/>
              </w:rPr>
              <w:t>Malvern, PA 19355</w:t>
            </w: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as of March 15, 2016.</w:t>
      </w:r>
    </w:p>
    <w:p>
      <w:pPr>
        <w:spacing w:after="0" w:line="130" w:lineRule="exact"/>
        <w:rPr>
          <w:rFonts w:ascii="Arial" w:cs="Arial" w:eastAsia="Arial" w:hAnsi="Arial"/>
          <w:sz w:val="18"/>
          <w:szCs w:val="18"/>
          <w:color w:val="auto"/>
        </w:rPr>
      </w:pPr>
    </w:p>
    <w:p>
      <w:pPr>
        <w:ind w:left="460" w:right="3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12, 2016. Mr. Gates reports that he has sole voting and dispositive power over 13,261,007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92" w:lineRule="exact"/>
        <w:rPr>
          <w:rFonts w:ascii="Arial" w:cs="Arial" w:eastAsia="Arial" w:hAnsi="Arial"/>
          <w:sz w:val="18"/>
          <w:szCs w:val="18"/>
          <w:color w:val="auto"/>
        </w:rPr>
      </w:pPr>
    </w:p>
    <w:p>
      <w:pPr>
        <w:jc w:val="both"/>
        <w:ind w:left="460" w:right="30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16, 2016. Capital World Investors reports that it is deemed to be the beneficial owner of 28,081,128 shares of Common Stock as a result of acting as investment adviser to various investment companies. Capital World Investors disclaims beneficial ownership of all shares.</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information is based on a Schedule 13G/A filed with the SEC on February 10, 2016. BlackRock, Inc. reports that it has sole voting power over 23,990,645 shares of Common Stock and sole dispositive power over 27,800,715 shares of Common Stock beneficially owned.</w:t>
      </w:r>
    </w:p>
    <w:p>
      <w:pPr>
        <w:spacing w:after="0" w:line="51" w:lineRule="exact"/>
        <w:rPr>
          <w:rFonts w:ascii="Arial" w:cs="Arial" w:eastAsia="Arial" w:hAnsi="Arial"/>
          <w:sz w:val="17"/>
          <w:szCs w:val="17"/>
          <w:color w:val="auto"/>
        </w:rPr>
      </w:pPr>
    </w:p>
    <w:p>
      <w:pPr>
        <w:ind w:left="460" w:right="120" w:hanging="452"/>
        <w:spacing w:after="0" w:line="34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information is based on a Schedule 13G/A filed with the SEC on February 11, 2016. The Vanguard Group reports that it has sole or shared voting power over 834,954 shares of Common Stock and sole or shared dispositive power over 24,980,290 shares of Common Stock beneficially owned.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ECTION</w:t>
      </w:r>
      <w:r>
        <w:rPr>
          <w:rFonts w:ascii="Arial" w:cs="Arial" w:eastAsia="Arial" w:hAnsi="Arial"/>
          <w:sz w:val="29"/>
          <w:szCs w:val="29"/>
          <w:b w:val="1"/>
          <w:bCs w:val="1"/>
          <w:color w:val="auto"/>
        </w:rPr>
        <w:t xml:space="preserve"> 16(A) B</w:t>
      </w:r>
      <w:r>
        <w:rPr>
          <w:rFonts w:ascii="Arial" w:cs="Arial" w:eastAsia="Arial" w:hAnsi="Arial"/>
          <w:sz w:val="23"/>
          <w:szCs w:val="23"/>
          <w:b w:val="1"/>
          <w:bCs w:val="1"/>
          <w:color w:val="auto"/>
        </w:rPr>
        <w:t>ENEFICIAL</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WNERSHIP</w:t>
      </w:r>
      <w:r>
        <w:rPr>
          <w:rFonts w:ascii="Arial" w:cs="Arial" w:eastAsia="Arial" w:hAnsi="Arial"/>
          <w:sz w:val="29"/>
          <w:szCs w:val="29"/>
          <w:b w:val="1"/>
          <w:bCs w:val="1"/>
          <w:color w:val="auto"/>
        </w:rPr>
        <w:t xml:space="preserve"> R</w:t>
      </w:r>
      <w:r>
        <w:rPr>
          <w:rFonts w:ascii="Arial" w:cs="Arial" w:eastAsia="Arial" w:hAnsi="Arial"/>
          <w:sz w:val="23"/>
          <w:szCs w:val="23"/>
          <w:b w:val="1"/>
          <w:bCs w:val="1"/>
          <w:color w:val="auto"/>
        </w:rPr>
        <w:t>EPORTING</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believe that all applicable requirements were complied with in 2015, except that, due to administrative errors, (a) Mr. Mark Schwartz, Senior Vice President – Human Resources, was late in filing one Form 4 following a vesting of restricted stock units and related sale of shares to cover taxes and (b) Mr. John Morris, Senior Vice President — Operations, was late in filing one Form 4 following an exercise of stock options and sale of shares to cover option costs and taxes.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is a listing of our current executive officers, other than Mr. Steiner, whose personal information is included in the Director Nominees section of this Proxy Statement on page 19, their ages and business experience for the past five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Positions Held and Business Experience for Past Five Years</w:t>
            </w:r>
          </w:p>
        </w:tc>
        <w:tc>
          <w:tcPr>
            <w:tcW w:w="1680" w:type="dxa"/>
            <w:vAlign w:val="bottom"/>
            <w:tcBorders>
              <w:bottom w:val="single" w:sz="8" w:color="CCEEFF"/>
            </w:tcBorders>
          </w:tcPr>
          <w:p>
            <w:pPr>
              <w:spacing w:after="0"/>
              <w:rPr>
                <w:sz w:val="16"/>
                <w:szCs w:val="16"/>
                <w:color w:val="auto"/>
              </w:rPr>
            </w:pPr>
          </w:p>
        </w:tc>
      </w:tr>
      <w:tr>
        <w:trPr>
          <w:trHeight w:val="182"/>
        </w:trPr>
        <w:tc>
          <w:tcPr>
            <w:tcW w:w="38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Puneet Bhasin</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5"/>
                <w:szCs w:val="15"/>
                <w:color w:val="auto"/>
              </w:rPr>
            </w:pPr>
          </w:p>
        </w:tc>
        <w:tc>
          <w:tcPr>
            <w:tcW w:w="7200" w:type="dxa"/>
            <w:vAlign w:val="bottom"/>
            <w:gridSpan w:val="3"/>
            <w:shd w:val="clear" w:color="auto" w:fill="CCEEFF"/>
          </w:tcPr>
          <w:p>
            <w:pPr>
              <w:ind w:left="160"/>
              <w:spacing w:after="0" w:line="182" w:lineRule="exact"/>
              <w:rPr>
                <w:sz w:val="20"/>
                <w:szCs w:val="20"/>
                <w:color w:val="auto"/>
              </w:rPr>
            </w:pPr>
            <w:r>
              <w:rPr>
                <w:rFonts w:ascii="Arial" w:cs="Arial" w:eastAsia="Arial" w:hAnsi="Arial"/>
                <w:sz w:val="18"/>
                <w:szCs w:val="18"/>
                <w:color w:val="auto"/>
              </w:rPr>
              <w:t>• Executive Vice President, Corporate Operations and Recycling since November 2015.</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Corporate Operations from November 2014 to November 2015.</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•Chief Information Officer and Senior Vice President, Technology, Logistics and Customer</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Service from August 2012 to November 2014.</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•Senior Vice President and Chief Information Officer from December 2009 to August 2012.</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Barry H. Caldwell</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55</w:t>
            </w:r>
          </w:p>
        </w:tc>
        <w:tc>
          <w:tcPr>
            <w:tcW w:w="72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7"/>
              </w:rPr>
              <w:t>•Senior Vice President — Corporate Affairs and Chief Legal Officer since November 2014.</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w w:val="92"/>
              </w:rPr>
              <w:t>•Senior Vice President — Government Affairs and Corporate Communications from September</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280"/>
              <w:spacing w:after="0"/>
              <w:rPr>
                <w:sz w:val="20"/>
                <w:szCs w:val="20"/>
                <w:color w:val="auto"/>
              </w:rPr>
            </w:pPr>
            <w:r>
              <w:rPr>
                <w:rFonts w:ascii="Arial" w:cs="Arial" w:eastAsia="Arial" w:hAnsi="Arial"/>
                <w:sz w:val="18"/>
                <w:szCs w:val="18"/>
                <w:color w:val="auto"/>
              </w:rPr>
              <w:t>2002 to November 2014.</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P. Carpenter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and Chief Accounting Officer since August 2012.</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 Tax from May 2002 to August 2012.</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James C. Fish, Jr.</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53</w:t>
            </w:r>
          </w:p>
        </w:tc>
        <w:tc>
          <w:tcPr>
            <w:tcW w:w="72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•Executive Vice President and Chief Financial Officer since August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•Senior Vice President — Eastern Group from June 2011 to August 2012.</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w w:val="92"/>
              </w:rPr>
              <w:t>•Area Vice President — Pennsylvania and West Virginia Area from January 2009 to June 2011.</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 Harris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 Operations since July 2012.</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 Midwest Group from April 2006 to July 2012.</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•Area Vice President — Michigan Market Area from April 2000 to April 2006.</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John J. Morris, Jr.</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46</w:t>
            </w:r>
          </w:p>
        </w:tc>
        <w:tc>
          <w:tcPr>
            <w:tcW w:w="72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•Senior Vice President — Operations since July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•Chief Strategy Officer from March 2012 to July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•Area Vice President — Greater Mid-Atlantic Area from July 2011 to March 2012.</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w w:val="94"/>
              </w:rPr>
              <w:t>•Area Vice President — Waste Management of New Jersey from February 2007 to July 2011.</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Devina A. Rankin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and Treasurer since August 2012.</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•Assistant Treasurer from June 2010 to August 2012.</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Mark E. Schwartz</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58</w:t>
            </w:r>
          </w:p>
        </w:tc>
        <w:tc>
          <w:tcPr>
            <w:tcW w:w="72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•Senior Vice President — Human Resources since May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w w:val="91"/>
              </w:rPr>
              <w:t>•Vice President and Assistant General Counsel — Labor and Employment from December 2000</w:t>
            </w:r>
          </w:p>
        </w:tc>
      </w:tr>
      <w:tr>
        <w:trPr>
          <w:trHeight w:val="230"/>
        </w:trPr>
        <w:tc>
          <w:tcPr>
            <w:tcW w:w="3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0" w:type="dxa"/>
            <w:vAlign w:val="bottom"/>
            <w:gridSpan w:val="3"/>
          </w:tcPr>
          <w:p>
            <w:pPr>
              <w:ind w:left="280"/>
              <w:spacing w:after="0"/>
              <w:rPr>
                <w:sz w:val="20"/>
                <w:szCs w:val="20"/>
                <w:color w:val="auto"/>
              </w:rPr>
            </w:pPr>
            <w:r>
              <w:rPr>
                <w:rFonts w:ascii="Arial" w:cs="Arial" w:eastAsia="Arial" w:hAnsi="Arial"/>
                <w:sz w:val="18"/>
                <w:szCs w:val="18"/>
                <w:color w:val="auto"/>
              </w:rPr>
              <w:t>to May 2012.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James E. Trevathan, Jr.</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Operating Officer since July 2012.</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w w:val="97"/>
              </w:rPr>
              <w:t>•Executive Vice President — Growth, Innovation and Field Support from June 2011 to July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557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2012.</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 Southern Group from July 2007 to June 2011.</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2015 aligned with the Company’s 2015 financial goals and performance. The Compensation Discussion and Analysis helps readers better understand the information found in the Summary Compensation Table and other accompanying tables located in this Proxy Statement.</w:t>
      </w:r>
    </w:p>
    <w:p>
      <w:pPr>
        <w:spacing w:after="0" w:line="4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whom we refer to as the “named executive officers” or “named executives”:</w:t>
      </w:r>
    </w:p>
    <w:p>
      <w:pPr>
        <w:spacing w:after="0" w:line="7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David Steiner – Chief Executive Officer since 2004 and President since June 2010.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James Trevathan – Executive Vice President and Chief Operating Officer since July 2012.</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James Fish – Executive Vice President and Chief Financial Officer since August 2012.</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Jeff Harris – Senior Vice President – Operations since July 2012.</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John Morris – Senior Vice President – Operations since July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objective of our executive compensation program is to attract, retain, reward and incentivize exceptional,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92" w:lineRule="exact"/>
        <w:rPr>
          <w:sz w:val="20"/>
          <w:szCs w:val="20"/>
          <w:color w:val="auto"/>
        </w:rPr>
      </w:pPr>
    </w:p>
    <w:p>
      <w:pPr>
        <w:ind w:left="660" w:right="40" w:hanging="206"/>
        <w:spacing w:after="0" w:line="29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2015, our performance-based annual cash incentive and long-term equity-based incentive awards comprised approximately 87% of total target compensation for our President and Chief Executive Officer and approximately 77% of total target compensation for our other named executives;</w:t>
      </w:r>
    </w:p>
    <w:p>
      <w:pPr>
        <w:spacing w:after="0" w:line="63" w:lineRule="exact"/>
        <w:rPr>
          <w:rFonts w:ascii="Arial" w:cs="Arial" w:eastAsia="Arial" w:hAnsi="Arial"/>
          <w:sz w:val="16"/>
          <w:szCs w:val="16"/>
          <w:color w:val="auto"/>
        </w:rPr>
      </w:pPr>
    </w:p>
    <w:p>
      <w:pPr>
        <w:ind w:left="660" w:right="680" w:hanging="206"/>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target, approximately 58% of total compensation of our named executives (and approximately 70% in the case of our President and Chief Executive Officer) results from long-term equity awards, which aligns executives’ interests with those of stockholders;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goals and are based on a variety of indicators of performance, which limits risk-taking behavior;</w:t>
      </w:r>
    </w:p>
    <w:p>
      <w:pPr>
        <w:spacing w:after="0" w:line="75"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500" w:hanging="206"/>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29" w:lineRule="exact"/>
        <w:rPr>
          <w:rFonts w:ascii="Arial" w:cs="Arial" w:eastAsia="Arial" w:hAnsi="Arial"/>
          <w:sz w:val="16"/>
          <w:szCs w:val="16"/>
          <w:color w:val="auto"/>
        </w:rPr>
      </w:pPr>
    </w:p>
    <w:p>
      <w:pPr>
        <w:ind w:left="660" w:right="8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Company Performance and Compensation Results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recognize that the waste industry is changing, and we believe we are uniquely equipped to meet the challenges of our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5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operational improvements and focused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our recycling operations. We believe that execution of our strategy will drive continued performance and leadership in a dynamic industry.</w:t>
      </w:r>
    </w:p>
    <w:p>
      <w:pPr>
        <w:spacing w:after="0" w:line="85" w:lineRule="exact"/>
        <w:rPr>
          <w:sz w:val="20"/>
          <w:szCs w:val="20"/>
          <w:color w:val="auto"/>
        </w:rPr>
      </w:pPr>
    </w:p>
    <w:p>
      <w:pPr>
        <w:ind w:right="240" w:firstLine="456"/>
        <w:spacing w:after="0" w:line="270" w:lineRule="auto"/>
        <w:rPr>
          <w:sz w:val="20"/>
          <w:szCs w:val="20"/>
          <w:color w:val="auto"/>
        </w:rPr>
      </w:pPr>
      <w:r>
        <w:rPr>
          <w:rFonts w:ascii="Arial" w:cs="Arial" w:eastAsia="Arial" w:hAnsi="Arial"/>
          <w:sz w:val="17"/>
          <w:szCs w:val="17"/>
          <w:color w:val="auto"/>
        </w:rPr>
        <w:t>In 2015, we generated strong earnings and cash flow growth from our solid waste business by continuing a disciplined focus on revenue growth and cost control. These results were driven by strong core pricing in each line of business; controlling costs of both our operations and corporate functions; improving customer experience by differentiating our service offerings to reduce customer churn; maintaining discipline around capital spending; and implementing a more rational and sustainable framework for recycling operations as an integrated component of solid waste services. Another priority we successfully pursued in 2015 was the investment of cash proceeds from the divestiture of our Wheelabrator business in late 2014 to support our strategic growth plans. As we look forward to 2016, our key priorities will remain the same — driving revenue growth from yield, maintaining our commitment to provide excellent customer service and improving our productivity while managing our costs. We believe that continued execution of these objectives will translate into earnings and cash flow growth, leaving us well positioned to continue investing in our business, pay dividends and repurchase shares, while continuing our commitment to maintain a strong balance sheet.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line with the Company’s financial results, the following is a summary of the 2015 compensation program results:</w:t>
      </w:r>
    </w:p>
    <w:p>
      <w:pPr>
        <w:spacing w:after="0" w:line="131" w:lineRule="exact"/>
        <w:rPr>
          <w:sz w:val="20"/>
          <w:szCs w:val="20"/>
          <w:color w:val="auto"/>
        </w:rPr>
      </w:pPr>
    </w:p>
    <w:p>
      <w:pPr>
        <w:ind w:left="660" w:right="680" w:hanging="20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granted increases to the base salaries of named executive officers consistent with our compensation philosophy and driven by competitive market data, internal pay equity considerations and individual performance;</w:t>
      </w:r>
    </w:p>
    <w:p>
      <w:pPr>
        <w:spacing w:after="0" w:line="75" w:lineRule="exact"/>
        <w:rPr>
          <w:rFonts w:ascii="Arial" w:cs="Arial" w:eastAsia="Arial" w:hAnsi="Arial"/>
          <w:sz w:val="18"/>
          <w:szCs w:val="18"/>
          <w:color w:val="auto"/>
        </w:rPr>
      </w:pPr>
    </w:p>
    <w:p>
      <w:pPr>
        <w:ind w:left="660" w:right="100" w:hanging="206"/>
        <w:spacing w:after="0" w:line="31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Company performance on annual cash incentive performance measures for named executive officers exceeded the target level for one of the three performance measures, was at target for one of the three performance measures and was below target but above threshold for the third performance measure. As a result, each of the named executives received an annual cash incentive payment for fiscal year 2015 equal to 108.5% of target;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31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generated a return on invested capital, for purposes of performance goals associated with half of our performance share units (“PSUs”) granted in 2013, of 17.5%, significantly exceeding the target of 16.0% and approaching the maximum of 17.6% for the three-year performance period ended December 31, 2015. This performance resulted in a 196.15% payout on these PSUs in shares of Common Stock; and</w:t>
      </w:r>
    </w:p>
    <w:p>
      <w:pPr>
        <w:spacing w:after="0" w:line="52" w:lineRule="exact"/>
        <w:rPr>
          <w:rFonts w:ascii="Arial" w:cs="Arial" w:eastAsia="Arial" w:hAnsi="Arial"/>
          <w:sz w:val="16"/>
          <w:szCs w:val="16"/>
          <w:color w:val="auto"/>
        </w:rPr>
      </w:pPr>
    </w:p>
    <w:p>
      <w:pPr>
        <w:ind w:left="660" w:right="540" w:hanging="206"/>
        <w:spacing w:after="0" w:line="30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 respect to the remaining half of the PSUs granted in 2013 with a performance period ended December 31, 2015 that was subject to total shareholder return relative to the S&amp;P 500, the performance of the Company’s Common Stock on this measure exceeded the target of the 50</w:t>
      </w:r>
      <w:r>
        <w:rPr>
          <w:rFonts w:ascii="Arial" w:cs="Arial" w:eastAsia="Arial" w:hAnsi="Arial"/>
          <w:sz w:val="13"/>
          <w:szCs w:val="13"/>
          <w:color w:val="auto"/>
        </w:rPr>
        <w:t>th</w:t>
      </w:r>
      <w:r>
        <w:rPr>
          <w:rFonts w:ascii="Arial" w:cs="Arial" w:eastAsia="Arial" w:hAnsi="Arial"/>
          <w:sz w:val="16"/>
          <w:szCs w:val="16"/>
          <w:color w:val="auto"/>
        </w:rPr>
        <w:t xml:space="preserve"> percentile, resulting in a 132.88% payout on these PSUs in shares of Common Stock. This performance directly benefited our stockholders, delivering total shareholder return of 73.47% over the three-year performance period, placing the Company in the 66</w:t>
      </w:r>
      <w:r>
        <w:rPr>
          <w:rFonts w:ascii="Arial" w:cs="Arial" w:eastAsia="Arial" w:hAnsi="Arial"/>
          <w:sz w:val="13"/>
          <w:szCs w:val="13"/>
          <w:color w:val="auto"/>
        </w:rPr>
        <w:t>th</w:t>
      </w:r>
      <w:r>
        <w:rPr>
          <w:rFonts w:ascii="Arial" w:cs="Arial" w:eastAsia="Arial" w:hAnsi="Arial"/>
          <w:sz w:val="16"/>
          <w:szCs w:val="16"/>
          <w:color w:val="auto"/>
        </w:rPr>
        <w:t xml:space="preserve"> percentile.</w:t>
      </w:r>
    </w:p>
    <w:p>
      <w:pPr>
        <w:spacing w:after="0" w:line="46"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The 2015 results continue to reinforce our emphasis on performance-based compensation, as we believe the performance criteria underlying our incentive compensation successfully drove the results we were seeking and correlated with total shareholder return. The MD&amp;C Committee strives to establish performance goals that are challenging, but attainable, and the MD&amp;C Committee remains dedicated to the principle that executive compensation should be substantially linked to Company performance. Accordingly, the compensation of the Company’s executive officers set forth in the Summary Compensation Table of this Proxy Statement evidences our commitment to pay for performance.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of Stockholder Advisory Vote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When establishing 2015 compensation for the named executives, the MD&amp;C Committee noted the results of the advisory stockholder votes on executive compensation in May 2014, 2013, 2012 and 2011, with 97%, 97%, 96% and 97%, respectively, of shares present and entitled to vote at the annual meeting voting in favor of the Company’s executive compensation. The MD&amp;C Committee has also since noted the results of the May 2015 advisory stockholder vote, with 97% of shares present and entitled to vote at the annual meeting voting in favor of the Company’s executive compensation. Accordingly, the results of the stockholder advisory vote have not caused the MD&amp;C Committee to recommend any changes to our compensation practices.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2016 Compensation Program Preview</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MD&amp;C Committee continually reviews our compensation program to ensure that it is clearly aligned with the business strategy and best supports the accomplishment of our goals. The MD&amp;C Committee is pleased with the results that were delivered under the 2014 and 2015 compensation program design, which recognized the need to improve the Company’s financial results while continuing our focus on pricing, capital allocation and cost control. As a result, the MD&amp;C Committee has approved keeping the 2016 annual cash and long-term incentive compensation program design consistent with the 2014 and 2015 compensation program design, with an adjustment only to equally weight the respective annual cash incentive performance metrics. This consistency reinforces the MD&amp;C Committee’s efforts to maintain a compensation program that is straightforward and easy to communicate and understand.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for Named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compensation philosophy is designed to:</w:t>
      </w:r>
    </w:p>
    <w:p>
      <w:pPr>
        <w:spacing w:after="0" w:line="131"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and retain exceptional employees through competitive compensation opportunities;</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 our decision makers’ long-term interests with those of our stockholders through emphasis on equity ownership.</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76" w:lineRule="exact"/>
        <w:rPr>
          <w:sz w:val="20"/>
          <w:szCs w:val="20"/>
          <w:color w:val="auto"/>
        </w:rPr>
      </w:pPr>
    </w:p>
    <w:p>
      <w:pPr>
        <w:ind w:left="660" w:right="720" w:hanging="206"/>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 salaries should be paid within a range of plus or minus 10% around the competitive median, but attention must be given to individual circumstances, including strategic importance of the named executive’s role, the executive’s experience and individual performance;</w:t>
      </w:r>
    </w:p>
    <w:p>
      <w:pPr>
        <w:spacing w:after="0" w:line="29"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Target short-term and long-term incentive opportunities should generally be set at the competitive median;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Elements of Our 2015 Compensation Program</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Timing</w:t>
            </w:r>
          </w:p>
        </w:tc>
        <w:tc>
          <w:tcPr>
            <w:tcW w:w="3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7"/>
              </w:rPr>
              <w:t>Component</w:t>
            </w: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Purpose</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4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Key Features</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p>
        </w:tc>
        <w:tc>
          <w:tcPr>
            <w:tcW w:w="2860" w:type="dxa"/>
            <w:vAlign w:val="bottom"/>
            <w:tcBorders>
              <w:bottom w:val="single" w:sz="8" w:color="auto"/>
            </w:tcBorders>
            <w:gridSpan w:val="3"/>
          </w:tcPr>
          <w:p>
            <w:pPr>
              <w:spacing w:after="0"/>
              <w:rPr>
                <w:sz w:val="20"/>
                <w:szCs w:val="20"/>
                <w:color w:val="auto"/>
              </w:rPr>
            </w:pPr>
          </w:p>
        </w:tc>
        <w:tc>
          <w:tcPr>
            <w:tcW w:w="60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5"/>
                <w:szCs w:val="15"/>
                <w:color w:val="auto"/>
              </w:rPr>
              <w:t>Current</w:t>
            </w: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Base Salary</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rPr>
              <w:t>To attract and retain executives with a</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w w:val="99"/>
              </w:rPr>
              <w:t>Adjustments to base salary primarily consider competitive market data and the executive’s</w:t>
            </w: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bottom w:val="single" w:sz="8" w:color="auto"/>
              <w:right w:val="single" w:sz="8" w:color="auto"/>
            </w:tcBorders>
            <w:shd w:val="clear" w:color="auto" w:fill="D8D8D8"/>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color w:val="auto"/>
              </w:rPr>
              <w:t>competitive level of regular income</w:t>
            </w:r>
          </w:p>
        </w:tc>
        <w:tc>
          <w:tcPr>
            <w:tcW w:w="60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individual performance and responsibilities.</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5"/>
                <w:szCs w:val="15"/>
                <w:color w:val="auto"/>
              </w:rPr>
              <w:t>Short-Term</w:t>
            </w: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Annual</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w w:val="98"/>
              </w:rPr>
              <w:t>To encourage and reward contributions to</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w w:val="96"/>
              </w:rPr>
              <w:t>Cash incentives are targeted at a percentage of base salary and range from zero to 200% of</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Arial" w:cs="Arial" w:eastAsia="Arial" w:hAnsi="Arial"/>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Cash</w:t>
            </w: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our annual financial objectives through</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target based on the following performance measures: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Arial" w:cs="Arial" w:eastAsia="Arial" w:hAnsi="Arial"/>
                <w:sz w:val="15"/>
                <w:szCs w:val="15"/>
                <w:color w:val="auto"/>
              </w:rPr>
              <w:t>Incentive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Incentive</w:t>
            </w: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w w:val="92"/>
              </w:rPr>
              <w:t>performance-based compensation subject to</w:t>
            </w:r>
          </w:p>
        </w:tc>
        <w:tc>
          <w:tcPr>
            <w:tcW w:w="604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15"/>
                <w:szCs w:val="15"/>
                <w:color w:val="auto"/>
                <w:w w:val="97"/>
              </w:rPr>
              <w:t>•  Income from Operations Margin – defined as Income from Operations as a percentage of</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60" w:type="dxa"/>
            <w:vAlign w:val="bottom"/>
            <w:gridSpan w:val="3"/>
          </w:tcPr>
          <w:p>
            <w:pPr>
              <w:ind w:left="100"/>
              <w:spacing w:after="0" w:line="149" w:lineRule="exact"/>
              <w:rPr>
                <w:sz w:val="20"/>
                <w:szCs w:val="20"/>
                <w:color w:val="auto"/>
              </w:rPr>
            </w:pPr>
            <w:r>
              <w:rPr>
                <w:rFonts w:ascii="Arial" w:cs="Arial" w:eastAsia="Arial" w:hAnsi="Arial"/>
                <w:sz w:val="15"/>
                <w:szCs w:val="15"/>
                <w:color w:val="auto"/>
              </w:rPr>
              <w:t>challenging, yet attainable, objective and</w:t>
            </w:r>
          </w:p>
        </w:tc>
        <w:tc>
          <w:tcPr>
            <w:tcW w:w="604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transparent metrics</w:t>
            </w:r>
          </w:p>
        </w:tc>
        <w:tc>
          <w:tcPr>
            <w:tcW w:w="200" w:type="dxa"/>
            <w:vAlign w:val="bottom"/>
          </w:tcPr>
          <w:p>
            <w:pPr>
              <w:spacing w:after="0"/>
              <w:rPr>
                <w:sz w:val="14"/>
                <w:szCs w:val="14"/>
                <w:color w:val="auto"/>
              </w:rPr>
            </w:pPr>
          </w:p>
        </w:tc>
        <w:tc>
          <w:tcPr>
            <w:tcW w:w="584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5"/>
                <w:szCs w:val="15"/>
                <w:color w:val="auto"/>
                <w:w w:val="98"/>
              </w:rPr>
              <w:t>Revenue – motivates executives to control costs and operate efficiently while focusing</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4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on yield – weighted 25%;</w:t>
            </w: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right w:val="single" w:sz="8" w:color="auto"/>
            </w:tcBorders>
            <w:shd w:val="clear" w:color="auto" w:fill="D8D8D8"/>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040" w:type="dxa"/>
            <w:vAlign w:val="bottom"/>
            <w:tcBorders>
              <w:right w:val="single" w:sz="8" w:color="auto"/>
            </w:tcBorders>
            <w:gridSpan w:val="3"/>
          </w:tcPr>
          <w:p>
            <w:pPr>
              <w:ind w:left="140"/>
              <w:spacing w:after="0"/>
              <w:rPr>
                <w:sz w:val="20"/>
                <w:szCs w:val="20"/>
                <w:color w:val="auto"/>
              </w:rPr>
            </w:pPr>
            <w:r>
              <w:rPr>
                <w:rFonts w:ascii="Arial" w:cs="Arial" w:eastAsia="Arial" w:hAnsi="Arial"/>
                <w:sz w:val="15"/>
                <w:szCs w:val="15"/>
                <w:color w:val="auto"/>
              </w:rPr>
              <w:t>•  Income from Operations, excluding Depreciation and Amortization – designed to</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4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encourage balanced growth and profitability – weighted 25%; and</w:t>
            </w:r>
          </w:p>
        </w:tc>
        <w:tc>
          <w:tcPr>
            <w:tcW w:w="0" w:type="dxa"/>
            <w:vAlign w:val="bottom"/>
          </w:tcPr>
          <w:p>
            <w:pPr>
              <w:spacing w:after="0"/>
              <w:rPr>
                <w:sz w:val="1"/>
                <w:szCs w:val="1"/>
                <w:color w:val="auto"/>
              </w:rPr>
            </w:pPr>
          </w:p>
        </w:tc>
      </w:tr>
      <w:tr>
        <w:trPr>
          <w:trHeight w:val="251"/>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40" w:type="dxa"/>
            <w:vAlign w:val="bottom"/>
            <w:tcBorders>
              <w:right w:val="single" w:sz="8" w:color="auto"/>
            </w:tcBorders>
            <w:gridSpan w:val="3"/>
          </w:tcPr>
          <w:p>
            <w:pPr>
              <w:ind w:left="140"/>
              <w:spacing w:after="0"/>
              <w:rPr>
                <w:sz w:val="20"/>
                <w:szCs w:val="20"/>
                <w:color w:val="auto"/>
              </w:rPr>
            </w:pPr>
            <w:r>
              <w:rPr>
                <w:rFonts w:ascii="Arial" w:cs="Arial" w:eastAsia="Arial" w:hAnsi="Arial"/>
                <w:sz w:val="15"/>
                <w:szCs w:val="15"/>
                <w:color w:val="auto"/>
                <w:w w:val="96"/>
              </w:rPr>
              <w:t>•  Cost – defined as Operating Expense, less depreciation, depletion and amortization, as a</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4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5"/>
                <w:szCs w:val="15"/>
                <w:color w:val="auto"/>
                <w:w w:val="94"/>
              </w:rPr>
              <w:t>percentage of Net Revenue – designed to support cost control and innovation initiatives –</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4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weighted 50%.</w:t>
            </w:r>
          </w:p>
        </w:tc>
        <w:tc>
          <w:tcPr>
            <w:tcW w:w="0" w:type="dxa"/>
            <w:vAlign w:val="bottom"/>
          </w:tcPr>
          <w:p>
            <w:pPr>
              <w:spacing w:after="0"/>
              <w:rPr>
                <w:sz w:val="1"/>
                <w:szCs w:val="1"/>
                <w:color w:val="auto"/>
              </w:rPr>
            </w:pPr>
          </w:p>
        </w:tc>
      </w:tr>
      <w:tr>
        <w:trPr>
          <w:trHeight w:val="251"/>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w w:val="97"/>
              </w:rPr>
              <w:t>The MD&amp;C Committee has discretion to increase or decrease an individual’s payment by up</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4"/>
              </w:rPr>
              <w:t>to 25% based on individual performance, but such modifier has never been used to increase a</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60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payment to a named executive.</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5"/>
                <w:szCs w:val="15"/>
                <w:color w:val="auto"/>
              </w:rPr>
              <w:t>Long-Term</w:t>
            </w: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Performance</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rPr>
              <w:t>To encourage and reward building long-</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rPr>
              <w:t>Number of shares delivered range from zero to 200% of the initial target grant based on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Arial" w:cs="Arial" w:eastAsia="Arial" w:hAnsi="Arial"/>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Share Units</w:t>
            </w: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w w:val="97"/>
              </w:rPr>
              <w:t>term stockholder value through successful</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performance over a three-year performance period.</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ind w:left="160"/>
              <w:spacing w:after="0"/>
              <w:rPr>
                <w:sz w:val="20"/>
                <w:szCs w:val="20"/>
                <w:color w:val="auto"/>
              </w:rPr>
            </w:pPr>
            <w:r>
              <w:rPr>
                <w:rFonts w:ascii="Arial" w:cs="Arial" w:eastAsia="Arial" w:hAnsi="Arial"/>
                <w:sz w:val="15"/>
                <w:szCs w:val="15"/>
                <w:color w:val="auto"/>
              </w:rPr>
              <w:t>Incentives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860" w:type="dxa"/>
            <w:vAlign w:val="bottom"/>
            <w:gridSpan w:val="3"/>
          </w:tcPr>
          <w:p>
            <w:pPr>
              <w:ind w:left="100"/>
              <w:spacing w:after="0"/>
              <w:rPr>
                <w:sz w:val="20"/>
                <w:szCs w:val="20"/>
                <w:color w:val="auto"/>
              </w:rPr>
            </w:pPr>
            <w:r>
              <w:rPr>
                <w:rFonts w:ascii="Arial" w:cs="Arial" w:eastAsia="Arial" w:hAnsi="Arial"/>
                <w:sz w:val="15"/>
                <w:szCs w:val="15"/>
                <w:color w:val="auto"/>
              </w:rPr>
              <w:t>strategy execution;</w:t>
            </w: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Payout on half of each executive’s PSUs granted in 2015 is dependent on cash flow</w:t>
            </w:r>
          </w:p>
        </w:tc>
        <w:tc>
          <w:tcPr>
            <w:tcW w:w="0" w:type="dxa"/>
            <w:vAlign w:val="bottom"/>
          </w:tcPr>
          <w:p>
            <w:pPr>
              <w:spacing w:after="0"/>
              <w:rPr>
                <w:sz w:val="1"/>
                <w:szCs w:val="1"/>
                <w:color w:val="auto"/>
              </w:rPr>
            </w:pPr>
          </w:p>
        </w:tc>
      </w:tr>
      <w:tr>
        <w:trPr>
          <w:trHeight w:val="89"/>
        </w:trPr>
        <w:tc>
          <w:tcPr>
            <w:tcW w:w="1080" w:type="dxa"/>
            <w:vAlign w:val="bottom"/>
            <w:tcBorders>
              <w:left w:val="single" w:sz="8" w:color="auto"/>
              <w:right w:val="single" w:sz="8" w:color="auto"/>
            </w:tcBorders>
            <w:shd w:val="clear" w:color="auto" w:fill="D8D8D8"/>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60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To retain executives; and</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9"/>
              </w:rPr>
              <w:t>generation, defined as cash provided by operating activities with certain exclusions, which</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5"/>
                <w:szCs w:val="15"/>
                <w:color w:val="auto"/>
                <w:w w:val="96"/>
              </w:rPr>
              <w:t>To increase stockholder alignment through</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7"/>
              </w:rPr>
              <w:t>continues our focus on capital discipline, while also aligning the Company with stockholders’</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60" w:type="dxa"/>
            <w:vAlign w:val="bottom"/>
            <w:gridSpan w:val="3"/>
            <w:vMerge w:val="continue"/>
          </w:tcPr>
          <w:p>
            <w:pPr>
              <w:spacing w:after="0"/>
              <w:rPr>
                <w:sz w:val="12"/>
                <w:szCs w:val="12"/>
                <w:color w:val="auto"/>
              </w:rPr>
            </w:pPr>
          </w:p>
        </w:tc>
        <w:tc>
          <w:tcPr>
            <w:tcW w:w="604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5"/>
                <w:szCs w:val="15"/>
                <w:color w:val="auto"/>
              </w:rPr>
              <w:t>free cash flow expectations.</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860" w:type="dxa"/>
            <w:vAlign w:val="bottom"/>
            <w:gridSpan w:val="3"/>
          </w:tcPr>
          <w:p>
            <w:pPr>
              <w:ind w:left="100"/>
              <w:spacing w:after="0"/>
              <w:rPr>
                <w:sz w:val="20"/>
                <w:szCs w:val="20"/>
                <w:color w:val="auto"/>
              </w:rPr>
            </w:pPr>
            <w:r>
              <w:rPr>
                <w:rFonts w:ascii="Arial" w:cs="Arial" w:eastAsia="Arial" w:hAnsi="Arial"/>
                <w:sz w:val="15"/>
                <w:szCs w:val="15"/>
                <w:color w:val="auto"/>
              </w:rPr>
              <w:t>executives’ stock ownership</w:t>
            </w: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w w:val="96"/>
              </w:rPr>
              <w:t>Payout on the remaining half of the PSUs granted in 2015 is dependent on total shareholder</w:t>
            </w:r>
          </w:p>
        </w:tc>
        <w:tc>
          <w:tcPr>
            <w:tcW w:w="0" w:type="dxa"/>
            <w:vAlign w:val="bottom"/>
          </w:tcPr>
          <w:p>
            <w:pPr>
              <w:spacing w:after="0"/>
              <w:rPr>
                <w:sz w:val="1"/>
                <w:szCs w:val="1"/>
                <w:color w:val="auto"/>
              </w:rPr>
            </w:pPr>
          </w:p>
        </w:tc>
      </w:tr>
      <w:tr>
        <w:trPr>
          <w:trHeight w:val="103"/>
        </w:trPr>
        <w:tc>
          <w:tcPr>
            <w:tcW w:w="1080" w:type="dxa"/>
            <w:vAlign w:val="bottom"/>
            <w:tcBorders>
              <w:left w:val="single" w:sz="8" w:color="auto"/>
              <w:right w:val="single" w:sz="8" w:color="auto"/>
            </w:tcBorders>
            <w:shd w:val="clear" w:color="auto" w:fill="D8D8D8"/>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4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return (TSR) relative to other companies in the S&amp;P 500 over the three-year performance</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rPr>
              <w:t>period.</w:t>
            </w:r>
          </w:p>
        </w:tc>
        <w:tc>
          <w:tcPr>
            <w:tcW w:w="0" w:type="dxa"/>
            <w:vAlign w:val="bottom"/>
          </w:tcPr>
          <w:p>
            <w:pPr>
              <w:spacing w:after="0"/>
              <w:rPr>
                <w:sz w:val="1"/>
                <w:szCs w:val="1"/>
                <w:color w:val="auto"/>
              </w:rPr>
            </w:pPr>
          </w:p>
        </w:tc>
      </w:tr>
      <w:tr>
        <w:trPr>
          <w:trHeight w:val="251"/>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w w:val="96"/>
              </w:rPr>
              <w:t>PSUs earn dividend equivalents that are paid at the end of the performance period based on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the number of shares actually awarded.</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8"/>
              </w:rPr>
              <w:t>Recipients can defer the receipt of shares, which are paid out in shares of Common Stock,</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D8D8D8"/>
              <w:right w:val="single" w:sz="8" w:color="auto"/>
            </w:tcBorders>
            <w:shd w:val="clear" w:color="auto" w:fill="D8D8D8"/>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60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without interest, at the end of the deferral period.</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Stock</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rPr>
              <w:t>To support the growth element of the</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w w:val="98"/>
              </w:rPr>
              <w:t>Stock options vest in 25% increments on the first two anniversaries of the date of grant and</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480" w:type="dxa"/>
            <w:vAlign w:val="bottom"/>
            <w:tcBorders>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Options</w:t>
            </w: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Company’s strategy and encourage and</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the remaining 50% vest on the third anniversary.</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reward stock price appreciation over the</w:t>
            </w: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w w:val="97"/>
              </w:rPr>
              <w:t>Exercise price is the average of the high and low market price of our Common Stock on the</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60" w:type="dxa"/>
            <w:vAlign w:val="bottom"/>
            <w:gridSpan w:val="3"/>
          </w:tcPr>
          <w:p>
            <w:pPr>
              <w:ind w:left="100"/>
              <w:spacing w:after="0" w:line="149" w:lineRule="exact"/>
              <w:rPr>
                <w:sz w:val="20"/>
                <w:szCs w:val="20"/>
                <w:color w:val="auto"/>
              </w:rPr>
            </w:pPr>
            <w:r>
              <w:rPr>
                <w:rFonts w:ascii="Arial" w:cs="Arial" w:eastAsia="Arial" w:hAnsi="Arial"/>
                <w:sz w:val="15"/>
                <w:szCs w:val="15"/>
                <w:color w:val="auto"/>
              </w:rPr>
              <w:t>long-term;</w:t>
            </w:r>
          </w:p>
        </w:tc>
        <w:tc>
          <w:tcPr>
            <w:tcW w:w="604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5"/>
                <w:szCs w:val="15"/>
                <w:color w:val="auto"/>
              </w:rPr>
              <w:t>To retain executives; and</w:t>
            </w: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rPr>
              <w:t>date of grant.</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shd w:val="clear" w:color="auto" w:fill="D8D8D8"/>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2860" w:type="dxa"/>
            <w:vAlign w:val="bottom"/>
            <w:gridSpan w:val="3"/>
            <w:vMerge w:val="continue"/>
          </w:tcPr>
          <w:p>
            <w:pPr>
              <w:spacing w:after="0"/>
              <w:rPr>
                <w:sz w:val="11"/>
                <w:szCs w:val="11"/>
                <w:color w:val="auto"/>
              </w:rPr>
            </w:pP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Stock options have a term of ten years.</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shd w:val="clear" w:color="auto" w:fill="D8D8D8"/>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5"/>
                <w:szCs w:val="15"/>
                <w:color w:val="auto"/>
                <w:w w:val="96"/>
              </w:rPr>
              <w:t>To increase stockholder alignment through</w:t>
            </w:r>
          </w:p>
        </w:tc>
        <w:tc>
          <w:tcPr>
            <w:tcW w:w="60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right w:val="single" w:sz="8" w:color="auto"/>
            </w:tcBorders>
            <w:shd w:val="clear" w:color="auto" w:fill="D8D8D8"/>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28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color w:val="auto"/>
              </w:rPr>
              <w:t>executives’ stock ownership</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89"/>
              </w:rPr>
              <w:t>28</w:t>
            </w: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u w:val="single" w:color="auto"/>
          <w:color w:val="auto"/>
        </w:rPr>
        <w:t>Post-Employment and Change in Control Compensation</w:t>
      </w:r>
      <w:r>
        <w:rPr>
          <w:rFonts w:ascii="Arial" w:cs="Arial" w:eastAsia="Arial" w:hAnsi="Arial"/>
          <w:sz w:val="16"/>
          <w:szCs w:val="16"/>
          <w:color w:val="auto"/>
        </w:rPr>
        <w:t>. The post-employment compensation our named executives receive is based on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individual equity award agreements, retirement plan documents and employment agreements. Our equity award agreements generally provide that an executive forfeits unvested awards if he or she voluntarily terminates employment. We enter into employment agreements with our named executive officers to provide a form of protection for the Company through restrictive covenant provisions. Employment agreements also aid in retention of senior leadership by providing the individual with comfort that he will be treated fairly in the event of a termination not for cause or under a change in control situation. The change in control provision included in each named executive officer’s agreement requires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Our stock option awards are also subject to double trigger vesting in the event of a change in control situation. Performance share units are paid out in cash on a prorated basis based on actual results achieved through the end of the fiscal quarter prior to a change in control. Thereafter, the executive would typically receive a replacement award of restricted stock units in the successor entity. We believe providing change in control protection encourages our named executives to pursue and facilitate transactions that are in the best interests of stockholders while not granting executives an undeserved windfall.</w:t>
      </w:r>
    </w:p>
    <w:p>
      <w:pPr>
        <w:spacing w:after="0" w:line="6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i w:val="1"/>
          <w:iCs w:val="1"/>
          <w:u w:val="single" w:color="auto"/>
          <w:color w:val="auto"/>
        </w:rPr>
        <w:t>Deferral Plan</w:t>
      </w:r>
      <w:r>
        <w:rPr>
          <w:rFonts w:ascii="Arial" w:cs="Arial" w:eastAsia="Arial" w:hAnsi="Arial"/>
          <w:sz w:val="16"/>
          <w:szCs w:val="16"/>
          <w:color w:val="auto"/>
        </w:rPr>
        <w:t>. Each of our named executive officers is eligible to participate in our 409A Deferral Savings Plan and may elect to defer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portions of their base salary and cash incentives in excess of the annual compensation limit established under Section 402(a)(17) of the Internal Revenue Code of 1985, as amended, the “Limit.” As of 2015, the Limit was $265,000. The plan provides that eligible employees may defer for payment at a future date (i) up to 25% of base salary and up to 100% of annual cash incentives payable after the aggregate of such compensation components reaches the Limit;</w:t>
      </w:r>
    </w:p>
    <w:p>
      <w:pPr>
        <w:spacing w:after="0" w:line="2" w:lineRule="exact"/>
        <w:rPr>
          <w:sz w:val="20"/>
          <w:szCs w:val="20"/>
          <w:color w:val="auto"/>
        </w:rPr>
      </w:pPr>
    </w:p>
    <w:p>
      <w:pPr>
        <w:ind w:right="20" w:firstLine="8"/>
        <w:spacing w:after="0" w:line="268"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receipt of any restricted stock units (“RSUs,” which are not currently a component of our named executives’ compensation); and (iii) receipt of any PSUs. The Company match provided under the 409A Deferral Plan is dollar for dollar on the employee’s deferrals, up to 3% of the employee’s aggregate base salary and cash incentives in excess of the Limit, and fifty cents on the dollar on the employee’s deferrals, up to 6% of the employee’s aggregate base salary and cash incentives in excess of the Limit. Additional deferral contributions will not be matched but will be tax-deferred. Amounts deferred under this plan are allocated into accounts that mirror selected investment funds in our 401(k) Retirement Savings Plan, although the amounts deferred are not actually invested in the funds. There is no Company match on deferred RSUs or PSUs, but the Company makes a cash payment to eligible employees equal to dividends that would have been payable on the shares deferred. Participating employees generally can elect to receive distributions commencing six months after the employee leaves the Company in the form of annual installments or a lump sum payment. We believe that providing a program that allows and encourages planning for retirement is a key factor in our ability to attract and retain talent. Additional details on the plan can be found in the Nonqualified Deferred Compensation table and the footnotes to the table beginning on page 45.</w:t>
      </w:r>
    </w:p>
    <w:p>
      <w:pPr>
        <w:spacing w:after="0" w:line="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u w:val="single" w:color="auto"/>
          <w:color w:val="auto"/>
        </w:rPr>
        <w:t>Perquisites</w:t>
      </w:r>
      <w:r>
        <w:rPr>
          <w:rFonts w:ascii="Arial" w:cs="Arial" w:eastAsia="Arial" w:hAnsi="Arial"/>
          <w:sz w:val="17"/>
          <w:szCs w:val="17"/>
          <w:color w:val="auto"/>
        </w:rPr>
        <w:t>. The Company permits the President and Chief Executive Officer to use the Company’s aircraft for business and personal travel whenever</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possible; provided, however, that personal use of the Company aircraft attributed to him that results in incremental cost to the Company shall not exceed 90 hours during any calendar year without approval from the Chairman of the MD&amp;C Committee. Use of the Company’s aircraft is permitted for other employees’ personal use only with Chief Executive Officer approval in special circumstances, which seldom occurs. The value of our named executives’ personal use of the Company’s airplanes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 We also reimburse the cost of physical examinations for our senior executives, as we believe it is beneficial to the Company to facilitate its executives receiving preventive healthcare. Other than as described in this section, we have eliminated all perquisites for our named executive officers.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Named Executive Officer Compensation Decisions are Made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81"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i w:val="1"/>
          <w:iCs w:val="1"/>
          <w:u w:val="single" w:color="auto"/>
          <w:color w:val="auto"/>
        </w:rPr>
        <w:t>Compensation Consultant</w:t>
      </w:r>
      <w:r>
        <w:rPr>
          <w:rFonts w:ascii="Arial" w:cs="Arial" w:eastAsia="Arial" w:hAnsi="Arial"/>
          <w:sz w:val="16"/>
          <w:szCs w:val="16"/>
          <w:color w:val="auto"/>
        </w:rPr>
        <w:t>. The MD&amp;C Committee uses several resources in its analysis of the appropriate compensation for the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w:t>
      </w:r>
    </w:p>
    <w:p>
      <w:pPr>
        <w:jc w:val="both"/>
        <w:ind w:right="420"/>
        <w:spacing w:after="0" w:line="255" w:lineRule="auto"/>
        <w:rPr>
          <w:sz w:val="20"/>
          <w:szCs w:val="20"/>
          <w:color w:val="auto"/>
        </w:rPr>
      </w:pPr>
      <w:r>
        <w:rPr>
          <w:rFonts w:ascii="Arial" w:cs="Arial" w:eastAsia="Arial" w:hAnsi="Arial"/>
          <w:sz w:val="18"/>
          <w:szCs w:val="18"/>
          <w:color w:val="auto"/>
        </w:rPr>
        <w:t>Cook &amp; Co., Inc. as its independent consultant since 2002. The Company makes regular payments to Frederic 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82"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In addition to services related to executive compensation, Frederic W. Cook also provides the MD&amp;C Committee information and advice with respect to compensation of the independent directors. Frederic 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Frederic W. Cook in light of SEC rules and New York Stock Exchange listing standards. In connection with this process, the MD&amp;C Committee has reviewed, among other items, a letter from Frederic W. Cook addressing the independence of Frederic W. Cook and the members of the consulting team serving the MD&amp;C Committee, including the following factors:</w:t>
      </w:r>
    </w:p>
    <w:p>
      <w:pPr>
        <w:spacing w:after="0" w:line="5" w:lineRule="exact"/>
        <w:rPr>
          <w:sz w:val="20"/>
          <w:szCs w:val="20"/>
          <w:color w:val="auto"/>
        </w:rPr>
      </w:pPr>
    </w:p>
    <w:p>
      <w:pPr>
        <w:ind w:right="160" w:firstLine="8"/>
        <w:spacing w:after="0" w:line="292" w:lineRule="auto"/>
        <w:tabs>
          <w:tab w:leader="none" w:pos="2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services provided to us by Frederic W. Cook; (ii) fees paid by us as a percentage of Frederic W. Cook’s total revenue; (iii) policies or procedures of Frederic W. Cook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discussed these considerations and concluded that the work performed by Frederic W. Cook and its senior advisor involved in the engagement did not raise any conflict of interest.</w:t>
      </w:r>
    </w:p>
    <w:p>
      <w:pPr>
        <w:spacing w:after="0" w:line="5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u w:val="single" w:color="auto"/>
          <w:color w:val="auto"/>
        </w:rPr>
        <w:t>Role of CEO and Human Resources</w:t>
      </w:r>
      <w:r>
        <w:rPr>
          <w:rFonts w:ascii="Arial" w:cs="Arial" w:eastAsia="Arial" w:hAnsi="Arial"/>
          <w:sz w:val="18"/>
          <w:szCs w:val="18"/>
          <w:color w:val="auto"/>
        </w:rPr>
        <w:t>. Mr. Steiner contributes to compensation determinations by assessing the performance of the other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incentive programs.</w:t>
      </w:r>
    </w:p>
    <w:p>
      <w:pPr>
        <w:spacing w:after="0" w:line="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i w:val="1"/>
          <w:iCs w:val="1"/>
          <w:u w:val="single" w:color="auto"/>
          <w:color w:val="auto"/>
        </w:rPr>
        <w:t>Peer Company Comparisons</w:t>
      </w:r>
      <w:r>
        <w:rPr>
          <w:rFonts w:ascii="Arial" w:cs="Arial" w:eastAsia="Arial" w:hAnsi="Arial"/>
          <w:sz w:val="17"/>
          <w:szCs w:val="17"/>
          <w:color w:val="auto"/>
        </w:rPr>
        <w:t>. The MD&amp;C Committee uses compensation information of comparison groups of companies to gauge the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which is relevant for attracting and retaining key talent and for ensuring that the Company’s compensation practices are aligned with prevalent practices. For purposes of establishing the 2015 executive compensation program, the MD&amp;C Committee considered a competitive analysis of total direct compensation levels and compensation mixes for our executive officers during the second half of 2014, using information from:</w:t>
      </w:r>
    </w:p>
    <w:p>
      <w:pPr>
        <w:spacing w:after="0" w:line="77" w:lineRule="exact"/>
        <w:rPr>
          <w:sz w:val="20"/>
          <w:szCs w:val="20"/>
          <w:color w:val="auto"/>
        </w:rPr>
      </w:pPr>
    </w:p>
    <w:p>
      <w:pPr>
        <w:ind w:left="660" w:right="8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Size-adjusted median compensation data from two general industry surveys in which management annually participates; the Aon Hewitt 2014 Total Compensation Measurement (TCM) survey and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320"/>
        <w:spacing w:after="0" w:line="286" w:lineRule="auto"/>
        <w:rPr>
          <w:sz w:val="20"/>
          <w:szCs w:val="20"/>
          <w:color w:val="auto"/>
        </w:rPr>
      </w:pPr>
      <w:r>
        <w:rPr>
          <w:rFonts w:ascii="Arial" w:cs="Arial" w:eastAsia="Arial" w:hAnsi="Arial"/>
          <w:sz w:val="17"/>
          <w:szCs w:val="17"/>
          <w:color w:val="auto"/>
        </w:rPr>
        <w:t>Towers Watson 2014 Compensation Data Bank (CDB) survey. The AonHewitt TCM survey includes 489 companies ranging in size from $100 million to over $100 billion in annual revenue. The Towers Watson CDB survey includes 446 organizations ranging in size from $100 million to over $100 billion in annual revenue. Data selected from these surveys is scoped based on Company revenue; and</w:t>
      </w:r>
    </w:p>
    <w:p>
      <w:pPr>
        <w:spacing w:after="0" w:line="7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Median compensation data from a comparison group of 19 publicly traded U.S. companies, described below.</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comparison group of companies is initially recommended by the independent consultant prior to the actual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 Prior to establishing compensation for 2015, the MD&amp;C Committee received a statistical analysis of the growth profile, profitability profile, size and shareholder return of all companies in the comparison group to verify that the Company is appropriately positioned versus the comparison group. The comparison group used for consideration of 2015 compensation follows, including the Company’s composite percentile ranking among the companies in the comparison group based on statistical measures. For purposes of this table, “size” is based on numerous factors as of December 31, 2013; “profitability” and “growth” are based on numerous factors measured over a one-year period and three-year period ended December 31, 2013; and “TSR” is based on the companies’ average TSR percentile ranking for a one-year period and three year-period as of December 31, 2013. This table is provided to reflect how the MD&amp;C Committee confirmed that the Company was appropriately positioned within its peer group for purposes of establishing 2015 compensation during 2014; as a result, the information that follows does not reflect the Company’s performance for 2014 or 2015.</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2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Composite Percentile Rank</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500" w:type="dxa"/>
            <w:vAlign w:val="bottom"/>
            <w:gridSpan w:val="2"/>
            <w:vMerge w:val="continue"/>
          </w:tcPr>
          <w:p>
            <w:pPr>
              <w:spacing w:after="0"/>
              <w:rPr>
                <w:sz w:val="10"/>
                <w:szCs w:val="10"/>
                <w:color w:val="auto"/>
              </w:rPr>
            </w:pPr>
          </w:p>
        </w:tc>
        <w:tc>
          <w:tcPr>
            <w:tcW w:w="2580" w:type="dxa"/>
            <w:vAlign w:val="bottom"/>
          </w:tcPr>
          <w:p>
            <w:pPr>
              <w:spacing w:after="0"/>
              <w:rPr>
                <w:sz w:val="10"/>
                <w:szCs w:val="10"/>
                <w:color w:val="auto"/>
              </w:rPr>
            </w:pPr>
          </w:p>
        </w:tc>
        <w:tc>
          <w:tcPr>
            <w:tcW w:w="1040" w:type="dxa"/>
            <w:vAlign w:val="bottom"/>
            <w:gridSpan w:val="2"/>
          </w:tcPr>
          <w:p>
            <w:pPr>
              <w:jc w:val="right"/>
              <w:ind w:right="800"/>
              <w:spacing w:after="0" w:line="102" w:lineRule="exact"/>
              <w:rPr>
                <w:sz w:val="20"/>
                <w:szCs w:val="20"/>
                <w:color w:val="auto"/>
              </w:rPr>
            </w:pPr>
            <w:r>
              <w:rPr>
                <w:rFonts w:ascii="Arial" w:cs="Arial" w:eastAsia="Arial" w:hAnsi="Arial"/>
                <w:sz w:val="11"/>
                <w:szCs w:val="11"/>
                <w:b w:val="1"/>
                <w:bCs w:val="1"/>
                <w:color w:val="auto"/>
                <w:w w:val="99"/>
              </w:rPr>
              <w:t>Size</w:t>
            </w:r>
          </w:p>
        </w:tc>
        <w:tc>
          <w:tcPr>
            <w:tcW w:w="15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Profitability</w:t>
            </w:r>
          </w:p>
        </w:tc>
        <w:tc>
          <w:tcPr>
            <w:tcW w:w="128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Growth</w:t>
            </w:r>
          </w:p>
        </w:tc>
        <w:tc>
          <w:tcPr>
            <w:tcW w:w="34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TSR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American Electric Power</w:t>
            </w:r>
          </w:p>
        </w:tc>
        <w:tc>
          <w:tcPr>
            <w:tcW w:w="25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56%</w:t>
            </w:r>
          </w:p>
        </w:tc>
        <w:tc>
          <w:tcPr>
            <w:tcW w:w="154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Avis Budget</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14%</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36%</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55%</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Baker Hughes</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C.H. Robinson WW</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11%</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59%</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CSX</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57%</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72%</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Entergy</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38%</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23%</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FedEx</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46%</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Grainger (WW)</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20%</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66%</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Halliburton</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76%</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70%</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Hertz</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31%</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47%</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86%</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NextEra Energy</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67%</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Norfolk Southern</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54%</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65%</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Republic Services</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Ryder System</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9%</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52%</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57%</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Southwest Airlines</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43%</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26%</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60%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Sysco</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53%</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Union Pacific</w:t>
            </w:r>
          </w:p>
        </w:tc>
        <w:tc>
          <w:tcPr>
            <w:tcW w:w="3620" w:type="dxa"/>
            <w:vAlign w:val="bottom"/>
            <w:gridSpan w:val="3"/>
          </w:tcPr>
          <w:p>
            <w:pPr>
              <w:jc w:val="right"/>
              <w:ind w:right="640"/>
              <w:spacing w:after="0"/>
              <w:rPr>
                <w:sz w:val="20"/>
                <w:szCs w:val="20"/>
                <w:color w:val="auto"/>
              </w:rPr>
            </w:pPr>
            <w:r>
              <w:rPr>
                <w:rFonts w:ascii="Arial" w:cs="Arial" w:eastAsia="Arial" w:hAnsi="Arial"/>
                <w:sz w:val="18"/>
                <w:szCs w:val="18"/>
                <w:color w:val="auto"/>
              </w:rPr>
              <w:t>87%</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85%</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71%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UPS</w:t>
            </w:r>
          </w:p>
        </w:tc>
        <w:tc>
          <w:tcPr>
            <w:tcW w:w="3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83%</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81%</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Waste Management</w:t>
            </w:r>
          </w:p>
        </w:tc>
        <w:tc>
          <w:tcPr>
            <w:tcW w:w="36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46%</w:t>
            </w:r>
          </w:p>
        </w:tc>
        <w:tc>
          <w:tcPr>
            <w:tcW w:w="1540" w:type="dxa"/>
            <w:vAlign w:val="bottom"/>
            <w:gridSpan w:val="2"/>
          </w:tcPr>
          <w:p>
            <w:pPr>
              <w:ind w:left="560"/>
              <w:spacing w:after="0"/>
              <w:rPr>
                <w:sz w:val="20"/>
                <w:szCs w:val="20"/>
                <w:color w:val="auto"/>
              </w:rPr>
            </w:pPr>
            <w:r>
              <w:rPr>
                <w:rFonts w:ascii="Arial" w:cs="Arial" w:eastAsia="Arial" w:hAnsi="Arial"/>
                <w:sz w:val="18"/>
                <w:szCs w:val="18"/>
                <w:b w:val="1"/>
                <w:bCs w:val="1"/>
                <w:color w:val="auto"/>
              </w:rPr>
              <w:t>52%</w:t>
            </w: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29%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468"/>
        </w:trPr>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8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Competitive compensation analysis for the other executive officers consists only of an average of size-adjusted median general industry survey data. The competitive analysis showed that 2015 total direct compensation opportunities were near the median for our President and Chief Executive Officer and did not exceed the median for our other named executive officers.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8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color w:val="auto"/>
        </w:rPr>
        <w:t>. The MD&amp;C Committee considers the forms in which total compensation will be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long-term and short-term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charts display the allocation of total 2015 compensation among base salary, annual cash incentive at target and long-term incentives at target for (a) our President and Chief Executive Officer and (b) our other named executives, on average. These charts reflect the MD&amp;C Committee’s 2015 desired total mix of target compensation for named executives, which includes approximately 58% of total compensation derived from long-term equity awards, while long-term equity awards comprise approximately 70% of Mr. Steiner’s total compensation. These charts also reflect that approximately 87% of Mr. Steiner’s target total compensation opportunities awarded in 2015 were performance-based, while approximately 77% of the target total compensation for the other named executives was performance-based. We consider stock options granted under our long-term incentive plan to be performance-based because their value will increase as the market value of our Common Stock increases.</w:t>
      </w:r>
    </w:p>
    <w:p>
      <w:pPr>
        <w:spacing w:after="0" w:line="197" w:lineRule="exact"/>
        <w:rPr>
          <w:sz w:val="20"/>
          <w:szCs w:val="20"/>
          <w:color w:val="auto"/>
        </w:rPr>
      </w:pPr>
    </w:p>
    <w:p>
      <w:pPr>
        <w:ind w:left="1660"/>
        <w:spacing w:after="0"/>
        <w:tabs>
          <w:tab w:leader="none" w:pos="7460" w:val="left"/>
        </w:tabs>
        <w:rPr>
          <w:sz w:val="20"/>
          <w:szCs w:val="20"/>
          <w:color w:val="auto"/>
        </w:rPr>
      </w:pPr>
      <w:r>
        <w:rPr>
          <w:rFonts w:ascii="Arial" w:cs="Arial" w:eastAsia="Arial" w:hAnsi="Arial"/>
          <w:sz w:val="14"/>
          <w:szCs w:val="14"/>
          <w:b w:val="1"/>
          <w:bCs w:val="1"/>
          <w:color w:val="auto"/>
        </w:rPr>
        <w:t>President and Chief Executive Officer</w:t>
      </w:r>
      <w:r>
        <w:rPr>
          <w:sz w:val="20"/>
          <w:szCs w:val="20"/>
          <w:color w:val="auto"/>
        </w:rPr>
        <w:tab/>
      </w:r>
      <w:r>
        <w:rPr>
          <w:rFonts w:ascii="Arial" w:cs="Arial" w:eastAsia="Arial" w:hAnsi="Arial"/>
          <w:sz w:val="12"/>
          <w:szCs w:val="12"/>
          <w:b w:val="1"/>
          <w:bCs w:val="1"/>
          <w:color w:val="auto"/>
        </w:rPr>
        <w:t>Other Named Executives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1233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u w:val="single" w:color="auto"/>
          <w:color w:val="auto"/>
        </w:rPr>
        <w:t>Internal Pay Equity.</w:t>
      </w:r>
      <w:r>
        <w:rPr>
          <w:rFonts w:ascii="Arial" w:cs="Arial" w:eastAsia="Arial" w:hAnsi="Arial"/>
          <w:sz w:val="17"/>
          <w:szCs w:val="17"/>
          <w:i w:val="1"/>
          <w:iCs w:val="1"/>
          <w:color w:val="auto"/>
        </w:rPr>
        <w:t xml:space="preserve"> </w:t>
      </w:r>
      <w:r>
        <w:rPr>
          <w:rFonts w:ascii="Arial" w:cs="Arial" w:eastAsia="Arial" w:hAnsi="Arial"/>
          <w:sz w:val="17"/>
          <w:szCs w:val="17"/>
          <w:color w:val="auto"/>
        </w:rPr>
        <w:t>The MD&amp;C Committee considers the differentials between compensation of the named executive officers. The MD&amp;C</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also reviews compensation 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confirms that the compensation paid to the President and Chief Executive Officer is reasonable compared to that of the other executive officers.</w:t>
      </w:r>
    </w:p>
    <w:p>
      <w:pPr>
        <w:spacing w:after="0" w:line="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u w:val="single" w:color="auto"/>
          <w:color w:val="auto"/>
        </w:rPr>
        <w:t>Policy on Calculation Adjustments</w:t>
      </w:r>
      <w:r>
        <w:rPr>
          <w:rFonts w:ascii="Arial" w:cs="Arial" w:eastAsia="Arial" w:hAnsi="Arial"/>
          <w:sz w:val="16"/>
          <w:szCs w:val="16"/>
          <w:color w:val="auto"/>
        </w:rPr>
        <w:t>. In 2014, the MD&amp;C Committee adopted a policy on calculation adjustments that affect payouts under annual and</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incentive awards. Consistent with past practice, the MD&amp;C Committee reserves the right to adjust the results on performance measures used to determine annual and long-term incentive plan payouts in order to eliminate the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MD&amp;C Committee has adopted guidelines that are generally consistent with the Company’s guidelines for reporting adjusted non-GAAP earnings to the investment community, while retaining discretion to evaluate all adjustments, both income and expense, as circumstances warrant. Additionally, the MD&amp;C Committee has determined that potential adjustments arising from a single transaction or event generally should be disregarded unless, taken together, they change the calculated award payout by at least five percent.</w:t>
      </w:r>
    </w:p>
    <w:p>
      <w:pPr>
        <w:spacing w:after="0" w:line="5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u w:val="single" w:color="auto"/>
          <w:color w:val="auto"/>
        </w:rPr>
        <w:t>Tax and Accounting Matters</w:t>
      </w:r>
      <w:r>
        <w:rPr>
          <w:rFonts w:ascii="Arial" w:cs="Arial" w:eastAsia="Arial" w:hAnsi="Arial"/>
          <w:sz w:val="17"/>
          <w:szCs w:val="17"/>
          <w:color w:val="auto"/>
        </w:rPr>
        <w:t>. Section 162(m) of the Internal Revenue Code of 1985, as amended (“Code Section 162(m)”), denies a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for federal income tax purposes for certain compensation in excess of $1 million per person paid in any year to our President and Chief Executive Officer and our other three highest paid executives. “Performance-based” compensation meeting specified standards is deductible without regard to the $1 million cap. We design our compensation plans to be tax efficient for the Company where possible. However, our MD&amp;C Committee reserves the right to structure the compensation of our executive officers without regard for whether the compensation is fully deductible if, in the MD&amp;C Committee’s judgment, it is in the best interests of the Company and stockholders to do so.</w:t>
      </w:r>
    </w:p>
    <w:p>
      <w:pPr>
        <w:spacing w:after="0" w:line="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annual cash incentive plan is intended to comply with the performance-based compensation exemption under Code Section 162(m) by allowing the MD&amp;C Committee to set performance criteria for payments, which may not exceed the predetermined amount of 0.5% of the Company’s pre-tax income from operations per participant. Our performance share unit awards are also intended to meet the qualified performance-based compensation exception under Code Section 162(m).</w:t>
      </w:r>
    </w:p>
    <w:p>
      <w:pPr>
        <w:spacing w:after="0" w:line="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409A of the Internal Revenue Code of 1986, as amended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8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account for stock-based payments, including stock options and PSUs, in accordance with Financial Accounting Standards Board Accounting Standards Codification Topic 718, Stock Compensation.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2015 Compensation Program and Results — Long-Term Equity Incentives”), this “value” will differ from the grant date fair value of awards calculated pursuant to ASC Topic 718.</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color w:val="auto"/>
        </w:rPr>
        <w:t>. The MD&amp;C Committee uses the structural elements set forth in the Executive Summary earlier to establish compensation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sufficient incentives for named executive officers to drive results while avoiding unnecessary or excessive risk taking that could harm the long-term value of the Company. During 2015,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8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u w:val="single" w:color="auto"/>
          <w:color w:val="auto"/>
        </w:rPr>
        <w:t>Consideration of Stockholder Advisory Vote on Executive Compensation</w:t>
      </w:r>
      <w:r>
        <w:rPr>
          <w:rFonts w:ascii="Arial" w:cs="Arial" w:eastAsia="Arial" w:hAnsi="Arial"/>
          <w:sz w:val="17"/>
          <w:szCs w:val="17"/>
          <w:color w:val="auto"/>
        </w:rPr>
        <w:t>. The MD&amp;C Committee reviews the results of the stockholder advisory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executive compensation and considers any implications of such voting results on the Company’s compensation programs. In light of the very high percentage of shares present and entitled to vote at the annual meeting voting in favor of the Company’s executive compensation the past five years, the results of the stockholder advisory votes have not caused the MD&amp;C Committee to recommend any changes to our compensation practices.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Executives’ 2015 Compensation Program and Results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Base Salary</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In the Spring of 2015, the Company granted increases to the base salaries of named executive officers consistent with our compensation philosophy and driven by competitive market data, internal pay equity considerations and individual performance relative to the executive’s responsibilities and contributions. The table below shows 2014 base salary, percent increase and 2015 base salary for each of our named executive officers.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Base Salary</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Base Salary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1,196,165</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630,000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661,500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566,500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623,150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566,175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595,000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522,500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Annual Cash Incentive</w:t>
      </w:r>
    </w:p>
    <w:p>
      <w:pPr>
        <w:spacing w:after="0" w:line="131" w:lineRule="exact"/>
        <w:rPr>
          <w:sz w:val="20"/>
          <w:szCs w:val="20"/>
          <w:color w:val="auto"/>
        </w:rPr>
      </w:pPr>
    </w:p>
    <w:p>
      <w:pPr>
        <w:ind w:left="660" w:right="300" w:hanging="206"/>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Annual cash incentives were dependent on the following performance measures: Income from Operations as a percentage of Revenue, or Income from Operations Margin (25%); Income from Operations, excluding Depreciation and Amortization (25%); and Operating Expense, less depreciation, depletion and amortization, as a percentage of Net Revenue, or Cost Measure (50%).</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Each of the named executives received an annual cash incentive payment in March 2016 for fiscal year 2015 equal to 108.5% of target.</w:t>
      </w:r>
    </w:p>
    <w:p>
      <w:pPr>
        <w:spacing w:after="0" w:line="1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MD&amp;C Committee develops financial performance measures for annual cash incentive awards to drive improvements in business operations, as well as support and fund the long-term strategy of the Company. The MD&amp;C Committee found that the Income from Operations Margin performance measure continues to keep the Company focused on cost control, operational improvements and yield, while the Income from Operations, excluding Depreciation and Amortization, performance measure encourages balanced focus on growth and profitability. Finally, the MD&amp;C Committee maintained the Cost Measure in 2015 and its focus on operating cost control, after successfully driving reductions in operating cost the prior year. 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and expected costs. The MD&amp;C Committee believes these financial performance measures support and align with the strategy of the Company and are appropriate indicators of our progress toward the Company’s goals.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details the performance measures set by the MD&amp;C Committee for purposes of the named executive officers’ annual cash incentive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Threshold</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Target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149"/>
        </w:trPr>
        <w:tc>
          <w:tcPr>
            <w:tcW w:w="59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r>
      <w:tr>
        <w:trPr>
          <w:trHeight w:val="171"/>
        </w:trPr>
        <w:tc>
          <w:tcPr>
            <w:tcW w:w="598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(60% Payment)</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(100% Payment)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(200% Payment)</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 Margin</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15.8%</w:t>
            </w:r>
          </w:p>
        </w:tc>
        <w:tc>
          <w:tcPr>
            <w:tcW w:w="4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16.5%</w:t>
            </w:r>
          </w:p>
        </w:tc>
        <w:tc>
          <w:tcPr>
            <w:tcW w:w="5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from Operations excluding Depreciation &amp; Amortization</w:t>
            </w: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$3.349 billion</w:t>
            </w:r>
          </w:p>
        </w:tc>
        <w:tc>
          <w:tcPr>
            <w:tcW w:w="176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$3.57 billion</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$3.77 billion</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Measure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61.4%</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60.5% - 60.9%</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59.9%</w:t>
            </w:r>
          </w:p>
        </w:tc>
      </w:tr>
    </w:tbl>
    <w:p>
      <w:pPr>
        <w:spacing w:after="0" w:line="9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w w:val="92"/>
              </w:rPr>
              <w:t>Income from Operations, excluding</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80" w:type="dxa"/>
            <w:vAlign w:val="bottom"/>
            <w:gridSpan w:val="4"/>
          </w:tcPr>
          <w:p>
            <w:pPr>
              <w:jc w:val="center"/>
              <w:ind w:right="1000"/>
              <w:spacing w:after="0" w:line="158" w:lineRule="exact"/>
              <w:rPr>
                <w:sz w:val="20"/>
                <w:szCs w:val="20"/>
                <w:color w:val="auto"/>
              </w:rPr>
            </w:pPr>
            <w:r>
              <w:rPr>
                <w:rFonts w:ascii="Arial" w:cs="Arial" w:eastAsia="Arial" w:hAnsi="Arial"/>
                <w:sz w:val="14"/>
                <w:szCs w:val="14"/>
                <w:b w:val="1"/>
                <w:bCs w:val="1"/>
                <w:color w:val="auto"/>
                <w:w w:val="93"/>
              </w:rPr>
              <w:t>Income from Operations</w:t>
            </w:r>
          </w:p>
        </w:tc>
        <w:tc>
          <w:tcPr>
            <w:tcW w:w="240" w:type="dxa"/>
            <w:vAlign w:val="bottom"/>
          </w:tcPr>
          <w:p>
            <w:pPr>
              <w:spacing w:after="0"/>
              <w:rPr>
                <w:sz w:val="13"/>
                <w:szCs w:val="13"/>
                <w:color w:val="auto"/>
              </w:rPr>
            </w:pPr>
          </w:p>
        </w:tc>
        <w:tc>
          <w:tcPr>
            <w:tcW w:w="2140" w:type="dxa"/>
            <w:vAlign w:val="bottom"/>
            <w:gridSpan w:val="3"/>
          </w:tcPr>
          <w:p>
            <w:pPr>
              <w:jc w:val="center"/>
              <w:ind w:left="244"/>
              <w:spacing w:after="0" w:line="158" w:lineRule="exact"/>
              <w:rPr>
                <w:sz w:val="20"/>
                <w:szCs w:val="20"/>
                <w:color w:val="auto"/>
              </w:rPr>
            </w:pPr>
            <w:r>
              <w:rPr>
                <w:rFonts w:ascii="Arial" w:cs="Arial" w:eastAsia="Arial" w:hAnsi="Arial"/>
                <w:sz w:val="14"/>
                <w:szCs w:val="14"/>
                <w:b w:val="1"/>
                <w:bCs w:val="1"/>
                <w:color w:val="auto"/>
                <w:w w:val="96"/>
              </w:rPr>
              <w:t>Depreciation &amp; Amortization</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Cost Measure</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2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7"/>
              </w:rPr>
              <w:t>Margin (weighted 25%)</w:t>
            </w:r>
          </w:p>
        </w:tc>
        <w:tc>
          <w:tcPr>
            <w:tcW w:w="240" w:type="dxa"/>
            <w:vAlign w:val="bottom"/>
          </w:tcPr>
          <w:p>
            <w:pPr>
              <w:spacing w:after="0"/>
              <w:rPr>
                <w:sz w:val="14"/>
                <w:szCs w:val="14"/>
                <w:color w:val="auto"/>
              </w:rPr>
            </w:pPr>
          </w:p>
        </w:tc>
        <w:tc>
          <w:tcPr>
            <w:tcW w:w="214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96"/>
              </w:rPr>
              <w:t>(weighted 25%)</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 50%)</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Payout Earned</w:t>
            </w:r>
          </w:p>
        </w:tc>
        <w:tc>
          <w:tcPr>
            <w:tcW w:w="0" w:type="dxa"/>
            <w:vAlign w:val="bottom"/>
          </w:tcPr>
          <w:p>
            <w:pPr>
              <w:spacing w:after="0"/>
              <w:rPr>
                <w:sz w:val="1"/>
                <w:szCs w:val="1"/>
                <w:color w:val="auto"/>
              </w:rPr>
            </w:pPr>
          </w:p>
        </w:tc>
      </w:tr>
      <w:tr>
        <w:trPr>
          <w:trHeight w:val="119"/>
        </w:trPr>
        <w:tc>
          <w:tcPr>
            <w:tcW w:w="64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4"/>
                <w:szCs w:val="14"/>
                <w:b w:val="1"/>
                <w:bCs w:val="1"/>
                <w:color w:val="auto"/>
              </w:rPr>
              <w:t>Actual</w:t>
            </w:r>
          </w:p>
        </w:tc>
        <w:tc>
          <w:tcPr>
            <w:tcW w:w="900" w:type="dxa"/>
            <w:vAlign w:val="bottom"/>
            <w:tcBorders>
              <w:top w:val="single" w:sz="8" w:color="auto"/>
            </w:tcBorders>
            <w:vMerge w:val="restart"/>
          </w:tcPr>
          <w:p>
            <w:pPr>
              <w:spacing w:after="0"/>
              <w:rPr>
                <w:sz w:val="10"/>
                <w:szCs w:val="10"/>
                <w:color w:val="auto"/>
              </w:rPr>
            </w:pPr>
          </w:p>
        </w:tc>
        <w:tc>
          <w:tcPr>
            <w:tcW w:w="72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Payout</w:t>
            </w:r>
          </w:p>
        </w:tc>
        <w:tc>
          <w:tcPr>
            <w:tcW w:w="10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Actual</w:t>
            </w:r>
          </w:p>
        </w:tc>
        <w:tc>
          <w:tcPr>
            <w:tcW w:w="940" w:type="dxa"/>
            <w:vAlign w:val="bottom"/>
            <w:tcBorders>
              <w:top w:val="single" w:sz="8" w:color="auto"/>
            </w:tcBorders>
            <w:vMerge w:val="restart"/>
          </w:tcPr>
          <w:p>
            <w:pPr>
              <w:spacing w:after="0"/>
              <w:rPr>
                <w:sz w:val="10"/>
                <w:szCs w:val="10"/>
                <w:color w:val="auto"/>
              </w:rPr>
            </w:pPr>
          </w:p>
        </w:tc>
        <w:tc>
          <w:tcPr>
            <w:tcW w:w="80" w:type="dxa"/>
            <w:vAlign w:val="bottom"/>
            <w:tcBorders>
              <w:top w:val="single" w:sz="8" w:color="auto"/>
            </w:tcBorders>
            <w:vMerge w:val="restart"/>
          </w:tcPr>
          <w:p>
            <w:pPr>
              <w:spacing w:after="0"/>
              <w:rPr>
                <w:sz w:val="10"/>
                <w:szCs w:val="10"/>
                <w:color w:val="auto"/>
              </w:rPr>
            </w:pPr>
          </w:p>
        </w:tc>
        <w:tc>
          <w:tcPr>
            <w:tcW w:w="5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Payout</w:t>
            </w:r>
          </w:p>
        </w:tc>
        <w:tc>
          <w:tcPr>
            <w:tcW w:w="1020" w:type="dxa"/>
            <w:vAlign w:val="bottom"/>
          </w:tcPr>
          <w:p>
            <w:pPr>
              <w:spacing w:after="0"/>
              <w:rPr>
                <w:sz w:val="10"/>
                <w:szCs w:val="10"/>
                <w:color w:val="auto"/>
              </w:rPr>
            </w:pPr>
          </w:p>
        </w:tc>
        <w:tc>
          <w:tcPr>
            <w:tcW w:w="4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3"/>
              </w:rPr>
              <w:t>Actual</w:t>
            </w:r>
          </w:p>
        </w:tc>
        <w:tc>
          <w:tcPr>
            <w:tcW w:w="1040" w:type="dxa"/>
            <w:vAlign w:val="bottom"/>
            <w:tcBorders>
              <w:top w:val="single" w:sz="8" w:color="auto"/>
            </w:tcBorders>
            <w:vMerge w:val="restart"/>
          </w:tcPr>
          <w:p>
            <w:pPr>
              <w:spacing w:after="0"/>
              <w:rPr>
                <w:sz w:val="10"/>
                <w:szCs w:val="10"/>
                <w:color w:val="auto"/>
              </w:rPr>
            </w:pPr>
          </w:p>
        </w:tc>
        <w:tc>
          <w:tcPr>
            <w:tcW w:w="4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Payout</w:t>
            </w:r>
          </w:p>
        </w:tc>
        <w:tc>
          <w:tcPr>
            <w:tcW w:w="1020" w:type="dxa"/>
            <w:vAlign w:val="bottom"/>
          </w:tcPr>
          <w:p>
            <w:pPr>
              <w:spacing w:after="0"/>
              <w:rPr>
                <w:sz w:val="10"/>
                <w:szCs w:val="10"/>
                <w:color w:val="auto"/>
              </w:rPr>
            </w:pPr>
          </w:p>
        </w:tc>
        <w:tc>
          <w:tcPr>
            <w:tcW w:w="12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(as a percentage</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Earned</w:t>
            </w:r>
          </w:p>
        </w:tc>
        <w:tc>
          <w:tcPr>
            <w:tcW w:w="1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Earned</w:t>
            </w: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Earned</w:t>
            </w:r>
          </w:p>
        </w:tc>
        <w:tc>
          <w:tcPr>
            <w:tcW w:w="10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Target)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9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158.17%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3.436 billion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75.83%</w:t>
            </w:r>
          </w:p>
        </w:tc>
        <w:tc>
          <w:tcPr>
            <w:tcW w:w="15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98"/>
              </w:rPr>
              <w:t>60.55%</w:t>
            </w: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4"/>
              </w:rPr>
              <w:t>100.0%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discussed above, the MD&amp;C Committee has discretion to make adjustments to the performance calculations for unusual or otherwise non-operational matters in line with its policy on calculation adjustments. The calculation of 2015 annual cash incentive performance measures was made on a basis consistent with the Company’s reporting of its 2015 financial results, including exclusion of asset impairments and unusual items, restructuring charges and settlement payments in connection with withdrawal from multiemployer pension plans. The 2015 cash incentive performance calculations were not otherwise adjusted.</w:t>
      </w:r>
    </w:p>
    <w:p>
      <w:pPr>
        <w:spacing w:after="0" w:line="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Target annual cash incentives are a specified percentage of the executives’ base salary. The following table shows each named executive’s target percentage of base salary for 2015 and annual cash incentive for 2015 paid in March 2016.</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0"/>
              </w:rPr>
              <w:t>Target Percentage</w:t>
            </w:r>
          </w:p>
        </w:tc>
        <w:tc>
          <w:tcPr>
            <w:tcW w:w="5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Annual Cash</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8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586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of Base Salary</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For 2015</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58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1,800,986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7500" w:type="dxa"/>
            <w:vAlign w:val="bottom"/>
            <w:gridSpan w:val="3"/>
          </w:tcPr>
          <w:p>
            <w:pPr>
              <w:jc w:val="right"/>
              <w:ind w:right="520"/>
              <w:spacing w:after="0"/>
              <w:rPr>
                <w:sz w:val="20"/>
                <w:szCs w:val="20"/>
                <w:color w:val="auto"/>
              </w:rPr>
            </w:pPr>
            <w:r>
              <w:rPr>
                <w:rFonts w:ascii="Arial" w:cs="Arial" w:eastAsia="Arial" w:hAnsi="Arial"/>
                <w:sz w:val="18"/>
                <w:szCs w:val="18"/>
                <w:color w:val="auto"/>
              </w:rPr>
              <w:t>90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638,623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7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595,320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r>
              <w:rPr>
                <w:rFonts w:ascii="Arial" w:cs="Arial" w:eastAsia="Arial" w:hAnsi="Arial"/>
                <w:sz w:val="15"/>
                <w:szCs w:val="15"/>
                <w:color w:val="auto"/>
              </w:rPr>
              <w:t>2</w:t>
            </w:r>
          </w:p>
        </w:tc>
        <w:tc>
          <w:tcPr>
            <w:tcW w:w="7500" w:type="dxa"/>
            <w:vAlign w:val="bottom"/>
            <w:gridSpan w:val="3"/>
          </w:tcPr>
          <w:p>
            <w:pPr>
              <w:jc w:val="right"/>
              <w:ind w:right="520"/>
              <w:spacing w:after="0"/>
              <w:rPr>
                <w:sz w:val="20"/>
                <w:szCs w:val="20"/>
                <w:color w:val="auto"/>
              </w:rPr>
            </w:pPr>
            <w:r>
              <w:rPr>
                <w:rFonts w:ascii="Arial" w:cs="Arial" w:eastAsia="Arial" w:hAnsi="Arial"/>
                <w:sz w:val="18"/>
                <w:szCs w:val="18"/>
                <w:color w:val="auto"/>
              </w:rPr>
              <w:t>80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510,496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r>
              <w:rPr>
                <w:rFonts w:ascii="Arial" w:cs="Arial" w:eastAsia="Arial" w:hAnsi="Arial"/>
                <w:sz w:val="15"/>
                <w:szCs w:val="15"/>
                <w:color w:val="auto"/>
              </w:rPr>
              <w:t>2</w:t>
            </w:r>
          </w:p>
        </w:tc>
        <w:tc>
          <w:tcPr>
            <w:tcW w:w="7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72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 increases for 2015 were not implemented until Spring of 2015; accordingly, the calculations of annual cash incentive payouts, as a percentage of base salary, were made using the named executive’s actual base salary for 2015.</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2015, the target percentage of base salary was increased from 75% to 80% for Messrs. Harris and Morris. These changes were made to better position the executives around the competitive median and to reflect their contributions.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u w:val="single" w:color="auto"/>
          <w:color w:val="auto"/>
        </w:rPr>
        <w:t>Long-Term Equity Incentives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Our equity awards are designed to hold individuals accountable for long-term decisions by rewarding the success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2015 annual long-term incentive grant, the MD&amp;C Committee decided to grant both PSUs comprising 80% of each named executive’s award and stock options comprising 20% of each named executive’s award. Payout on half of each named executives’ PSUs granted in 2015 is dependent on cash flow generation. Payout on the remaining half of PSUs granted in 2015 is dependent on total shareholder return relative to the S&amp;P 500. Meanwhile, stock options encourage focus on increasing the market value of our stock. Before determining the actual number of PSUs and stock options that were granted to each of the named executives in 2015, the MD&amp;C Committee established a target dollar amount for each named executive’s annual total long-term equity incentive award. The values chosen were based primarily on the comparison information for the competitive market and an analysis of the named executives’ responsibility for meeting the Company’s strategic objectives. Target dollar amounts for equity incentive awards will vary from grant date fair values calculated for accounting purposes.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Dollar Values of Annual</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Long-Term Equity Incentives</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Set by the Committee</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(at Target)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7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7160" w:type="dxa"/>
            <w:vAlign w:val="bottom"/>
            <w:gridSpan w:val="2"/>
          </w:tcPr>
          <w:p>
            <w:pPr>
              <w:ind w:left="70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7160" w:type="dxa"/>
            <w:vAlign w:val="bottom"/>
            <w:gridSpan w:val="2"/>
            <w:shd w:val="clear" w:color="auto" w:fill="CCEEFF"/>
          </w:tcPr>
          <w:p>
            <w:pPr>
              <w:ind w:left="70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7160" w:type="dxa"/>
            <w:vAlign w:val="bottom"/>
            <w:gridSpan w:val="2"/>
          </w:tcPr>
          <w:p>
            <w:pPr>
              <w:ind w:left="70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7160" w:type="dxa"/>
            <w:vAlign w:val="bottom"/>
            <w:gridSpan w:val="2"/>
            <w:shd w:val="clear" w:color="auto" w:fill="CCEEFF"/>
          </w:tcPr>
          <w:p>
            <w:pPr>
              <w:ind w:left="70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Performance Share Units</w:t>
      </w:r>
    </w:p>
    <w:p>
      <w:pPr>
        <w:spacing w:after="0" w:line="131"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were granted new PSUs with a three-year performance period ending December 31, 2017.</w:t>
      </w:r>
    </w:p>
    <w:p>
      <w:pPr>
        <w:spacing w:after="0" w:line="130" w:lineRule="exact"/>
        <w:rPr>
          <w:rFonts w:ascii="Arial" w:cs="Arial" w:eastAsia="Arial" w:hAnsi="Arial"/>
          <w:sz w:val="18"/>
          <w:szCs w:val="18"/>
          <w:i w:val="1"/>
          <w:iCs w:val="1"/>
          <w:color w:val="auto"/>
        </w:rPr>
      </w:pPr>
    </w:p>
    <w:p>
      <w:pPr>
        <w:ind w:left="660" w:right="160" w:hanging="206"/>
        <w:spacing w:after="0" w:line="277" w:lineRule="auto"/>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Payout on half of each named executives’ PSUs granted in 2015 is dependent on cash flow generation, and payout on the remaining half of PSUs granted in 2015 is dependent on total shareholder return relative to the S&amp;P 500.</w:t>
      </w:r>
    </w:p>
    <w:p>
      <w:pPr>
        <w:spacing w:after="0" w:line="75" w:lineRule="exact"/>
        <w:rPr>
          <w:rFonts w:ascii="Arial" w:cs="Arial" w:eastAsia="Arial" w:hAnsi="Arial"/>
          <w:sz w:val="18"/>
          <w:szCs w:val="18"/>
          <w:i w:val="1"/>
          <w:iCs w:val="1"/>
          <w:color w:val="auto"/>
        </w:rPr>
      </w:pPr>
    </w:p>
    <w:p>
      <w:pPr>
        <w:ind w:left="660" w:right="100" w:hanging="206"/>
        <w:spacing w:after="0" w:line="277" w:lineRule="auto"/>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received a 196.15% payout in shares of Common Stock with respect to the half of the PSUs granted in 2013 with a performance period ended December 31, 2015 that were subject to a return on invested capital performance measure.</w:t>
      </w:r>
    </w:p>
    <w:p>
      <w:pPr>
        <w:spacing w:after="0" w:line="75" w:lineRule="exact"/>
        <w:rPr>
          <w:rFonts w:ascii="Arial" w:cs="Arial" w:eastAsia="Arial" w:hAnsi="Arial"/>
          <w:sz w:val="18"/>
          <w:szCs w:val="18"/>
          <w:i w:val="1"/>
          <w:iCs w:val="1"/>
          <w:color w:val="auto"/>
        </w:rPr>
      </w:pPr>
    </w:p>
    <w:p>
      <w:pPr>
        <w:ind w:left="660" w:right="100" w:hanging="206"/>
        <w:spacing w:after="0" w:line="277" w:lineRule="auto"/>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received a 132.88% payout in shares of Common Stock with respect to the half of the PSUs granted in 2013 with a performance period ended December 31, 2015 that were subject to total shareholder return relative to the S&amp;P 500.</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u w:val="single" w:color="auto"/>
          <w:color w:val="auto"/>
        </w:rPr>
        <w:t>PSUs Granted in 2015</w:t>
      </w:r>
      <w:r>
        <w:rPr>
          <w:rFonts w:ascii="Arial" w:cs="Arial" w:eastAsia="Arial" w:hAnsi="Arial"/>
          <w:sz w:val="16"/>
          <w:szCs w:val="16"/>
          <w:color w:val="auto"/>
        </w:rPr>
        <w:t>. Performance share units are granted to our named executive officers annually to align compensation with the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long-term financial goals and to build stock ownership. Performance share units provide an immediate retention value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302" w:lineRule="auto"/>
        <w:rPr>
          <w:sz w:val="20"/>
          <w:szCs w:val="20"/>
          <w:color w:val="auto"/>
        </w:rPr>
      </w:pPr>
      <w:r>
        <w:rPr>
          <w:rFonts w:ascii="Arial" w:cs="Arial" w:eastAsia="Arial" w:hAnsi="Arial"/>
          <w:sz w:val="16"/>
          <w:szCs w:val="16"/>
          <w:color w:val="auto"/>
        </w:rPr>
        <w:t>The MD&amp;C Committee determined the number of PSUs that were granted to each of the named executives in 2015 by taking the targeted dollar amounts established for total long-term equity incentives (set forth in the table above) and multiplying by 80%. Those values were then divided by the average of the high and low price of our Common Stock over the 30 trading days preceding the MD&amp;C Committee meeting at which the grants were approved to determine the target number of PSUs granted. The number of PSUs granted in 2015 are shown in the table below.</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0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80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 Units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80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26,038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26,038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21,736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21,736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Half of each named executive’s PSUs included in the table set forth above are subject to a cash flow performance measure; the cash flow measure requires focus on capital discipline and strengthens alignment with stockholders’ free cash flow expectations. For purposes of these PSUs, we generally define cash flow as cash provided by operating activities, with the following exclusions: capital expenditures for purposes of internal growth; costs associated with labor disruptions; and strategic acquisition, restructuring, and transformation and reorganization costs. The MD&amp;C Committee retains the right to make additional adjustments to the calculation of cash flow, as discussed previously with regard to its policy on calculation adjustments.</w:t>
      </w:r>
    </w:p>
    <w:p>
      <w:pPr>
        <w:spacing w:after="0" w:line="5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table below shows the required achievement of the cash flow performance measure and the corresponding potential payouts under our PSUs granted in 2015.</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4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Threshold</w:t>
            </w:r>
          </w:p>
        </w:tc>
        <w:tc>
          <w:tcPr>
            <w:tcW w:w="4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Maximum</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4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Payout</w:t>
            </w:r>
          </w:p>
        </w:tc>
        <w:tc>
          <w:tcPr>
            <w:tcW w:w="6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Payout</w:t>
            </w:r>
          </w:p>
        </w:tc>
        <w:tc>
          <w:tcPr>
            <w:tcW w:w="6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Payout</w:t>
            </w:r>
          </w:p>
        </w:tc>
        <w:tc>
          <w:tcPr>
            <w:tcW w:w="200" w:type="dxa"/>
            <w:vAlign w:val="bottom"/>
            <w:tcBorders>
              <w:bottom w:val="single" w:sz="8" w:color="CCEEFF"/>
            </w:tcBorders>
          </w:tcPr>
          <w:p>
            <w:pPr>
              <w:spacing w:after="0"/>
              <w:rPr>
                <w:sz w:val="12"/>
                <w:szCs w:val="12"/>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$3.533 billion</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$3.833 billion</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$4.133 billion</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bl>
    <w:p>
      <w:pPr>
        <w:spacing w:after="0" w:line="94"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remaining half of each named executive’s PSUs are subject to total shareholder return relative to the S&amp;P 500. This measure directly correlates executive compensation with creation of shareholder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2015.</w:t>
      </w:r>
    </w:p>
    <w:p>
      <w:pPr>
        <w:spacing w:after="0" w:line="8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320" w:type="dxa"/>
            <w:vAlign w:val="bottom"/>
            <w:gridSpan w:val="3"/>
            <w:vMerge w:val="restart"/>
          </w:tcPr>
          <w:p>
            <w:pPr>
              <w:jc w:val="center"/>
              <w:ind w:left="354"/>
              <w:spacing w:after="0"/>
              <w:rPr>
                <w:sz w:val="20"/>
                <w:szCs w:val="20"/>
                <w:color w:val="auto"/>
              </w:rPr>
            </w:pPr>
            <w:r>
              <w:rPr>
                <w:rFonts w:ascii="Arial" w:cs="Arial" w:eastAsia="Arial" w:hAnsi="Arial"/>
                <w:sz w:val="14"/>
                <w:szCs w:val="14"/>
                <w:b w:val="1"/>
                <w:bCs w:val="1"/>
                <w:color w:val="auto"/>
                <w:w w:val="93"/>
              </w:rPr>
              <w:t>Performance</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Total Shareholder Return Relative to the S&amp;P 500</w:t>
            </w:r>
          </w:p>
        </w:tc>
        <w:tc>
          <w:tcPr>
            <w:tcW w:w="234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2"/>
        </w:trPr>
        <w:tc>
          <w:tcPr>
            <w:tcW w:w="2320" w:type="dxa"/>
            <w:vAlign w:val="bottom"/>
            <w:gridSpan w:val="3"/>
            <w:vMerge w:val="continue"/>
          </w:tcPr>
          <w:p>
            <w:pPr>
              <w:spacing w:after="0"/>
              <w:rPr>
                <w:sz w:val="12"/>
                <w:szCs w:val="12"/>
                <w:color w:val="auto"/>
              </w:rPr>
            </w:pPr>
          </w:p>
        </w:tc>
        <w:tc>
          <w:tcPr>
            <w:tcW w:w="310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40" w:type="dxa"/>
            <w:vAlign w:val="bottom"/>
            <w:gridSpan w:val="2"/>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4"/>
            <w:shd w:val="clear" w:color="auto" w:fill="CCEEFF"/>
          </w:tcPr>
          <w:p>
            <w:pPr>
              <w:jc w:val="center"/>
              <w:ind w:right="2568"/>
              <w:spacing w:after="0" w:line="196" w:lineRule="exact"/>
              <w:rPr>
                <w:sz w:val="20"/>
                <w:szCs w:val="20"/>
                <w:color w:val="auto"/>
              </w:rPr>
            </w:pPr>
            <w:r>
              <w:rPr>
                <w:rFonts w:ascii="Arial" w:cs="Arial" w:eastAsia="Arial" w:hAnsi="Arial"/>
                <w:sz w:val="18"/>
                <w:szCs w:val="18"/>
                <w:color w:val="auto"/>
                <w:w w:val="94"/>
              </w:rPr>
              <w:t>75</w:t>
            </w:r>
            <w:r>
              <w:rPr>
                <w:rFonts w:ascii="Arial" w:cs="Arial" w:eastAsia="Arial" w:hAnsi="Arial"/>
                <w:sz w:val="15"/>
                <w:szCs w:val="15"/>
                <w:color w:val="auto"/>
                <w:w w:val="94"/>
              </w:rPr>
              <w:t>th</w:t>
            </w:r>
            <w:r>
              <w:rPr>
                <w:rFonts w:ascii="Arial" w:cs="Arial" w:eastAsia="Arial" w:hAnsi="Arial"/>
                <w:sz w:val="18"/>
                <w:szCs w:val="18"/>
                <w:color w:val="auto"/>
                <w:w w:val="94"/>
              </w:rPr>
              <w:t xml:space="preserve"> percentile (Maximum)</w:t>
            </w:r>
          </w:p>
        </w:tc>
        <w:tc>
          <w:tcPr>
            <w:tcW w:w="2260" w:type="dxa"/>
            <w:vAlign w:val="bottom"/>
            <w:gridSpan w:val="2"/>
            <w:shd w:val="clear" w:color="auto" w:fill="CCEEFF"/>
          </w:tcPr>
          <w:p>
            <w:pPr>
              <w:jc w:val="center"/>
              <w:ind w:left="1754"/>
              <w:spacing w:after="0" w:line="196" w:lineRule="exact"/>
              <w:rPr>
                <w:sz w:val="20"/>
                <w:szCs w:val="20"/>
                <w:color w:val="auto"/>
              </w:rPr>
            </w:pPr>
            <w:r>
              <w:rPr>
                <w:rFonts w:ascii="Arial" w:cs="Arial" w:eastAsia="Arial" w:hAnsi="Arial"/>
                <w:sz w:val="18"/>
                <w:szCs w:val="18"/>
                <w:color w:val="auto"/>
                <w:w w:val="91"/>
              </w:rPr>
              <w:t>200%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jc w:val="center"/>
              <w:ind w:right="2568"/>
              <w:spacing w:after="0"/>
              <w:rPr>
                <w:sz w:val="20"/>
                <w:szCs w:val="20"/>
                <w:color w:val="auto"/>
              </w:rPr>
            </w:pPr>
            <w:r>
              <w:rPr>
                <w:rFonts w:ascii="Arial" w:cs="Arial" w:eastAsia="Arial" w:hAnsi="Arial"/>
                <w:sz w:val="18"/>
                <w:szCs w:val="18"/>
                <w:color w:val="auto"/>
                <w:w w:val="89"/>
              </w:rPr>
              <w:t>50</w:t>
            </w:r>
            <w:r>
              <w:rPr>
                <w:rFonts w:ascii="Arial" w:cs="Arial" w:eastAsia="Arial" w:hAnsi="Arial"/>
                <w:sz w:val="15"/>
                <w:szCs w:val="15"/>
                <w:color w:val="auto"/>
                <w:w w:val="89"/>
              </w:rPr>
              <w:t>th</w:t>
            </w:r>
            <w:r>
              <w:rPr>
                <w:rFonts w:ascii="Arial" w:cs="Arial" w:eastAsia="Arial" w:hAnsi="Arial"/>
                <w:sz w:val="18"/>
                <w:szCs w:val="18"/>
                <w:color w:val="auto"/>
                <w:w w:val="89"/>
              </w:rPr>
              <w:t xml:space="preserve"> percentile (Target)</w:t>
            </w:r>
          </w:p>
        </w:tc>
        <w:tc>
          <w:tcPr>
            <w:tcW w:w="2260" w:type="dxa"/>
            <w:vAlign w:val="bottom"/>
            <w:gridSpan w:val="2"/>
          </w:tcPr>
          <w:p>
            <w:pPr>
              <w:jc w:val="center"/>
              <w:ind w:left="1754"/>
              <w:spacing w:after="0"/>
              <w:rPr>
                <w:sz w:val="20"/>
                <w:szCs w:val="20"/>
                <w:color w:val="auto"/>
              </w:rPr>
            </w:pPr>
            <w:r>
              <w:rPr>
                <w:rFonts w:ascii="Arial" w:cs="Arial" w:eastAsia="Arial" w:hAnsi="Arial"/>
                <w:sz w:val="18"/>
                <w:szCs w:val="18"/>
                <w:color w:val="auto"/>
                <w:w w:val="91"/>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shd w:val="clear" w:color="auto" w:fill="CCEEFF"/>
          </w:tcPr>
          <w:p>
            <w:pPr>
              <w:jc w:val="center"/>
              <w:ind w:right="2568"/>
              <w:spacing w:after="0"/>
              <w:rPr>
                <w:sz w:val="20"/>
                <w:szCs w:val="20"/>
                <w:color w:val="auto"/>
              </w:rPr>
            </w:pPr>
            <w:r>
              <w:rPr>
                <w:rFonts w:ascii="Arial" w:cs="Arial" w:eastAsia="Arial" w:hAnsi="Arial"/>
                <w:sz w:val="18"/>
                <w:szCs w:val="18"/>
                <w:color w:val="auto"/>
                <w:w w:val="91"/>
              </w:rPr>
              <w:t>25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 (Threshold)</w:t>
            </w:r>
          </w:p>
        </w:tc>
        <w:tc>
          <w:tcPr>
            <w:tcW w:w="2260" w:type="dxa"/>
            <w:vAlign w:val="bottom"/>
            <w:gridSpan w:val="2"/>
            <w:shd w:val="clear" w:color="auto" w:fill="CCEEFF"/>
          </w:tcPr>
          <w:p>
            <w:pPr>
              <w:jc w:val="center"/>
              <w:ind w:left="1754"/>
              <w:spacing w:after="0"/>
              <w:rPr>
                <w:sz w:val="20"/>
                <w:szCs w:val="20"/>
                <w:color w:val="auto"/>
              </w:rPr>
            </w:pPr>
            <w:r>
              <w:rPr>
                <w:rFonts w:ascii="Arial" w:cs="Arial" w:eastAsia="Arial" w:hAnsi="Arial"/>
                <w:sz w:val="18"/>
                <w:szCs w:val="18"/>
                <w:color w:val="auto"/>
                <w:w w:val="94"/>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If actual performance falls between performance levels for either of the PSU performance measures, then the number of PSUs earned will be interpolated between the two performance levels, rounded to the nearest 0.1%.</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different performance measure levels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affecting the Company for 2015 and beyond, including general economic and market conditions and economic indicators for future periods, to ensure that the cash flow targets align with the Company’s long-range strategic plan.</w:t>
      </w:r>
    </w:p>
    <w:p>
      <w:pPr>
        <w:spacing w:after="0" w:line="5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2015</w:t>
      </w:r>
      <w:r>
        <w:rPr>
          <w:rFonts w:ascii="Arial" w:cs="Arial" w:eastAsia="Arial" w:hAnsi="Arial"/>
          <w:sz w:val="18"/>
          <w:szCs w:val="18"/>
          <w:color w:val="auto"/>
        </w:rPr>
        <w:t>. Half of the PSUs granted in 2013 with the performance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were subject to a return on invested capital (“ROIC”)</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performance measure, and the remaining half of the PSUs granted in 2013 were subject to total shareholder return relative to the S&amp;P 500. For the performance period ended December 31, 2015, the Company delivered ROIC of 17.5%, which was significantly above target performance of 16.0% and approaching the maximum of 17.6%; the performance level achieved yielded a 196.15% payout in shares of Common Stock that were issued in February 2016. For purposes of this performance measure, ROIC is generally defined as net operating profit after taxes divided by capital, and this measure has reinforced the need for capital discipline. With respect to the PSUs with a performance period ended December 31, 2015 that were subject to total shareholder return relative to the S&amp;P 500, the performance of the Company’s Common Stock on this measure translated into a percentile rank relative to the S&amp;P 500 of 66.44%, resulting in a 132.88% payout in shares of Common Stock that were issued in February 2016.</w:t>
      </w:r>
    </w:p>
    <w:p>
      <w:pPr>
        <w:spacing w:after="0" w:line="70"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As discussed above, the MD&amp;C Committee has discretion to make adjustments to the performance calculations for unusual or otherwise non-operational matters. In February 2016, the MD&amp;C Committee ratified and approved adjustments to the calculation of ROIC results for 2013 that had been approved in prior years, as follows: net operating profit after taxes used in the calculation of results was adjusted to exclude the effects of charges related to acquisition and integration, and earnings on account of, the acquired Greenstar and RCI businesses; capital used in the calculation of results was adjusted to exclude the impact of the purchase price for each of Greenstar and RCI, less associated goodwill; and stockholders’ equity used in the calculation of capital excludes the impact of prior year tax audit settlements. In line with the MD&amp;C Committee’s policy on calculation adjustments adopted in 2014, no adjustments were made to the calculation of ROIC results for 2014 or 2015.</w:t>
      </w:r>
    </w:p>
    <w:p>
      <w:pPr>
        <w:spacing w:after="0" w:line="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 The MD&amp;C Committee believes use of stock options is appropriate to support the growth element of the Company’s strategy.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options made to the named executive officers in the first quarter of 2015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8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8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236,427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60,420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60,420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50,438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50,438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stock options will vest in 25% increments on the first two anniversaries of the date of grant and the remaining 50% will vest on the third anniversary. The exercise price of the options granted in 2015 is $54.635, which is the average of the high and low market price of our Common Stock on the date of grant, and the options have a term of 10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 eligible.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All of our named executive officers are subject to stock ownership guidelines. We instituted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requirements, the MD&amp;C Committee monitors ownership levels to confirm that executives are making sustained progress toward achievement of their ownership guidelines.</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Additionally, our stock ownership guidelines contains holding requirements. Executives with a title of Senior Vice President or higher, which includes all of our named executives, must hold 100% of all net shares acquired through the Company’s long-term incentive plans for at least one year, and those individuals must continue to hold 100% of all such net shares until the individual’s ownership guideline requirement is achieved. Designated Vice Presidents must hold 50% of all net shares acquired through the Company’s long-term incentive plans for at least one year, and those individuals must continue to hold 50% of all such net shares until the individual’s ownership guideline requirement is achieved. Once achieved, the requisite stock ownership level must continue to be retained throughout the executive’s employment with the Company. Our MD&amp;C Committee believes these holding periods discourage executives from taking actions in an effort to gain from short-term or otherwise fleeting increases in the market value of our stock.</w:t>
      </w:r>
    </w:p>
    <w:p>
      <w:pPr>
        <w:spacing w:after="0" w:line="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MD&amp;C Committee regularly reviews its ownership guidelines to ensure that the appropriate share ownership requirements are in place. Guidelines are expressed as a fixed number of shares and were last revised in May 2014 to account for the Company’s recent sustained Common Stock market value. The ownership requirement of our Chief Executive Officer and President is approximately 5.6 times base salary, using his 2015 base salary and a $40 per share stock price. Using the closing price of the Company’s Common Stock on March 15, 2016, the ownership requirement of our Chief Executive Officer and President is approximately eight and a half times his 2015 base salary. Shares owned outright, vested RSUs and PSUs that have been deferred, stock equivalents based on holdings in the Company’s 401(k) Retirement Savings Plan and phantom stock held in the Company’s 409A Deferral Plan count toward meeting the targeted ownership requirements. PSUs, RSUs and restricted stock, if any, do not count toward meeting the requirement until they are vested or earned.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ownership requirements and attainment of those requirements for the named executive officers.</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3"/>
              </w:rPr>
              <w:t>Ownership</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Attainment as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320" w:type="dxa"/>
            <w:vAlign w:val="bottom"/>
          </w:tcPr>
          <w:p>
            <w:pPr>
              <w:spacing w:after="0"/>
              <w:rPr>
                <w:sz w:val="12"/>
                <w:szCs w:val="12"/>
                <w:color w:val="auto"/>
              </w:rPr>
            </w:pPr>
          </w:p>
        </w:tc>
        <w:tc>
          <w:tcPr>
            <w:tcW w:w="24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5"/>
              </w:rPr>
              <w:t>Requirement</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 of shares)</w:t>
            </w:r>
          </w:p>
        </w:tc>
        <w:tc>
          <w:tcPr>
            <w:tcW w:w="1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15, 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r>
              <w:rPr>
                <w:rFonts w:ascii="Arial" w:cs="Arial" w:eastAsia="Arial" w:hAnsi="Arial"/>
                <w:sz w:val="15"/>
                <w:szCs w:val="15"/>
                <w:color w:val="auto"/>
              </w:rPr>
              <w:t>1</w:t>
            </w:r>
          </w:p>
        </w:tc>
        <w:tc>
          <w:tcPr>
            <w:tcW w:w="5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179,500</w:t>
            </w:r>
          </w:p>
        </w:tc>
        <w:tc>
          <w:tcPr>
            <w:tcW w:w="1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7720" w:type="dxa"/>
            <w:vAlign w:val="bottom"/>
            <w:gridSpan w:val="3"/>
          </w:tcPr>
          <w:p>
            <w:pPr>
              <w:jc w:val="right"/>
              <w:ind w:right="1220"/>
              <w:spacing w:after="0"/>
              <w:rPr>
                <w:sz w:val="20"/>
                <w:szCs w:val="20"/>
                <w:color w:val="auto"/>
              </w:rPr>
            </w:pPr>
            <w:r>
              <w:rPr>
                <w:rFonts w:ascii="Arial" w:cs="Arial" w:eastAsia="Arial" w:hAnsi="Arial"/>
                <w:sz w:val="18"/>
                <w:szCs w:val="18"/>
                <w:color w:val="auto"/>
              </w:rPr>
              <w:t>47,500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77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42,500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7720" w:type="dxa"/>
            <w:vAlign w:val="bottom"/>
            <w:gridSpan w:val="3"/>
          </w:tcPr>
          <w:p>
            <w:pPr>
              <w:jc w:val="right"/>
              <w:ind w:right="1220"/>
              <w:spacing w:after="0"/>
              <w:rPr>
                <w:sz w:val="20"/>
                <w:szCs w:val="20"/>
                <w:color w:val="auto"/>
              </w:rPr>
            </w:pPr>
            <w:r>
              <w:rPr>
                <w:rFonts w:ascii="Arial" w:cs="Arial" w:eastAsia="Arial" w:hAnsi="Arial"/>
                <w:sz w:val="18"/>
                <w:szCs w:val="18"/>
                <w:color w:val="auto"/>
              </w:rPr>
              <w:t>23,000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77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23,000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31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table above does not include 343,294 shares held in the name of Steiner Family Holdings, LLC that are pledged as security for a loan. Since such pledge was made,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3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independent directors and performs regular reviews to ensure all independent directors are in compliance or are showing sustained progress toward achievement of their ownership guideline.</w:t>
      </w:r>
    </w:p>
    <w:p>
      <w:pPr>
        <w:spacing w:after="0" w:line="7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u w:val="single" w:color="auto"/>
          <w:color w:val="auto"/>
        </w:rPr>
        <w:t>Policy Limiting Severance Benefits</w:t>
      </w:r>
      <w:r>
        <w:rPr>
          <w:rFonts w:ascii="Arial" w:cs="Arial" w:eastAsia="Arial" w:hAnsi="Arial"/>
          <w:sz w:val="17"/>
          <w:szCs w:val="17"/>
          <w:i w:val="1"/>
          <w:iCs w:val="1"/>
          <w:color w:val="auto"/>
        </w:rPr>
        <w:t xml:space="preserve"> — </w:t>
      </w:r>
      <w:r>
        <w:rPr>
          <w:rFonts w:ascii="Arial" w:cs="Arial" w:eastAsia="Arial" w:hAnsi="Arial"/>
          <w:sz w:val="17"/>
          <w:szCs w:val="17"/>
          <w:color w:val="auto"/>
        </w:rPr>
        <w:t>The MD&amp;C Committee has approved an Executive Officer Severance Policy that generally provides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w:t>
      </w:r>
    </w:p>
    <w:p>
      <w:pPr>
        <w:spacing w:after="0" w:line="6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u w:val="single" w:color="auto"/>
          <w:color w:val="auto"/>
        </w:rPr>
        <w:t>Policy Limiting Death Benefits and Gross-up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adopted a “Policy Limiting Certain Compensation Practices,”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will not enter into new compensation arrangements that would obligate the Company to pay a death benefit or gross-up payment to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7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u w:val="single" w:color="auto"/>
          <w:color w:val="auto"/>
        </w:rPr>
        <w:t>Insider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maintains an insider trading policy that prohibits directors, executive officers and other “designated insiders” from</w:t>
      </w:r>
      <w:r>
        <w:rPr>
          <w:rFonts w:ascii="Arial" w:cs="Arial" w:eastAsia="Arial" w:hAnsi="Arial"/>
          <w:sz w:val="17"/>
          <w:szCs w:val="17"/>
          <w:i w:val="1"/>
          <w:iCs w:val="1"/>
          <w:color w:val="auto"/>
        </w:rPr>
        <w:t xml:space="preserve"> </w:t>
      </w:r>
      <w:r>
        <w:rPr>
          <w:rFonts w:ascii="Arial" w:cs="Arial" w:eastAsia="Arial" w:hAnsi="Arial"/>
          <w:sz w:val="17"/>
          <w:szCs w:val="17"/>
          <w:color w:val="auto"/>
        </w:rPr>
        <w:t>engaging in most transactions involving the Company’s Common Stock during periods, determined by the Company, that those individuals are most likely to be aware of material, non-public information. “Designated insiders” are employees who have been designated as such for purposes of the Company’s insider trading policy because they are likely to have access to material non-public information; this group currently includes approximately 125 employees, primarily in a wide range of financial, accounting and managerial positions. Directors, executive officers and other designated insiders must clear all of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Further, as noted above,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ABLES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The Compensation Discussion and Analysis contains a discussion that should be read in conjunction with these tables to gain a complete understanding of our executive compensation philosophy, programs and decisions.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Option</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Non-Equity</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Incentive Plan</w:t>
            </w:r>
          </w:p>
        </w:tc>
        <w:tc>
          <w:tcPr>
            <w:tcW w:w="11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68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rPr>
              <w:t>Salary</w:t>
            </w:r>
          </w:p>
        </w:tc>
        <w:tc>
          <w:tcPr>
            <w:tcW w:w="6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Bonus</w:t>
            </w:r>
          </w:p>
        </w:tc>
        <w:tc>
          <w:tcPr>
            <w:tcW w:w="86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rPr>
              <w:t>Awards</w:t>
            </w:r>
          </w:p>
        </w:tc>
        <w:tc>
          <w:tcPr>
            <w:tcW w:w="82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Awards</w:t>
            </w:r>
          </w:p>
        </w:tc>
        <w:tc>
          <w:tcPr>
            <w:tcW w:w="110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Compensation</w:t>
            </w:r>
          </w:p>
        </w:tc>
        <w:tc>
          <w:tcPr>
            <w:tcW w:w="88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260" w:type="dxa"/>
            <w:vAlign w:val="bottom"/>
            <w:vMerge w:val="continue"/>
          </w:tcPr>
          <w:p>
            <w:pPr>
              <w:spacing w:after="0"/>
              <w:rPr>
                <w:sz w:val="15"/>
                <w:szCs w:val="15"/>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David P. Steiner</w:t>
            </w:r>
          </w:p>
        </w:tc>
        <w:tc>
          <w:tcPr>
            <w:tcW w:w="16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President and Chief Executive Officer</w:t>
            </w:r>
          </w:p>
        </w:tc>
        <w:tc>
          <w:tcPr>
            <w:tcW w:w="1680" w:type="dxa"/>
            <w:vAlign w:val="bottom"/>
            <w:tcBorders>
              <w:bottom w:val="single" w:sz="8" w:color="7F7F7F"/>
            </w:tcBorders>
            <w:shd w:val="clear" w:color="auto" w:fill="CCEEFF"/>
          </w:tcPr>
          <w:p>
            <w:pPr>
              <w:spacing w:after="0"/>
              <w:rPr>
                <w:sz w:val="16"/>
                <w:szCs w:val="16"/>
                <w:color w:val="auto"/>
              </w:rPr>
            </w:pPr>
          </w:p>
        </w:tc>
        <w:tc>
          <w:tcPr>
            <w:tcW w:w="6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82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2015</w:t>
            </w:r>
          </w:p>
        </w:tc>
        <w:tc>
          <w:tcPr>
            <w:tcW w:w="16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1,275,891</w:t>
            </w:r>
          </w:p>
        </w:tc>
        <w:tc>
          <w:tcPr>
            <w:tcW w:w="68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6,760,136</w:t>
            </w:r>
          </w:p>
        </w:tc>
        <w:tc>
          <w:tcPr>
            <w:tcW w:w="82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1,307,441</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1,800,986</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428,921</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11,573,375</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2014</w:t>
            </w:r>
          </w:p>
        </w:tc>
        <w:tc>
          <w:tcPr>
            <w:tcW w:w="16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1,186,785</w:t>
            </w:r>
          </w:p>
        </w:tc>
        <w:tc>
          <w:tcPr>
            <w:tcW w:w="6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5,328,822</w:t>
            </w:r>
          </w:p>
        </w:tc>
        <w:tc>
          <w:tcPr>
            <w:tcW w:w="82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1,233,147</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2,626,505</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395,597</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10,770,856</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16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1,149,616</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5,692,630</w:t>
            </w:r>
          </w:p>
        </w:tc>
        <w:tc>
          <w:tcPr>
            <w:tcW w:w="8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1,201,794</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2,387,194</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295,348</w:t>
            </w: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10,726,582</w:t>
            </w:r>
          </w:p>
        </w:tc>
        <w:tc>
          <w:tcPr>
            <w:tcW w:w="0" w:type="dxa"/>
            <w:vAlign w:val="bottom"/>
          </w:tcPr>
          <w:p>
            <w:pPr>
              <w:spacing w:after="0"/>
              <w:rPr>
                <w:sz w:val="1"/>
                <w:szCs w:val="1"/>
                <w:color w:val="auto"/>
              </w:rPr>
            </w:pPr>
          </w:p>
        </w:tc>
      </w:tr>
      <w:tr>
        <w:trPr>
          <w:trHeight w:val="119"/>
        </w:trPr>
        <w:tc>
          <w:tcPr>
            <w:tcW w:w="42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James E. Trevathan, Jr.</w:t>
            </w:r>
          </w:p>
        </w:tc>
        <w:tc>
          <w:tcPr>
            <w:tcW w:w="16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Executive Vice President and Chief Operating Officer</w:t>
            </w:r>
          </w:p>
        </w:tc>
        <w:tc>
          <w:tcPr>
            <w:tcW w:w="1680" w:type="dxa"/>
            <w:vAlign w:val="bottom"/>
            <w:tcBorders>
              <w:bottom w:val="single" w:sz="8" w:color="7F7F7F"/>
            </w:tcBorders>
            <w:shd w:val="clear" w:color="auto" w:fill="CCEEFF"/>
          </w:tcPr>
          <w:p>
            <w:pPr>
              <w:spacing w:after="0"/>
              <w:rPr>
                <w:sz w:val="16"/>
                <w:szCs w:val="16"/>
                <w:color w:val="auto"/>
              </w:rPr>
            </w:pPr>
          </w:p>
        </w:tc>
        <w:tc>
          <w:tcPr>
            <w:tcW w:w="6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82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2015</w:t>
            </w:r>
          </w:p>
        </w:tc>
        <w:tc>
          <w:tcPr>
            <w:tcW w:w="16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678,462</w:t>
            </w:r>
          </w:p>
        </w:tc>
        <w:tc>
          <w:tcPr>
            <w:tcW w:w="68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1,727,621</w:t>
            </w:r>
          </w:p>
        </w:tc>
        <w:tc>
          <w:tcPr>
            <w:tcW w:w="82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334,123</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638,623</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77,368</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3,456,197</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2014</w:t>
            </w:r>
          </w:p>
        </w:tc>
        <w:tc>
          <w:tcPr>
            <w:tcW w:w="16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621,923</w:t>
            </w:r>
          </w:p>
        </w:tc>
        <w:tc>
          <w:tcPr>
            <w:tcW w:w="6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1,278,954</w:t>
            </w:r>
          </w:p>
        </w:tc>
        <w:tc>
          <w:tcPr>
            <w:tcW w:w="82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295,956</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918,083</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60,961</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3,175,877</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16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588,334</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1,185,964</w:t>
            </w:r>
          </w:p>
        </w:tc>
        <w:tc>
          <w:tcPr>
            <w:tcW w:w="8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250,372</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769,756</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12,632</w:t>
            </w: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2,807,058</w:t>
            </w:r>
          </w:p>
        </w:tc>
        <w:tc>
          <w:tcPr>
            <w:tcW w:w="0" w:type="dxa"/>
            <w:vAlign w:val="bottom"/>
          </w:tcPr>
          <w:p>
            <w:pPr>
              <w:spacing w:after="0"/>
              <w:rPr>
                <w:sz w:val="1"/>
                <w:szCs w:val="1"/>
                <w:color w:val="auto"/>
              </w:rPr>
            </w:pPr>
          </w:p>
        </w:tc>
      </w:tr>
      <w:tr>
        <w:trPr>
          <w:trHeight w:val="119"/>
        </w:trPr>
        <w:tc>
          <w:tcPr>
            <w:tcW w:w="42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James C. Fish, Jr.</w:t>
            </w:r>
          </w:p>
        </w:tc>
        <w:tc>
          <w:tcPr>
            <w:tcW w:w="16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Executive Vice President and Chief Financial Officer</w:t>
            </w:r>
          </w:p>
        </w:tc>
        <w:tc>
          <w:tcPr>
            <w:tcW w:w="1680" w:type="dxa"/>
            <w:vAlign w:val="bottom"/>
            <w:tcBorders>
              <w:bottom w:val="single" w:sz="8" w:color="7F7F7F"/>
            </w:tcBorders>
            <w:shd w:val="clear" w:color="auto" w:fill="CCEEFF"/>
          </w:tcPr>
          <w:p>
            <w:pPr>
              <w:spacing w:after="0"/>
              <w:rPr>
                <w:sz w:val="16"/>
                <w:szCs w:val="16"/>
                <w:color w:val="auto"/>
              </w:rPr>
            </w:pPr>
          </w:p>
        </w:tc>
        <w:tc>
          <w:tcPr>
            <w:tcW w:w="6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82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2015</w:t>
            </w:r>
          </w:p>
        </w:tc>
        <w:tc>
          <w:tcPr>
            <w:tcW w:w="16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631,865</w:t>
            </w:r>
          </w:p>
        </w:tc>
        <w:tc>
          <w:tcPr>
            <w:tcW w:w="68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1,727,621</w:t>
            </w:r>
          </w:p>
        </w:tc>
        <w:tc>
          <w:tcPr>
            <w:tcW w:w="82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334,123</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595,320</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49,060</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3,337,989</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2014</w:t>
            </w:r>
          </w:p>
        </w:tc>
        <w:tc>
          <w:tcPr>
            <w:tcW w:w="16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552,635</w:t>
            </w:r>
          </w:p>
        </w:tc>
        <w:tc>
          <w:tcPr>
            <w:tcW w:w="6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1,278,954</w:t>
            </w:r>
          </w:p>
        </w:tc>
        <w:tc>
          <w:tcPr>
            <w:tcW w:w="82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295,956</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816,830</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36,319</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2,980,694</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16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509,808</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1,107,205</w:t>
            </w:r>
          </w:p>
        </w:tc>
        <w:tc>
          <w:tcPr>
            <w:tcW w:w="8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233,750</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666,540</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93,318</w:t>
            </w: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2,610,621</w:t>
            </w:r>
          </w:p>
        </w:tc>
        <w:tc>
          <w:tcPr>
            <w:tcW w:w="0" w:type="dxa"/>
            <w:vAlign w:val="bottom"/>
          </w:tcPr>
          <w:p>
            <w:pPr>
              <w:spacing w:after="0"/>
              <w:rPr>
                <w:sz w:val="1"/>
                <w:szCs w:val="1"/>
                <w:color w:val="auto"/>
              </w:rPr>
            </w:pPr>
          </w:p>
        </w:tc>
      </w:tr>
      <w:tr>
        <w:trPr>
          <w:trHeight w:val="119"/>
        </w:trPr>
        <w:tc>
          <w:tcPr>
            <w:tcW w:w="42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Jeff M. Harris</w:t>
            </w:r>
          </w:p>
        </w:tc>
        <w:tc>
          <w:tcPr>
            <w:tcW w:w="16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Senior Vice President — Operations</w:t>
            </w:r>
          </w:p>
        </w:tc>
        <w:tc>
          <w:tcPr>
            <w:tcW w:w="1680" w:type="dxa"/>
            <w:vAlign w:val="bottom"/>
            <w:tcBorders>
              <w:bottom w:val="single" w:sz="8" w:color="7F7F7F"/>
            </w:tcBorders>
            <w:shd w:val="clear" w:color="auto" w:fill="CCEEFF"/>
          </w:tcPr>
          <w:p>
            <w:pPr>
              <w:spacing w:after="0"/>
              <w:rPr>
                <w:sz w:val="16"/>
                <w:szCs w:val="16"/>
                <w:color w:val="auto"/>
              </w:rPr>
            </w:pPr>
          </w:p>
        </w:tc>
        <w:tc>
          <w:tcPr>
            <w:tcW w:w="6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82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2015</w:t>
            </w:r>
          </w:p>
        </w:tc>
        <w:tc>
          <w:tcPr>
            <w:tcW w:w="16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610,124</w:t>
            </w:r>
          </w:p>
        </w:tc>
        <w:tc>
          <w:tcPr>
            <w:tcW w:w="68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1,442,184</w:t>
            </w:r>
          </w:p>
        </w:tc>
        <w:tc>
          <w:tcPr>
            <w:tcW w:w="82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278,922</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510,496</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62,786</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2,904,512</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2014</w:t>
            </w:r>
          </w:p>
        </w:tc>
        <w:tc>
          <w:tcPr>
            <w:tcW w:w="16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562,458</w:t>
            </w:r>
          </w:p>
        </w:tc>
        <w:tc>
          <w:tcPr>
            <w:tcW w:w="6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1,023,145</w:t>
            </w:r>
          </w:p>
        </w:tc>
        <w:tc>
          <w:tcPr>
            <w:tcW w:w="82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236,766</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691,457</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32,419</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2,546,245</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16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546,798</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1,012,324</w:t>
            </w:r>
          </w:p>
        </w:tc>
        <w:tc>
          <w:tcPr>
            <w:tcW w:w="8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213,720</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630,795</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36,175</w:t>
            </w: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2,439,812</w:t>
            </w:r>
          </w:p>
        </w:tc>
        <w:tc>
          <w:tcPr>
            <w:tcW w:w="0" w:type="dxa"/>
            <w:vAlign w:val="bottom"/>
          </w:tcPr>
          <w:p>
            <w:pPr>
              <w:spacing w:after="0"/>
              <w:rPr>
                <w:sz w:val="1"/>
                <w:szCs w:val="1"/>
                <w:color w:val="auto"/>
              </w:rPr>
            </w:pPr>
          </w:p>
        </w:tc>
      </w:tr>
      <w:tr>
        <w:trPr>
          <w:trHeight w:val="119"/>
        </w:trPr>
        <w:tc>
          <w:tcPr>
            <w:tcW w:w="42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John J. Morris, Jr.</w:t>
            </w:r>
          </w:p>
        </w:tc>
        <w:tc>
          <w:tcPr>
            <w:tcW w:w="16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Senior Vice President — Operations</w:t>
            </w:r>
          </w:p>
        </w:tc>
        <w:tc>
          <w:tcPr>
            <w:tcW w:w="1680" w:type="dxa"/>
            <w:vAlign w:val="bottom"/>
            <w:tcBorders>
              <w:bottom w:val="single" w:sz="8" w:color="7F7F7F"/>
            </w:tcBorders>
            <w:shd w:val="clear" w:color="auto" w:fill="CCEEFF"/>
          </w:tcPr>
          <w:p>
            <w:pPr>
              <w:spacing w:after="0"/>
              <w:rPr>
                <w:sz w:val="16"/>
                <w:szCs w:val="16"/>
                <w:color w:val="auto"/>
              </w:rPr>
            </w:pPr>
          </w:p>
        </w:tc>
        <w:tc>
          <w:tcPr>
            <w:tcW w:w="6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82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2015</w:t>
            </w:r>
          </w:p>
        </w:tc>
        <w:tc>
          <w:tcPr>
            <w:tcW w:w="16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586,827</w:t>
            </w:r>
          </w:p>
        </w:tc>
        <w:tc>
          <w:tcPr>
            <w:tcW w:w="68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1,442,184</w:t>
            </w:r>
          </w:p>
        </w:tc>
        <w:tc>
          <w:tcPr>
            <w:tcW w:w="82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278,922</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491,544</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64,356</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2,863,833</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2014</w:t>
            </w:r>
          </w:p>
        </w:tc>
        <w:tc>
          <w:tcPr>
            <w:tcW w:w="16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509,711</w:t>
            </w:r>
          </w:p>
        </w:tc>
        <w:tc>
          <w:tcPr>
            <w:tcW w:w="6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1,023,145</w:t>
            </w:r>
          </w:p>
        </w:tc>
        <w:tc>
          <w:tcPr>
            <w:tcW w:w="82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236,766</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627,822</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47,315</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2,444,759</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16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449,038</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822,601</w:t>
            </w:r>
          </w:p>
        </w:tc>
        <w:tc>
          <w:tcPr>
            <w:tcW w:w="8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173,659</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519,843</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26,121</w:t>
            </w: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1,991,262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140" w:hanging="332"/>
        <w:spacing w:after="0" w:line="238"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in this column represent the grant date fair value of performance share units granted to all named executives in 2013, 2014 and 2015. The grant date fair values are calculated in accordance with the Financial Accounting Standards Board Accounting Standards Codification (“ASC”) Topic 718, as further described in Note 16 in the Notes to the Consolidated Financial Statements in our 2015 Annual Report on Form 10-K.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80"/>
        <w:spacing w:after="0" w:line="291" w:lineRule="auto"/>
        <w:rPr>
          <w:sz w:val="20"/>
          <w:szCs w:val="20"/>
          <w:color w:val="auto"/>
        </w:rPr>
      </w:pPr>
      <w:r>
        <w:rPr>
          <w:rFonts w:ascii="Arial" w:cs="Arial" w:eastAsia="Arial" w:hAnsi="Arial"/>
          <w:sz w:val="13"/>
          <w:szCs w:val="13"/>
          <w:color w:val="auto"/>
        </w:rPr>
        <w:t>For purposes of calculating the grant date fair value of performance share awards, we have assumed that the Company will achieve target performance levels. The table below shows the aggregate grant date fair value of performance share units if we had assumed that the Company will achieve the highest level of performance criteria and maximum payouts will be earned.</w:t>
      </w:r>
    </w:p>
    <w:p>
      <w:pPr>
        <w:spacing w:after="0" w:line="4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Aggregate Grant Date</w:t>
            </w:r>
          </w:p>
        </w:tc>
      </w:tr>
      <w:tr>
        <w:trPr>
          <w:trHeight w:val="149"/>
        </w:trPr>
        <w:tc>
          <w:tcPr>
            <w:tcW w:w="4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3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Fair Value of Award</w:t>
            </w:r>
          </w:p>
        </w:tc>
      </w:tr>
      <w:tr>
        <w:trPr>
          <w:trHeight w:val="149"/>
        </w:trPr>
        <w:tc>
          <w:tcPr>
            <w:tcW w:w="4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3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Assuming Highest</w:t>
            </w:r>
          </w:p>
        </w:tc>
      </w:tr>
      <w:tr>
        <w:trPr>
          <w:trHeight w:val="149"/>
        </w:trPr>
        <w:tc>
          <w:tcPr>
            <w:tcW w:w="4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of Performance</w:t>
            </w:r>
          </w:p>
        </w:tc>
      </w:tr>
      <w:tr>
        <w:trPr>
          <w:trHeight w:val="185"/>
        </w:trPr>
        <w:tc>
          <w:tcPr>
            <w:tcW w:w="4280" w:type="dxa"/>
            <w:vAlign w:val="bottom"/>
          </w:tcPr>
          <w:p>
            <w:pPr>
              <w:spacing w:after="0"/>
              <w:rPr>
                <w:sz w:val="16"/>
                <w:szCs w:val="16"/>
                <w:color w:val="auto"/>
              </w:rPr>
            </w:pPr>
          </w:p>
        </w:tc>
        <w:tc>
          <w:tcPr>
            <w:tcW w:w="4120" w:type="dxa"/>
            <w:vAlign w:val="bottom"/>
          </w:tcPr>
          <w:p>
            <w:pPr>
              <w:ind w:left="3380"/>
              <w:spacing w:after="0"/>
              <w:rPr>
                <w:sz w:val="20"/>
                <w:szCs w:val="20"/>
                <w:color w:val="auto"/>
              </w:rPr>
            </w:pPr>
            <w:r>
              <w:rPr>
                <w:rFonts w:ascii="Arial" w:cs="Arial" w:eastAsia="Arial" w:hAnsi="Arial"/>
                <w:sz w:val="14"/>
                <w:szCs w:val="14"/>
                <w:b w:val="1"/>
                <w:bCs w:val="1"/>
                <w:color w:val="auto"/>
              </w:rPr>
              <w:t>Year</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Achieved ($)</w:t>
            </w:r>
          </w:p>
        </w:tc>
      </w:tr>
      <w:tr>
        <w:trPr>
          <w:trHeight w:val="149"/>
        </w:trPr>
        <w:tc>
          <w:tcPr>
            <w:tcW w:w="428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Mr. Steiner</w:t>
            </w:r>
          </w:p>
        </w:tc>
        <w:tc>
          <w:tcPr>
            <w:tcW w:w="4120" w:type="dxa"/>
            <w:vAlign w:val="bottom"/>
            <w:tcBorders>
              <w:bottom w:val="single" w:sz="8" w:color="7F7F7F"/>
            </w:tcBorders>
            <w:shd w:val="clear" w:color="auto" w:fill="CCEEFF"/>
          </w:tcPr>
          <w:p>
            <w:pPr>
              <w:ind w:left="3380"/>
              <w:spacing w:after="0" w:line="149"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7F7F7F"/>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13,520,272</w:t>
            </w:r>
          </w:p>
        </w:tc>
      </w:tr>
      <w:tr>
        <w:trPr>
          <w:trHeight w:val="142"/>
        </w:trPr>
        <w:tc>
          <w:tcPr>
            <w:tcW w:w="4280" w:type="dxa"/>
            <w:vAlign w:val="bottom"/>
            <w:tcBorders>
              <w:bottom w:val="single" w:sz="8" w:color="7F7F7F"/>
            </w:tcBorders>
          </w:tcPr>
          <w:p>
            <w:pPr>
              <w:spacing w:after="0"/>
              <w:rPr>
                <w:sz w:val="12"/>
                <w:szCs w:val="12"/>
                <w:color w:val="auto"/>
              </w:rPr>
            </w:pPr>
          </w:p>
        </w:tc>
        <w:tc>
          <w:tcPr>
            <w:tcW w:w="4120" w:type="dxa"/>
            <w:vAlign w:val="bottom"/>
            <w:tcBorders>
              <w:bottom w:val="single" w:sz="8" w:color="7F7F7F"/>
            </w:tcBorders>
          </w:tcPr>
          <w:p>
            <w:pPr>
              <w:ind w:left="3380"/>
              <w:spacing w:after="0" w:line="142" w:lineRule="exact"/>
              <w:rPr>
                <w:sz w:val="20"/>
                <w:szCs w:val="20"/>
                <w:color w:val="auto"/>
              </w:rPr>
            </w:pPr>
            <w:r>
              <w:rPr>
                <w:rFonts w:ascii="Arial" w:cs="Arial" w:eastAsia="Arial" w:hAnsi="Arial"/>
                <w:sz w:val="14"/>
                <w:szCs w:val="14"/>
                <w:color w:val="auto"/>
              </w:rPr>
              <w:t>2014</w:t>
            </w:r>
          </w:p>
        </w:tc>
        <w:tc>
          <w:tcPr>
            <w:tcW w:w="2320" w:type="dxa"/>
            <w:vAlign w:val="bottom"/>
            <w:tcBorders>
              <w:bottom w:val="single" w:sz="8" w:color="7F7F7F"/>
            </w:tcBorders>
          </w:tcPr>
          <w:p>
            <w:pPr>
              <w:jc w:val="right"/>
              <w:ind w:right="428"/>
              <w:spacing w:after="0" w:line="142" w:lineRule="exact"/>
              <w:rPr>
                <w:sz w:val="20"/>
                <w:szCs w:val="20"/>
                <w:color w:val="auto"/>
              </w:rPr>
            </w:pPr>
            <w:r>
              <w:rPr>
                <w:rFonts w:ascii="Arial" w:cs="Arial" w:eastAsia="Arial" w:hAnsi="Arial"/>
                <w:sz w:val="14"/>
                <w:szCs w:val="14"/>
                <w:color w:val="auto"/>
              </w:rPr>
              <w:t>10,657,644</w:t>
            </w:r>
          </w:p>
        </w:tc>
      </w:tr>
      <w:tr>
        <w:trPr>
          <w:trHeight w:val="142"/>
        </w:trPr>
        <w:tc>
          <w:tcPr>
            <w:tcW w:w="4280" w:type="dxa"/>
            <w:vAlign w:val="bottom"/>
            <w:tcBorders>
              <w:bottom w:val="single" w:sz="8" w:color="auto"/>
            </w:tcBorders>
            <w:shd w:val="clear" w:color="auto" w:fill="CCEEFF"/>
          </w:tcPr>
          <w:p>
            <w:pPr>
              <w:spacing w:after="0"/>
              <w:rPr>
                <w:sz w:val="12"/>
                <w:szCs w:val="12"/>
                <w:color w:val="auto"/>
              </w:rPr>
            </w:pPr>
          </w:p>
        </w:tc>
        <w:tc>
          <w:tcPr>
            <w:tcW w:w="4120" w:type="dxa"/>
            <w:vAlign w:val="bottom"/>
            <w:tcBorders>
              <w:bottom w:val="single" w:sz="8" w:color="auto"/>
            </w:tcBorders>
            <w:shd w:val="clear" w:color="auto" w:fill="CCEEFF"/>
          </w:tcPr>
          <w:p>
            <w:pPr>
              <w:ind w:left="3380"/>
              <w:spacing w:after="0" w:line="142" w:lineRule="exact"/>
              <w:rPr>
                <w:sz w:val="20"/>
                <w:szCs w:val="20"/>
                <w:color w:val="auto"/>
              </w:rPr>
            </w:pPr>
            <w:r>
              <w:rPr>
                <w:rFonts w:ascii="Arial" w:cs="Arial" w:eastAsia="Arial" w:hAnsi="Arial"/>
                <w:sz w:val="14"/>
                <w:szCs w:val="14"/>
                <w:color w:val="auto"/>
              </w:rPr>
              <w:t>2013</w:t>
            </w:r>
          </w:p>
        </w:tc>
        <w:tc>
          <w:tcPr>
            <w:tcW w:w="2320" w:type="dxa"/>
            <w:vAlign w:val="bottom"/>
            <w:tcBorders>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11,385,260</w:t>
            </w:r>
          </w:p>
        </w:tc>
      </w:tr>
      <w:tr>
        <w:trPr>
          <w:trHeight w:val="142"/>
        </w:trPr>
        <w:tc>
          <w:tcPr>
            <w:tcW w:w="42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Trevathan</w:t>
            </w:r>
          </w:p>
        </w:tc>
        <w:tc>
          <w:tcPr>
            <w:tcW w:w="4120" w:type="dxa"/>
            <w:vAlign w:val="bottom"/>
            <w:tcBorders>
              <w:bottom w:val="single" w:sz="8" w:color="7F7F7F"/>
            </w:tcBorders>
          </w:tcPr>
          <w:p>
            <w:pPr>
              <w:ind w:left="3380"/>
              <w:spacing w:after="0" w:line="142"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7F7F7F"/>
            </w:tcBorders>
          </w:tcPr>
          <w:p>
            <w:pPr>
              <w:jc w:val="right"/>
              <w:ind w:right="428"/>
              <w:spacing w:after="0" w:line="142" w:lineRule="exact"/>
              <w:rPr>
                <w:sz w:val="20"/>
                <w:szCs w:val="20"/>
                <w:color w:val="auto"/>
              </w:rPr>
            </w:pPr>
            <w:r>
              <w:rPr>
                <w:rFonts w:ascii="Arial" w:cs="Arial" w:eastAsia="Arial" w:hAnsi="Arial"/>
                <w:sz w:val="14"/>
                <w:szCs w:val="14"/>
                <w:color w:val="auto"/>
              </w:rPr>
              <w:t>3,455,242</w:t>
            </w:r>
          </w:p>
        </w:tc>
      </w:tr>
      <w:tr>
        <w:trPr>
          <w:trHeight w:val="142"/>
        </w:trPr>
        <w:tc>
          <w:tcPr>
            <w:tcW w:w="4280" w:type="dxa"/>
            <w:vAlign w:val="bottom"/>
            <w:tcBorders>
              <w:bottom w:val="single" w:sz="8" w:color="7F7F7F"/>
            </w:tcBorders>
            <w:shd w:val="clear" w:color="auto" w:fill="CCEEFF"/>
          </w:tcPr>
          <w:p>
            <w:pPr>
              <w:spacing w:after="0"/>
              <w:rPr>
                <w:sz w:val="12"/>
                <w:szCs w:val="12"/>
                <w:color w:val="auto"/>
              </w:rPr>
            </w:pPr>
          </w:p>
        </w:tc>
        <w:tc>
          <w:tcPr>
            <w:tcW w:w="4120" w:type="dxa"/>
            <w:vAlign w:val="bottom"/>
            <w:tcBorders>
              <w:bottom w:val="single" w:sz="8" w:color="7F7F7F"/>
            </w:tcBorders>
            <w:shd w:val="clear" w:color="auto" w:fill="CCEEFF"/>
          </w:tcPr>
          <w:p>
            <w:pPr>
              <w:ind w:left="3380"/>
              <w:spacing w:after="0" w:line="142" w:lineRule="exact"/>
              <w:rPr>
                <w:sz w:val="20"/>
                <w:szCs w:val="20"/>
                <w:color w:val="auto"/>
              </w:rPr>
            </w:pPr>
            <w:r>
              <w:rPr>
                <w:rFonts w:ascii="Arial" w:cs="Arial" w:eastAsia="Arial" w:hAnsi="Arial"/>
                <w:sz w:val="14"/>
                <w:szCs w:val="14"/>
                <w:color w:val="auto"/>
              </w:rPr>
              <w:t>2014</w:t>
            </w:r>
          </w:p>
        </w:tc>
        <w:tc>
          <w:tcPr>
            <w:tcW w:w="232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2,557,908</w:t>
            </w:r>
          </w:p>
        </w:tc>
      </w:tr>
      <w:tr>
        <w:trPr>
          <w:trHeight w:val="142"/>
        </w:trPr>
        <w:tc>
          <w:tcPr>
            <w:tcW w:w="4280" w:type="dxa"/>
            <w:vAlign w:val="bottom"/>
            <w:tcBorders>
              <w:bottom w:val="single" w:sz="8" w:color="auto"/>
            </w:tcBorders>
          </w:tcPr>
          <w:p>
            <w:pPr>
              <w:spacing w:after="0"/>
              <w:rPr>
                <w:sz w:val="12"/>
                <w:szCs w:val="12"/>
                <w:color w:val="auto"/>
              </w:rPr>
            </w:pPr>
          </w:p>
        </w:tc>
        <w:tc>
          <w:tcPr>
            <w:tcW w:w="4120" w:type="dxa"/>
            <w:vAlign w:val="bottom"/>
            <w:tcBorders>
              <w:bottom w:val="single" w:sz="8" w:color="auto"/>
            </w:tcBorders>
          </w:tcPr>
          <w:p>
            <w:pPr>
              <w:ind w:left="3380"/>
              <w:spacing w:after="0" w:line="142" w:lineRule="exact"/>
              <w:rPr>
                <w:sz w:val="20"/>
                <w:szCs w:val="20"/>
                <w:color w:val="auto"/>
              </w:rPr>
            </w:pPr>
            <w:r>
              <w:rPr>
                <w:rFonts w:ascii="Arial" w:cs="Arial" w:eastAsia="Arial" w:hAnsi="Arial"/>
                <w:sz w:val="14"/>
                <w:szCs w:val="14"/>
                <w:color w:val="auto"/>
              </w:rPr>
              <w:t>2013</w:t>
            </w:r>
          </w:p>
        </w:tc>
        <w:tc>
          <w:tcPr>
            <w:tcW w:w="23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2,371,928</w:t>
            </w:r>
          </w:p>
        </w:tc>
      </w:tr>
      <w:tr>
        <w:trPr>
          <w:trHeight w:val="142"/>
        </w:trPr>
        <w:tc>
          <w:tcPr>
            <w:tcW w:w="42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Fish</w:t>
            </w:r>
          </w:p>
        </w:tc>
        <w:tc>
          <w:tcPr>
            <w:tcW w:w="4120" w:type="dxa"/>
            <w:vAlign w:val="bottom"/>
            <w:tcBorders>
              <w:bottom w:val="single" w:sz="8" w:color="7F7F7F"/>
            </w:tcBorders>
            <w:shd w:val="clear" w:color="auto" w:fill="CCEEFF"/>
          </w:tcPr>
          <w:p>
            <w:pPr>
              <w:ind w:left="3380"/>
              <w:spacing w:after="0" w:line="142"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3,455,242</w:t>
            </w:r>
          </w:p>
        </w:tc>
      </w:tr>
      <w:tr>
        <w:trPr>
          <w:trHeight w:val="142"/>
        </w:trPr>
        <w:tc>
          <w:tcPr>
            <w:tcW w:w="4280" w:type="dxa"/>
            <w:vAlign w:val="bottom"/>
            <w:tcBorders>
              <w:bottom w:val="single" w:sz="8" w:color="7F7F7F"/>
            </w:tcBorders>
          </w:tcPr>
          <w:p>
            <w:pPr>
              <w:spacing w:after="0"/>
              <w:rPr>
                <w:sz w:val="12"/>
                <w:szCs w:val="12"/>
                <w:color w:val="auto"/>
              </w:rPr>
            </w:pPr>
          </w:p>
        </w:tc>
        <w:tc>
          <w:tcPr>
            <w:tcW w:w="4120" w:type="dxa"/>
            <w:vAlign w:val="bottom"/>
            <w:tcBorders>
              <w:bottom w:val="single" w:sz="8" w:color="7F7F7F"/>
            </w:tcBorders>
          </w:tcPr>
          <w:p>
            <w:pPr>
              <w:ind w:left="3380"/>
              <w:spacing w:after="0" w:line="142" w:lineRule="exact"/>
              <w:rPr>
                <w:sz w:val="20"/>
                <w:szCs w:val="20"/>
                <w:color w:val="auto"/>
              </w:rPr>
            </w:pPr>
            <w:r>
              <w:rPr>
                <w:rFonts w:ascii="Arial" w:cs="Arial" w:eastAsia="Arial" w:hAnsi="Arial"/>
                <w:sz w:val="14"/>
                <w:szCs w:val="14"/>
                <w:color w:val="auto"/>
              </w:rPr>
              <w:t>2014</w:t>
            </w:r>
          </w:p>
        </w:tc>
        <w:tc>
          <w:tcPr>
            <w:tcW w:w="2320" w:type="dxa"/>
            <w:vAlign w:val="bottom"/>
            <w:tcBorders>
              <w:bottom w:val="single" w:sz="8" w:color="7F7F7F"/>
            </w:tcBorders>
          </w:tcPr>
          <w:p>
            <w:pPr>
              <w:jc w:val="right"/>
              <w:ind w:right="428"/>
              <w:spacing w:after="0" w:line="142" w:lineRule="exact"/>
              <w:rPr>
                <w:sz w:val="20"/>
                <w:szCs w:val="20"/>
                <w:color w:val="auto"/>
              </w:rPr>
            </w:pPr>
            <w:r>
              <w:rPr>
                <w:rFonts w:ascii="Arial" w:cs="Arial" w:eastAsia="Arial" w:hAnsi="Arial"/>
                <w:sz w:val="14"/>
                <w:szCs w:val="14"/>
                <w:color w:val="auto"/>
              </w:rPr>
              <w:t>2,557,908</w:t>
            </w:r>
          </w:p>
        </w:tc>
      </w:tr>
      <w:tr>
        <w:trPr>
          <w:trHeight w:val="142"/>
        </w:trPr>
        <w:tc>
          <w:tcPr>
            <w:tcW w:w="4280" w:type="dxa"/>
            <w:vAlign w:val="bottom"/>
            <w:tcBorders>
              <w:bottom w:val="single" w:sz="8" w:color="auto"/>
            </w:tcBorders>
            <w:shd w:val="clear" w:color="auto" w:fill="CCEEFF"/>
          </w:tcPr>
          <w:p>
            <w:pPr>
              <w:spacing w:after="0"/>
              <w:rPr>
                <w:sz w:val="12"/>
                <w:szCs w:val="12"/>
                <w:color w:val="auto"/>
              </w:rPr>
            </w:pPr>
          </w:p>
        </w:tc>
        <w:tc>
          <w:tcPr>
            <w:tcW w:w="4120" w:type="dxa"/>
            <w:vAlign w:val="bottom"/>
            <w:tcBorders>
              <w:bottom w:val="single" w:sz="8" w:color="auto"/>
            </w:tcBorders>
            <w:shd w:val="clear" w:color="auto" w:fill="CCEEFF"/>
          </w:tcPr>
          <w:p>
            <w:pPr>
              <w:ind w:left="3380"/>
              <w:spacing w:after="0" w:line="142" w:lineRule="exact"/>
              <w:rPr>
                <w:sz w:val="20"/>
                <w:szCs w:val="20"/>
                <w:color w:val="auto"/>
              </w:rPr>
            </w:pPr>
            <w:r>
              <w:rPr>
                <w:rFonts w:ascii="Arial" w:cs="Arial" w:eastAsia="Arial" w:hAnsi="Arial"/>
                <w:sz w:val="14"/>
                <w:szCs w:val="14"/>
                <w:color w:val="auto"/>
              </w:rPr>
              <w:t>2013</w:t>
            </w:r>
          </w:p>
        </w:tc>
        <w:tc>
          <w:tcPr>
            <w:tcW w:w="2320" w:type="dxa"/>
            <w:vAlign w:val="bottom"/>
            <w:tcBorders>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2,214,410</w:t>
            </w:r>
          </w:p>
        </w:tc>
      </w:tr>
      <w:tr>
        <w:trPr>
          <w:trHeight w:val="142"/>
        </w:trPr>
        <w:tc>
          <w:tcPr>
            <w:tcW w:w="42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Harris</w:t>
            </w:r>
          </w:p>
        </w:tc>
        <w:tc>
          <w:tcPr>
            <w:tcW w:w="4120" w:type="dxa"/>
            <w:vAlign w:val="bottom"/>
            <w:tcBorders>
              <w:bottom w:val="single" w:sz="8" w:color="7F7F7F"/>
            </w:tcBorders>
          </w:tcPr>
          <w:p>
            <w:pPr>
              <w:ind w:left="3380"/>
              <w:spacing w:after="0" w:line="142"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7F7F7F"/>
            </w:tcBorders>
          </w:tcPr>
          <w:p>
            <w:pPr>
              <w:jc w:val="right"/>
              <w:ind w:right="428"/>
              <w:spacing w:after="0" w:line="142" w:lineRule="exact"/>
              <w:rPr>
                <w:sz w:val="20"/>
                <w:szCs w:val="20"/>
                <w:color w:val="auto"/>
              </w:rPr>
            </w:pPr>
            <w:r>
              <w:rPr>
                <w:rFonts w:ascii="Arial" w:cs="Arial" w:eastAsia="Arial" w:hAnsi="Arial"/>
                <w:sz w:val="14"/>
                <w:szCs w:val="14"/>
                <w:color w:val="auto"/>
              </w:rPr>
              <w:t>2,884,368</w:t>
            </w:r>
          </w:p>
        </w:tc>
      </w:tr>
      <w:tr>
        <w:trPr>
          <w:trHeight w:val="142"/>
        </w:trPr>
        <w:tc>
          <w:tcPr>
            <w:tcW w:w="4280" w:type="dxa"/>
            <w:vAlign w:val="bottom"/>
            <w:tcBorders>
              <w:bottom w:val="single" w:sz="8" w:color="7F7F7F"/>
            </w:tcBorders>
            <w:shd w:val="clear" w:color="auto" w:fill="CCEEFF"/>
          </w:tcPr>
          <w:p>
            <w:pPr>
              <w:spacing w:after="0"/>
              <w:rPr>
                <w:sz w:val="12"/>
                <w:szCs w:val="12"/>
                <w:color w:val="auto"/>
              </w:rPr>
            </w:pPr>
          </w:p>
        </w:tc>
        <w:tc>
          <w:tcPr>
            <w:tcW w:w="4120" w:type="dxa"/>
            <w:vAlign w:val="bottom"/>
            <w:tcBorders>
              <w:bottom w:val="single" w:sz="8" w:color="7F7F7F"/>
            </w:tcBorders>
            <w:shd w:val="clear" w:color="auto" w:fill="CCEEFF"/>
          </w:tcPr>
          <w:p>
            <w:pPr>
              <w:ind w:left="3380"/>
              <w:spacing w:after="0" w:line="142" w:lineRule="exact"/>
              <w:rPr>
                <w:sz w:val="20"/>
                <w:szCs w:val="20"/>
                <w:color w:val="auto"/>
              </w:rPr>
            </w:pPr>
            <w:r>
              <w:rPr>
                <w:rFonts w:ascii="Arial" w:cs="Arial" w:eastAsia="Arial" w:hAnsi="Arial"/>
                <w:sz w:val="14"/>
                <w:szCs w:val="14"/>
                <w:color w:val="auto"/>
              </w:rPr>
              <w:t>2014</w:t>
            </w:r>
          </w:p>
        </w:tc>
        <w:tc>
          <w:tcPr>
            <w:tcW w:w="232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2,046,290</w:t>
            </w:r>
          </w:p>
        </w:tc>
      </w:tr>
      <w:tr>
        <w:trPr>
          <w:trHeight w:val="142"/>
        </w:trPr>
        <w:tc>
          <w:tcPr>
            <w:tcW w:w="4280" w:type="dxa"/>
            <w:vAlign w:val="bottom"/>
            <w:tcBorders>
              <w:bottom w:val="single" w:sz="8" w:color="auto"/>
            </w:tcBorders>
          </w:tcPr>
          <w:p>
            <w:pPr>
              <w:spacing w:after="0"/>
              <w:rPr>
                <w:sz w:val="12"/>
                <w:szCs w:val="12"/>
                <w:color w:val="auto"/>
              </w:rPr>
            </w:pPr>
          </w:p>
        </w:tc>
        <w:tc>
          <w:tcPr>
            <w:tcW w:w="4120" w:type="dxa"/>
            <w:vAlign w:val="bottom"/>
            <w:tcBorders>
              <w:bottom w:val="single" w:sz="8" w:color="auto"/>
            </w:tcBorders>
          </w:tcPr>
          <w:p>
            <w:pPr>
              <w:ind w:left="3380"/>
              <w:spacing w:after="0" w:line="142" w:lineRule="exact"/>
              <w:rPr>
                <w:sz w:val="20"/>
                <w:szCs w:val="20"/>
                <w:color w:val="auto"/>
              </w:rPr>
            </w:pPr>
            <w:r>
              <w:rPr>
                <w:rFonts w:ascii="Arial" w:cs="Arial" w:eastAsia="Arial" w:hAnsi="Arial"/>
                <w:sz w:val="14"/>
                <w:szCs w:val="14"/>
                <w:color w:val="auto"/>
              </w:rPr>
              <w:t>2013</w:t>
            </w:r>
          </w:p>
        </w:tc>
        <w:tc>
          <w:tcPr>
            <w:tcW w:w="23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2,024,648</w:t>
            </w:r>
          </w:p>
        </w:tc>
      </w:tr>
      <w:tr>
        <w:trPr>
          <w:trHeight w:val="142"/>
        </w:trPr>
        <w:tc>
          <w:tcPr>
            <w:tcW w:w="42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Morris</w:t>
            </w:r>
          </w:p>
        </w:tc>
        <w:tc>
          <w:tcPr>
            <w:tcW w:w="4120" w:type="dxa"/>
            <w:vAlign w:val="bottom"/>
            <w:tcBorders>
              <w:bottom w:val="single" w:sz="8" w:color="7F7F7F"/>
            </w:tcBorders>
            <w:shd w:val="clear" w:color="auto" w:fill="CCEEFF"/>
          </w:tcPr>
          <w:p>
            <w:pPr>
              <w:ind w:left="3380"/>
              <w:spacing w:after="0" w:line="142"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2,884,368</w:t>
            </w:r>
          </w:p>
        </w:tc>
      </w:tr>
      <w:tr>
        <w:trPr>
          <w:trHeight w:val="142"/>
        </w:trPr>
        <w:tc>
          <w:tcPr>
            <w:tcW w:w="4280" w:type="dxa"/>
            <w:vAlign w:val="bottom"/>
            <w:tcBorders>
              <w:bottom w:val="single" w:sz="8" w:color="7F7F7F"/>
            </w:tcBorders>
          </w:tcPr>
          <w:p>
            <w:pPr>
              <w:spacing w:after="0"/>
              <w:rPr>
                <w:sz w:val="12"/>
                <w:szCs w:val="12"/>
                <w:color w:val="auto"/>
              </w:rPr>
            </w:pPr>
          </w:p>
        </w:tc>
        <w:tc>
          <w:tcPr>
            <w:tcW w:w="4120" w:type="dxa"/>
            <w:vAlign w:val="bottom"/>
            <w:tcBorders>
              <w:bottom w:val="single" w:sz="8" w:color="7F7F7F"/>
            </w:tcBorders>
          </w:tcPr>
          <w:p>
            <w:pPr>
              <w:ind w:left="3380"/>
              <w:spacing w:after="0" w:line="142" w:lineRule="exact"/>
              <w:rPr>
                <w:sz w:val="20"/>
                <w:szCs w:val="20"/>
                <w:color w:val="auto"/>
              </w:rPr>
            </w:pPr>
            <w:r>
              <w:rPr>
                <w:rFonts w:ascii="Arial" w:cs="Arial" w:eastAsia="Arial" w:hAnsi="Arial"/>
                <w:sz w:val="14"/>
                <w:szCs w:val="14"/>
                <w:color w:val="auto"/>
              </w:rPr>
              <w:t>2014</w:t>
            </w:r>
          </w:p>
        </w:tc>
        <w:tc>
          <w:tcPr>
            <w:tcW w:w="2320" w:type="dxa"/>
            <w:vAlign w:val="bottom"/>
            <w:tcBorders>
              <w:bottom w:val="single" w:sz="8" w:color="7F7F7F"/>
            </w:tcBorders>
          </w:tcPr>
          <w:p>
            <w:pPr>
              <w:jc w:val="right"/>
              <w:ind w:right="428"/>
              <w:spacing w:after="0" w:line="142" w:lineRule="exact"/>
              <w:rPr>
                <w:sz w:val="20"/>
                <w:szCs w:val="20"/>
                <w:color w:val="auto"/>
              </w:rPr>
            </w:pPr>
            <w:r>
              <w:rPr>
                <w:rFonts w:ascii="Arial" w:cs="Arial" w:eastAsia="Arial" w:hAnsi="Arial"/>
                <w:sz w:val="14"/>
                <w:szCs w:val="14"/>
                <w:color w:val="auto"/>
              </w:rPr>
              <w:t>2,046,290</w:t>
            </w:r>
          </w:p>
        </w:tc>
      </w:tr>
      <w:tr>
        <w:trPr>
          <w:trHeight w:val="142"/>
        </w:trPr>
        <w:tc>
          <w:tcPr>
            <w:tcW w:w="4280" w:type="dxa"/>
            <w:vAlign w:val="bottom"/>
            <w:tcBorders>
              <w:bottom w:val="single" w:sz="8" w:color="auto"/>
            </w:tcBorders>
            <w:shd w:val="clear" w:color="auto" w:fill="CCEEFF"/>
          </w:tcPr>
          <w:p>
            <w:pPr>
              <w:spacing w:after="0"/>
              <w:rPr>
                <w:sz w:val="12"/>
                <w:szCs w:val="12"/>
                <w:color w:val="auto"/>
              </w:rPr>
            </w:pPr>
          </w:p>
        </w:tc>
        <w:tc>
          <w:tcPr>
            <w:tcW w:w="4120" w:type="dxa"/>
            <w:vAlign w:val="bottom"/>
            <w:tcBorders>
              <w:bottom w:val="single" w:sz="8" w:color="auto"/>
            </w:tcBorders>
            <w:shd w:val="clear" w:color="auto" w:fill="CCEEFF"/>
          </w:tcPr>
          <w:p>
            <w:pPr>
              <w:ind w:left="3380"/>
              <w:spacing w:after="0" w:line="142" w:lineRule="exact"/>
              <w:rPr>
                <w:sz w:val="20"/>
                <w:szCs w:val="20"/>
                <w:color w:val="auto"/>
              </w:rPr>
            </w:pPr>
            <w:r>
              <w:rPr>
                <w:rFonts w:ascii="Arial" w:cs="Arial" w:eastAsia="Arial" w:hAnsi="Arial"/>
                <w:sz w:val="14"/>
                <w:szCs w:val="14"/>
                <w:color w:val="auto"/>
              </w:rPr>
              <w:t>2013</w:t>
            </w:r>
          </w:p>
        </w:tc>
        <w:tc>
          <w:tcPr>
            <w:tcW w:w="2320" w:type="dxa"/>
            <w:vAlign w:val="bottom"/>
            <w:tcBorders>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1,645,202</w:t>
            </w:r>
          </w:p>
        </w:tc>
      </w:tr>
    </w:tbl>
    <w:p>
      <w:pPr>
        <w:spacing w:after="0" w:line="103" w:lineRule="exact"/>
        <w:rPr>
          <w:sz w:val="20"/>
          <w:szCs w:val="20"/>
          <w:color w:val="auto"/>
        </w:rPr>
      </w:pPr>
    </w:p>
    <w:p>
      <w:pPr>
        <w:jc w:val="both"/>
        <w:ind w:left="340" w:right="200" w:hanging="332"/>
        <w:spacing w:after="0" w:line="23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 this column represent the grant date fair value of stock options granted in 2013, 2014 and 2015,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2015 Annual Report on Form 10-K.</w:t>
      </w:r>
    </w:p>
    <w:p>
      <w:pPr>
        <w:spacing w:after="0" w:line="88" w:lineRule="exact"/>
        <w:rPr>
          <w:rFonts w:ascii="Arial" w:cs="Arial" w:eastAsia="Arial" w:hAnsi="Arial"/>
          <w:sz w:val="14"/>
          <w:szCs w:val="14"/>
          <w:color w:val="auto"/>
        </w:rPr>
      </w:pPr>
    </w:p>
    <w:p>
      <w:pPr>
        <w:ind w:left="340" w:right="320" w:hanging="332"/>
        <w:spacing w:after="0" w:line="25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 this column represent cash incentive awards earned and paid based on the achievement of performance criteria. Please see “Compensation Discussion and Analysis — Named Executive’s 2015 Compensation Program and Results — Annual Cash Incentive” for additional information.</w:t>
      </w:r>
    </w:p>
    <w:p>
      <w:pPr>
        <w:spacing w:after="0" w:line="79"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included in “All Other Compensation” for 2015 are shown below (in dollars):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020" w:type="dxa"/>
            <w:vAlign w:val="bottom"/>
          </w:tcPr>
          <w:p>
            <w:pPr>
              <w:jc w:val="right"/>
              <w:ind w:right="328"/>
              <w:spacing w:after="0"/>
              <w:rPr>
                <w:sz w:val="20"/>
                <w:szCs w:val="20"/>
                <w:color w:val="auto"/>
              </w:rPr>
            </w:pPr>
            <w:r>
              <w:rPr>
                <w:rFonts w:ascii="Arial" w:cs="Arial" w:eastAsia="Arial" w:hAnsi="Arial"/>
                <w:sz w:val="14"/>
                <w:szCs w:val="14"/>
                <w:b w:val="1"/>
                <w:bCs w:val="1"/>
                <w:color w:val="auto"/>
              </w:rPr>
              <w:t>Personal Use</w:t>
            </w:r>
          </w:p>
        </w:tc>
        <w:tc>
          <w:tcPr>
            <w:tcW w:w="2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401(k) Plan Matching</w:t>
            </w:r>
          </w:p>
        </w:tc>
        <w:tc>
          <w:tcPr>
            <w:tcW w:w="1720" w:type="dxa"/>
            <w:vAlign w:val="bottom"/>
          </w:tcPr>
          <w:p>
            <w:pPr>
              <w:jc w:val="right"/>
              <w:ind w:right="328"/>
              <w:spacing w:after="0"/>
              <w:rPr>
                <w:sz w:val="20"/>
                <w:szCs w:val="20"/>
                <w:color w:val="auto"/>
              </w:rPr>
            </w:pPr>
            <w:r>
              <w:rPr>
                <w:rFonts w:ascii="Arial" w:cs="Arial" w:eastAsia="Arial" w:hAnsi="Arial"/>
                <w:sz w:val="14"/>
                <w:szCs w:val="14"/>
                <w:b w:val="1"/>
                <w:bCs w:val="1"/>
                <w:color w:val="auto"/>
              </w:rPr>
              <w:t>Deferral</w:t>
            </w:r>
          </w:p>
        </w:tc>
        <w:tc>
          <w:tcPr>
            <w:tcW w:w="18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Life Insurance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3020" w:type="dxa"/>
            <w:vAlign w:val="bottom"/>
          </w:tcPr>
          <w:p>
            <w:pPr>
              <w:jc w:val="right"/>
              <w:ind w:right="328"/>
              <w:spacing w:after="0" w:line="145" w:lineRule="exact"/>
              <w:rPr>
                <w:sz w:val="20"/>
                <w:szCs w:val="20"/>
                <w:color w:val="auto"/>
              </w:rPr>
            </w:pPr>
            <w:r>
              <w:rPr>
                <w:rFonts w:ascii="Arial" w:cs="Arial" w:eastAsia="Arial" w:hAnsi="Arial"/>
                <w:sz w:val="14"/>
                <w:szCs w:val="14"/>
                <w:b w:val="1"/>
                <w:bCs w:val="1"/>
                <w:color w:val="auto"/>
              </w:rPr>
              <w:t>of Company</w:t>
            </w:r>
          </w:p>
        </w:tc>
        <w:tc>
          <w:tcPr>
            <w:tcW w:w="2140" w:type="dxa"/>
            <w:vAlign w:val="bottom"/>
            <w:vMerge w:val="continue"/>
          </w:tcPr>
          <w:p>
            <w:pPr>
              <w:spacing w:after="0"/>
              <w:rPr>
                <w:sz w:val="12"/>
                <w:szCs w:val="12"/>
                <w:color w:val="auto"/>
              </w:rPr>
            </w:pPr>
          </w:p>
        </w:tc>
        <w:tc>
          <w:tcPr>
            <w:tcW w:w="1720" w:type="dxa"/>
            <w:vAlign w:val="bottom"/>
          </w:tcPr>
          <w:p>
            <w:pPr>
              <w:jc w:val="right"/>
              <w:ind w:right="328"/>
              <w:spacing w:after="0" w:line="145" w:lineRule="exact"/>
              <w:rPr>
                <w:sz w:val="20"/>
                <w:szCs w:val="20"/>
                <w:color w:val="auto"/>
              </w:rPr>
            </w:pPr>
            <w:r>
              <w:rPr>
                <w:rFonts w:ascii="Arial" w:cs="Arial" w:eastAsia="Arial" w:hAnsi="Arial"/>
                <w:sz w:val="14"/>
                <w:szCs w:val="14"/>
                <w:b w:val="1"/>
                <w:bCs w:val="1"/>
                <w:color w:val="auto"/>
              </w:rPr>
              <w:t>Plan Matching</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3020" w:type="dxa"/>
            <w:vAlign w:val="bottom"/>
          </w:tcPr>
          <w:p>
            <w:pPr>
              <w:jc w:val="right"/>
              <w:ind w:right="328"/>
              <w:spacing w:after="0"/>
              <w:rPr>
                <w:sz w:val="20"/>
                <w:szCs w:val="20"/>
                <w:color w:val="auto"/>
              </w:rPr>
            </w:pPr>
            <w:r>
              <w:rPr>
                <w:rFonts w:ascii="Arial" w:cs="Arial" w:eastAsia="Arial" w:hAnsi="Arial"/>
                <w:sz w:val="14"/>
                <w:szCs w:val="14"/>
                <w:b w:val="1"/>
                <w:bCs w:val="1"/>
                <w:color w:val="auto"/>
              </w:rPr>
              <w:t xml:space="preserve">Aircraft </w:t>
            </w:r>
            <w:r>
              <w:rPr>
                <w:rFonts w:ascii="Arial" w:cs="Arial" w:eastAsia="Arial" w:hAnsi="Arial"/>
                <w:sz w:val="12"/>
                <w:szCs w:val="12"/>
                <w:b w:val="1"/>
                <w:bCs w:val="1"/>
                <w:color w:val="auto"/>
              </w:rPr>
              <w:t>(a)</w:t>
            </w:r>
          </w:p>
        </w:tc>
        <w:tc>
          <w:tcPr>
            <w:tcW w:w="2140" w:type="dxa"/>
            <w:vAlign w:val="bottom"/>
          </w:tcPr>
          <w:p>
            <w:pPr>
              <w:jc w:val="right"/>
              <w:ind w:right="328"/>
              <w:spacing w:after="0"/>
              <w:rPr>
                <w:sz w:val="20"/>
                <w:szCs w:val="20"/>
                <w:color w:val="auto"/>
              </w:rPr>
            </w:pPr>
            <w:r>
              <w:rPr>
                <w:rFonts w:ascii="Arial" w:cs="Arial" w:eastAsia="Arial" w:hAnsi="Arial"/>
                <w:sz w:val="14"/>
                <w:szCs w:val="14"/>
                <w:b w:val="1"/>
                <w:bCs w:val="1"/>
                <w:color w:val="auto"/>
              </w:rPr>
              <w:t>Contributions</w:t>
            </w:r>
          </w:p>
        </w:tc>
        <w:tc>
          <w:tcPr>
            <w:tcW w:w="1720" w:type="dxa"/>
            <w:vAlign w:val="bottom"/>
          </w:tcPr>
          <w:p>
            <w:pPr>
              <w:jc w:val="right"/>
              <w:ind w:right="328"/>
              <w:spacing w:after="0"/>
              <w:rPr>
                <w:sz w:val="20"/>
                <w:szCs w:val="20"/>
                <w:color w:val="auto"/>
              </w:rPr>
            </w:pPr>
            <w:r>
              <w:rPr>
                <w:rFonts w:ascii="Arial" w:cs="Arial" w:eastAsia="Arial" w:hAnsi="Arial"/>
                <w:sz w:val="14"/>
                <w:szCs w:val="14"/>
                <w:b w:val="1"/>
                <w:bCs w:val="1"/>
                <w:color w:val="auto"/>
              </w:rPr>
              <w:t>Contributions</w:t>
            </w:r>
          </w:p>
        </w:tc>
        <w:tc>
          <w:tcPr>
            <w:tcW w:w="1800" w:type="dxa"/>
            <w:vAlign w:val="bottom"/>
          </w:tcPr>
          <w:p>
            <w:pPr>
              <w:jc w:val="right"/>
              <w:ind w:right="408"/>
              <w:spacing w:after="0"/>
              <w:rPr>
                <w:sz w:val="20"/>
                <w:szCs w:val="20"/>
                <w:color w:val="auto"/>
              </w:rPr>
            </w:pPr>
            <w:r>
              <w:rPr>
                <w:rFonts w:ascii="Arial" w:cs="Arial" w:eastAsia="Arial" w:hAnsi="Arial"/>
                <w:sz w:val="14"/>
                <w:szCs w:val="14"/>
                <w:b w:val="1"/>
                <w:bCs w:val="1"/>
                <w:color w:val="auto"/>
              </w:rPr>
              <w:t>Premiums</w:t>
            </w:r>
          </w:p>
        </w:tc>
        <w:tc>
          <w:tcPr>
            <w:tcW w:w="0" w:type="dxa"/>
            <w:vAlign w:val="bottom"/>
          </w:tcPr>
          <w:p>
            <w:pPr>
              <w:spacing w:after="0"/>
              <w:rPr>
                <w:sz w:val="1"/>
                <w:szCs w:val="1"/>
                <w:color w:val="auto"/>
              </w:rPr>
            </w:pPr>
          </w:p>
        </w:tc>
      </w:tr>
      <w:tr>
        <w:trPr>
          <w:trHeight w:val="149"/>
        </w:trPr>
        <w:tc>
          <w:tcPr>
            <w:tcW w:w="274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Mr. Steiner</w:t>
            </w:r>
          </w:p>
        </w:tc>
        <w:tc>
          <w:tcPr>
            <w:tcW w:w="3020" w:type="dxa"/>
            <w:vAlign w:val="bottom"/>
            <w:tcBorders>
              <w:bottom w:val="single" w:sz="8" w:color="7F7F7F"/>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247,413</w:t>
            </w:r>
          </w:p>
        </w:tc>
        <w:tc>
          <w:tcPr>
            <w:tcW w:w="2140" w:type="dxa"/>
            <w:vAlign w:val="bottom"/>
            <w:tcBorders>
              <w:bottom w:val="single" w:sz="8" w:color="7F7F7F"/>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11,925</w:t>
            </w:r>
          </w:p>
        </w:tc>
        <w:tc>
          <w:tcPr>
            <w:tcW w:w="1720" w:type="dxa"/>
            <w:vAlign w:val="bottom"/>
            <w:tcBorders>
              <w:bottom w:val="single" w:sz="8" w:color="7F7F7F"/>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167,126</w:t>
            </w:r>
          </w:p>
        </w:tc>
        <w:tc>
          <w:tcPr>
            <w:tcW w:w="1800" w:type="dxa"/>
            <w:vAlign w:val="bottom"/>
            <w:tcBorders>
              <w:bottom w:val="single" w:sz="8" w:color="7F7F7F"/>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2,457</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Trevathan</w:t>
            </w:r>
          </w:p>
        </w:tc>
        <w:tc>
          <w:tcPr>
            <w:tcW w:w="302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3,200</w:t>
            </w:r>
          </w:p>
        </w:tc>
        <w:tc>
          <w:tcPr>
            <w:tcW w:w="214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11,925</w:t>
            </w:r>
          </w:p>
        </w:tc>
        <w:tc>
          <w:tcPr>
            <w:tcW w:w="172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60,950</w:t>
            </w:r>
          </w:p>
        </w:tc>
        <w:tc>
          <w:tcPr>
            <w:tcW w:w="1800" w:type="dxa"/>
            <w:vAlign w:val="bottom"/>
            <w:tcBorders>
              <w:bottom w:val="single" w:sz="8" w:color="7F7F7F"/>
            </w:tcBorders>
          </w:tcPr>
          <w:p>
            <w:pPr>
              <w:jc w:val="right"/>
              <w:ind w:right="408"/>
              <w:spacing w:after="0" w:line="142" w:lineRule="exact"/>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Fish</w:t>
            </w:r>
          </w:p>
        </w:tc>
        <w:tc>
          <w:tcPr>
            <w:tcW w:w="3020" w:type="dxa"/>
            <w:vAlign w:val="bottom"/>
            <w:tcBorders>
              <w:bottom w:val="single" w:sz="8" w:color="7F7F7F"/>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w:t>
            </w:r>
          </w:p>
        </w:tc>
        <w:tc>
          <w:tcPr>
            <w:tcW w:w="2140" w:type="dxa"/>
            <w:vAlign w:val="bottom"/>
            <w:tcBorders>
              <w:bottom w:val="single" w:sz="8" w:color="7F7F7F"/>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11,925</w:t>
            </w:r>
          </w:p>
        </w:tc>
        <w:tc>
          <w:tcPr>
            <w:tcW w:w="1720" w:type="dxa"/>
            <w:vAlign w:val="bottom"/>
            <w:tcBorders>
              <w:bottom w:val="single" w:sz="8" w:color="7F7F7F"/>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35,963</w:t>
            </w:r>
          </w:p>
        </w:tc>
        <w:tc>
          <w:tcPr>
            <w:tcW w:w="180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Harris</w:t>
            </w:r>
          </w:p>
        </w:tc>
        <w:tc>
          <w:tcPr>
            <w:tcW w:w="302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w:t>
            </w:r>
          </w:p>
        </w:tc>
        <w:tc>
          <w:tcPr>
            <w:tcW w:w="214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11,925</w:t>
            </w:r>
          </w:p>
        </w:tc>
        <w:tc>
          <w:tcPr>
            <w:tcW w:w="172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49,691</w:t>
            </w:r>
          </w:p>
        </w:tc>
        <w:tc>
          <w:tcPr>
            <w:tcW w:w="1800" w:type="dxa"/>
            <w:vAlign w:val="bottom"/>
            <w:tcBorders>
              <w:bottom w:val="single" w:sz="8" w:color="7F7F7F"/>
            </w:tcBorders>
          </w:tcPr>
          <w:p>
            <w:pPr>
              <w:jc w:val="right"/>
              <w:ind w:right="408"/>
              <w:spacing w:after="0" w:line="142"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Morris</w:t>
            </w:r>
          </w:p>
        </w:tc>
        <w:tc>
          <w:tcPr>
            <w:tcW w:w="302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2,784</w:t>
            </w:r>
          </w:p>
        </w:tc>
        <w:tc>
          <w:tcPr>
            <w:tcW w:w="214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11,925</w:t>
            </w:r>
          </w:p>
        </w:tc>
        <w:tc>
          <w:tcPr>
            <w:tcW w:w="172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48,564</w:t>
            </w:r>
          </w:p>
        </w:tc>
        <w:tc>
          <w:tcPr>
            <w:tcW w:w="180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00" w:right="80" w:hanging="454"/>
        <w:spacing w:after="0" w:line="234" w:lineRule="auto"/>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Please see “Compensation Discussion and Analysis — Overview of Elements of Our 2015 Compensation Program — Perquisites” for additional information regarding personal use of Company aircraft. We calculated these amounts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Plan-Based Awards in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b w:val="1"/>
                <w:bCs w:val="1"/>
                <w:color w:val="auto"/>
              </w:rPr>
              <w:t>All other</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460" w:type="dxa"/>
            <w:vAlign w:val="bottom"/>
            <w:gridSpan w:val="3"/>
            <w:vMerge w:val="restart"/>
          </w:tcPr>
          <w:p>
            <w:pPr>
              <w:jc w:val="center"/>
              <w:ind w:left="692"/>
              <w:spacing w:after="0"/>
              <w:rPr>
                <w:sz w:val="20"/>
                <w:szCs w:val="20"/>
                <w:color w:val="auto"/>
              </w:rPr>
            </w:pPr>
            <w:r>
              <w:rPr>
                <w:rFonts w:ascii="Arial" w:cs="Arial" w:eastAsia="Arial" w:hAnsi="Arial"/>
                <w:sz w:val="13"/>
                <w:szCs w:val="13"/>
                <w:b w:val="1"/>
                <w:bCs w:val="1"/>
                <w:color w:val="auto"/>
                <w:w w:val="84"/>
              </w:rPr>
              <w:t>Estimated Possible Payouts</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54"/>
              <w:spacing w:after="0" w:line="140" w:lineRule="exact"/>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2"/>
                <w:szCs w:val="12"/>
                <w:color w:val="auto"/>
              </w:rPr>
            </w:pPr>
          </w:p>
        </w:tc>
        <w:tc>
          <w:tcPr>
            <w:tcW w:w="720" w:type="dxa"/>
            <w:vAlign w:val="bottom"/>
          </w:tcPr>
          <w:p>
            <w:pPr>
              <w:jc w:val="right"/>
              <w:ind w:right="113"/>
              <w:spacing w:after="0" w:line="140" w:lineRule="exact"/>
              <w:rPr>
                <w:sz w:val="20"/>
                <w:szCs w:val="20"/>
                <w:color w:val="auto"/>
              </w:rPr>
            </w:pPr>
            <w:r>
              <w:rPr>
                <w:rFonts w:ascii="Arial" w:cs="Arial" w:eastAsia="Arial" w:hAnsi="Arial"/>
                <w:sz w:val="13"/>
                <w:szCs w:val="13"/>
                <w:b w:val="1"/>
                <w:bCs w:val="1"/>
                <w:color w:val="auto"/>
              </w:rPr>
              <w:t>Closing</w:t>
            </w:r>
          </w:p>
        </w:tc>
        <w:tc>
          <w:tcPr>
            <w:tcW w:w="840" w:type="dxa"/>
            <w:vAlign w:val="bottom"/>
          </w:tcPr>
          <w:p>
            <w:pPr>
              <w:jc w:val="right"/>
              <w:ind w:right="32"/>
              <w:spacing w:after="0" w:line="140" w:lineRule="exact"/>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76"/>
        </w:trPr>
        <w:tc>
          <w:tcPr>
            <w:tcW w:w="2400" w:type="dxa"/>
            <w:vAlign w:val="bottom"/>
          </w:tcPr>
          <w:p>
            <w:pPr>
              <w:spacing w:after="0"/>
              <w:rPr>
                <w:sz w:val="6"/>
                <w:szCs w:val="6"/>
                <w:color w:val="auto"/>
              </w:rPr>
            </w:pPr>
          </w:p>
        </w:tc>
        <w:tc>
          <w:tcPr>
            <w:tcW w:w="34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vMerge w:val="restart"/>
          </w:tcPr>
          <w:p>
            <w:pPr>
              <w:jc w:val="right"/>
              <w:ind w:right="54"/>
              <w:spacing w:after="0" w:line="135" w:lineRule="exact"/>
              <w:rPr>
                <w:sz w:val="20"/>
                <w:szCs w:val="20"/>
                <w:color w:val="auto"/>
              </w:rPr>
            </w:pPr>
            <w:r>
              <w:rPr>
                <w:rFonts w:ascii="Arial" w:cs="Arial" w:eastAsia="Arial" w:hAnsi="Arial"/>
                <w:sz w:val="13"/>
                <w:szCs w:val="13"/>
                <w:b w:val="1"/>
                <w:bCs w:val="1"/>
                <w:color w:val="auto"/>
              </w:rPr>
              <w:t>Awards:</w:t>
            </w:r>
          </w:p>
        </w:tc>
        <w:tc>
          <w:tcPr>
            <w:tcW w:w="720" w:type="dxa"/>
            <w:vAlign w:val="bottom"/>
            <w:vMerge w:val="restart"/>
          </w:tcPr>
          <w:p>
            <w:pPr>
              <w:jc w:val="right"/>
              <w:ind w:right="53"/>
              <w:spacing w:after="0" w:line="135" w:lineRule="exact"/>
              <w:rPr>
                <w:sz w:val="20"/>
                <w:szCs w:val="20"/>
                <w:color w:val="auto"/>
              </w:rPr>
            </w:pPr>
            <w:r>
              <w:rPr>
                <w:rFonts w:ascii="Arial" w:cs="Arial" w:eastAsia="Arial" w:hAnsi="Arial"/>
                <w:sz w:val="13"/>
                <w:szCs w:val="13"/>
                <w:b w:val="1"/>
                <w:bCs w:val="1"/>
                <w:color w:val="auto"/>
              </w:rPr>
              <w:t>Exercise</w:t>
            </w:r>
          </w:p>
        </w:tc>
        <w:tc>
          <w:tcPr>
            <w:tcW w:w="720" w:type="dxa"/>
            <w:vAlign w:val="bottom"/>
            <w:vMerge w:val="restart"/>
          </w:tcPr>
          <w:p>
            <w:pPr>
              <w:jc w:val="right"/>
              <w:ind w:right="113"/>
              <w:spacing w:after="0" w:line="135" w:lineRule="exact"/>
              <w:rPr>
                <w:sz w:val="20"/>
                <w:szCs w:val="20"/>
                <w:color w:val="auto"/>
              </w:rPr>
            </w:pPr>
            <w:r>
              <w:rPr>
                <w:rFonts w:ascii="Arial" w:cs="Arial" w:eastAsia="Arial" w:hAnsi="Arial"/>
                <w:sz w:val="13"/>
                <w:szCs w:val="13"/>
                <w:b w:val="1"/>
                <w:bCs w:val="1"/>
                <w:color w:val="auto"/>
              </w:rPr>
              <w:t>Market</w:t>
            </w:r>
          </w:p>
        </w:tc>
        <w:tc>
          <w:tcPr>
            <w:tcW w:w="840" w:type="dxa"/>
            <w:vAlign w:val="bottom"/>
            <w:vMerge w:val="restart"/>
          </w:tcPr>
          <w:p>
            <w:pPr>
              <w:jc w:val="right"/>
              <w:ind w:right="32"/>
              <w:spacing w:after="0" w:line="135" w:lineRule="exact"/>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59"/>
        </w:trPr>
        <w:tc>
          <w:tcPr>
            <w:tcW w:w="2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14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w w:val="92"/>
              </w:rPr>
              <w:t>Under Non-Equity</w:t>
            </w:r>
          </w:p>
        </w:tc>
        <w:tc>
          <w:tcPr>
            <w:tcW w:w="780" w:type="dxa"/>
            <w:vAlign w:val="bottom"/>
          </w:tcPr>
          <w:p>
            <w:pPr>
              <w:spacing w:after="0"/>
              <w:rPr>
                <w:sz w:val="5"/>
                <w:szCs w:val="5"/>
                <w:color w:val="auto"/>
              </w:rPr>
            </w:pPr>
          </w:p>
        </w:tc>
        <w:tc>
          <w:tcPr>
            <w:tcW w:w="2400" w:type="dxa"/>
            <w:vAlign w:val="bottom"/>
            <w:gridSpan w:val="3"/>
            <w:vMerge w:val="restart"/>
          </w:tcPr>
          <w:p>
            <w:pPr>
              <w:jc w:val="right"/>
              <w:ind w:right="271"/>
              <w:spacing w:after="0" w:line="140" w:lineRule="exact"/>
              <w:rPr>
                <w:sz w:val="20"/>
                <w:szCs w:val="20"/>
                <w:color w:val="auto"/>
              </w:rPr>
            </w:pPr>
            <w:r>
              <w:rPr>
                <w:rFonts w:ascii="Arial" w:cs="Arial" w:eastAsia="Arial" w:hAnsi="Arial"/>
                <w:sz w:val="13"/>
                <w:szCs w:val="13"/>
                <w:b w:val="1"/>
                <w:bCs w:val="1"/>
                <w:color w:val="auto"/>
              </w:rPr>
              <w:t>Estimated Future Payouts Under</w:t>
            </w:r>
          </w:p>
        </w:tc>
        <w:tc>
          <w:tcPr>
            <w:tcW w:w="8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880" w:type="dxa"/>
            <w:vAlign w:val="bottom"/>
            <w:vMerge w:val="restart"/>
          </w:tcPr>
          <w:p>
            <w:pPr>
              <w:jc w:val="right"/>
              <w:ind w:right="54"/>
              <w:spacing w:after="0" w:line="135" w:lineRule="exact"/>
              <w:rPr>
                <w:sz w:val="20"/>
                <w:szCs w:val="20"/>
                <w:color w:val="auto"/>
              </w:rPr>
            </w:pPr>
            <w:r>
              <w:rPr>
                <w:rFonts w:ascii="Arial" w:cs="Arial" w:eastAsia="Arial" w:hAnsi="Arial"/>
                <w:sz w:val="13"/>
                <w:szCs w:val="13"/>
                <w:b w:val="1"/>
                <w:bCs w:val="1"/>
                <w:color w:val="auto"/>
              </w:rPr>
              <w:t>Number of</w:t>
            </w:r>
          </w:p>
        </w:tc>
        <w:tc>
          <w:tcPr>
            <w:tcW w:w="720" w:type="dxa"/>
            <w:vAlign w:val="bottom"/>
            <w:vMerge w:val="restart"/>
          </w:tcPr>
          <w:p>
            <w:pPr>
              <w:jc w:val="right"/>
              <w:ind w:right="53"/>
              <w:spacing w:after="0" w:line="135" w:lineRule="exact"/>
              <w:rPr>
                <w:sz w:val="20"/>
                <w:szCs w:val="20"/>
                <w:color w:val="auto"/>
              </w:rPr>
            </w:pPr>
            <w:r>
              <w:rPr>
                <w:rFonts w:ascii="Arial" w:cs="Arial" w:eastAsia="Arial" w:hAnsi="Arial"/>
                <w:sz w:val="13"/>
                <w:szCs w:val="13"/>
                <w:b w:val="1"/>
                <w:bCs w:val="1"/>
                <w:color w:val="auto"/>
              </w:rPr>
              <w:t>or Base</w:t>
            </w:r>
          </w:p>
        </w:tc>
        <w:tc>
          <w:tcPr>
            <w:tcW w:w="720" w:type="dxa"/>
            <w:vAlign w:val="bottom"/>
            <w:vMerge w:val="restart"/>
          </w:tcPr>
          <w:p>
            <w:pPr>
              <w:jc w:val="right"/>
              <w:ind w:right="113"/>
              <w:spacing w:after="0" w:line="135" w:lineRule="exact"/>
              <w:rPr>
                <w:sz w:val="20"/>
                <w:szCs w:val="20"/>
                <w:color w:val="auto"/>
              </w:rPr>
            </w:pPr>
            <w:r>
              <w:rPr>
                <w:rFonts w:ascii="Arial" w:cs="Arial" w:eastAsia="Arial" w:hAnsi="Arial"/>
                <w:sz w:val="13"/>
                <w:szCs w:val="13"/>
                <w:b w:val="1"/>
                <w:bCs w:val="1"/>
                <w:color w:val="auto"/>
              </w:rPr>
              <w:t>Price</w:t>
            </w:r>
          </w:p>
        </w:tc>
        <w:tc>
          <w:tcPr>
            <w:tcW w:w="840" w:type="dxa"/>
            <w:vAlign w:val="bottom"/>
            <w:vMerge w:val="restart"/>
          </w:tcPr>
          <w:p>
            <w:pPr>
              <w:jc w:val="right"/>
              <w:ind w:right="32"/>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54"/>
        </w:trPr>
        <w:tc>
          <w:tcPr>
            <w:tcW w:w="2400" w:type="dxa"/>
            <w:vAlign w:val="bottom"/>
          </w:tcPr>
          <w:p>
            <w:pPr>
              <w:spacing w:after="0"/>
              <w:rPr>
                <w:sz w:val="4"/>
                <w:szCs w:val="4"/>
                <w:color w:val="auto"/>
              </w:rPr>
            </w:pPr>
          </w:p>
        </w:tc>
        <w:tc>
          <w:tcPr>
            <w:tcW w:w="3460" w:type="dxa"/>
            <w:vAlign w:val="bottom"/>
            <w:gridSpan w:val="3"/>
            <w:vMerge w:val="restart"/>
          </w:tcPr>
          <w:p>
            <w:pPr>
              <w:jc w:val="center"/>
              <w:ind w:left="692"/>
              <w:spacing w:after="0"/>
              <w:rPr>
                <w:sz w:val="20"/>
                <w:szCs w:val="20"/>
                <w:color w:val="auto"/>
              </w:rPr>
            </w:pPr>
            <w:r>
              <w:rPr>
                <w:rFonts w:ascii="Arial" w:cs="Arial" w:eastAsia="Arial" w:hAnsi="Arial"/>
                <w:sz w:val="13"/>
                <w:szCs w:val="13"/>
                <w:b w:val="1"/>
                <w:bCs w:val="1"/>
                <w:color w:val="auto"/>
                <w:w w:val="89"/>
              </w:rPr>
              <w:t>Incentive Plan Awards</w:t>
            </w:r>
            <w:r>
              <w:rPr>
                <w:rFonts w:ascii="Arial" w:cs="Arial" w:eastAsia="Arial" w:hAnsi="Arial"/>
                <w:sz w:val="10"/>
                <w:szCs w:val="10"/>
                <w:b w:val="1"/>
                <w:bCs w:val="1"/>
                <w:color w:val="auto"/>
                <w:w w:val="89"/>
              </w:rPr>
              <w:t>(1)</w:t>
            </w:r>
          </w:p>
        </w:tc>
        <w:tc>
          <w:tcPr>
            <w:tcW w:w="2400" w:type="dxa"/>
            <w:vAlign w:val="bottom"/>
            <w:gridSpan w:val="3"/>
            <w:vMerge w:val="restart"/>
          </w:tcPr>
          <w:p>
            <w:pPr>
              <w:jc w:val="right"/>
              <w:ind w:right="291"/>
              <w:spacing w:after="0"/>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10"/>
                <w:szCs w:val="10"/>
                <w:b w:val="1"/>
                <w:bCs w:val="1"/>
                <w:color w:val="auto"/>
              </w:rPr>
              <w:t>(2)</w:t>
            </w:r>
          </w:p>
        </w:tc>
        <w:tc>
          <w:tcPr>
            <w:tcW w:w="8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3460" w:type="dxa"/>
            <w:vAlign w:val="bottom"/>
            <w:gridSpan w:val="3"/>
            <w:vMerge w:val="continue"/>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Securities</w:t>
            </w:r>
          </w:p>
        </w:tc>
        <w:tc>
          <w:tcPr>
            <w:tcW w:w="72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Price of</w:t>
            </w:r>
          </w:p>
        </w:tc>
        <w:tc>
          <w:tcPr>
            <w:tcW w:w="72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auto"/>
              </w:rPr>
              <w:t>on</w:t>
            </w:r>
          </w:p>
        </w:tc>
        <w:tc>
          <w:tcPr>
            <w:tcW w:w="840" w:type="dxa"/>
            <w:vAlign w:val="bottom"/>
          </w:tcPr>
          <w:p>
            <w:pPr>
              <w:jc w:val="right"/>
              <w:ind w:right="32"/>
              <w:spacing w:after="0" w:line="135" w:lineRule="exact"/>
              <w:rPr>
                <w:sz w:val="20"/>
                <w:szCs w:val="20"/>
                <w:color w:val="auto"/>
              </w:rPr>
            </w:pPr>
            <w:r>
              <w:rPr>
                <w:rFonts w:ascii="Arial" w:cs="Arial" w:eastAsia="Arial" w:hAnsi="Arial"/>
                <w:sz w:val="13"/>
                <w:szCs w:val="13"/>
                <w:b w:val="1"/>
                <w:bCs w:val="1"/>
                <w:color w:val="auto"/>
              </w:rPr>
              <w:t>Stock and</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Underlying</w:t>
            </w:r>
          </w:p>
        </w:tc>
        <w:tc>
          <w:tcPr>
            <w:tcW w:w="72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Option</w:t>
            </w:r>
          </w:p>
        </w:tc>
        <w:tc>
          <w:tcPr>
            <w:tcW w:w="72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auto"/>
              </w:rPr>
              <w:t>Date of</w:t>
            </w:r>
          </w:p>
        </w:tc>
        <w:tc>
          <w:tcPr>
            <w:tcW w:w="840" w:type="dxa"/>
            <w:vAlign w:val="bottom"/>
          </w:tcPr>
          <w:p>
            <w:pPr>
              <w:jc w:val="right"/>
              <w:ind w:right="32"/>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5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Threshold</w:t>
            </w:r>
          </w:p>
        </w:tc>
        <w:tc>
          <w:tcPr>
            <w:tcW w:w="1140" w:type="dxa"/>
            <w:vAlign w:val="bottom"/>
          </w:tcPr>
          <w:p>
            <w:pPr>
              <w:jc w:val="right"/>
              <w:ind w:right="211"/>
              <w:spacing w:after="0" w:line="135" w:lineRule="exact"/>
              <w:rPr>
                <w:sz w:val="20"/>
                <w:szCs w:val="20"/>
                <w:color w:val="auto"/>
              </w:rPr>
            </w:pPr>
            <w:r>
              <w:rPr>
                <w:rFonts w:ascii="Arial" w:cs="Arial" w:eastAsia="Arial" w:hAnsi="Arial"/>
                <w:sz w:val="13"/>
                <w:szCs w:val="13"/>
                <w:b w:val="1"/>
                <w:bCs w:val="1"/>
                <w:color w:val="auto"/>
              </w:rPr>
              <w:t>Target</w:t>
            </w:r>
          </w:p>
        </w:tc>
        <w:tc>
          <w:tcPr>
            <w:tcW w:w="7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Maximum</w:t>
            </w:r>
          </w:p>
        </w:tc>
        <w:tc>
          <w:tcPr>
            <w:tcW w:w="820" w:type="dxa"/>
            <w:vAlign w:val="bottom"/>
          </w:tcPr>
          <w:p>
            <w:pPr>
              <w:jc w:val="right"/>
              <w:ind w:right="72"/>
              <w:spacing w:after="0" w:line="135" w:lineRule="exact"/>
              <w:rPr>
                <w:sz w:val="20"/>
                <w:szCs w:val="20"/>
                <w:color w:val="auto"/>
              </w:rPr>
            </w:pPr>
            <w:r>
              <w:rPr>
                <w:rFonts w:ascii="Arial" w:cs="Arial" w:eastAsia="Arial" w:hAnsi="Arial"/>
                <w:sz w:val="13"/>
                <w:szCs w:val="13"/>
                <w:b w:val="1"/>
                <w:bCs w:val="1"/>
                <w:color w:val="auto"/>
              </w:rPr>
              <w:t>Threshold</w:t>
            </w:r>
          </w:p>
        </w:tc>
        <w:tc>
          <w:tcPr>
            <w:tcW w:w="76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Target</w:t>
            </w:r>
          </w:p>
        </w:tc>
        <w:tc>
          <w:tcPr>
            <w:tcW w:w="8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Maximum</w:t>
            </w: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Options</w:t>
            </w:r>
          </w:p>
        </w:tc>
        <w:tc>
          <w:tcPr>
            <w:tcW w:w="72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Awards</w:t>
            </w:r>
          </w:p>
        </w:tc>
        <w:tc>
          <w:tcPr>
            <w:tcW w:w="72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auto"/>
              </w:rPr>
              <w:t>Grant</w:t>
            </w:r>
          </w:p>
        </w:tc>
        <w:tc>
          <w:tcPr>
            <w:tcW w:w="840" w:type="dxa"/>
            <w:vAlign w:val="bottom"/>
          </w:tcPr>
          <w:p>
            <w:pPr>
              <w:jc w:val="right"/>
              <w:ind w:right="32"/>
              <w:spacing w:after="0" w:line="135"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62"/>
        </w:trPr>
        <w:tc>
          <w:tcPr>
            <w:tcW w:w="2400" w:type="dxa"/>
            <w:vAlign w:val="bottom"/>
          </w:tcPr>
          <w:p>
            <w:pPr>
              <w:jc w:val="right"/>
              <w:ind w:right="1569"/>
              <w:spacing w:after="0"/>
              <w:rPr>
                <w:sz w:val="20"/>
                <w:szCs w:val="20"/>
                <w:color w:val="auto"/>
              </w:rPr>
            </w:pPr>
            <w:r>
              <w:rPr>
                <w:rFonts w:ascii="Arial" w:cs="Arial" w:eastAsia="Arial" w:hAnsi="Arial"/>
                <w:sz w:val="13"/>
                <w:szCs w:val="13"/>
                <w:b w:val="1"/>
                <w:bCs w:val="1"/>
                <w:color w:val="auto"/>
              </w:rPr>
              <w:t>Grant Date</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211"/>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2"/>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(3)</w:t>
            </w:r>
          </w:p>
        </w:tc>
        <w:tc>
          <w:tcPr>
            <w:tcW w:w="720" w:type="dxa"/>
            <w:vAlign w:val="bottom"/>
          </w:tcPr>
          <w:p>
            <w:pPr>
              <w:jc w:val="right"/>
              <w:ind w:right="53"/>
              <w:spacing w:after="0"/>
              <w:rPr>
                <w:sz w:val="20"/>
                <w:szCs w:val="20"/>
                <w:color w:val="auto"/>
              </w:rPr>
            </w:pPr>
            <w:r>
              <w:rPr>
                <w:rFonts w:ascii="Arial" w:cs="Arial" w:eastAsia="Arial" w:hAnsi="Arial"/>
                <w:sz w:val="13"/>
                <w:szCs w:val="13"/>
                <w:b w:val="1"/>
                <w:bCs w:val="1"/>
                <w:color w:val="auto"/>
              </w:rPr>
              <w:t>($/sh)</w:t>
            </w:r>
            <w:r>
              <w:rPr>
                <w:rFonts w:ascii="Arial" w:cs="Arial" w:eastAsia="Arial" w:hAnsi="Arial"/>
                <w:sz w:val="10"/>
                <w:szCs w:val="10"/>
                <w:b w:val="1"/>
                <w:bCs w:val="1"/>
                <w:color w:val="auto"/>
              </w:rPr>
              <w:t>(4)</w:t>
            </w:r>
          </w:p>
        </w:tc>
        <w:tc>
          <w:tcPr>
            <w:tcW w:w="72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(5)</w:t>
            </w:r>
          </w:p>
        </w:tc>
        <w:tc>
          <w:tcPr>
            <w:tcW w:w="0" w:type="dxa"/>
            <w:vAlign w:val="bottom"/>
          </w:tcPr>
          <w:p>
            <w:pPr>
              <w:spacing w:after="0"/>
              <w:rPr>
                <w:sz w:val="1"/>
                <w:szCs w:val="1"/>
                <w:color w:val="auto"/>
              </w:rPr>
            </w:pPr>
          </w:p>
        </w:tc>
      </w:tr>
      <w:tr>
        <w:trPr>
          <w:trHeight w:val="149"/>
        </w:trPr>
        <w:tc>
          <w:tcPr>
            <w:tcW w:w="240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P. Steiner</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995,937</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Arial" w:cs="Arial" w:eastAsia="Arial" w:hAnsi="Arial"/>
                <w:sz w:val="14"/>
                <w:szCs w:val="14"/>
                <w:color w:val="auto"/>
              </w:rPr>
              <w:t>1,659,895</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Arial" w:cs="Arial" w:eastAsia="Arial" w:hAnsi="Arial"/>
                <w:sz w:val="14"/>
                <w:szCs w:val="14"/>
                <w:color w:val="auto"/>
                <w:w w:val="99"/>
              </w:rPr>
              <w:t>3,319,790</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61,132</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101,886</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203,772</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6,760,136</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236,427</w:t>
            </w:r>
          </w:p>
        </w:tc>
        <w:tc>
          <w:tcPr>
            <w:tcW w:w="7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54.635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54.53</w:t>
            </w:r>
          </w:p>
        </w:tc>
        <w:tc>
          <w:tcPr>
            <w:tcW w:w="8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1,307,441</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James E. Trevathan, Jr.</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353,156</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Arial" w:cs="Arial" w:eastAsia="Arial" w:hAnsi="Arial"/>
                <w:sz w:val="14"/>
                <w:szCs w:val="14"/>
                <w:color w:val="auto"/>
              </w:rPr>
              <w:t>588,593</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Arial" w:cs="Arial" w:eastAsia="Arial" w:hAnsi="Arial"/>
                <w:sz w:val="14"/>
                <w:szCs w:val="14"/>
                <w:color w:val="auto"/>
                <w:w w:val="99"/>
              </w:rPr>
              <w:t>1,177,186</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15,623</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26,038</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52,076</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1,727,621</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60,420</w:t>
            </w:r>
          </w:p>
        </w:tc>
        <w:tc>
          <w:tcPr>
            <w:tcW w:w="7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54.635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54.53</w:t>
            </w:r>
          </w:p>
        </w:tc>
        <w:tc>
          <w:tcPr>
            <w:tcW w:w="8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334,123</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James C. Fish, Jr.</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329,209</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Arial" w:cs="Arial" w:eastAsia="Arial" w:hAnsi="Arial"/>
                <w:sz w:val="14"/>
                <w:szCs w:val="14"/>
                <w:color w:val="auto"/>
              </w:rPr>
              <w:t>548,682</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Arial" w:cs="Arial" w:eastAsia="Arial" w:hAnsi="Arial"/>
                <w:sz w:val="14"/>
                <w:szCs w:val="14"/>
                <w:color w:val="auto"/>
                <w:w w:val="99"/>
              </w:rPr>
              <w:t>1,097,364</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15,623</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26,038</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52,076</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1,727,621</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60,420</w:t>
            </w:r>
          </w:p>
        </w:tc>
        <w:tc>
          <w:tcPr>
            <w:tcW w:w="7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54.635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54.53</w:t>
            </w:r>
          </w:p>
        </w:tc>
        <w:tc>
          <w:tcPr>
            <w:tcW w:w="8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334,123</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Jeff M. Harris</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282,302</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Arial" w:cs="Arial" w:eastAsia="Arial" w:hAnsi="Arial"/>
                <w:sz w:val="14"/>
                <w:szCs w:val="14"/>
                <w:color w:val="auto"/>
              </w:rPr>
              <w:t>470,504</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Arial" w:cs="Arial" w:eastAsia="Arial" w:hAnsi="Arial"/>
                <w:sz w:val="14"/>
                <w:szCs w:val="14"/>
                <w:color w:val="auto"/>
              </w:rPr>
              <w:t>941,008</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13,042</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21,736</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43,472</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1,442,184</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50,438</w:t>
            </w:r>
          </w:p>
        </w:tc>
        <w:tc>
          <w:tcPr>
            <w:tcW w:w="7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54.635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54.53</w:t>
            </w:r>
          </w:p>
        </w:tc>
        <w:tc>
          <w:tcPr>
            <w:tcW w:w="8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278,922</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John J. Morris, Jr.</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tcPr>
          <w:p>
            <w:pPr>
              <w:spacing w:after="0"/>
              <w:rPr>
                <w:sz w:val="12"/>
                <w:szCs w:val="12"/>
                <w:color w:val="auto"/>
              </w:rPr>
            </w:pPr>
          </w:p>
        </w:tc>
        <w:tc>
          <w:tcPr>
            <w:tcW w:w="154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271,822</w:t>
            </w:r>
          </w:p>
        </w:tc>
        <w:tc>
          <w:tcPr>
            <w:tcW w:w="1140" w:type="dxa"/>
            <w:vAlign w:val="bottom"/>
            <w:tcBorders>
              <w:bottom w:val="single" w:sz="8" w:color="7F7F7F"/>
            </w:tcBorders>
          </w:tcPr>
          <w:p>
            <w:pPr>
              <w:jc w:val="right"/>
              <w:ind w:right="211"/>
              <w:spacing w:after="0" w:line="142" w:lineRule="exact"/>
              <w:rPr>
                <w:sz w:val="20"/>
                <w:szCs w:val="20"/>
                <w:color w:val="auto"/>
              </w:rPr>
            </w:pPr>
            <w:r>
              <w:rPr>
                <w:rFonts w:ascii="Arial" w:cs="Arial" w:eastAsia="Arial" w:hAnsi="Arial"/>
                <w:sz w:val="14"/>
                <w:szCs w:val="14"/>
                <w:color w:val="auto"/>
              </w:rPr>
              <w:t>453,036</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Arial" w:cs="Arial" w:eastAsia="Arial" w:hAnsi="Arial"/>
                <w:sz w:val="14"/>
                <w:szCs w:val="14"/>
                <w:color w:val="auto"/>
              </w:rPr>
              <w:t>906,072</w:t>
            </w:r>
          </w:p>
        </w:tc>
        <w:tc>
          <w:tcPr>
            <w:tcW w:w="8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8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7F7F7F"/>
            </w:tcBorders>
            <w:shd w:val="clear" w:color="auto" w:fill="CCEEFF"/>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7F7F7F"/>
            </w:tcBorders>
            <w:shd w:val="clear" w:color="auto" w:fill="CCEEFF"/>
          </w:tcPr>
          <w:p>
            <w:pPr>
              <w:spacing w:after="0"/>
              <w:rPr>
                <w:sz w:val="12"/>
                <w:szCs w:val="12"/>
                <w:color w:val="auto"/>
              </w:rPr>
            </w:pPr>
          </w:p>
        </w:tc>
        <w:tc>
          <w:tcPr>
            <w:tcW w:w="114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13,042</w:t>
            </w:r>
          </w:p>
        </w:tc>
        <w:tc>
          <w:tcPr>
            <w:tcW w:w="76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21,736</w:t>
            </w: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43,472</w:t>
            </w:r>
          </w:p>
        </w:tc>
        <w:tc>
          <w:tcPr>
            <w:tcW w:w="88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72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1,442,184</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tcPr>
          <w:p>
            <w:pPr>
              <w:jc w:val="right"/>
              <w:ind w:right="1529"/>
              <w:spacing w:after="0" w:line="142" w:lineRule="exact"/>
              <w:rPr>
                <w:sz w:val="20"/>
                <w:szCs w:val="20"/>
                <w:color w:val="auto"/>
              </w:rPr>
            </w:pPr>
            <w:r>
              <w:rPr>
                <w:rFonts w:ascii="Arial" w:cs="Arial" w:eastAsia="Arial" w:hAnsi="Arial"/>
                <w:sz w:val="14"/>
                <w:szCs w:val="14"/>
                <w:color w:val="auto"/>
              </w:rPr>
              <w:t>02/25/15</w:t>
            </w:r>
          </w:p>
        </w:tc>
        <w:tc>
          <w:tcPr>
            <w:tcW w:w="1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50,438</w:t>
            </w:r>
          </w:p>
        </w:tc>
        <w:tc>
          <w:tcPr>
            <w:tcW w:w="7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54.635</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54.53</w:t>
            </w:r>
          </w:p>
        </w:tc>
        <w:tc>
          <w:tcPr>
            <w:tcW w:w="8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278,922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220" w:hanging="332"/>
        <w:spacing w:after="0" w:line="234"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Actual payouts of cash incentive awards for 2015 performance are shown in the Summary Compensation Table under “Non-Equity Incentive Plan Compensation.” The named executives’ annual cash incentives are a percentage of base salary approved by the MD&amp;C Committee. The threshold levels represent the bonus amounts that would have been payable if the minimum performance requirements were met for each performance measure. Please see “Compensation Discussion and Analysis — Named Executive’s 2015 Compensation Program and Results — Annual Cash Incentive” for additional information about these awards, including performance criteria.</w:t>
      </w:r>
    </w:p>
    <w:p>
      <w:pPr>
        <w:spacing w:after="0" w:line="87" w:lineRule="exact"/>
        <w:rPr>
          <w:rFonts w:ascii="Arial" w:cs="Arial" w:eastAsia="Arial" w:hAnsi="Arial"/>
          <w:sz w:val="14"/>
          <w:szCs w:val="14"/>
          <w:color w:val="auto"/>
        </w:rPr>
      </w:pPr>
    </w:p>
    <w:p>
      <w:pPr>
        <w:ind w:left="340" w:right="20" w:hanging="332"/>
        <w:spacing w:after="0" w:line="234"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number of shares of Common Stock potentially issuable based on the achievement of performance criteria under performance share unit awards granted under our 2014 Stock Incentive Plan. Please see “Compensation Discussion and Analysis — Named Executive’s 2015 Compensation Program and Results — Long-Term Equity Incentives — Performance Share Units” for additional information about these awards, including performance criteria. The performance period for these awards ends December 31, 2017. Performance share units earn dividend equivalents, which are paid out based on the number of shares actually earned, if any, at the end of the performance period.</w:t>
      </w:r>
    </w:p>
    <w:p>
      <w:pPr>
        <w:spacing w:after="0" w:line="87" w:lineRule="exact"/>
        <w:rPr>
          <w:rFonts w:ascii="Arial" w:cs="Arial" w:eastAsia="Arial" w:hAnsi="Arial"/>
          <w:sz w:val="14"/>
          <w:szCs w:val="14"/>
          <w:color w:val="auto"/>
        </w:rPr>
      </w:pPr>
    </w:p>
    <w:p>
      <w:pPr>
        <w:ind w:left="340" w:right="40" w:hanging="332"/>
        <w:spacing w:after="0" w:line="229"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number of shares of Common Stock potentially issuable upon the exercise of options granted under our 2014 Stock Incentive Plan. Please see “Compensation Discussion and Analysis — Named Executive’s 2015 Compensation Program and Results — Long-Term Equity Incentives — Stock Options” for additional information about these awards. The stock options will vest in 25% increments on the first two anniversaries of the date of grant and the remaining 50% will vest on the third anniversary. 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option awards are not included as “Equity Incentive Plan Awards” in the table above or the Outstanding Equity Awards at December 31, 2015 table.</w:t>
      </w:r>
    </w:p>
    <w:p>
      <w:pPr>
        <w:spacing w:after="0" w:line="91"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exercise price represents the average of the high and low market price on the date of the grant, in accordance with our 2014 Stock Incentive Plan.</w:t>
      </w:r>
    </w:p>
    <w:p>
      <w:pPr>
        <w:spacing w:after="0" w:line="109" w:lineRule="exact"/>
        <w:rPr>
          <w:rFonts w:ascii="Arial" w:cs="Arial" w:eastAsia="Arial" w:hAnsi="Arial"/>
          <w:sz w:val="14"/>
          <w:szCs w:val="14"/>
          <w:color w:val="auto"/>
        </w:rPr>
      </w:pPr>
    </w:p>
    <w:p>
      <w:pPr>
        <w:ind w:left="340" w:right="220" w:hanging="332"/>
        <w:spacing w:after="0" w:line="253"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amounts represent grant date fair value of the awards as calculated under ASC Topic 718, as further described in Note 16 in the Notes to the Consolidated Financial Statements in our 2015 Annual Report on Form 10-K.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4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i w:val="1"/>
                <w:iCs w:val="1"/>
                <w:color w:val="auto"/>
              </w:rPr>
              <w:t>Equity</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i w:val="1"/>
                <w:iCs w:val="1"/>
                <w:color w:val="auto"/>
              </w:rPr>
              <w:t>Equity</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i w:val="1"/>
                <w:iCs w:val="1"/>
                <w:color w:val="auto"/>
              </w:rPr>
              <w:t>Incentive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i w:val="1"/>
                <w:iCs w:val="1"/>
                <w:color w:val="auto"/>
              </w:rPr>
              <w:t>Incentive</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i w:val="1"/>
                <w:iCs w:val="1"/>
                <w:color w:val="auto"/>
              </w:rPr>
              <w:t>Plan</w:t>
            </w: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88"/>
              <w:spacing w:after="0" w:line="145" w:lineRule="exact"/>
              <w:rPr>
                <w:sz w:val="20"/>
                <w:szCs w:val="20"/>
                <w:color w:val="auto"/>
              </w:rPr>
            </w:pPr>
            <w:r>
              <w:rPr>
                <w:rFonts w:ascii="Arial" w:cs="Arial" w:eastAsia="Arial" w:hAnsi="Arial"/>
                <w:sz w:val="14"/>
                <w:szCs w:val="14"/>
                <w:i w:val="1"/>
                <w:iCs w:val="1"/>
                <w:color w:val="auto"/>
              </w:rPr>
              <w:t>Plan</w:t>
            </w:r>
          </w:p>
        </w:tc>
        <w:tc>
          <w:tcPr>
            <w:tcW w:w="1120" w:type="dxa"/>
            <w:vAlign w:val="bottom"/>
          </w:tcPr>
          <w:p>
            <w:pPr>
              <w:jc w:val="right"/>
              <w:ind w:right="148"/>
              <w:spacing w:after="0" w:line="145" w:lineRule="exact"/>
              <w:rPr>
                <w:sz w:val="20"/>
                <w:szCs w:val="20"/>
                <w:color w:val="auto"/>
              </w:rPr>
            </w:pPr>
            <w:r>
              <w:rPr>
                <w:rFonts w:ascii="Arial" w:cs="Arial" w:eastAsia="Arial" w:hAnsi="Arial"/>
                <w:sz w:val="14"/>
                <w:szCs w:val="14"/>
                <w:i w:val="1"/>
                <w:iCs w:val="1"/>
                <w:color w:val="auto"/>
              </w:rPr>
              <w:t>Awards: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i w:val="1"/>
                <w:iCs w:val="1"/>
                <w:color w:val="auto"/>
              </w:rPr>
              <w:t>Awards:</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Market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Number of</w:t>
            </w:r>
          </w:p>
        </w:tc>
        <w:tc>
          <w:tcPr>
            <w:tcW w:w="920" w:type="dxa"/>
            <w:vAlign w:val="bottom"/>
            <w:vMerge w:val="continue"/>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Unearned</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Number of</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20" w:type="dxa"/>
            <w:vAlign w:val="bottom"/>
          </w:tcPr>
          <w:p>
            <w:pPr>
              <w:jc w:val="right"/>
              <w:ind w:right="88"/>
              <w:spacing w:after="0" w:line="145" w:lineRule="exact"/>
              <w:rPr>
                <w:sz w:val="20"/>
                <w:szCs w:val="20"/>
                <w:color w:val="auto"/>
              </w:rPr>
            </w:pPr>
            <w:r>
              <w:rPr>
                <w:rFonts w:ascii="Arial" w:cs="Arial" w:eastAsia="Arial" w:hAnsi="Arial"/>
                <w:sz w:val="14"/>
                <w:szCs w:val="14"/>
                <w:b w:val="1"/>
                <w:bCs w:val="1"/>
                <w:color w:val="auto"/>
              </w:rPr>
              <w:t>Value of</w:t>
            </w:r>
          </w:p>
        </w:tc>
        <w:tc>
          <w:tcPr>
            <w:tcW w:w="980" w:type="dxa"/>
            <w:vAlign w:val="bottom"/>
          </w:tcPr>
          <w:p>
            <w:pPr>
              <w:jc w:val="right"/>
              <w:ind w:right="88"/>
              <w:spacing w:after="0" w:line="145" w:lineRule="exact"/>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148"/>
              <w:spacing w:after="0" w:line="145"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 or</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 or</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Units or</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Securities</w:t>
            </w: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Securities</w:t>
            </w: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Units of</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Units of</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Underlying</w:t>
            </w: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Underlying</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Option</w:t>
            </w:r>
          </w:p>
        </w:tc>
        <w:tc>
          <w:tcPr>
            <w:tcW w:w="9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Stock</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Stock</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Rights</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Unexercised</w:t>
            </w: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Unexercised</w:t>
            </w:r>
          </w:p>
        </w:tc>
        <w:tc>
          <w:tcPr>
            <w:tcW w:w="780" w:type="dxa"/>
            <w:vAlign w:val="bottom"/>
            <w:vMerge w:val="continue"/>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Option</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That Have</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that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That Have</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Options</w:t>
            </w: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Options</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Exercise</w:t>
            </w:r>
          </w:p>
        </w:tc>
        <w:tc>
          <w:tcPr>
            <w:tcW w:w="980" w:type="dxa"/>
            <w:vAlign w:val="bottom"/>
            <w:vMerge w:val="continue"/>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Not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Have Not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Not</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4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Exercisable</w:t>
            </w: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Unexercisable</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Price</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Expiration</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Vested</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Vested</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Vested</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6"/>
        </w:trPr>
        <w:tc>
          <w:tcPr>
            <w:tcW w:w="2480" w:type="dxa"/>
            <w:vAlign w:val="bottom"/>
            <w:vMerge w:val="continue"/>
          </w:tcPr>
          <w:p>
            <w:pPr>
              <w:spacing w:after="0"/>
              <w:rPr>
                <w:sz w:val="15"/>
                <w:szCs w:val="15"/>
                <w:color w:val="auto"/>
              </w:rPr>
            </w:pPr>
          </w:p>
        </w:tc>
        <w:tc>
          <w:tcPr>
            <w:tcW w:w="19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Date</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(6)</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12"/>
                <w:szCs w:val="12"/>
                <w:b w:val="1"/>
                <w:bCs w:val="1"/>
                <w:color w:val="auto"/>
              </w:rPr>
              <w:t>(6)</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P. Steiner</w:t>
            </w:r>
          </w:p>
        </w:tc>
        <w:tc>
          <w:tcPr>
            <w:tcW w:w="1920" w:type="dxa"/>
            <w:vAlign w:val="bottom"/>
            <w:tcBorders>
              <w:bottom w:val="single" w:sz="8" w:color="7F7F7F"/>
            </w:tcBorders>
            <w:shd w:val="clear" w:color="auto" w:fill="CCEEFF"/>
          </w:tcPr>
          <w:p>
            <w:pPr>
              <w:spacing w:after="0"/>
              <w:rPr>
                <w:sz w:val="12"/>
                <w:szCs w:val="12"/>
                <w:color w:val="auto"/>
              </w:rPr>
            </w:pPr>
          </w:p>
        </w:tc>
        <w:tc>
          <w:tcPr>
            <w:tcW w:w="126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980" w:type="dxa"/>
            <w:vAlign w:val="bottom"/>
            <w:tcBorders>
              <w:bottom w:val="single" w:sz="8" w:color="7F7F7F"/>
            </w:tcBorders>
            <w:shd w:val="clear" w:color="auto" w:fill="CCEEFF"/>
          </w:tcPr>
          <w:p>
            <w:pPr>
              <w:spacing w:after="0"/>
              <w:rPr>
                <w:sz w:val="12"/>
                <w:szCs w:val="12"/>
                <w:color w:val="auto"/>
              </w:rPr>
            </w:pPr>
          </w:p>
        </w:tc>
        <w:tc>
          <w:tcPr>
            <w:tcW w:w="980" w:type="dxa"/>
            <w:vAlign w:val="bottom"/>
            <w:tcBorders>
              <w:bottom w:val="single" w:sz="8" w:color="7F7F7F"/>
            </w:tcBorders>
            <w:shd w:val="clear" w:color="auto" w:fill="CCEEFF"/>
          </w:tcPr>
          <w:p>
            <w:pPr>
              <w:spacing w:after="0"/>
              <w:rPr>
                <w:sz w:val="12"/>
                <w:szCs w:val="12"/>
                <w:color w:val="auto"/>
              </w:rPr>
            </w:pPr>
          </w:p>
        </w:tc>
        <w:tc>
          <w:tcPr>
            <w:tcW w:w="920" w:type="dxa"/>
            <w:vAlign w:val="bottom"/>
            <w:tcBorders>
              <w:bottom w:val="single" w:sz="8" w:color="7F7F7F"/>
            </w:tcBorders>
            <w:shd w:val="clear" w:color="auto" w:fill="CCEEFF"/>
          </w:tcPr>
          <w:p>
            <w:pPr>
              <w:spacing w:after="0"/>
              <w:rPr>
                <w:sz w:val="12"/>
                <w:szCs w:val="12"/>
                <w:color w:val="auto"/>
              </w:rPr>
            </w:pPr>
          </w:p>
        </w:tc>
        <w:tc>
          <w:tcPr>
            <w:tcW w:w="98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rPr>
                <w:sz w:val="12"/>
                <w:szCs w:val="12"/>
                <w:color w:val="auto"/>
              </w:rPr>
            </w:pPr>
          </w:p>
        </w:tc>
        <w:tc>
          <w:tcPr>
            <w:tcW w:w="1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236,427</w:t>
            </w:r>
            <w:r>
              <w:rPr>
                <w:rFonts w:ascii="Arial" w:cs="Arial" w:eastAsia="Arial" w:hAnsi="Arial"/>
                <w:sz w:val="12"/>
                <w:szCs w:val="12"/>
                <w:color w:val="auto"/>
              </w:rPr>
              <w:t>(3)</w:t>
            </w:r>
          </w:p>
        </w:tc>
        <w:tc>
          <w:tcPr>
            <w:tcW w:w="7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54.635</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2/25/2025</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218,166</w:t>
            </w:r>
          </w:p>
        </w:tc>
        <w:tc>
          <w:tcPr>
            <w:tcW w:w="112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23,287,039</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shd w:val="clear" w:color="auto" w:fill="CCEEFF"/>
          </w:tcPr>
          <w:p>
            <w:pPr>
              <w:spacing w:after="0"/>
              <w:rPr>
                <w:sz w:val="12"/>
                <w:szCs w:val="12"/>
                <w:color w:val="auto"/>
              </w:rPr>
            </w:pPr>
          </w:p>
        </w:tc>
        <w:tc>
          <w:tcPr>
            <w:tcW w:w="1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70,244</w:t>
            </w:r>
          </w:p>
        </w:tc>
        <w:tc>
          <w:tcPr>
            <w:tcW w:w="12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210,675</w:t>
            </w:r>
            <w:r>
              <w:rPr>
                <w:rFonts w:ascii="Arial" w:cs="Arial" w:eastAsia="Arial" w:hAnsi="Arial"/>
                <w:sz w:val="12"/>
                <w:szCs w:val="12"/>
                <w:color w:val="auto"/>
              </w:rPr>
              <w:t>(4)</w:t>
            </w:r>
          </w:p>
        </w:tc>
        <w:tc>
          <w:tcPr>
            <w:tcW w:w="7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41.37</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3/7/2024</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rPr>
                <w:sz w:val="12"/>
                <w:szCs w:val="12"/>
                <w:color w:val="auto"/>
              </w:rPr>
            </w:pPr>
          </w:p>
        </w:tc>
        <w:tc>
          <w:tcPr>
            <w:tcW w:w="1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141,386</w:t>
            </w:r>
          </w:p>
        </w:tc>
        <w:tc>
          <w:tcPr>
            <w:tcW w:w="126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141,389</w:t>
            </w:r>
            <w:r>
              <w:rPr>
                <w:rFonts w:ascii="Arial" w:cs="Arial" w:eastAsia="Arial" w:hAnsi="Arial"/>
                <w:sz w:val="12"/>
                <w:szCs w:val="12"/>
                <w:color w:val="auto"/>
              </w:rPr>
              <w:t>(5)</w:t>
            </w:r>
          </w:p>
        </w:tc>
        <w:tc>
          <w:tcPr>
            <w:tcW w:w="7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36.885</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3/8/2023</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shd w:val="clear" w:color="auto" w:fill="CCEEFF"/>
          </w:tcPr>
          <w:p>
            <w:pPr>
              <w:spacing w:after="0"/>
              <w:rPr>
                <w:sz w:val="12"/>
                <w:szCs w:val="12"/>
                <w:color w:val="auto"/>
              </w:rPr>
            </w:pPr>
          </w:p>
        </w:tc>
        <w:tc>
          <w:tcPr>
            <w:tcW w:w="1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218,881</w:t>
            </w:r>
          </w:p>
        </w:tc>
        <w:tc>
          <w:tcPr>
            <w:tcW w:w="1260" w:type="dxa"/>
            <w:vAlign w:val="bottom"/>
            <w:tcBorders>
              <w:bottom w:val="single" w:sz="8" w:color="7F7F7F"/>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34.935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3/9/2022</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rPr>
                <w:sz w:val="12"/>
                <w:szCs w:val="12"/>
                <w:color w:val="auto"/>
              </w:rPr>
            </w:pPr>
          </w:p>
        </w:tc>
        <w:tc>
          <w:tcPr>
            <w:tcW w:w="1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583,333</w:t>
            </w:r>
          </w:p>
        </w:tc>
        <w:tc>
          <w:tcPr>
            <w:tcW w:w="1260" w:type="dxa"/>
            <w:vAlign w:val="bottom"/>
            <w:tcBorders>
              <w:bottom w:val="single" w:sz="8" w:color="7F7F7F"/>
            </w:tcBorders>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37.185</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3/9/2021</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331,008</w:t>
            </w:r>
          </w:p>
        </w:tc>
        <w:tc>
          <w:tcPr>
            <w:tcW w:w="126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33.49</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3/9/2020</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James E. Trevathan, Jr.</w:t>
            </w:r>
          </w:p>
        </w:tc>
        <w:tc>
          <w:tcPr>
            <w:tcW w:w="1920" w:type="dxa"/>
            <w:vAlign w:val="bottom"/>
            <w:tcBorders>
              <w:bottom w:val="single" w:sz="8" w:color="7F7F7F"/>
            </w:tcBorders>
          </w:tcPr>
          <w:p>
            <w:pPr>
              <w:spacing w:after="0"/>
              <w:rPr>
                <w:sz w:val="12"/>
                <w:szCs w:val="12"/>
                <w:color w:val="auto"/>
              </w:rPr>
            </w:pPr>
          </w:p>
        </w:tc>
        <w:tc>
          <w:tcPr>
            <w:tcW w:w="12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shd w:val="clear" w:color="auto" w:fill="CCEEFF"/>
          </w:tcPr>
          <w:p>
            <w:pPr>
              <w:spacing w:after="0"/>
              <w:rPr>
                <w:sz w:val="12"/>
                <w:szCs w:val="12"/>
                <w:color w:val="auto"/>
              </w:rPr>
            </w:pPr>
          </w:p>
        </w:tc>
        <w:tc>
          <w:tcPr>
            <w:tcW w:w="1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60,420</w:t>
            </w:r>
            <w:r>
              <w:rPr>
                <w:rFonts w:ascii="Arial" w:cs="Arial" w:eastAsia="Arial" w:hAnsi="Arial"/>
                <w:sz w:val="12"/>
                <w:szCs w:val="12"/>
                <w:color w:val="auto"/>
              </w:rPr>
              <w:t>(3)</w:t>
            </w:r>
          </w:p>
        </w:tc>
        <w:tc>
          <w:tcPr>
            <w:tcW w:w="7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54.635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2/25/2025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53,946</w:t>
            </w:r>
          </w:p>
        </w:tc>
        <w:tc>
          <w:tcPr>
            <w:tcW w:w="11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5,758,196</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rPr>
                <w:sz w:val="12"/>
                <w:szCs w:val="12"/>
                <w:color w:val="auto"/>
              </w:rPr>
            </w:pPr>
          </w:p>
        </w:tc>
        <w:tc>
          <w:tcPr>
            <w:tcW w:w="1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16,854</w:t>
            </w:r>
          </w:p>
        </w:tc>
        <w:tc>
          <w:tcPr>
            <w:tcW w:w="126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50,562</w:t>
            </w:r>
            <w:r>
              <w:rPr>
                <w:rFonts w:ascii="Arial" w:cs="Arial" w:eastAsia="Arial" w:hAnsi="Arial"/>
                <w:sz w:val="12"/>
                <w:szCs w:val="12"/>
                <w:color w:val="auto"/>
              </w:rPr>
              <w:t>(4)</w:t>
            </w:r>
          </w:p>
        </w:tc>
        <w:tc>
          <w:tcPr>
            <w:tcW w:w="7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41.37</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3/7/2024</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29,457</w:t>
            </w:r>
            <w:r>
              <w:rPr>
                <w:rFonts w:ascii="Arial" w:cs="Arial" w:eastAsia="Arial" w:hAnsi="Arial"/>
                <w:sz w:val="12"/>
                <w:szCs w:val="12"/>
                <w:color w:val="auto"/>
              </w:rPr>
              <w:t>(5)</w:t>
            </w:r>
          </w:p>
        </w:tc>
        <w:tc>
          <w:tcPr>
            <w:tcW w:w="7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36.885</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3/8/2023</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James C. Fish, Jr.</w:t>
            </w:r>
          </w:p>
        </w:tc>
        <w:tc>
          <w:tcPr>
            <w:tcW w:w="1920" w:type="dxa"/>
            <w:vAlign w:val="bottom"/>
            <w:tcBorders>
              <w:bottom w:val="single" w:sz="8" w:color="7F7F7F"/>
            </w:tcBorders>
          </w:tcPr>
          <w:p>
            <w:pPr>
              <w:spacing w:after="0"/>
              <w:rPr>
                <w:sz w:val="12"/>
                <w:szCs w:val="12"/>
                <w:color w:val="auto"/>
              </w:rPr>
            </w:pPr>
          </w:p>
        </w:tc>
        <w:tc>
          <w:tcPr>
            <w:tcW w:w="12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shd w:val="clear" w:color="auto" w:fill="CCEEFF"/>
          </w:tcPr>
          <w:p>
            <w:pPr>
              <w:spacing w:after="0"/>
              <w:rPr>
                <w:sz w:val="12"/>
                <w:szCs w:val="12"/>
                <w:color w:val="auto"/>
              </w:rPr>
            </w:pPr>
          </w:p>
        </w:tc>
        <w:tc>
          <w:tcPr>
            <w:tcW w:w="1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60,420</w:t>
            </w:r>
            <w:r>
              <w:rPr>
                <w:rFonts w:ascii="Arial" w:cs="Arial" w:eastAsia="Arial" w:hAnsi="Arial"/>
                <w:sz w:val="12"/>
                <w:szCs w:val="12"/>
                <w:color w:val="auto"/>
              </w:rPr>
              <w:t>(3)</w:t>
            </w:r>
          </w:p>
        </w:tc>
        <w:tc>
          <w:tcPr>
            <w:tcW w:w="7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54.635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2/25/2025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53,946</w:t>
            </w:r>
          </w:p>
        </w:tc>
        <w:tc>
          <w:tcPr>
            <w:tcW w:w="11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5,758,196</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rPr>
                <w:sz w:val="12"/>
                <w:szCs w:val="12"/>
                <w:color w:val="auto"/>
              </w:rPr>
            </w:pPr>
          </w:p>
        </w:tc>
        <w:tc>
          <w:tcPr>
            <w:tcW w:w="1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16,854</w:t>
            </w:r>
          </w:p>
        </w:tc>
        <w:tc>
          <w:tcPr>
            <w:tcW w:w="126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50,562</w:t>
            </w:r>
            <w:r>
              <w:rPr>
                <w:rFonts w:ascii="Arial" w:cs="Arial" w:eastAsia="Arial" w:hAnsi="Arial"/>
                <w:sz w:val="12"/>
                <w:szCs w:val="12"/>
                <w:color w:val="auto"/>
              </w:rPr>
              <w:t>(4)</w:t>
            </w:r>
          </w:p>
        </w:tc>
        <w:tc>
          <w:tcPr>
            <w:tcW w:w="7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41.37</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3/7/2024</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27,500</w:t>
            </w:r>
          </w:p>
        </w:tc>
        <w:tc>
          <w:tcPr>
            <w:tcW w:w="12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27,500</w:t>
            </w:r>
            <w:r>
              <w:rPr>
                <w:rFonts w:ascii="Arial" w:cs="Arial" w:eastAsia="Arial" w:hAnsi="Arial"/>
                <w:sz w:val="12"/>
                <w:szCs w:val="12"/>
                <w:color w:val="auto"/>
              </w:rPr>
              <w:t>(5)</w:t>
            </w:r>
          </w:p>
        </w:tc>
        <w:tc>
          <w:tcPr>
            <w:tcW w:w="7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36.885</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3/8/2023</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Jeff M. Harris</w:t>
            </w:r>
          </w:p>
        </w:tc>
        <w:tc>
          <w:tcPr>
            <w:tcW w:w="1920" w:type="dxa"/>
            <w:vAlign w:val="bottom"/>
            <w:tcBorders>
              <w:bottom w:val="single" w:sz="8" w:color="7F7F7F"/>
            </w:tcBorders>
          </w:tcPr>
          <w:p>
            <w:pPr>
              <w:spacing w:after="0"/>
              <w:rPr>
                <w:sz w:val="12"/>
                <w:szCs w:val="12"/>
                <w:color w:val="auto"/>
              </w:rPr>
            </w:pPr>
          </w:p>
        </w:tc>
        <w:tc>
          <w:tcPr>
            <w:tcW w:w="12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shd w:val="clear" w:color="auto" w:fill="CCEEFF"/>
          </w:tcPr>
          <w:p>
            <w:pPr>
              <w:spacing w:after="0"/>
              <w:rPr>
                <w:sz w:val="12"/>
                <w:szCs w:val="12"/>
                <w:color w:val="auto"/>
              </w:rPr>
            </w:pPr>
          </w:p>
        </w:tc>
        <w:tc>
          <w:tcPr>
            <w:tcW w:w="1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50,438</w:t>
            </w:r>
            <w:r>
              <w:rPr>
                <w:rFonts w:ascii="Arial" w:cs="Arial" w:eastAsia="Arial" w:hAnsi="Arial"/>
                <w:sz w:val="12"/>
                <w:szCs w:val="12"/>
                <w:color w:val="auto"/>
              </w:rPr>
              <w:t>(3)</w:t>
            </w:r>
          </w:p>
        </w:tc>
        <w:tc>
          <w:tcPr>
            <w:tcW w:w="7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54.635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2/25/2025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44,062</w:t>
            </w:r>
          </w:p>
        </w:tc>
        <w:tc>
          <w:tcPr>
            <w:tcW w:w="11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4,703,178</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rPr>
                <w:sz w:val="12"/>
                <w:szCs w:val="12"/>
                <w:color w:val="auto"/>
              </w:rPr>
            </w:pPr>
          </w:p>
        </w:tc>
        <w:tc>
          <w:tcPr>
            <w:tcW w:w="1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13,483</w:t>
            </w:r>
          </w:p>
        </w:tc>
        <w:tc>
          <w:tcPr>
            <w:tcW w:w="126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40,450</w:t>
            </w:r>
            <w:r>
              <w:rPr>
                <w:rFonts w:ascii="Arial" w:cs="Arial" w:eastAsia="Arial" w:hAnsi="Arial"/>
                <w:sz w:val="12"/>
                <w:szCs w:val="12"/>
                <w:color w:val="auto"/>
              </w:rPr>
              <w:t>(4)</w:t>
            </w:r>
          </w:p>
        </w:tc>
        <w:tc>
          <w:tcPr>
            <w:tcW w:w="7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41.37</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3/7/2024</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25,142</w:t>
            </w:r>
          </w:p>
        </w:tc>
        <w:tc>
          <w:tcPr>
            <w:tcW w:w="12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25,145</w:t>
            </w:r>
            <w:r>
              <w:rPr>
                <w:rFonts w:ascii="Arial" w:cs="Arial" w:eastAsia="Arial" w:hAnsi="Arial"/>
                <w:sz w:val="12"/>
                <w:szCs w:val="12"/>
                <w:color w:val="auto"/>
              </w:rPr>
              <w:t>(5)</w:t>
            </w:r>
          </w:p>
        </w:tc>
        <w:tc>
          <w:tcPr>
            <w:tcW w:w="7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36.885</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3/8/2023</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John J. Morris, Jr.</w:t>
            </w:r>
          </w:p>
        </w:tc>
        <w:tc>
          <w:tcPr>
            <w:tcW w:w="1920" w:type="dxa"/>
            <w:vAlign w:val="bottom"/>
            <w:tcBorders>
              <w:bottom w:val="single" w:sz="8" w:color="7F7F7F"/>
            </w:tcBorders>
          </w:tcPr>
          <w:p>
            <w:pPr>
              <w:spacing w:after="0"/>
              <w:rPr>
                <w:sz w:val="12"/>
                <w:szCs w:val="12"/>
                <w:color w:val="auto"/>
              </w:rPr>
            </w:pPr>
          </w:p>
        </w:tc>
        <w:tc>
          <w:tcPr>
            <w:tcW w:w="12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98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shd w:val="clear" w:color="auto" w:fill="CCEEFF"/>
          </w:tcPr>
          <w:p>
            <w:pPr>
              <w:spacing w:after="0"/>
              <w:rPr>
                <w:sz w:val="12"/>
                <w:szCs w:val="12"/>
                <w:color w:val="auto"/>
              </w:rPr>
            </w:pPr>
          </w:p>
        </w:tc>
        <w:tc>
          <w:tcPr>
            <w:tcW w:w="1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50,438</w:t>
            </w:r>
            <w:r>
              <w:rPr>
                <w:rFonts w:ascii="Arial" w:cs="Arial" w:eastAsia="Arial" w:hAnsi="Arial"/>
                <w:sz w:val="12"/>
                <w:szCs w:val="12"/>
                <w:color w:val="auto"/>
              </w:rPr>
              <w:t>(3)</w:t>
            </w:r>
          </w:p>
        </w:tc>
        <w:tc>
          <w:tcPr>
            <w:tcW w:w="7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54.635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2/25/2025</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44,062</w:t>
            </w:r>
          </w:p>
        </w:tc>
        <w:tc>
          <w:tcPr>
            <w:tcW w:w="112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4,703,178</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7F7F7F"/>
            </w:tcBorders>
          </w:tcPr>
          <w:p>
            <w:pPr>
              <w:spacing w:after="0"/>
              <w:rPr>
                <w:sz w:val="12"/>
                <w:szCs w:val="12"/>
                <w:color w:val="auto"/>
              </w:rPr>
            </w:pPr>
          </w:p>
        </w:tc>
        <w:tc>
          <w:tcPr>
            <w:tcW w:w="1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40,450</w:t>
            </w:r>
            <w:r>
              <w:rPr>
                <w:rFonts w:ascii="Arial" w:cs="Arial" w:eastAsia="Arial" w:hAnsi="Arial"/>
                <w:sz w:val="12"/>
                <w:szCs w:val="12"/>
                <w:color w:val="auto"/>
              </w:rPr>
              <w:t>(4)</w:t>
            </w:r>
          </w:p>
        </w:tc>
        <w:tc>
          <w:tcPr>
            <w:tcW w:w="7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41.37</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3/7/2024</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20,431</w:t>
            </w:r>
            <w:r>
              <w:rPr>
                <w:rFonts w:ascii="Arial" w:cs="Arial" w:eastAsia="Arial" w:hAnsi="Arial"/>
                <w:sz w:val="12"/>
                <w:szCs w:val="12"/>
                <w:color w:val="auto"/>
              </w:rPr>
              <w:t>(5)</w:t>
            </w:r>
          </w:p>
        </w:tc>
        <w:tc>
          <w:tcPr>
            <w:tcW w:w="7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36.885</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3/8/2023</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Values are based on the closing price of the Company’s Common Stock on December 31, 2015 of $53.37.</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vested stock options granted on March 9, 2010, March 9, 2011, March 9, 2012, March 8, 2013 and March 7, 2014 pursuant to our 2009 Stock Incentive Plan.</w:t>
      </w:r>
    </w:p>
    <w:p>
      <w:pPr>
        <w:spacing w:after="0" w:line="109" w:lineRule="exact"/>
        <w:rPr>
          <w:rFonts w:ascii="Arial" w:cs="Arial" w:eastAsia="Arial" w:hAnsi="Arial"/>
          <w:sz w:val="14"/>
          <w:szCs w:val="14"/>
          <w:color w:val="auto"/>
        </w:rPr>
      </w:pPr>
    </w:p>
    <w:p>
      <w:pPr>
        <w:ind w:left="340" w:right="14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February 25, 2015 that vest 25% on the first and second anniversary of the date of grant and 50% on the third anniversary of the date of grant pursuant to our 2014 Stock Incentive Plan.</w:t>
      </w:r>
    </w:p>
    <w:p>
      <w:pPr>
        <w:spacing w:after="0" w:line="79" w:lineRule="exact"/>
        <w:rPr>
          <w:rFonts w:ascii="Arial" w:cs="Arial" w:eastAsia="Arial" w:hAnsi="Arial"/>
          <w:sz w:val="14"/>
          <w:szCs w:val="14"/>
          <w:color w:val="auto"/>
        </w:rPr>
      </w:pPr>
    </w:p>
    <w:p>
      <w:pPr>
        <w:ind w:left="340" w:right="6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March 7, 2014 that vested 25% on the first anniversary of the date of grant. An additional 25% will vest on the second anniversary of the date of grant and 50% will vest on the third anniversary of the date of grant.</w:t>
      </w:r>
    </w:p>
    <w:p>
      <w:pPr>
        <w:spacing w:after="0" w:line="79" w:lineRule="exact"/>
        <w:rPr>
          <w:rFonts w:ascii="Arial" w:cs="Arial" w:eastAsia="Arial" w:hAnsi="Arial"/>
          <w:sz w:val="14"/>
          <w:szCs w:val="14"/>
          <w:color w:val="auto"/>
        </w:rPr>
      </w:pPr>
    </w:p>
    <w:p>
      <w:pPr>
        <w:ind w:left="340" w:right="4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March 8, 2013 that vested 25% on the first and second anniversary of the date of grant. The remaining 50% will vest on the third anniversary of the date of grant.</w:t>
      </w:r>
    </w:p>
    <w:p>
      <w:pPr>
        <w:spacing w:after="0" w:line="79" w:lineRule="exact"/>
        <w:rPr>
          <w:rFonts w:ascii="Arial" w:cs="Arial" w:eastAsia="Arial" w:hAnsi="Arial"/>
          <w:sz w:val="14"/>
          <w:szCs w:val="14"/>
          <w:color w:val="auto"/>
        </w:rPr>
      </w:pPr>
    </w:p>
    <w:p>
      <w:pPr>
        <w:ind w:left="340" w:right="14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performance share units with three-year performance periods ending December 31, 2016 and December 31, 2017. Payouts on performance share units are made after the Company’s financial results for the entire performance period are reported and the MD&amp;C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0"/>
        <w:spacing w:after="0" w:line="247" w:lineRule="auto"/>
        <w:rPr>
          <w:sz w:val="20"/>
          <w:szCs w:val="20"/>
          <w:color w:val="auto"/>
        </w:rPr>
      </w:pPr>
      <w:r>
        <w:rPr>
          <w:rFonts w:ascii="Arial" w:cs="Arial" w:eastAsia="Arial" w:hAnsi="Arial"/>
          <w:sz w:val="13"/>
          <w:szCs w:val="13"/>
          <w:color w:val="auto"/>
        </w:rPr>
        <w:t>Committee determines achievement of performance results and corresponding vesting, typically in mid to late February of the succeeding year. The performance share units for the performance period ended on December 31, 2015 are not included in the table as they are considered earned as of December 31, 2015 for proxy disclosure purposes; instead, such performance share units are included in the Option Exercises and Stock Vested table below. Pursuant to SEC disclosure instructions, because the Company’s performance on the metrics governing our performance share units with the performance period ended on December 31, 2015 exceeded target, the payout value of unearned awards is calculated assuming maximum performance criteria is achieved. The following number of performance share units, assuming target performance, have a performance period ending on December 31, 2016: Mr. Steiner – 116,280; Mr. Trevathan – 27,908; Mr. Fish – 27,908; Mr. Harris 22,326, and Mr. Morris – 22,326. The following number of performance share units, assuming target performance, have a performance period ending December 31, 2017: Mr. Steiner – 101,886; Mr. Trevathan – 26,038; Mr. Fish – 26,038; Mr. Harris – 21,736; and Mr. Morris – 21,736.</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3020" w:type="dxa"/>
            <w:vAlign w:val="bottom"/>
          </w:tcPr>
          <w:p>
            <w:pPr>
              <w:jc w:val="right"/>
              <w:ind w:right="48"/>
              <w:spacing w:after="0"/>
              <w:rPr>
                <w:sz w:val="20"/>
                <w:szCs w:val="20"/>
                <w:color w:val="auto"/>
              </w:rPr>
            </w:pPr>
            <w:r>
              <w:rPr>
                <w:rFonts w:ascii="Arial" w:cs="Arial" w:eastAsia="Arial" w:hAnsi="Arial"/>
                <w:sz w:val="14"/>
                <w:szCs w:val="14"/>
                <w:b w:val="1"/>
                <w:bCs w:val="1"/>
                <w:color w:val="auto"/>
              </w:rPr>
              <w:t>Option Awards</w:t>
            </w:r>
          </w:p>
        </w:tc>
        <w:tc>
          <w:tcPr>
            <w:tcW w:w="1620" w:type="dxa"/>
            <w:vAlign w:val="bottom"/>
          </w:tcPr>
          <w:p>
            <w:pPr>
              <w:spacing w:after="0"/>
              <w:rPr>
                <w:sz w:val="15"/>
                <w:szCs w:val="15"/>
                <w:color w:val="auto"/>
              </w:rPr>
            </w:pPr>
          </w:p>
        </w:tc>
        <w:tc>
          <w:tcPr>
            <w:tcW w:w="310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 Awards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jc w:val="right"/>
              <w:ind w:right="788"/>
              <w:spacing w:after="0" w:line="149" w:lineRule="exact"/>
              <w:rPr>
                <w:sz w:val="20"/>
                <w:szCs w:val="20"/>
                <w:color w:val="auto"/>
              </w:rPr>
            </w:pPr>
            <w:r>
              <w:rPr>
                <w:rFonts w:ascii="Arial" w:cs="Arial" w:eastAsia="Arial" w:hAnsi="Arial"/>
                <w:sz w:val="14"/>
                <w:szCs w:val="14"/>
                <w:b w:val="1"/>
                <w:bCs w:val="1"/>
                <w:color w:val="auto"/>
              </w:rPr>
              <w:t>Number of Shares</w:t>
            </w:r>
          </w:p>
        </w:tc>
        <w:tc>
          <w:tcPr>
            <w:tcW w:w="16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Value Realized on</w:t>
            </w:r>
          </w:p>
        </w:tc>
        <w:tc>
          <w:tcPr>
            <w:tcW w:w="3100" w:type="dxa"/>
            <w:vAlign w:val="bottom"/>
          </w:tcPr>
          <w:p>
            <w:pPr>
              <w:jc w:val="right"/>
              <w:ind w:right="1028"/>
              <w:spacing w:after="0" w:line="149" w:lineRule="exact"/>
              <w:rPr>
                <w:sz w:val="20"/>
                <w:szCs w:val="20"/>
                <w:color w:val="auto"/>
              </w:rPr>
            </w:pPr>
            <w:r>
              <w:rPr>
                <w:rFonts w:ascii="Arial" w:cs="Arial" w:eastAsia="Arial" w:hAnsi="Arial"/>
                <w:sz w:val="14"/>
                <w:szCs w:val="14"/>
                <w:b w:val="1"/>
                <w:bCs w:val="1"/>
                <w:color w:val="auto"/>
              </w:rPr>
              <w:t>Number of Shares</w:t>
            </w:r>
          </w:p>
        </w:tc>
        <w:tc>
          <w:tcPr>
            <w:tcW w:w="17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71"/>
        </w:trPr>
        <w:tc>
          <w:tcPr>
            <w:tcW w:w="1960" w:type="dxa"/>
            <w:vAlign w:val="bottom"/>
            <w:vMerge w:val="continue"/>
          </w:tcPr>
          <w:p>
            <w:pPr>
              <w:spacing w:after="0"/>
              <w:rPr>
                <w:sz w:val="14"/>
                <w:szCs w:val="14"/>
                <w:color w:val="auto"/>
              </w:rPr>
            </w:pPr>
          </w:p>
        </w:tc>
        <w:tc>
          <w:tcPr>
            <w:tcW w:w="3020" w:type="dxa"/>
            <w:vAlign w:val="bottom"/>
          </w:tcPr>
          <w:p>
            <w:pPr>
              <w:jc w:val="right"/>
              <w:ind w:right="788"/>
              <w:spacing w:after="0"/>
              <w:rPr>
                <w:sz w:val="20"/>
                <w:szCs w:val="20"/>
                <w:color w:val="auto"/>
              </w:rPr>
            </w:pPr>
            <w:r>
              <w:rPr>
                <w:rFonts w:ascii="Arial" w:cs="Arial" w:eastAsia="Arial" w:hAnsi="Arial"/>
                <w:sz w:val="14"/>
                <w:szCs w:val="14"/>
                <w:b w:val="1"/>
                <w:bCs w:val="1"/>
                <w:color w:val="auto"/>
              </w:rPr>
              <w:t>Acquired on Exercise (#)</w:t>
            </w: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w:t>
            </w:r>
          </w:p>
        </w:tc>
        <w:tc>
          <w:tcPr>
            <w:tcW w:w="3100" w:type="dxa"/>
            <w:vAlign w:val="bottom"/>
          </w:tcPr>
          <w:p>
            <w:pPr>
              <w:jc w:val="right"/>
              <w:ind w:right="1028"/>
              <w:spacing w:after="0"/>
              <w:rPr>
                <w:sz w:val="20"/>
                <w:szCs w:val="20"/>
                <w:color w:val="auto"/>
              </w:rPr>
            </w:pPr>
            <w:r>
              <w:rPr>
                <w:rFonts w:ascii="Arial" w:cs="Arial" w:eastAsia="Arial" w:hAnsi="Arial"/>
                <w:sz w:val="14"/>
                <w:szCs w:val="14"/>
                <w:b w:val="1"/>
                <w:bCs w:val="1"/>
                <w:color w:val="auto"/>
              </w:rPr>
              <w:t>Acquired on Vesting (#)</w:t>
            </w:r>
            <w:r>
              <w:rPr>
                <w:rFonts w:ascii="Arial" w:cs="Arial" w:eastAsia="Arial" w:hAnsi="Arial"/>
                <w:sz w:val="12"/>
                <w:szCs w:val="12"/>
                <w:b w:val="1"/>
                <w:bCs w:val="1"/>
                <w:color w:val="auto"/>
              </w:rPr>
              <w:t>(1)</w:t>
            </w:r>
          </w:p>
        </w:tc>
        <w:tc>
          <w:tcPr>
            <w:tcW w:w="1720" w:type="dxa"/>
            <w:vAlign w:val="bottom"/>
          </w:tcPr>
          <w:p>
            <w:pPr>
              <w:jc w:val="right"/>
              <w:ind w:right="308"/>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149"/>
        </w:trPr>
        <w:tc>
          <w:tcPr>
            <w:tcW w:w="196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color w:val="auto"/>
              </w:rPr>
              <w:t>David P. Steiner</w:t>
            </w:r>
          </w:p>
        </w:tc>
        <w:tc>
          <w:tcPr>
            <w:tcW w:w="3020" w:type="dxa"/>
            <w:vAlign w:val="bottom"/>
            <w:tcBorders>
              <w:bottom w:val="single" w:sz="8" w:color="7F7F7F"/>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3100" w:type="dxa"/>
            <w:vAlign w:val="bottom"/>
            <w:tcBorders>
              <w:bottom w:val="single" w:sz="8" w:color="7F7F7F"/>
            </w:tcBorders>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216,063(2)</w:t>
            </w:r>
          </w:p>
        </w:tc>
        <w:tc>
          <w:tcPr>
            <w:tcW w:w="1720" w:type="dxa"/>
            <w:vAlign w:val="bottom"/>
            <w:tcBorders>
              <w:bottom w:val="single" w:sz="8" w:color="7F7F7F"/>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11,871,582</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James E. Trevathan, Jr.</w:t>
            </w:r>
          </w:p>
        </w:tc>
        <w:tc>
          <w:tcPr>
            <w:tcW w:w="3020" w:type="dxa"/>
            <w:vAlign w:val="bottom"/>
            <w:tcBorders>
              <w:bottom w:val="single" w:sz="8" w:color="7F7F7F"/>
            </w:tcBorders>
          </w:tcPr>
          <w:p>
            <w:pPr>
              <w:jc w:val="right"/>
              <w:ind w:right="628"/>
              <w:spacing w:after="0" w:line="142" w:lineRule="exact"/>
              <w:rPr>
                <w:sz w:val="20"/>
                <w:szCs w:val="20"/>
                <w:color w:val="auto"/>
              </w:rPr>
            </w:pPr>
            <w:r>
              <w:rPr>
                <w:rFonts w:ascii="Arial" w:cs="Arial" w:eastAsia="Arial" w:hAnsi="Arial"/>
                <w:sz w:val="14"/>
                <w:szCs w:val="14"/>
                <w:color w:val="auto"/>
              </w:rPr>
              <w:t>379,130(3)</w:t>
            </w:r>
          </w:p>
        </w:tc>
        <w:tc>
          <w:tcPr>
            <w:tcW w:w="162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6,524,405</w:t>
            </w:r>
          </w:p>
        </w:tc>
        <w:tc>
          <w:tcPr>
            <w:tcW w:w="3100" w:type="dxa"/>
            <w:vAlign w:val="bottom"/>
            <w:tcBorders>
              <w:bottom w:val="single" w:sz="8" w:color="7F7F7F"/>
            </w:tcBorders>
          </w:tcPr>
          <w:p>
            <w:pPr>
              <w:jc w:val="right"/>
              <w:ind w:right="1028"/>
              <w:spacing w:after="0" w:line="142" w:lineRule="exact"/>
              <w:rPr>
                <w:sz w:val="20"/>
                <w:szCs w:val="20"/>
                <w:color w:val="auto"/>
              </w:rPr>
            </w:pPr>
            <w:r>
              <w:rPr>
                <w:rFonts w:ascii="Arial" w:cs="Arial" w:eastAsia="Arial" w:hAnsi="Arial"/>
                <w:sz w:val="14"/>
                <w:szCs w:val="14"/>
                <w:color w:val="auto"/>
              </w:rPr>
              <w:t>45,013</w:t>
            </w:r>
          </w:p>
        </w:tc>
        <w:tc>
          <w:tcPr>
            <w:tcW w:w="1720" w:type="dxa"/>
            <w:vAlign w:val="bottom"/>
            <w:tcBorders>
              <w:bottom w:val="single" w:sz="8" w:color="7F7F7F"/>
            </w:tcBorders>
          </w:tcPr>
          <w:p>
            <w:pPr>
              <w:jc w:val="right"/>
              <w:ind w:right="308"/>
              <w:spacing w:after="0" w:line="142" w:lineRule="exact"/>
              <w:rPr>
                <w:sz w:val="20"/>
                <w:szCs w:val="20"/>
                <w:color w:val="auto"/>
              </w:rPr>
            </w:pPr>
            <w:r>
              <w:rPr>
                <w:rFonts w:ascii="Arial" w:cs="Arial" w:eastAsia="Arial" w:hAnsi="Arial"/>
                <w:sz w:val="14"/>
                <w:szCs w:val="14"/>
                <w:color w:val="auto"/>
              </w:rPr>
              <w:t>2,473,239</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James C. Fish, Jr.</w:t>
            </w:r>
          </w:p>
        </w:tc>
        <w:tc>
          <w:tcPr>
            <w:tcW w:w="3020" w:type="dxa"/>
            <w:vAlign w:val="bottom"/>
            <w:tcBorders>
              <w:bottom w:val="single" w:sz="8" w:color="7F7F7F"/>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rPr>
              <w:t>151,255(4)</w:t>
            </w:r>
          </w:p>
        </w:tc>
        <w:tc>
          <w:tcPr>
            <w:tcW w:w="1620" w:type="dxa"/>
            <w:vAlign w:val="bottom"/>
            <w:tcBorders>
              <w:bottom w:val="single" w:sz="8" w:color="7F7F7F"/>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2,619,621</w:t>
            </w:r>
          </w:p>
        </w:tc>
        <w:tc>
          <w:tcPr>
            <w:tcW w:w="3100" w:type="dxa"/>
            <w:vAlign w:val="bottom"/>
            <w:tcBorders>
              <w:bottom w:val="single" w:sz="8" w:color="7F7F7F"/>
            </w:tcBorders>
            <w:shd w:val="clear" w:color="auto" w:fill="CCEEFF"/>
          </w:tcPr>
          <w:p>
            <w:pPr>
              <w:jc w:val="right"/>
              <w:ind w:right="688"/>
              <w:spacing w:after="0" w:line="142" w:lineRule="exact"/>
              <w:rPr>
                <w:sz w:val="20"/>
                <w:szCs w:val="20"/>
                <w:color w:val="auto"/>
              </w:rPr>
            </w:pPr>
            <w:r>
              <w:rPr>
                <w:rFonts w:ascii="Arial" w:cs="Arial" w:eastAsia="Arial" w:hAnsi="Arial"/>
                <w:sz w:val="14"/>
                <w:szCs w:val="14"/>
                <w:color w:val="auto"/>
              </w:rPr>
              <w:t>46,435(2)(7)</w:t>
            </w:r>
          </w:p>
        </w:tc>
        <w:tc>
          <w:tcPr>
            <w:tcW w:w="1720" w:type="dxa"/>
            <w:vAlign w:val="bottom"/>
            <w:tcBorders>
              <w:bottom w:val="single" w:sz="8" w:color="7F7F7F"/>
            </w:tcBorders>
            <w:shd w:val="clear" w:color="auto" w:fill="CCEEFF"/>
          </w:tcPr>
          <w:p>
            <w:pPr>
              <w:jc w:val="right"/>
              <w:ind w:right="308"/>
              <w:spacing w:after="0" w:line="142" w:lineRule="exact"/>
              <w:rPr>
                <w:sz w:val="20"/>
                <w:szCs w:val="20"/>
                <w:color w:val="auto"/>
              </w:rPr>
            </w:pPr>
            <w:r>
              <w:rPr>
                <w:rFonts w:ascii="Arial" w:cs="Arial" w:eastAsia="Arial" w:hAnsi="Arial"/>
                <w:sz w:val="14"/>
                <w:szCs w:val="14"/>
                <w:color w:val="auto"/>
              </w:rPr>
              <w:t>2,533,282</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Jeff M. Harris</w:t>
            </w:r>
          </w:p>
        </w:tc>
        <w:tc>
          <w:tcPr>
            <w:tcW w:w="3020" w:type="dxa"/>
            <w:vAlign w:val="bottom"/>
            <w:tcBorders>
              <w:bottom w:val="single" w:sz="8" w:color="7F7F7F"/>
            </w:tcBorders>
          </w:tcPr>
          <w:p>
            <w:pPr>
              <w:jc w:val="right"/>
              <w:ind w:right="628"/>
              <w:spacing w:after="0" w:line="142" w:lineRule="exact"/>
              <w:rPr>
                <w:sz w:val="20"/>
                <w:szCs w:val="20"/>
                <w:color w:val="auto"/>
              </w:rPr>
            </w:pPr>
            <w:r>
              <w:rPr>
                <w:rFonts w:ascii="Arial" w:cs="Arial" w:eastAsia="Arial" w:hAnsi="Arial"/>
                <w:sz w:val="14"/>
                <w:szCs w:val="14"/>
                <w:color w:val="auto"/>
              </w:rPr>
              <w:t>31,300(5)</w:t>
            </w:r>
          </w:p>
        </w:tc>
        <w:tc>
          <w:tcPr>
            <w:tcW w:w="1620" w:type="dxa"/>
            <w:vAlign w:val="bottom"/>
            <w:tcBorders>
              <w:bottom w:val="single" w:sz="8" w:color="7F7F7F"/>
            </w:tcBorders>
          </w:tcPr>
          <w:p>
            <w:pPr>
              <w:jc w:val="right"/>
              <w:ind w:right="328"/>
              <w:spacing w:after="0" w:line="142" w:lineRule="exact"/>
              <w:rPr>
                <w:sz w:val="20"/>
                <w:szCs w:val="20"/>
                <w:color w:val="auto"/>
              </w:rPr>
            </w:pPr>
            <w:r>
              <w:rPr>
                <w:rFonts w:ascii="Arial" w:cs="Arial" w:eastAsia="Arial" w:hAnsi="Arial"/>
                <w:sz w:val="14"/>
                <w:szCs w:val="14"/>
                <w:color w:val="auto"/>
              </w:rPr>
              <w:t>471,744</w:t>
            </w:r>
          </w:p>
        </w:tc>
        <w:tc>
          <w:tcPr>
            <w:tcW w:w="3100" w:type="dxa"/>
            <w:vAlign w:val="bottom"/>
            <w:tcBorders>
              <w:bottom w:val="single" w:sz="8" w:color="7F7F7F"/>
            </w:tcBorders>
          </w:tcPr>
          <w:p>
            <w:pPr>
              <w:jc w:val="right"/>
              <w:ind w:right="868"/>
              <w:spacing w:after="0" w:line="142" w:lineRule="exact"/>
              <w:rPr>
                <w:sz w:val="20"/>
                <w:szCs w:val="20"/>
                <w:color w:val="auto"/>
              </w:rPr>
            </w:pPr>
            <w:r>
              <w:rPr>
                <w:rFonts w:ascii="Arial" w:cs="Arial" w:eastAsia="Arial" w:hAnsi="Arial"/>
                <w:sz w:val="14"/>
                <w:szCs w:val="14"/>
                <w:color w:val="auto"/>
              </w:rPr>
              <w:t>44,483(7)</w:t>
            </w:r>
          </w:p>
        </w:tc>
        <w:tc>
          <w:tcPr>
            <w:tcW w:w="1720" w:type="dxa"/>
            <w:vAlign w:val="bottom"/>
            <w:tcBorders>
              <w:bottom w:val="single" w:sz="8" w:color="7F7F7F"/>
            </w:tcBorders>
          </w:tcPr>
          <w:p>
            <w:pPr>
              <w:jc w:val="right"/>
              <w:ind w:right="308"/>
              <w:spacing w:after="0" w:line="142" w:lineRule="exact"/>
              <w:rPr>
                <w:sz w:val="20"/>
                <w:szCs w:val="20"/>
                <w:color w:val="auto"/>
              </w:rPr>
            </w:pPr>
            <w:r>
              <w:rPr>
                <w:rFonts w:ascii="Arial" w:cs="Arial" w:eastAsia="Arial" w:hAnsi="Arial"/>
                <w:sz w:val="14"/>
                <w:szCs w:val="14"/>
                <w:color w:val="auto"/>
              </w:rPr>
              <w:t>2,439,648</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John J. Morris, Jr.</w:t>
            </w:r>
          </w:p>
        </w:tc>
        <w:tc>
          <w:tcPr>
            <w:tcW w:w="3020" w:type="dxa"/>
            <w:vAlign w:val="bottom"/>
            <w:tcBorders>
              <w:bottom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rPr>
              <w:t>79,470(6)</w:t>
            </w:r>
          </w:p>
        </w:tc>
        <w:tc>
          <w:tcPr>
            <w:tcW w:w="162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1,386,442</w:t>
            </w:r>
          </w:p>
        </w:tc>
        <w:tc>
          <w:tcPr>
            <w:tcW w:w="3100" w:type="dxa"/>
            <w:vAlign w:val="bottom"/>
            <w:tcBorders>
              <w:bottom w:val="single" w:sz="8" w:color="auto"/>
            </w:tcBorders>
            <w:shd w:val="clear" w:color="auto" w:fill="CCEEFF"/>
          </w:tcPr>
          <w:p>
            <w:pPr>
              <w:jc w:val="right"/>
              <w:ind w:right="868"/>
              <w:spacing w:after="0" w:line="142" w:lineRule="exact"/>
              <w:rPr>
                <w:sz w:val="20"/>
                <w:szCs w:val="20"/>
                <w:color w:val="auto"/>
              </w:rPr>
            </w:pPr>
            <w:r>
              <w:rPr>
                <w:rFonts w:ascii="Arial" w:cs="Arial" w:eastAsia="Arial" w:hAnsi="Arial"/>
                <w:sz w:val="14"/>
                <w:szCs w:val="14"/>
                <w:color w:val="auto"/>
              </w:rPr>
              <w:t>43,343(7)</w:t>
            </w:r>
          </w:p>
        </w:tc>
        <w:tc>
          <w:tcPr>
            <w:tcW w:w="1720" w:type="dxa"/>
            <w:vAlign w:val="bottom"/>
            <w:tcBorders>
              <w:bottom w:val="single" w:sz="8" w:color="auto"/>
            </w:tcBorders>
            <w:shd w:val="clear" w:color="auto" w:fill="CCEEFF"/>
          </w:tcPr>
          <w:p>
            <w:pPr>
              <w:jc w:val="right"/>
              <w:ind w:right="308"/>
              <w:spacing w:after="0" w:line="142" w:lineRule="exact"/>
              <w:rPr>
                <w:sz w:val="20"/>
                <w:szCs w:val="20"/>
                <w:color w:val="auto"/>
              </w:rPr>
            </w:pPr>
            <w:r>
              <w:rPr>
                <w:rFonts w:ascii="Arial" w:cs="Arial" w:eastAsia="Arial" w:hAnsi="Arial"/>
                <w:sz w:val="14"/>
                <w:szCs w:val="14"/>
                <w:color w:val="auto"/>
              </w:rPr>
              <w:t>2,372,542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140" w:hanging="332"/>
        <w:spacing w:after="0" w:line="234"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shares of the Company’s Common Stock issued on account of performance share units granted in 2013 with a performance period ended December 31, 2015. The determination of achievement of performance results and corresponding vesting of such performance share units was performed by the MD&amp;C Committee in February 2016. Following such determination, shares of the Company’s Common Stock earned under this award were issued on February 18, 2016, based on the average of the high and low market price of the Company’s Common Stock on that date.</w:t>
      </w:r>
    </w:p>
    <w:p>
      <w:pPr>
        <w:spacing w:after="0" w:line="87" w:lineRule="exact"/>
        <w:rPr>
          <w:rFonts w:ascii="Arial" w:cs="Arial" w:eastAsia="Arial" w:hAnsi="Arial"/>
          <w:sz w:val="14"/>
          <w:szCs w:val="14"/>
          <w:color w:val="auto"/>
        </w:rPr>
      </w:pPr>
    </w:p>
    <w:p>
      <w:pPr>
        <w:ind w:left="340" w:right="160" w:hanging="332"/>
        <w:spacing w:after="0" w:line="264"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Steiner deferred receipt of 216,063 shares of Common Stock valued at $11,871,582, and Mr. Fish deferred receipt of 42,023 shares of Common Stock valued at $2,308,954, in each case, earned on account of performance share units with the performance period ended December 31, 2015. See “Compensation Discussion and Analysis — Overview of Elements of Our 2015 Compensation Program — Deferral Plan” and footnote (4) to the Nonqualified Deferral Compensation in 2015 table below for additional information.</w:t>
      </w:r>
    </w:p>
    <w:p>
      <w:pPr>
        <w:spacing w:after="0" w:line="73" w:lineRule="exact"/>
        <w:rPr>
          <w:rFonts w:ascii="Arial" w:cs="Arial" w:eastAsia="Arial" w:hAnsi="Arial"/>
          <w:sz w:val="13"/>
          <w:szCs w:val="13"/>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Trevathan received 70,147 net shares, after payment of option costs and tax withholding.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Fish received 28,289 net shares, after payment of option costs and tax withholding.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Harris received 5,041 net shares, after payment of option costs and tax withholding.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Morris received 14,698 net shares, after payment of option costs and tax withholding.</w:t>
      </w:r>
    </w:p>
    <w:p>
      <w:pPr>
        <w:spacing w:after="0" w:line="109" w:lineRule="exact"/>
        <w:rPr>
          <w:rFonts w:ascii="Arial" w:cs="Arial" w:eastAsia="Arial" w:hAnsi="Arial"/>
          <w:sz w:val="14"/>
          <w:szCs w:val="14"/>
          <w:color w:val="auto"/>
        </w:rPr>
      </w:pPr>
    </w:p>
    <w:p>
      <w:pPr>
        <w:ind w:left="340" w:right="160" w:hanging="332"/>
        <w:spacing w:after="0" w:line="23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the following number of restricted stock units granted in 2012 in connection with certain promotions and increased responsibilities that vested on the third anniversary of the date of grant: Mr. Fish – 4,412; Mr. Harris – 6,061; and Mr. Morris – 12,121. The value of the RSUs realized on vesting was calculated using the average of the high and low market price of the Company’s Common Stock of the date of vesting.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auto"/>
              </w:rPr>
              <w:t>Registrant</w:t>
            </w: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Aggregate</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52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Executive</w:t>
            </w:r>
          </w:p>
        </w:tc>
        <w:tc>
          <w:tcPr>
            <w:tcW w:w="146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Contributions</w:t>
            </w:r>
          </w:p>
        </w:tc>
        <w:tc>
          <w:tcPr>
            <w:tcW w:w="12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Earnings</w:t>
            </w:r>
          </w:p>
        </w:tc>
        <w:tc>
          <w:tcPr>
            <w:tcW w:w="1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Aggregate</w:t>
            </w:r>
          </w:p>
        </w:tc>
        <w:tc>
          <w:tcPr>
            <w:tcW w:w="1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Aggregate Balance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52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Contributions</w:t>
            </w:r>
          </w:p>
        </w:tc>
        <w:tc>
          <w:tcPr>
            <w:tcW w:w="146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in Last</w:t>
            </w:r>
          </w:p>
        </w:tc>
        <w:tc>
          <w:tcPr>
            <w:tcW w:w="12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in Last</w:t>
            </w:r>
          </w:p>
        </w:tc>
        <w:tc>
          <w:tcPr>
            <w:tcW w:w="17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252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in Last Fiscal</w:t>
            </w:r>
          </w:p>
        </w:tc>
        <w:tc>
          <w:tcPr>
            <w:tcW w:w="146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Fiscal Year</w:t>
            </w:r>
          </w:p>
        </w:tc>
        <w:tc>
          <w:tcPr>
            <w:tcW w:w="12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Fiscal</w:t>
            </w:r>
          </w:p>
        </w:tc>
        <w:tc>
          <w:tcPr>
            <w:tcW w:w="17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Withdrawals/</w:t>
            </w:r>
          </w:p>
        </w:tc>
        <w:tc>
          <w:tcPr>
            <w:tcW w:w="176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at Last Fiscal</w:t>
            </w:r>
          </w:p>
        </w:tc>
        <w:tc>
          <w:tcPr>
            <w:tcW w:w="0" w:type="dxa"/>
            <w:vAlign w:val="bottom"/>
          </w:tcPr>
          <w:p>
            <w:pPr>
              <w:spacing w:after="0"/>
              <w:rPr>
                <w:sz w:val="1"/>
                <w:szCs w:val="1"/>
                <w:color w:val="auto"/>
              </w:rPr>
            </w:pPr>
          </w:p>
        </w:tc>
      </w:tr>
      <w:tr>
        <w:trPr>
          <w:trHeight w:val="176"/>
        </w:trPr>
        <w:tc>
          <w:tcPr>
            <w:tcW w:w="2700" w:type="dxa"/>
            <w:vAlign w:val="bottom"/>
            <w:vMerge w:val="continue"/>
          </w:tcPr>
          <w:p>
            <w:pPr>
              <w:spacing w:after="0"/>
              <w:rPr>
                <w:sz w:val="15"/>
                <w:szCs w:val="15"/>
                <w:color w:val="auto"/>
              </w:rPr>
            </w:pPr>
          </w:p>
        </w:tc>
        <w:tc>
          <w:tcPr>
            <w:tcW w:w="2520" w:type="dxa"/>
            <w:vAlign w:val="bottom"/>
          </w:tcPr>
          <w:p>
            <w:pPr>
              <w:jc w:val="right"/>
              <w:ind w:right="228"/>
              <w:spacing w:after="0"/>
              <w:rPr>
                <w:sz w:val="20"/>
                <w:szCs w:val="20"/>
                <w:color w:val="auto"/>
              </w:rPr>
            </w:pPr>
            <w:r>
              <w:rPr>
                <w:rFonts w:ascii="Arial" w:cs="Arial" w:eastAsia="Arial" w:hAnsi="Arial"/>
                <w:sz w:val="14"/>
                <w:szCs w:val="14"/>
                <w:b w:val="1"/>
                <w:bCs w:val="1"/>
                <w:color w:val="auto"/>
              </w:rPr>
              <w:t>Year ($)</w:t>
            </w:r>
            <w:r>
              <w:rPr>
                <w:rFonts w:ascii="Arial" w:cs="Arial" w:eastAsia="Arial" w:hAnsi="Arial"/>
                <w:sz w:val="12"/>
                <w:szCs w:val="12"/>
                <w:b w:val="1"/>
                <w:bCs w:val="1"/>
                <w:color w:val="auto"/>
              </w:rPr>
              <w:t>(1)</w:t>
            </w: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Year ($)</w:t>
            </w:r>
            <w:r>
              <w:rPr>
                <w:rFonts w:ascii="Arial" w:cs="Arial" w:eastAsia="Arial" w:hAnsi="Arial"/>
                <w:sz w:val="12"/>
                <w:szCs w:val="12"/>
                <w:b w:val="1"/>
                <w:bCs w:val="1"/>
                <w:color w:val="auto"/>
              </w:rPr>
              <w:t>(3)</w:t>
            </w:r>
          </w:p>
        </w:tc>
        <w:tc>
          <w:tcPr>
            <w:tcW w:w="1740" w:type="dxa"/>
            <w:vAlign w:val="bottom"/>
          </w:tcPr>
          <w:p>
            <w:pPr>
              <w:jc w:val="right"/>
              <w:ind w:right="228"/>
              <w:spacing w:after="0"/>
              <w:rPr>
                <w:sz w:val="20"/>
                <w:szCs w:val="20"/>
                <w:color w:val="auto"/>
              </w:rPr>
            </w:pPr>
            <w:r>
              <w:rPr>
                <w:rFonts w:ascii="Arial" w:cs="Arial" w:eastAsia="Arial" w:hAnsi="Arial"/>
                <w:sz w:val="14"/>
                <w:szCs w:val="14"/>
                <w:b w:val="1"/>
                <w:bCs w:val="1"/>
                <w:color w:val="auto"/>
              </w:rPr>
              <w:t>Distributions ($)</w:t>
            </w:r>
            <w:r>
              <w:rPr>
                <w:rFonts w:ascii="Arial" w:cs="Arial" w:eastAsia="Arial" w:hAnsi="Arial"/>
                <w:sz w:val="12"/>
                <w:szCs w:val="12"/>
                <w:b w:val="1"/>
                <w:bCs w:val="1"/>
                <w:color w:val="auto"/>
              </w:rPr>
              <w:t>(4)</w:t>
            </w:r>
          </w:p>
        </w:tc>
        <w:tc>
          <w:tcPr>
            <w:tcW w:w="1760" w:type="dxa"/>
            <w:vAlign w:val="bottom"/>
          </w:tcPr>
          <w:p>
            <w:pPr>
              <w:jc w:val="right"/>
              <w:ind w:right="228"/>
              <w:spacing w:after="0"/>
              <w:rPr>
                <w:sz w:val="20"/>
                <w:szCs w:val="20"/>
                <w:color w:val="auto"/>
              </w:rPr>
            </w:pPr>
            <w:r>
              <w:rPr>
                <w:rFonts w:ascii="Arial" w:cs="Arial" w:eastAsia="Arial" w:hAnsi="Arial"/>
                <w:sz w:val="14"/>
                <w:szCs w:val="14"/>
                <w:b w:val="1"/>
                <w:bCs w:val="1"/>
                <w:color w:val="auto"/>
              </w:rPr>
              <w:t>Year End ($)</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149"/>
        </w:trPr>
        <w:tc>
          <w:tcPr>
            <w:tcW w:w="270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color w:val="auto"/>
              </w:rPr>
              <w:t>David P. Steiner</w:t>
            </w:r>
          </w:p>
        </w:tc>
        <w:tc>
          <w:tcPr>
            <w:tcW w:w="252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7,509,787</w:t>
            </w:r>
          </w:p>
        </w:tc>
        <w:tc>
          <w:tcPr>
            <w:tcW w:w="146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167,126</w:t>
            </w:r>
          </w:p>
        </w:tc>
        <w:tc>
          <w:tcPr>
            <w:tcW w:w="124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1,544,558</w:t>
            </w:r>
          </w:p>
        </w:tc>
        <w:tc>
          <w:tcPr>
            <w:tcW w:w="174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446,968</w:t>
            </w:r>
          </w:p>
        </w:tc>
        <w:tc>
          <w:tcPr>
            <w:tcW w:w="176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22,084,621</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James E. Trevathan, Jr.</w:t>
            </w:r>
          </w:p>
        </w:tc>
        <w:tc>
          <w:tcPr>
            <w:tcW w:w="252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78,366</w:t>
            </w:r>
          </w:p>
        </w:tc>
        <w:tc>
          <w:tcPr>
            <w:tcW w:w="146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60,950</w:t>
            </w:r>
          </w:p>
        </w:tc>
        <w:tc>
          <w:tcPr>
            <w:tcW w:w="124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60,609</w:t>
            </w:r>
          </w:p>
        </w:tc>
        <w:tc>
          <w:tcPr>
            <w:tcW w:w="174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4,172</w:t>
            </w:r>
          </w:p>
        </w:tc>
        <w:tc>
          <w:tcPr>
            <w:tcW w:w="176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3,358,702</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James C. Fish, Jr.</w:t>
            </w:r>
          </w:p>
        </w:tc>
        <w:tc>
          <w:tcPr>
            <w:tcW w:w="252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51,825</w:t>
            </w:r>
          </w:p>
        </w:tc>
        <w:tc>
          <w:tcPr>
            <w:tcW w:w="146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35,963</w:t>
            </w:r>
          </w:p>
        </w:tc>
        <w:tc>
          <w:tcPr>
            <w:tcW w:w="124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5,318</w:t>
            </w:r>
          </w:p>
        </w:tc>
        <w:tc>
          <w:tcPr>
            <w:tcW w:w="174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1,492</w:t>
            </w:r>
          </w:p>
        </w:tc>
        <w:tc>
          <w:tcPr>
            <w:tcW w:w="176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483,627</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Jeff M. Harris</w:t>
            </w:r>
          </w:p>
        </w:tc>
        <w:tc>
          <w:tcPr>
            <w:tcW w:w="252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124,743</w:t>
            </w:r>
          </w:p>
        </w:tc>
        <w:tc>
          <w:tcPr>
            <w:tcW w:w="146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49,691</w:t>
            </w:r>
          </w:p>
        </w:tc>
        <w:tc>
          <w:tcPr>
            <w:tcW w:w="124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1,566</w:t>
            </w:r>
          </w:p>
        </w:tc>
        <w:tc>
          <w:tcPr>
            <w:tcW w:w="174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531,137</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John J. Morris, Jr.</w:t>
            </w:r>
          </w:p>
        </w:tc>
        <w:tc>
          <w:tcPr>
            <w:tcW w:w="252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74,976</w:t>
            </w:r>
          </w:p>
        </w:tc>
        <w:tc>
          <w:tcPr>
            <w:tcW w:w="146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48,564</w:t>
            </w:r>
          </w:p>
        </w:tc>
        <w:tc>
          <w:tcPr>
            <w:tcW w:w="124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12,549</w:t>
            </w:r>
          </w:p>
        </w:tc>
        <w:tc>
          <w:tcPr>
            <w:tcW w:w="174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672,015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Contributions are made pursuant to the Company’s 409A Deferral Plan, described in “Compensation Discussion and Analysis — Overview of Elements of Our 2015 Compensation Program</w:t>
      </w:r>
    </w:p>
    <w:p>
      <w:pPr>
        <w:spacing w:after="0" w:line="1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 Deferral Plan.” Executive contributions of base salary and annual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100"/>
        <w:spacing w:after="0" w:line="256" w:lineRule="auto"/>
        <w:rPr>
          <w:sz w:val="20"/>
          <w:szCs w:val="20"/>
          <w:color w:val="auto"/>
        </w:rPr>
      </w:pPr>
      <w:r>
        <w:rPr>
          <w:rFonts w:ascii="Arial" w:cs="Arial" w:eastAsia="Arial" w:hAnsi="Arial"/>
          <w:sz w:val="13"/>
          <w:szCs w:val="13"/>
          <w:color w:val="auto"/>
        </w:rPr>
        <w:t>incentive compensation is included in the Base Salary column and the Non-Equity Incentive Plan Compensation column, respectively, of the Summary Compensation Table. In the case of Mr. Steiner, contributions in the last fiscal year include deferral of 133,836 shares of Common Stock earned on account of performance share units with the performance period ended December 31, 2014 that were paid out in February 2015. The value of such deferred shares was included in the Option Exercises and Stock Vested table for 2014, and the grant date fair value of the underlying performance share unit award was included in the Stock Awards column of the Summary Compensation Table for 2012.</w:t>
      </w:r>
    </w:p>
    <w:p>
      <w:pPr>
        <w:spacing w:after="0" w:line="7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Company contributions to the executives’ 409A Deferral Plan accounts are included in the All Other Compensation column in the Summary Compensation Table.</w:t>
      </w:r>
    </w:p>
    <w:p>
      <w:pPr>
        <w:spacing w:after="0" w:line="109" w:lineRule="exact"/>
        <w:rPr>
          <w:rFonts w:ascii="Arial" w:cs="Arial" w:eastAsia="Arial" w:hAnsi="Arial"/>
          <w:sz w:val="14"/>
          <w:szCs w:val="14"/>
          <w:color w:val="auto"/>
        </w:rPr>
      </w:pPr>
    </w:p>
    <w:p>
      <w:pPr>
        <w:ind w:left="340" w:hanging="332"/>
        <w:spacing w:after="0" w:line="256"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case of Messrs. Steiner, Trevathan and Fish, who have deferred receipt of 290,239 shares, 2,709 shares and 969 shares, respectively, earnings also includes the change in the closing price per share of the Company’s Common Stock from December 31, 2014 to December 31 2015, plus $1.54 of dividends paid per share of Common Stock in 2015, multiplied by the number of shares deferred.</w:t>
      </w:r>
    </w:p>
    <w:p>
      <w:pPr>
        <w:spacing w:after="0" w:line="77" w:lineRule="exact"/>
        <w:rPr>
          <w:rFonts w:ascii="Arial" w:cs="Arial" w:eastAsia="Arial" w:hAnsi="Arial"/>
          <w:sz w:val="13"/>
          <w:szCs w:val="13"/>
          <w:color w:val="auto"/>
        </w:rPr>
      </w:pPr>
    </w:p>
    <w:p>
      <w:pPr>
        <w:ind w:left="340" w:right="80" w:hanging="332"/>
        <w:spacing w:after="0" w:line="253"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in the table above consist of dividend equivalents paid out on deferred shares. Dividend equivalents are paid out at the same time and at the same rate as dividends on the Company’s Common Stock.</w:t>
      </w:r>
    </w:p>
    <w:p>
      <w:pPr>
        <w:spacing w:after="0" w:line="79" w:lineRule="exact"/>
        <w:rPr>
          <w:rFonts w:ascii="Arial" w:cs="Arial" w:eastAsia="Arial" w:hAnsi="Arial"/>
          <w:sz w:val="14"/>
          <w:szCs w:val="14"/>
          <w:color w:val="auto"/>
        </w:rPr>
      </w:pPr>
    </w:p>
    <w:p>
      <w:pPr>
        <w:ind w:left="340" w:right="40"/>
        <w:spacing w:after="0" w:line="231" w:lineRule="auto"/>
        <w:rPr>
          <w:rFonts w:ascii="Arial" w:cs="Arial" w:eastAsia="Arial" w:hAnsi="Arial"/>
          <w:sz w:val="14"/>
          <w:szCs w:val="14"/>
          <w:color w:val="auto"/>
        </w:rPr>
      </w:pPr>
      <w:r>
        <w:rPr>
          <w:rFonts w:ascii="Arial" w:cs="Arial" w:eastAsia="Arial" w:hAnsi="Arial"/>
          <w:sz w:val="14"/>
          <w:szCs w:val="14"/>
          <w:color w:val="auto"/>
        </w:rPr>
        <w:t>Participating employees can generally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89" w:lineRule="exact"/>
        <w:rPr>
          <w:rFonts w:ascii="Arial" w:cs="Arial" w:eastAsia="Arial" w:hAnsi="Arial"/>
          <w:sz w:val="14"/>
          <w:szCs w:val="14"/>
          <w:color w:val="auto"/>
        </w:rPr>
      </w:pPr>
    </w:p>
    <w:p>
      <w:pPr>
        <w:ind w:left="340" w:right="100" w:hanging="332"/>
        <w:spacing w:after="0" w:line="229"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shown in this column include the following amounts that were reported as compensation to the named executive in the Summary Compensation Table for 2013-2015: Mr. Steiner — $1,265,615; Mr. Trevathan — $190,080; Mr. Fish — $142,011; Mr. Harris — $411,818; and Mr. Morris — $295,918. In prior year proxy statements, the table above inadvertently omitted the following number of shares of Common Stock earned on account of vested RSUs and PSUs: 156,403 shares that were deferred by Mr. Steiner between 2004 and 2014; 2,709 shares that were deferred by Mr. Trevathan in 2006; and 969 shares that were deferred by Mr. Fish in 2014. The value of all such deferred shares was included in the Option Exercises and Stock Vested table for the year of vesting (or equivalent disclosure in the case of Mr. Steiner’s 2004 deferral) and is now included in the table above, based on the closing price of a share of Common Stock on December 31, 2015.</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payments our named executives receive upon termination or change in control are based on provisions included in employment agreements and individual equity award agreements. We enter into employment agreements with our named executive officers to provide a form of protection for the Company through restrictive covenant provisions; each of the agreements contains post-termination restrictive covenants, including a covenant not to compete, non-solicitation covenants, and a non-disparagement covenant, each of which lasts for two years after termination. Employment agreements also aid in retention of senior leadership by providing the individual with comfort that he will be treated fairly in the event of a termination not for cause or under a change in control situation. The change in control provision included in each named executive officer’s agreement requires a double trigger in order to receive any payment in the event of a change in control situation. First, a change in control must occur, and second, the individual must terminate his employment for good reason or the Company must terminate his employment without cause within six months prior to or two years following the change in control event. We believe providing change in control protection encourages our named executives to pursue and facilitate transactions that are in the best interests of stockholders while not granting executives an undeserved windfall.</w:t>
      </w:r>
    </w:p>
    <w:p>
      <w:pPr>
        <w:spacing w:after="0" w:line="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Employment agreements entered into with named executive officers after February 2004 (which includes all named executives except Mr. Steiner) contain (a) a requirement that the individual execute a general release prior to receiving post-termination benefits and (b) a clawback feature that allows for the suspension and refund of termination benefits for subsequently discovered cause. The clawback feature in the agreements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current form of award agreements for equity awards also contain provisions regarding termination and change in control. Our stock option awards are also subject to double trigger vesting in the event of a change in control situation. Award agreements applicable to performance share units provide that awards will be paid out in cash on a prorated basis based on actual results achieved through the end of the fiscal quarter prior to a change in control. Thereafter, the executive would be compensated for the lost opportunity from the date of the change in control to the end of the original performance period by receiving a replacement award of restricted stock units in the successor entity, provided that the successor entity is publicly traded. If the successor is not publicly traded, the executive will be entitled to a replacement award of cash. However, if the employee is thereafter involuntarily terminated other than for cause within the change in control window referenced, he would vest in full in the replacement award.</w:t>
      </w:r>
    </w:p>
    <w:p>
      <w:pPr>
        <w:spacing w:after="0" w:line="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performance share unit and stock option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7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terms “Cause,” “Good Reason,” and “Change in Control” as used in the table below are defined in the executives’ employment agreements and/or the applicable equity award agreement and have the meanings generally described below. You should refer to the individual agreements for the actual definitions.</w:t>
      </w:r>
    </w:p>
    <w:p>
      <w:pPr>
        <w:spacing w:after="0" w:line="73"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“Cause” generally means the named executive has: deliberately refused to perform his duties; breached his duty of loyalty to the Company; been convicted of a felony; intentionally and materially harmed the Company; or breached the covenants contained in his agreement.</w:t>
      </w:r>
    </w:p>
    <w:p>
      <w:pPr>
        <w:spacing w:after="0" w:line="3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“Good Reason” generally means that, without the named executive’s consent: his duties or responsibilities have been substantially changed; he has been removed from his position; the Company has breached his employment agreement; any successor to the Company has not assumed the obligations under his employment agreement; or he has been reassigned to a location more than 50 miles away.</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the majority of the Board of Directors consists of individuals other than those serving as of the date of the named executive’s employment agreement or those that were not elected by at least two-thirds of those directors; 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tables represent potential payouts to our named executives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 Compensation table above for aggregate balances payable to the named executives under our 409A Deferral Plan pursuant to the executive’s distribution election.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payouts set forth below assume the triggering event indicated occurred on December 31, 2015, when the closing price of our Common Stock was $53.37 per share. These payouts are calculated for SEC disclosure purposes and are not necessarily indicative of the actual amounts the named executive would receive. Please note the following when reviewing the payouts set forth below:</w:t>
      </w:r>
    </w:p>
    <w:p>
      <w:pPr>
        <w:spacing w:after="0" w:line="87" w:lineRule="exact"/>
        <w:rPr>
          <w:sz w:val="20"/>
          <w:szCs w:val="20"/>
          <w:color w:val="auto"/>
        </w:rPr>
      </w:pPr>
    </w:p>
    <w:p>
      <w:pPr>
        <w:ind w:left="660" w:right="260" w:hanging="206"/>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compensation component set forth below for accelerated vesting of stock options is comprised of the unvested stock options granted in 2013, 2014, and 2015, which vest 25% on the first and second anniversary of the date of grant and 50% on the third anniversary of the date of grant.</w:t>
      </w:r>
    </w:p>
    <w:p>
      <w:pPr>
        <w:spacing w:after="0" w:line="29" w:lineRule="exact"/>
        <w:rPr>
          <w:rFonts w:ascii="Arial" w:cs="Arial" w:eastAsia="Arial" w:hAnsi="Arial"/>
          <w:sz w:val="16"/>
          <w:szCs w:val="16"/>
          <w:color w:val="auto"/>
        </w:rPr>
      </w:pPr>
    </w:p>
    <w:p>
      <w:pPr>
        <w:ind w:left="660" w:right="100" w:hanging="206"/>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calculating the payout of performance share unit awards outstanding at December 31, 2015, we have assumed that target performance was achieved; any actual performance share unit payouts will be based on actual performance of the Company during the performance period.</w:t>
      </w:r>
    </w:p>
    <w:p>
      <w:pPr>
        <w:spacing w:after="0" w:line="86" w:lineRule="exact"/>
        <w:rPr>
          <w:rFonts w:ascii="Arial" w:cs="Arial" w:eastAsia="Arial" w:hAnsi="Arial"/>
          <w:sz w:val="18"/>
          <w:szCs w:val="18"/>
          <w:color w:val="auto"/>
        </w:rPr>
      </w:pPr>
    </w:p>
    <w:p>
      <w:pPr>
        <w:ind w:left="660" w:right="420" w:hanging="206"/>
        <w:spacing w:after="0" w:line="31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purposes of calculating the payout upon the “double trigger” of change in control and subsequent involuntary termination not for cause, the value of the performance share unit replacement award is equal to the number of performance share units that would be forfeited based on the prorated acceleration of the performance share units, multiplied by the closing price of our Common Stock on December 31, 2015.</w:t>
      </w:r>
    </w:p>
    <w:p>
      <w:pPr>
        <w:spacing w:after="0" w:line="52" w:lineRule="exact"/>
        <w:rPr>
          <w:rFonts w:ascii="Arial" w:cs="Arial" w:eastAsia="Arial" w:hAnsi="Arial"/>
          <w:sz w:val="16"/>
          <w:szCs w:val="16"/>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payout for continuation of benefits is an estimate of the cost the Company would incur to continue those benefits.</w:t>
      </w:r>
    </w:p>
    <w:p>
      <w:pPr>
        <w:spacing w:after="0" w:line="130" w:lineRule="exact"/>
        <w:rPr>
          <w:rFonts w:ascii="Arial" w:cs="Arial" w:eastAsia="Arial" w:hAnsi="Arial"/>
          <w:sz w:val="18"/>
          <w:szCs w:val="18"/>
          <w:color w:val="auto"/>
        </w:rPr>
      </w:pPr>
    </w:p>
    <w:p>
      <w:pPr>
        <w:ind w:left="660" w:right="20" w:hanging="206"/>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Waste Management’s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P. Steiner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spacing w:after="0"/>
              <w:rPr>
                <w:sz w:val="20"/>
                <w:szCs w:val="20"/>
                <w:color w:val="auto"/>
              </w:rPr>
            </w:pPr>
            <w:r>
              <w:rPr>
                <w:rFonts w:ascii="Arial" w:cs="Arial" w:eastAsia="Arial" w:hAnsi="Arial"/>
                <w:sz w:val="14"/>
                <w:szCs w:val="14"/>
                <w:b w:val="1"/>
                <w:bCs w:val="1"/>
                <w:color w:val="auto"/>
                <w:w w:val="93"/>
              </w:rPr>
              <w:t>Triggering Event</w:t>
            </w:r>
          </w:p>
        </w:tc>
        <w:tc>
          <w:tcPr>
            <w:tcW w:w="2120" w:type="dxa"/>
            <w:vAlign w:val="bottom"/>
          </w:tcPr>
          <w:p>
            <w:pPr>
              <w:spacing w:after="0"/>
              <w:rPr>
                <w:sz w:val="16"/>
                <w:szCs w:val="16"/>
                <w:color w:val="auto"/>
              </w:rPr>
            </w:pPr>
          </w:p>
        </w:tc>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Severance Benefits</w:t>
            </w:r>
          </w:p>
        </w:tc>
        <w:tc>
          <w:tcPr>
            <w:tcW w:w="54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4,858,898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 Payment of performance share units (contingent on actual performance at end of performance period)</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11,643,519</w:t>
            </w: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 Two times base salary as of date of termination (payable in bi-weekly installments over a two-year period)</w:t>
            </w:r>
          </w:p>
        </w:tc>
        <w:tc>
          <w:tcPr>
            <w:tcW w:w="2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2,480,000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w:t>
            </w:r>
          </w:p>
        </w:tc>
        <w:tc>
          <w:tcPr>
            <w:tcW w:w="5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1,197,000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0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20,179,417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369" w:lineRule="auto"/>
        <w:rPr>
          <w:sz w:val="20"/>
          <w:szCs w:val="20"/>
          <w:color w:val="auto"/>
        </w:rPr>
      </w:pPr>
      <w:r>
        <w:rPr>
          <w:rFonts w:ascii="Arial" w:cs="Arial" w:eastAsia="Arial" w:hAnsi="Arial"/>
          <w:sz w:val="14"/>
          <w:szCs w:val="14"/>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w w:val="94"/>
              </w:rPr>
              <w:t>• Two times base salary plus target annual cash bonus (one-half payable in lump sum; one-half payable in bi-</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280" w:type="dxa"/>
            <w:vAlign w:val="bottom"/>
          </w:tcPr>
          <w:p>
            <w:pPr>
              <w:ind w:left="160"/>
              <w:spacing w:after="0"/>
              <w:rPr>
                <w:sz w:val="20"/>
                <w:szCs w:val="20"/>
                <w:color w:val="auto"/>
              </w:rPr>
            </w:pPr>
            <w:r>
              <w:rPr>
                <w:rFonts w:ascii="Arial" w:cs="Arial" w:eastAsia="Arial" w:hAnsi="Arial"/>
                <w:sz w:val="16"/>
                <w:szCs w:val="16"/>
                <w:color w:val="auto"/>
              </w:rPr>
              <w:t>weekly installments over a two-year period)</w:t>
            </w:r>
          </w:p>
        </w:tc>
        <w:tc>
          <w:tcPr>
            <w:tcW w:w="860" w:type="dxa"/>
            <w:vAlign w:val="bottom"/>
          </w:tcPr>
          <w:p>
            <w:pPr>
              <w:jc w:val="right"/>
              <w:spacing w:after="0"/>
              <w:rPr>
                <w:sz w:val="20"/>
                <w:szCs w:val="20"/>
                <w:color w:val="auto"/>
              </w:rPr>
            </w:pPr>
            <w:r>
              <w:rPr>
                <w:rFonts w:ascii="Arial" w:cs="Arial" w:eastAsia="Arial" w:hAnsi="Arial"/>
                <w:sz w:val="16"/>
                <w:szCs w:val="16"/>
                <w:color w:val="auto"/>
              </w:rPr>
              <w:t>5,828,000</w:t>
            </w:r>
          </w:p>
        </w:tc>
        <w:tc>
          <w:tcPr>
            <w:tcW w:w="20" w:type="dxa"/>
            <w:vAlign w:val="bottom"/>
          </w:tcPr>
          <w:p>
            <w:pPr>
              <w:spacing w:after="0"/>
              <w:rPr>
                <w:sz w:val="17"/>
                <w:szCs w:val="17"/>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 Continued coverage under health and welfare benefit plans for two years</w:t>
            </w:r>
          </w:p>
        </w:tc>
        <w:tc>
          <w:tcPr>
            <w:tcW w:w="860" w:type="dxa"/>
            <w:vAlign w:val="bottom"/>
          </w:tcPr>
          <w:p>
            <w:pPr>
              <w:jc w:val="right"/>
              <w:spacing w:after="0"/>
              <w:rPr>
                <w:sz w:val="20"/>
                <w:szCs w:val="20"/>
                <w:color w:val="auto"/>
              </w:rPr>
            </w:pPr>
            <w:r>
              <w:rPr>
                <w:rFonts w:ascii="Arial" w:cs="Arial" w:eastAsia="Arial" w:hAnsi="Arial"/>
                <w:sz w:val="16"/>
                <w:szCs w:val="16"/>
                <w:color w:val="auto"/>
              </w:rPr>
              <w:t>25,320</w:t>
            </w:r>
          </w:p>
        </w:tc>
        <w:tc>
          <w:tcPr>
            <w:tcW w:w="20" w:type="dxa"/>
            <w:vAlign w:val="bottom"/>
          </w:tcPr>
          <w:p>
            <w:pPr>
              <w:spacing w:after="0"/>
              <w:rPr>
                <w:sz w:val="17"/>
                <w:szCs w:val="17"/>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w w:val="98"/>
              </w:rPr>
              <w:t>• Prorated payment of performance share units (contingent on actual performance at end of performance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period)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5,944,351</w:t>
            </w:r>
          </w:p>
        </w:tc>
        <w:tc>
          <w:tcPr>
            <w:tcW w:w="20" w:type="dxa"/>
            <w:vAlign w:val="bottom"/>
          </w:tcPr>
          <w:p>
            <w:pPr>
              <w:spacing w:after="0"/>
              <w:rPr>
                <w:sz w:val="17"/>
                <w:szCs w:val="17"/>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11,797,671</w:t>
            </w:r>
          </w:p>
        </w:tc>
        <w:tc>
          <w:tcPr>
            <w:tcW w:w="20" w:type="dxa"/>
            <w:vAlign w:val="bottom"/>
            <w:tcBorders>
              <w:bottom w:val="single" w:sz="8" w:color="auto"/>
            </w:tcBorders>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2" w:lineRule="exact"/>
        <w:rPr>
          <w:sz w:val="20"/>
          <w:szCs w:val="20"/>
          <w:color w:val="auto"/>
        </w:rPr>
      </w:pPr>
    </w:p>
    <w:p>
      <w:pPr>
        <w:sectPr>
          <w:pgSz w:w="11900" w:h="16838" w:orient="portrait"/>
          <w:cols w:equalWidth="0" w:num="2">
            <w:col w:w="2880" w:space="300"/>
            <w:col w:w="8240"/>
          </w:cols>
          <w:pgMar w:left="240" w:top="459" w:right="239" w:bottom="1440" w:gutter="0" w:footer="0" w:header="0"/>
          <w:type w:val="continuous"/>
        </w:sectPr>
      </w:pPr>
    </w:p>
    <w:p>
      <w:pPr>
        <w:spacing w:after="0" w:line="324" w:lineRule="auto"/>
        <w:rPr>
          <w:sz w:val="20"/>
          <w:szCs w:val="20"/>
          <w:color w:val="auto"/>
        </w:rPr>
      </w:pPr>
      <w:r>
        <w:rPr>
          <w:rFonts w:ascii="Arial" w:cs="Arial" w:eastAsia="Arial" w:hAnsi="Arial"/>
          <w:sz w:val="14"/>
          <w:szCs w:val="14"/>
          <w:i w:val="1"/>
          <w:iCs w:val="1"/>
          <w:color w:val="auto"/>
        </w:rPr>
        <w:t>Termination Without Cause by the Company or For Good Reason by the Employee Six Months Prior to or Two Years Following a Change in 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2015490" cy="1217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15490" cy="1217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220" w:type="dxa"/>
            <w:vAlign w:val="bottom"/>
          </w:tcPr>
          <w:p>
            <w:pPr>
              <w:spacing w:after="0"/>
              <w:rPr>
                <w:sz w:val="17"/>
                <w:szCs w:val="17"/>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Three times base salary plus target annual cash bonus, paid in lump sum</w:t>
            </w:r>
            <w:r>
              <w:rPr>
                <w:rFonts w:ascii="Arial" w:cs="Arial" w:eastAsia="Arial" w:hAnsi="Arial"/>
                <w:sz w:val="23"/>
                <w:szCs w:val="23"/>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8,742,000</w:t>
            </w:r>
          </w:p>
        </w:tc>
        <w:tc>
          <w:tcPr>
            <w:tcW w:w="10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 Continued coverage under health and welfare benefit plans for three years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37,980</w:t>
            </w:r>
          </w:p>
        </w:tc>
        <w:tc>
          <w:tcPr>
            <w:tcW w:w="10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4,858,898</w:t>
            </w:r>
          </w:p>
        </w:tc>
        <w:tc>
          <w:tcPr>
            <w:tcW w:w="10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5,944,351</w:t>
            </w:r>
          </w:p>
        </w:tc>
        <w:tc>
          <w:tcPr>
            <w:tcW w:w="10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 Accelerated payment of performance share units replacement grant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5,699,168</w:t>
            </w:r>
          </w:p>
        </w:tc>
        <w:tc>
          <w:tcPr>
            <w:tcW w:w="100" w:type="dxa"/>
            <w:vAlign w:val="bottom"/>
            <w:shd w:val="clear" w:color="auto" w:fill="CCEEFF"/>
          </w:tcPr>
          <w:p>
            <w:pPr>
              <w:spacing w:after="0"/>
              <w:rPr>
                <w:sz w:val="17"/>
                <w:szCs w:val="17"/>
                <w:color w:val="auto"/>
              </w:rPr>
            </w:pPr>
          </w:p>
        </w:tc>
      </w:tr>
      <w:tr>
        <w:trPr>
          <w:trHeight w:val="189"/>
        </w:trPr>
        <w:tc>
          <w:tcPr>
            <w:tcW w:w="220" w:type="dxa"/>
            <w:vAlign w:val="bottom"/>
            <w:shd w:val="clear" w:color="auto" w:fill="CCEEFF"/>
          </w:tcPr>
          <w:p>
            <w:pPr>
              <w:spacing w:after="0"/>
              <w:rPr>
                <w:sz w:val="16"/>
                <w:szCs w:val="16"/>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 Prorated maximum annual cash bonus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3,348,000</w:t>
            </w:r>
          </w:p>
        </w:tc>
        <w:tc>
          <w:tcPr>
            <w:tcW w:w="100" w:type="dxa"/>
            <w:vAlign w:val="bottom"/>
            <w:shd w:val="clear" w:color="auto" w:fill="CCEEFF"/>
          </w:tcPr>
          <w:p>
            <w:pPr>
              <w:spacing w:after="0"/>
              <w:rPr>
                <w:sz w:val="16"/>
                <w:szCs w:val="16"/>
                <w:color w:val="auto"/>
              </w:rPr>
            </w:pPr>
          </w:p>
        </w:tc>
      </w:tr>
      <w:tr>
        <w:trPr>
          <w:trHeight w:val="216"/>
        </w:trPr>
        <w:tc>
          <w:tcPr>
            <w:tcW w:w="22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5"/>
                <w:szCs w:val="15"/>
                <w:color w:val="auto"/>
              </w:rPr>
              <w:t>• Gross-up payment for any excise taxes</w:t>
            </w:r>
            <w:r>
              <w:rPr>
                <w:rFonts w:ascii="Arial" w:cs="Arial" w:eastAsia="Arial" w:hAnsi="Arial"/>
                <w:sz w:val="25"/>
                <w:szCs w:val="25"/>
                <w:color w:val="auto"/>
                <w:vertAlign w:val="superscript"/>
              </w:rPr>
              <w:t>(1)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7,744,277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47"/>
        </w:trPr>
        <w:tc>
          <w:tcPr>
            <w:tcW w:w="2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36,374,674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34" w:lineRule="exact"/>
        <w:rPr>
          <w:sz w:val="20"/>
          <w:szCs w:val="20"/>
          <w:color w:val="auto"/>
        </w:rPr>
      </w:pPr>
    </w:p>
    <w:p>
      <w:pPr>
        <w:sectPr>
          <w:pgSz w:w="11900" w:h="16838" w:orient="portrait"/>
          <w:cols w:equalWidth="0" w:num="2">
            <w:col w:w="2880" w:space="80"/>
            <w:col w:w="84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E. Trevathan, Jr.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Severance Benefits</w:t>
            </w:r>
          </w:p>
        </w:tc>
        <w:tc>
          <w:tcPr>
            <w:tcW w:w="5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1,092,343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 Payment of performance share units (contingent on actual performance at end of performance period)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2,879,098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 Two times base salary as of the date of termination (payable in bi-weekly installments over a two-year</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period)</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630,000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5,924,441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80" w:type="dxa"/>
            <w:vAlign w:val="bottom"/>
            <w:gridSpan w:val="3"/>
          </w:tcPr>
          <w:p>
            <w:pPr>
              <w:spacing w:after="0"/>
              <w:rPr>
                <w:sz w:val="20"/>
                <w:szCs w:val="20"/>
                <w:color w:val="auto"/>
              </w:rPr>
            </w:pPr>
            <w:r>
              <w:rPr>
                <w:rFonts w:ascii="Arial" w:cs="Arial" w:eastAsia="Arial" w:hAnsi="Arial"/>
                <w:sz w:val="16"/>
                <w:szCs w:val="16"/>
                <w:i w:val="1"/>
                <w:iCs w:val="1"/>
                <w:color w:val="auto"/>
              </w:rPr>
              <w:t>Termination Without Cause by the Company</w:t>
            </w:r>
          </w:p>
        </w:tc>
        <w:tc>
          <w:tcPr>
            <w:tcW w:w="7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180" w:type="dxa"/>
            <w:vAlign w:val="bottom"/>
            <w:gridSpan w:val="3"/>
          </w:tcPr>
          <w:p>
            <w:pPr>
              <w:spacing w:after="0"/>
              <w:rPr>
                <w:sz w:val="20"/>
                <w:szCs w:val="20"/>
                <w:color w:val="auto"/>
              </w:rPr>
            </w:pPr>
            <w:r>
              <w:rPr>
                <w:rFonts w:ascii="Arial" w:cs="Arial" w:eastAsia="Arial" w:hAnsi="Arial"/>
                <w:sz w:val="16"/>
                <w:szCs w:val="16"/>
                <w:i w:val="1"/>
                <w:iCs w:val="1"/>
                <w:color w:val="auto"/>
              </w:rPr>
              <w:t>or For Good Reason by the Employee</w:t>
            </w:r>
          </w:p>
        </w:tc>
        <w:tc>
          <w:tcPr>
            <w:tcW w:w="7180" w:type="dxa"/>
            <w:vAlign w:val="bottom"/>
            <w:gridSpan w:val="2"/>
          </w:tcPr>
          <w:p>
            <w:pPr>
              <w:spacing w:after="0"/>
              <w:rPr>
                <w:sz w:val="20"/>
                <w:szCs w:val="20"/>
                <w:color w:val="auto"/>
              </w:rPr>
            </w:pPr>
            <w:r>
              <w:rPr>
                <w:rFonts w:ascii="Arial" w:cs="Arial" w:eastAsia="Arial" w:hAnsi="Arial"/>
                <w:sz w:val="16"/>
                <w:szCs w:val="16"/>
                <w:color w:val="auto"/>
                <w:w w:val="92"/>
              </w:rPr>
              <w:t>• Two times base salary plus target annual cash bonus (one-half payable in lump sum; one-half payable in bi-</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weekly installments over a two-year 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2,513,700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 Continued coverage under benefit plans for two years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 Health and welfare benefit plans</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25,320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 401(k) Retirement Savings Plan contributions</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w w:val="96"/>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1,454,813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4,017,683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w w:val="99"/>
              </w:rPr>
              <w:t>Termination Without Cause by the Company</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or For Good Reason by the Employee Six</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Two times base salary plus target annual cash bonus, paid in lump sum</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2,513,700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Months Prior to or Two Years Following a</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Continued coverage under benefit plans for two years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Chang in Control (Double Trigger)</w:t>
            </w: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Health and welfare benefit plans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401(k) Retirement Savings Plan contributions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1,092,343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1,454,813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payment of performance share units replacement grant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1,424,285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Prorated maximum annual cash bonus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1,190,700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5"/>
                <w:szCs w:val="15"/>
                <w:color w:val="auto"/>
              </w:rPr>
              <w:t>• Gross-up payment for any excise taxes</w:t>
            </w:r>
            <w:r>
              <w:rPr>
                <w:rFonts w:ascii="Arial" w:cs="Arial" w:eastAsia="Arial" w:hAnsi="Arial"/>
                <w:sz w:val="25"/>
                <w:szCs w:val="25"/>
                <w:color w:val="auto"/>
                <w:vertAlign w:val="superscript"/>
              </w:rPr>
              <w:t>(1)</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7,725,011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C. Fish, Jr.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spacing w:after="0"/>
              <w:rPr>
                <w:sz w:val="20"/>
                <w:szCs w:val="20"/>
                <w:color w:val="auto"/>
              </w:rPr>
            </w:pPr>
            <w:r>
              <w:rPr>
                <w:rFonts w:ascii="Arial" w:cs="Arial" w:eastAsia="Arial" w:hAnsi="Arial"/>
                <w:sz w:val="14"/>
                <w:szCs w:val="14"/>
                <w:b w:val="1"/>
                <w:bCs w:val="1"/>
                <w:color w:val="auto"/>
                <w:w w:val="93"/>
              </w:rPr>
              <w:t>Triggering Event</w:t>
            </w:r>
          </w:p>
        </w:tc>
        <w:tc>
          <w:tcPr>
            <w:tcW w:w="2120" w:type="dxa"/>
            <w:vAlign w:val="bottom"/>
          </w:tcPr>
          <w:p>
            <w:pPr>
              <w:spacing w:after="0"/>
              <w:rPr>
                <w:sz w:val="16"/>
                <w:szCs w:val="16"/>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Severance Benefits</w:t>
            </w:r>
          </w:p>
        </w:tc>
        <w:tc>
          <w:tcPr>
            <w:tcW w:w="5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1,060,082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 Payment of performance share units (contingent on actual performance at end of performance period)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2,879,098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567,000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0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4,506,180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6"/>
                <w:szCs w:val="16"/>
                <w:i w:val="1"/>
                <w:iCs w:val="1"/>
                <w:color w:val="auto"/>
              </w:rPr>
              <w:t>Termination Without Cause by the Company</w:t>
            </w:r>
          </w:p>
        </w:tc>
        <w:tc>
          <w:tcPr>
            <w:tcW w:w="7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rPr>
                <w:sz w:val="20"/>
                <w:szCs w:val="20"/>
                <w:color w:val="auto"/>
              </w:rPr>
            </w:pPr>
            <w:r>
              <w:rPr>
                <w:rFonts w:ascii="Arial" w:cs="Arial" w:eastAsia="Arial" w:hAnsi="Arial"/>
                <w:sz w:val="16"/>
                <w:szCs w:val="16"/>
                <w:i w:val="1"/>
                <w:iCs w:val="1"/>
                <w:color w:val="auto"/>
              </w:rPr>
              <w:t>or For Good Reason by the Employee</w:t>
            </w:r>
          </w:p>
        </w:tc>
        <w:tc>
          <w:tcPr>
            <w:tcW w:w="7180" w:type="dxa"/>
            <w:vAlign w:val="bottom"/>
            <w:gridSpan w:val="2"/>
          </w:tcPr>
          <w:p>
            <w:pPr>
              <w:spacing w:after="0"/>
              <w:rPr>
                <w:sz w:val="20"/>
                <w:szCs w:val="20"/>
                <w:color w:val="auto"/>
              </w:rPr>
            </w:pPr>
            <w:r>
              <w:rPr>
                <w:rFonts w:ascii="Arial" w:cs="Arial" w:eastAsia="Arial" w:hAnsi="Arial"/>
                <w:sz w:val="16"/>
                <w:szCs w:val="16"/>
                <w:color w:val="auto"/>
                <w:w w:val="92"/>
              </w:rPr>
              <w:t>• Two times base salary plus target annual cash bonus (one-half payable in lump sum; one-half payable in bi-</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weekly installments over a two-year 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2,367,970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 Continued coverage under health and welfare benefit plans for two years</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25,320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w w:val="96"/>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1,454,813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3,848,103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c>
          <w:tcPr>
            <w:tcW w:w="5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w w:val="99"/>
              </w:rPr>
              <w:t>Termination Without Cause by the Company</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or For Good Reason by the Employee Six</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 Two times base salary plus target annual cash bonus (one-half payable in lump sum; one-half payable in bi-</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Months Prior to or Two Years Following a</w:t>
            </w: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weekly installments over a two-year period)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2,367,970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Change in Control (Double Trigger)</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Continued coverage under health and welfare benefit plans for two years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1,060,082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1,454,813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payment of performance share units replacement grant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1,424,285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Prorated maximum annual cash bonus</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1,121,670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7,454,140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Jeff M. Harris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Severance Benefits</w:t>
            </w:r>
          </w:p>
        </w:tc>
        <w:tc>
          <w:tcPr>
            <w:tcW w:w="5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899,915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 Payment of performance share units (contingent on actual performance at end of performance period)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2,351,589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567,000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3,818,504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6"/>
                <w:szCs w:val="16"/>
                <w:i w:val="1"/>
                <w:iCs w:val="1"/>
                <w:color w:val="auto"/>
              </w:rPr>
              <w:t>Termination Without Cause by the Company</w:t>
            </w:r>
          </w:p>
        </w:tc>
        <w:tc>
          <w:tcPr>
            <w:tcW w:w="7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80" w:type="dxa"/>
            <w:vAlign w:val="bottom"/>
            <w:gridSpan w:val="3"/>
          </w:tcPr>
          <w:p>
            <w:pPr>
              <w:spacing w:after="0"/>
              <w:rPr>
                <w:sz w:val="20"/>
                <w:szCs w:val="20"/>
                <w:color w:val="auto"/>
              </w:rPr>
            </w:pPr>
            <w:r>
              <w:rPr>
                <w:rFonts w:ascii="Arial" w:cs="Arial" w:eastAsia="Arial" w:hAnsi="Arial"/>
                <w:sz w:val="16"/>
                <w:szCs w:val="16"/>
                <w:i w:val="1"/>
                <w:iCs w:val="1"/>
                <w:color w:val="auto"/>
              </w:rPr>
              <w:t>or For Good Reason by the Employee</w:t>
            </w:r>
          </w:p>
        </w:tc>
        <w:tc>
          <w:tcPr>
            <w:tcW w:w="7180" w:type="dxa"/>
            <w:vAlign w:val="bottom"/>
            <w:gridSpan w:val="2"/>
          </w:tcPr>
          <w:p>
            <w:pPr>
              <w:spacing w:after="0"/>
              <w:rPr>
                <w:sz w:val="20"/>
                <w:szCs w:val="20"/>
                <w:color w:val="auto"/>
              </w:rPr>
            </w:pPr>
            <w:r>
              <w:rPr>
                <w:rFonts w:ascii="Arial" w:cs="Arial" w:eastAsia="Arial" w:hAnsi="Arial"/>
                <w:sz w:val="16"/>
                <w:szCs w:val="16"/>
                <w:color w:val="auto"/>
                <w:w w:val="92"/>
              </w:rPr>
              <w:t>• Two times base salary plus target annual cash bonus (one-half payable in lump sum; one-half payable in bi-</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weekly installments over a two-year 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2,142,000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 Continued coverage under health and welfare benefit plans for two years</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25,320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w w:val="96"/>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1,179,957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3,347,277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w w:val="99"/>
              </w:rPr>
              <w:t>Termination Without Cause by the Company</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or For Good Reason by the Employee Six</w:t>
            </w:r>
          </w:p>
        </w:tc>
        <w:tc>
          <w:tcPr>
            <w:tcW w:w="718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 Three times base salary plus target annual cash bonus, paid in lump sum</w:t>
            </w:r>
            <w:r>
              <w:rPr>
                <w:rFonts w:ascii="Arial" w:cs="Arial" w:eastAsia="Arial" w:hAnsi="Arial"/>
                <w:sz w:val="25"/>
                <w:szCs w:val="25"/>
                <w:color w:val="auto"/>
                <w:vertAlign w:val="superscript"/>
              </w:rPr>
              <w:t>(1)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3,213,000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Months Prior to or Two Years Following a</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Continued coverage under health and welfare benefit plans for three years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37,980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Change-in-Control (Double Trigger)</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899,915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1,179,957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payment of performance share units replacement grant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1,171,632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Prorated maximum annual cash bonus</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952,000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7,454,484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John J. Morris, Jr.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gridSpan w:val="4"/>
          </w:tcPr>
          <w:p>
            <w:pPr>
              <w:spacing w:after="0"/>
              <w:rPr>
                <w:sz w:val="20"/>
                <w:szCs w:val="20"/>
                <w:color w:val="auto"/>
              </w:rPr>
            </w:pPr>
            <w:r>
              <w:rPr>
                <w:rFonts w:ascii="Arial" w:cs="Arial" w:eastAsia="Arial" w:hAnsi="Arial"/>
                <w:sz w:val="14"/>
                <w:szCs w:val="14"/>
                <w:b w:val="1"/>
                <w:bCs w:val="1"/>
                <w:color w:val="auto"/>
              </w:rPr>
              <w:t>Triggering Event</w:t>
            </w: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Severance Benefits</w:t>
            </w:r>
          </w:p>
        </w:tc>
        <w:tc>
          <w:tcPr>
            <w:tcW w:w="5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822,205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 Payment of performance share units (contingent on actual performance at end of performance period)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2,351,589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523,000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3,696,794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3180" w:type="dxa"/>
            <w:vAlign w:val="bottom"/>
            <w:gridSpan w:val="4"/>
          </w:tcPr>
          <w:p>
            <w:pPr>
              <w:spacing w:after="0"/>
              <w:rPr>
                <w:sz w:val="20"/>
                <w:szCs w:val="20"/>
                <w:color w:val="auto"/>
              </w:rPr>
            </w:pPr>
            <w:r>
              <w:rPr>
                <w:rFonts w:ascii="Arial" w:cs="Arial" w:eastAsia="Arial" w:hAnsi="Arial"/>
                <w:sz w:val="16"/>
                <w:szCs w:val="16"/>
                <w:i w:val="1"/>
                <w:iCs w:val="1"/>
                <w:color w:val="auto"/>
              </w:rPr>
              <w:t>Termination Without Cause by the Company</w:t>
            </w:r>
          </w:p>
        </w:tc>
        <w:tc>
          <w:tcPr>
            <w:tcW w:w="7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80" w:type="dxa"/>
            <w:vAlign w:val="bottom"/>
            <w:gridSpan w:val="4"/>
          </w:tcPr>
          <w:p>
            <w:pPr>
              <w:spacing w:after="0"/>
              <w:rPr>
                <w:sz w:val="20"/>
                <w:szCs w:val="20"/>
                <w:color w:val="auto"/>
              </w:rPr>
            </w:pPr>
            <w:r>
              <w:rPr>
                <w:rFonts w:ascii="Arial" w:cs="Arial" w:eastAsia="Arial" w:hAnsi="Arial"/>
                <w:sz w:val="16"/>
                <w:szCs w:val="16"/>
                <w:i w:val="1"/>
                <w:iCs w:val="1"/>
                <w:color w:val="auto"/>
              </w:rPr>
              <w:t>or For Good Reason by the Employee</w:t>
            </w:r>
          </w:p>
        </w:tc>
        <w:tc>
          <w:tcPr>
            <w:tcW w:w="7180" w:type="dxa"/>
            <w:vAlign w:val="bottom"/>
            <w:gridSpan w:val="2"/>
          </w:tcPr>
          <w:p>
            <w:pPr>
              <w:spacing w:after="0"/>
              <w:rPr>
                <w:sz w:val="20"/>
                <w:szCs w:val="20"/>
                <w:color w:val="auto"/>
              </w:rPr>
            </w:pPr>
            <w:r>
              <w:rPr>
                <w:rFonts w:ascii="Arial" w:cs="Arial" w:eastAsia="Arial" w:hAnsi="Arial"/>
                <w:sz w:val="16"/>
                <w:szCs w:val="16"/>
                <w:color w:val="auto"/>
                <w:w w:val="92"/>
              </w:rPr>
              <w:t>• Two times base salary plus target annual cash bonus (one-half payable in lump sum; one-half payable in bi-</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weekly installments over a two-year 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2,088,000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 Continued coverage under health and welfare benefit plans for two years</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25,320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w w:val="96"/>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1,179,957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3,293,277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w w:val="99"/>
              </w:rPr>
              <w:t>Termination Without Cause by the Company</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Severance Benefits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or For Good Reason by the Employee Six</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 Two times base salary plus target annual cash bonus (one half payable in lump sum; one half payable in bi-</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Months Prior to or Two Years Following a</w:t>
            </w: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weekly installments over a two year period)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2,088,000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Change in Control (Double Trigger)</w:t>
            </w: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Continued coverage under health and welfare benefit plans for two years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vesting of stock options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822,205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1,179,957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Accelerated payment of performance share units replacement grant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1,171,632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Prorated maximum annual cash bonus</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928,000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6,215,114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right="80" w:hanging="332"/>
        <w:spacing w:after="0" w:line="23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the past, such provisions have been included in certain named executives’ employment agreements. However, the Company’s compensation policy now provides that it will not enter into any future compensation arrangements that obligate the Company to provide increased payments in the event of death or to make tax gross up payments, subject to certain exceptions. Additionally, our Executive Officer Severance Policy generally provides that the Company may not enter into new severance arrangements with its executive officers that provide for benefits, less the value of vested equity awards and benefits provided to employees generally, in an amount that exceeds 2.99 times the executive officer’s then current base salary and target bonus. For additional details, see “Compensation Discussion and Analysis — Other Compensation Policies and Practices.”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Table</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provides information as of December 31, 2015 about the number of shares to be issued upon vesting or exercise of equity awards and the number of shares remaining available for issuance under our equity compensation plans.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Plan Category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Equity compensation plans approved by security holders</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7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178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Securities to be</w:t>
            </w:r>
          </w:p>
        </w:tc>
        <w:tc>
          <w:tcPr>
            <w:tcW w:w="2240" w:type="dxa"/>
            <w:vAlign w:val="bottom"/>
            <w:gridSpan w:val="2"/>
            <w:vMerge w:val="restart"/>
          </w:tcPr>
          <w:p>
            <w:pPr>
              <w:jc w:val="right"/>
              <w:ind w:right="528"/>
              <w:spacing w:after="0"/>
              <w:rPr>
                <w:sz w:val="20"/>
                <w:szCs w:val="20"/>
                <w:color w:val="auto"/>
              </w:rPr>
            </w:pPr>
            <w:r>
              <w:rPr>
                <w:rFonts w:ascii="Arial" w:cs="Arial" w:eastAsia="Arial" w:hAnsi="Arial"/>
                <w:sz w:val="14"/>
                <w:szCs w:val="14"/>
                <w:b w:val="1"/>
                <w:bCs w:val="1"/>
                <w:color w:val="auto"/>
              </w:rPr>
              <w:t>Weighted-Average</w:t>
            </w: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178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Issued Upon</w:t>
            </w:r>
          </w:p>
        </w:tc>
        <w:tc>
          <w:tcPr>
            <w:tcW w:w="2240" w:type="dxa"/>
            <w:vAlign w:val="bottom"/>
            <w:gridSpan w:val="2"/>
            <w:vMerge w:val="continue"/>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178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Exercise</w:t>
            </w:r>
          </w:p>
        </w:tc>
        <w:tc>
          <w:tcPr>
            <w:tcW w:w="58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w w:val="93"/>
              </w:rPr>
              <w:t>Exercise Price of</w:t>
            </w: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178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of Outstanding</w:t>
            </w:r>
          </w:p>
        </w:tc>
        <w:tc>
          <w:tcPr>
            <w:tcW w:w="58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Outstanding</w:t>
            </w: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6"/>
        </w:trPr>
        <w:tc>
          <w:tcPr>
            <w:tcW w:w="1780" w:type="dxa"/>
            <w:vAlign w:val="bottom"/>
          </w:tcPr>
          <w:p>
            <w:pPr>
              <w:jc w:val="right"/>
              <w:ind w:right="508"/>
              <w:spacing w:after="0"/>
              <w:rPr>
                <w:sz w:val="20"/>
                <w:szCs w:val="20"/>
                <w:color w:val="auto"/>
              </w:rPr>
            </w:pPr>
            <w:r>
              <w:rPr>
                <w:rFonts w:ascii="Arial" w:cs="Arial" w:eastAsia="Arial" w:hAnsi="Arial"/>
                <w:sz w:val="14"/>
                <w:szCs w:val="14"/>
                <w:b w:val="1"/>
                <w:bCs w:val="1"/>
                <w:color w:val="auto"/>
                <w:w w:val="91"/>
              </w:rPr>
              <w:t>Options and Rights</w:t>
            </w:r>
          </w:p>
        </w:tc>
        <w:tc>
          <w:tcPr>
            <w:tcW w:w="224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Options and Rights</w:t>
            </w:r>
          </w:p>
        </w:tc>
        <w:tc>
          <w:tcPr>
            <w:tcW w:w="1860" w:type="dxa"/>
            <w:vAlign w:val="bottom"/>
          </w:tcPr>
          <w:p>
            <w:pPr>
              <w:jc w:val="right"/>
              <w:ind w:right="68"/>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82"/>
        </w:trPr>
        <w:tc>
          <w:tcPr>
            <w:tcW w:w="1780" w:type="dxa"/>
            <w:vAlign w:val="bottom"/>
          </w:tcPr>
          <w:p>
            <w:pPr>
              <w:jc w:val="right"/>
              <w:ind w:right="368"/>
              <w:spacing w:after="0"/>
              <w:rPr>
                <w:sz w:val="20"/>
                <w:szCs w:val="20"/>
                <w:color w:val="auto"/>
              </w:rPr>
            </w:pPr>
            <w:r>
              <w:rPr>
                <w:rFonts w:ascii="Arial" w:cs="Arial" w:eastAsia="Arial" w:hAnsi="Arial"/>
                <w:sz w:val="14"/>
                <w:szCs w:val="14"/>
                <w:color w:val="auto"/>
              </w:rPr>
              <w:t>10,216,047</w:t>
            </w:r>
            <w:r>
              <w:rPr>
                <w:rFonts w:ascii="Arial" w:cs="Arial" w:eastAsia="Arial" w:hAnsi="Arial"/>
                <w:sz w:val="12"/>
                <w:szCs w:val="12"/>
                <w:color w:val="auto"/>
              </w:rPr>
              <w:t>(2)</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40.80</w:t>
            </w:r>
            <w:r>
              <w:rPr>
                <w:rFonts w:ascii="Arial" w:cs="Arial" w:eastAsia="Arial" w:hAnsi="Arial"/>
                <w:sz w:val="12"/>
                <w:szCs w:val="12"/>
                <w:color w:val="auto"/>
              </w:rPr>
              <w:t>(3)</w:t>
            </w:r>
          </w:p>
        </w:tc>
        <w:tc>
          <w:tcPr>
            <w:tcW w:w="1860" w:type="dxa"/>
            <w:vAlign w:val="bottom"/>
          </w:tcPr>
          <w:p>
            <w:pPr>
              <w:jc w:val="right"/>
              <w:spacing w:after="0"/>
              <w:rPr>
                <w:sz w:val="20"/>
                <w:szCs w:val="20"/>
                <w:color w:val="auto"/>
              </w:rPr>
            </w:pPr>
            <w:r>
              <w:rPr>
                <w:rFonts w:ascii="Arial" w:cs="Arial" w:eastAsia="Arial" w:hAnsi="Arial"/>
                <w:sz w:val="14"/>
                <w:szCs w:val="14"/>
                <w:color w:val="auto"/>
              </w:rPr>
              <w:t>27,570,724</w:t>
            </w: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-103505</wp:posOffset>
            </wp:positionV>
            <wp:extent cx="724662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4380" w:space="720"/>
            <w:col w:w="6300"/>
          </w:cols>
          <w:pgMar w:left="240" w:top="459" w:right="259" w:bottom="1440" w:gutter="0" w:footer="0" w:header="0"/>
          <w:type w:val="continuous"/>
        </w:sect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our 2009 Stock Incentive Plan, 2014 Stock Incentive Plan and Employee Stock Purchase Plan (“ESPP”). No additional awards may be granted under our 2009 Stock Incentive Plan.</w:t>
      </w:r>
    </w:p>
    <w:p>
      <w:pPr>
        <w:spacing w:after="0" w:line="120" w:lineRule="exact"/>
        <w:rPr>
          <w:rFonts w:ascii="Arial" w:cs="Arial" w:eastAsia="Arial" w:hAnsi="Arial"/>
          <w:sz w:val="13"/>
          <w:szCs w:val="13"/>
          <w:color w:val="auto"/>
        </w:rPr>
      </w:pPr>
    </w:p>
    <w:p>
      <w:pPr>
        <w:ind w:left="340" w:right="80" w:hanging="332"/>
        <w:spacing w:after="0" w:line="234"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options outstanding for 7,506,995 shares of Common Stock; 422,850 shares of Common Stock to be issued in connection with deferred compensation obligations; 523,866 shares underlying unvested restricted stock units and 1,762,336 shares of Common Stock that would be issued under outstanding performance share units if the target performance level is achieved. Assuming, instead, that the maximum performance level was achieved on such performance share units, the number of shares of Common Stock subject to outstanding awards would increase by 1,762,336 shares.</w:t>
      </w:r>
    </w:p>
    <w:p>
      <w:pPr>
        <w:spacing w:after="0" w:line="87" w:lineRule="exact"/>
        <w:rPr>
          <w:rFonts w:ascii="Arial" w:cs="Arial" w:eastAsia="Arial" w:hAnsi="Arial"/>
          <w:sz w:val="14"/>
          <w:szCs w:val="14"/>
          <w:color w:val="auto"/>
        </w:rPr>
      </w:pPr>
    </w:p>
    <w:p>
      <w:pPr>
        <w:ind w:left="340"/>
        <w:spacing w:after="0" w:line="234" w:lineRule="auto"/>
        <w:rPr>
          <w:rFonts w:ascii="Arial" w:cs="Arial" w:eastAsia="Arial" w:hAnsi="Arial"/>
          <w:sz w:val="14"/>
          <w:szCs w:val="14"/>
          <w:color w:val="auto"/>
        </w:rPr>
      </w:pPr>
      <w:r>
        <w:rPr>
          <w:rFonts w:ascii="Arial" w:cs="Arial" w:eastAsia="Arial" w:hAnsi="Arial"/>
          <w:sz w:val="14"/>
          <w:szCs w:val="14"/>
          <w:color w:val="auto"/>
        </w:rPr>
        <w:t>The total number of shares subject to outstanding awards in the table above includes 664,142 shares on account of performance share units with the performance period ended December 31, 2015. The determination of achievement of performance results on such performance share units was performed by the MD&amp;C Committee in February 2016, and the Company exceeded target performance criteria. A total of 546,482 shares of Common Stock were issued on account of such performance share units in February 2016, net of units deferred, and 162,335 shares of Common Stock included in the table above as subject to outstanding awards are now available for future issuance.</w:t>
      </w:r>
    </w:p>
    <w:p>
      <w:pPr>
        <w:spacing w:after="0" w:line="87" w:lineRule="exact"/>
        <w:rPr>
          <w:rFonts w:ascii="Arial" w:cs="Arial" w:eastAsia="Arial" w:hAnsi="Arial"/>
          <w:sz w:val="14"/>
          <w:szCs w:val="14"/>
          <w:color w:val="auto"/>
        </w:rPr>
      </w:pPr>
    </w:p>
    <w:p>
      <w:pPr>
        <w:ind w:left="340" w:right="260"/>
        <w:spacing w:after="0" w:line="238" w:lineRule="auto"/>
        <w:rPr>
          <w:rFonts w:ascii="Arial" w:cs="Arial" w:eastAsia="Arial" w:hAnsi="Arial"/>
          <w:sz w:val="14"/>
          <w:szCs w:val="14"/>
          <w:color w:val="auto"/>
        </w:rPr>
      </w:pPr>
      <w:r>
        <w:rPr>
          <w:rFonts w:ascii="Arial" w:cs="Arial" w:eastAsia="Arial" w:hAnsi="Arial"/>
          <w:sz w:val="14"/>
          <w:szCs w:val="14"/>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88" w:lineRule="exact"/>
        <w:rPr>
          <w:rFonts w:ascii="Arial" w:cs="Arial" w:eastAsia="Arial" w:hAnsi="Arial"/>
          <w:sz w:val="14"/>
          <w:szCs w:val="14"/>
          <w:color w:val="auto"/>
        </w:rPr>
      </w:pPr>
    </w:p>
    <w:p>
      <w:pPr>
        <w:ind w:left="340" w:right="380" w:hanging="332"/>
        <w:spacing w:after="0" w:line="253"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performance share units and restricted stock units because those awards do not have exercise prices associated with them. Also excludes purchase rights under the ESPP for the reasons described in (2) above.</w:t>
      </w:r>
    </w:p>
    <w:p>
      <w:pPr>
        <w:spacing w:after="0" w:line="79" w:lineRule="exact"/>
        <w:rPr>
          <w:rFonts w:ascii="Arial" w:cs="Arial" w:eastAsia="Arial" w:hAnsi="Arial"/>
          <w:sz w:val="14"/>
          <w:szCs w:val="14"/>
          <w:color w:val="auto"/>
        </w:rPr>
      </w:pPr>
    </w:p>
    <w:p>
      <w:pPr>
        <w:ind w:left="340" w:hanging="332"/>
        <w:spacing w:after="0" w:line="291"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shares remaining available include 3,167,264 shares under our ESPP and 24,403,460 shares under our 2014 Stock Incentive Plan, based on payout of performance share units at maximum. Assuming payout of performance share units at target, the number of shares remaining available for issuance under our 2014 Stock Incentive Plan would be 26,165,796.</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w:t>
      </w:r>
      <w:r>
        <w:rPr>
          <w:rFonts w:ascii="Arial" w:cs="Arial" w:eastAsia="Arial" w:hAnsi="Arial"/>
          <w:sz w:val="23"/>
          <w:szCs w:val="23"/>
          <w:b w:val="1"/>
          <w:bCs w:val="1"/>
          <w:color w:val="auto"/>
        </w:rPr>
        <w:t>ATIFICATION OF</w:t>
      </w:r>
      <w:r>
        <w:rPr>
          <w:rFonts w:ascii="Arial" w:cs="Arial" w:eastAsia="Arial" w:hAnsi="Arial"/>
          <w:sz w:val="29"/>
          <w:szCs w:val="29"/>
          <w:b w:val="1"/>
          <w:bCs w:val="1"/>
          <w:color w:val="auto"/>
        </w:rPr>
        <w:t xml:space="preserve"> I</w:t>
      </w:r>
      <w:r>
        <w:rPr>
          <w:rFonts w:ascii="Arial" w:cs="Arial" w:eastAsia="Arial" w:hAnsi="Arial"/>
          <w:sz w:val="23"/>
          <w:szCs w:val="23"/>
          <w:b w:val="1"/>
          <w:bCs w:val="1"/>
          <w:color w:val="auto"/>
        </w:rPr>
        <w:t>NDEPENDENT</w:t>
      </w:r>
      <w:r>
        <w:rPr>
          <w:rFonts w:ascii="Arial" w:cs="Arial" w:eastAsia="Arial" w:hAnsi="Arial"/>
          <w:sz w:val="29"/>
          <w:szCs w:val="29"/>
          <w:b w:val="1"/>
          <w:bCs w:val="1"/>
          <w:color w:val="auto"/>
        </w:rPr>
        <w:t xml:space="preserve"> R</w:t>
      </w:r>
      <w:r>
        <w:rPr>
          <w:rFonts w:ascii="Arial" w:cs="Arial" w:eastAsia="Arial" w:hAnsi="Arial"/>
          <w:sz w:val="23"/>
          <w:szCs w:val="23"/>
          <w:b w:val="1"/>
          <w:bCs w:val="1"/>
          <w:color w:val="auto"/>
        </w:rPr>
        <w:t>EGISTERED</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UBLIC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w:t>
      </w:r>
      <w:r>
        <w:rPr>
          <w:rFonts w:ascii="Arial" w:cs="Arial" w:eastAsia="Arial" w:hAnsi="Arial"/>
          <w:sz w:val="23"/>
          <w:szCs w:val="23"/>
          <w:b w:val="1"/>
          <w:bCs w:val="1"/>
          <w:color w:val="auto"/>
        </w:rPr>
        <w:t>CCOUNTING</w:t>
      </w:r>
      <w:r>
        <w:rPr>
          <w:rFonts w:ascii="Arial" w:cs="Arial" w:eastAsia="Arial" w:hAnsi="Arial"/>
          <w:sz w:val="29"/>
          <w:szCs w:val="29"/>
          <w:b w:val="1"/>
          <w:bCs w:val="1"/>
          <w:color w:val="auto"/>
        </w:rPr>
        <w:t xml:space="preserve"> F</w:t>
      </w:r>
      <w:r>
        <w:rPr>
          <w:rFonts w:ascii="Arial" w:cs="Arial" w:eastAsia="Arial" w:hAnsi="Arial"/>
          <w:sz w:val="23"/>
          <w:szCs w:val="23"/>
          <w:b w:val="1"/>
          <w:bCs w:val="1"/>
          <w:color w:val="auto"/>
        </w:rPr>
        <w:t>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2 </w:t>
      </w:r>
      <w:r>
        <w:rPr>
          <w:rFonts w:ascii="Arial" w:cs="Arial" w:eastAsia="Arial" w:hAnsi="Arial"/>
          <w:sz w:val="15"/>
          <w:szCs w:val="15"/>
          <w:b w:val="1"/>
          <w:bCs w:val="1"/>
          <w:color w:val="auto"/>
        </w:rPr>
        <w:t>ON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2016, subject to ratification by our stockholders.</w:t>
      </w:r>
    </w:p>
    <w:p>
      <w:pPr>
        <w:spacing w:after="0" w:line="6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62"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46"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Borders>
              <w:top w:val="single" w:sz="8" w:color="auto"/>
            </w:tcBorders>
            <w:gridSpan w:val="4"/>
          </w:tcPr>
          <w:p>
            <w:pPr>
              <w:jc w:val="right"/>
              <w:ind w:right="88"/>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Audit Fees</w:t>
            </w:r>
          </w:p>
        </w:tc>
        <w:tc>
          <w:tcPr>
            <w:tcW w:w="46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$ 5.1</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$ 5.3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b w:val="1"/>
                <w:bCs w:val="1"/>
                <w:color w:val="auto"/>
              </w:rPr>
              <w:t>Audit-Related Fees</w:t>
            </w:r>
          </w:p>
        </w:tc>
        <w:tc>
          <w:tcPr>
            <w:tcW w:w="46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0.6</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Tax Fees</w:t>
            </w:r>
          </w:p>
        </w:tc>
        <w:tc>
          <w:tcPr>
            <w:tcW w:w="46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0.1</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b w:val="1"/>
                <w:bCs w:val="1"/>
                <w:color w:val="auto"/>
              </w:rPr>
              <w:t>All Other Fees</w:t>
            </w:r>
          </w:p>
        </w:tc>
        <w:tc>
          <w:tcPr>
            <w:tcW w:w="406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4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$ 5.8</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$ 7.3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Audit fees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financial due diligence services relating to certain potential acquisitions and separate subsidiary audits not required by statute or regulation included in 2014.</w:t>
      </w:r>
    </w:p>
    <w:p>
      <w:pPr>
        <w:spacing w:after="0" w:line="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2015 and 2014, the Audit Committee pre-approved all audit and audit-related services performed by Ernst &amp; Young.</w:t>
      </w:r>
    </w:p>
    <w:p>
      <w:pPr>
        <w:spacing w:after="0" w:line="5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set forth in the Audit Committee Report on page 9, the Audit Committee has considered whether the provision of these audit-related services is compatible with maintaining auditor independence and has determined that it 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w:t>
      </w:r>
      <w:r>
        <w:rPr>
          <w:rFonts w:ascii="Arial" w:cs="Arial" w:eastAsia="Arial" w:hAnsi="Arial"/>
          <w:sz w:val="23"/>
          <w:szCs w:val="23"/>
          <w:b w:val="1"/>
          <w:bCs w:val="1"/>
          <w:color w:val="auto"/>
        </w:rPr>
        <w:t>DVISORY</w:t>
      </w:r>
      <w:r>
        <w:rPr>
          <w:rFonts w:ascii="Arial" w:cs="Arial" w:eastAsia="Arial" w:hAnsi="Arial"/>
          <w:sz w:val="29"/>
          <w:szCs w:val="29"/>
          <w:b w:val="1"/>
          <w:bCs w:val="1"/>
          <w:color w:val="auto"/>
        </w:rPr>
        <w:t xml:space="preserve"> V</w:t>
      </w:r>
      <w:r>
        <w:rPr>
          <w:rFonts w:ascii="Arial" w:cs="Arial" w:eastAsia="Arial" w:hAnsi="Arial"/>
          <w:sz w:val="23"/>
          <w:szCs w:val="23"/>
          <w:b w:val="1"/>
          <w:bCs w:val="1"/>
          <w:color w:val="auto"/>
        </w:rPr>
        <w:t>OTE</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N</w:t>
      </w:r>
      <w:r>
        <w:rPr>
          <w:rFonts w:ascii="Arial" w:cs="Arial" w:eastAsia="Arial" w:hAnsi="Arial"/>
          <w:sz w:val="29"/>
          <w:szCs w:val="29"/>
          <w:b w:val="1"/>
          <w:bCs w:val="1"/>
          <w:color w:val="auto"/>
        </w:rPr>
        <w:t xml:space="preserve"> 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3 </w:t>
      </w:r>
      <w:r>
        <w:rPr>
          <w:rFonts w:ascii="Arial" w:cs="Arial" w:eastAsia="Arial" w:hAnsi="Arial"/>
          <w:sz w:val="15"/>
          <w:szCs w:val="15"/>
          <w:b w:val="1"/>
          <w:bCs w:val="1"/>
          <w:color w:val="auto"/>
        </w:rPr>
        <w:t>ON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Pursuant to Section 14A of the Exchange Act, stockholders are entitled to an advisory (non-binding) vote on compensation programs for our named executive officers (sometimes referred to as “say on pay”). The Board of Directors has determined that it will include say on pay votes in the Company’s proxy materials annually until the next stockholder vote on the frequency of the say on pay vote.</w:t>
      </w:r>
    </w:p>
    <w:p>
      <w:pPr>
        <w:spacing w:after="0" w:line="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on pages 24 to 40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further the objective of our executive compensation program and evidence our dedication to competitive and reasonable compensation practices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in the best interests of stockholders:</w:t>
      </w:r>
    </w:p>
    <w:p>
      <w:pPr>
        <w:spacing w:after="0" w:line="94" w:lineRule="exact"/>
        <w:rPr>
          <w:sz w:val="20"/>
          <w:szCs w:val="20"/>
          <w:color w:val="auto"/>
        </w:rPr>
      </w:pPr>
    </w:p>
    <w:p>
      <w:pPr>
        <w:ind w:left="660" w:right="40" w:hanging="206"/>
        <w:spacing w:after="0" w:line="297"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2015, our performance-based annual cash incentive and long-term equity-based incentive awards comprised approximately 87% of total target compensation for our President and Chief Executive Officer and approximately 77% of total target compensation for our other named executives;</w:t>
      </w:r>
    </w:p>
    <w:p>
      <w:pPr>
        <w:spacing w:after="0" w:line="63" w:lineRule="exact"/>
        <w:rPr>
          <w:rFonts w:ascii="Arial" w:cs="Arial" w:eastAsia="Arial" w:hAnsi="Arial"/>
          <w:sz w:val="16"/>
          <w:szCs w:val="16"/>
          <w:color w:val="auto"/>
        </w:rPr>
      </w:pPr>
    </w:p>
    <w:p>
      <w:pPr>
        <w:ind w:left="660" w:right="680" w:hanging="206"/>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at target, approximately 58% of total compensation of our named executives (and approximately 70% in the case of our President and Chief Executive Officer) results from long-term equity awards, which aligns executives’ interests with those of stockholders;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goals and are based on a variety of indicators of performance, which limits risk-taking behavior;</w:t>
      </w:r>
    </w:p>
    <w:p>
      <w:pPr>
        <w:spacing w:after="0" w:line="75"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75" w:lineRule="exact"/>
        <w:rPr>
          <w:rFonts w:ascii="Arial" w:cs="Arial" w:eastAsia="Arial" w:hAnsi="Arial"/>
          <w:sz w:val="18"/>
          <w:szCs w:val="18"/>
          <w:color w:val="auto"/>
        </w:rPr>
      </w:pPr>
    </w:p>
    <w:p>
      <w:pPr>
        <w:ind w:left="660" w:right="540" w:hanging="206"/>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29" w:lineRule="exact"/>
        <w:rPr>
          <w:rFonts w:ascii="Arial" w:cs="Arial" w:eastAsia="Arial" w:hAnsi="Arial"/>
          <w:sz w:val="16"/>
          <w:szCs w:val="16"/>
          <w:color w:val="auto"/>
        </w:rPr>
      </w:pPr>
    </w:p>
    <w:p>
      <w:pPr>
        <w:ind w:left="660" w:right="12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75"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6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62"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RESOLVED, that the compensation of the Company’s named executive officers as described in this Proxy Statement under “Executive Compensation,” including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and the tabular and narrative disclosure contained in this Proxy Statement, is hereby APPROVED.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 Because the vote is advisory, it will not be binding upon the Board or the MD&amp;C Committee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75" w:lineRule="exact"/>
        <w:rPr>
          <w:sz w:val="20"/>
          <w:szCs w:val="20"/>
          <w:color w:val="auto"/>
        </w:rPr>
      </w:pPr>
    </w:p>
    <w:p>
      <w:pPr>
        <w:jc w:val="center"/>
        <w:ind w:right="100"/>
        <w:spacing w:after="0" w:line="454" w:lineRule="auto"/>
        <w:rPr>
          <w:sz w:val="20"/>
          <w:szCs w:val="20"/>
          <w:color w:val="auto"/>
        </w:rPr>
      </w:pPr>
      <w:r>
        <w:rPr>
          <w:rFonts w:ascii="Arial" w:cs="Arial" w:eastAsia="Arial" w:hAnsi="Arial"/>
          <w:sz w:val="18"/>
          <w:szCs w:val="18"/>
          <w:b w:val="1"/>
          <w:bCs w:val="1"/>
          <w:color w:val="auto"/>
        </w:rPr>
        <w:t xml:space="preserve">THE BOARD RECOMMENDS THAT YOU VOTE FOR THE APPROVAL OF THE COMPANY’S EXECUTIVE COMPENSATION. </w:t>
      </w: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TOCKHOLDER</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4 </w:t>
      </w:r>
      <w:r>
        <w:rPr>
          <w:rFonts w:ascii="Arial" w:cs="Arial" w:eastAsia="Arial" w:hAnsi="Arial"/>
          <w:sz w:val="15"/>
          <w:szCs w:val="15"/>
          <w:b w:val="1"/>
          <w:bCs w:val="1"/>
          <w:color w:val="auto"/>
        </w:rPr>
        <w:t>ON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11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11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ask the board of directors to adopt a policy that in the event of a change in control (as defined under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agreement, equity incentive plan or other plan), there shall be no acceleration of vesting of any equity award granted to any named executive officer, provided, however, that the Board’s Compensation Committee may provide in an applicable grant or purchase agreement that any unvested award will vest on a partial,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 to the time of the named executive officer’s termination, with such qualifications for an award as the Committee may determine.</w:t>
      </w:r>
    </w:p>
    <w:p>
      <w:pPr>
        <w:spacing w:after="0" w:line="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not to affect any contractual rights in existence on the date this proposal is adopted, and it shall apply only to equity awards made under equity incentive plans or plan amendments the shareholders approve after the date of the 2016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21" w:lineRule="exact"/>
        <w:rPr>
          <w:sz w:val="20"/>
          <w:szCs w:val="20"/>
          <w:color w:val="auto"/>
        </w:rPr>
      </w:pPr>
    </w:p>
    <w:p>
      <w:pPr>
        <w:jc w:val="both"/>
        <w:ind w:right="380" w:firstLine="456"/>
        <w:spacing w:after="0" w:line="286" w:lineRule="auto"/>
        <w:rPr>
          <w:sz w:val="20"/>
          <w:szCs w:val="20"/>
          <w:color w:val="auto"/>
        </w:rPr>
      </w:pPr>
      <w:r>
        <w:rPr>
          <w:rFonts w:ascii="Arial" w:cs="Arial" w:eastAsia="Arial" w:hAnsi="Arial"/>
          <w:sz w:val="17"/>
          <w:szCs w:val="17"/>
          <w:color w:val="auto"/>
        </w:rPr>
        <w:t>Waste Management (“Company”) allows executives to receive an accelerated award of unearned equity under certain conditions after a change of control of the Company. We do not question that some form of severance payments may be appropriate in that situation. We are concerned, however, that current practices at the Company may permit windfall awards that have nothing to do with an executive’s performance.</w:t>
      </w:r>
    </w:p>
    <w:p>
      <w:pPr>
        <w:spacing w:after="0" w:line="5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Accordingly to last year’s proxy statement, a termination and change in control as of December 31, 2014, could have accelerated the vesting of $37 million worth of long-term equity and grants to the Company’s five senior executives, with the CEO entitled to $20 million. In the event of a change in control and termination, Waste Management’s performance share units vest pro-rata but the provision is meaningless because the Company compensates the executives through a replacement grant for any lost earnings due to proration.</w:t>
      </w:r>
    </w:p>
    <w:p>
      <w:pPr>
        <w:spacing w:after="0" w:line="79"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are unpersuaded by the argument that executives somehow “deserve” to receive unvested awards. To accelerate the vesting of unearned equity on the theory that an executive was denied the opportunity to earn those shares seems inconsistent with a “pay for performance” philosophy worthy of the name.</w:t>
      </w:r>
    </w:p>
    <w:p>
      <w:pPr>
        <w:spacing w:after="0" w:line="1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We do believe, however, that an affected executive should be eligible to receive an accelerated vesting of equity awards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of his or her termination date, with the details of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award to be determined by the Compensation Committee.</w:t>
      </w:r>
    </w:p>
    <w:p>
      <w:pPr>
        <w:spacing w:after="0" w:line="62"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Other major corporations, including Apple, Chevron, Dell, Exxon Mobil, IBM, Intel, Microsoft, and Occidental Petroleum, have limitations on accelerated vesting of unearned equity, such as providing pro rata awards or simply forfeiting unearned awards. Research from James Reda &amp; Associates found that over one third of the largest 200 companies now pro rate, forfeit, or only partially vest performance shares upon a change of control.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urge you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this proposal.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Waste Management Response to Stockholder Proposal on Policy Regarding Accelerated Vesting and Requiring Partial Forfeiture of Equity Awards to Named Executive Officers upon a Change in Control</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Board does not believe that adoption of a rigid policy restricting the acceleration of vesting and requiring partial forfeiture of named executive officers’ equity awards is in the best interests of the Company or our stockholders. Such a policy could put the Company at a competitive disadvantage in attracting and retaining key executives, it would disrupt the alignment of interests between our management and our stockholders by discouraging pursuit of any transaction that could result in a change in control, and it would unduly restrict our MD&amp;C Committee from designing and administering appropriate compensation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disadvantage in attracting and retaining executives</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The proponent’s supporting statement asserts that over a third of the largest 200 companies now pro rate, forfeit, or only partially vest performance shares upon a change in control. Waste Management is among those companies, as the proponent notes that we only vest performance share units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basis upon a change in control, and only based on actual performance to date.</w:t>
      </w:r>
    </w:p>
    <w:p>
      <w:pPr>
        <w:spacing w:after="0" w:line="7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However, a very substantial majority of the companies with which we compete for executive talent are not restricted in their ability to attract and retain key executives through the use of change in control equity vesting triggers, and in fact, routinely provide for accelerated vesting of equity-based awards upon a change in control. As a result, the proposed policy could significantly jeopardize the objective of our compensation program to attract, retain, reward and incentivize exceptional, talented employees who will lead the Company in the successful execution of its strategy.</w:t>
      </w:r>
    </w:p>
    <w:p>
      <w:pPr>
        <w:spacing w:after="0" w:line="6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Additionally, the proposed policy would permit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vesting of equity-based awards following both a change in control and termination of a named executive officer. Yet, vesting of equity-based awards, even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would not be permitted with respect to named executives that continue employment at the post-change in control successor entity. As noted above, our current award agreements for performance share units provide for accelerated vesting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actual performance achieved, upon a change in control event, as it is likely not to be feasible to carry forward the performance metrics of the outstanding awards to the successor entity. Under the proposed policy, named executives leaving the Company could have more certainty regarding the value of their outstanding performance share units than named executives that remain, who would have to forfeit their awards or rely on the successor entity to grant replacement awards. Such a result is clearly contrary to the retention objective of our compensation program and fails to appreciate the practical realities of change in control scenarios where the successor is a materially different entity.</w:t>
      </w:r>
    </w:p>
    <w:p>
      <w:pPr>
        <w:spacing w:after="0" w:line="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proposed policy may also make it particularly difficult for us to retain key executives during the pendency of a potential change in control, which could be disruptive to the transaction. Allowing executives to retain the value of their awards encourages our executives to remain with us through consummation of a merger or similar change in control transaction, reinforcing the retention value of those awards. Accelerated vesting provisions therefore help provide stability and ensure continuity of executive management during the critical stages of a potential change in control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 of alignment between management and our stockholders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The Board believes that executives should not be discouraged from pursuing and facilitating change in control transactions when they are in the best interests of stockholders. Putting executives’ compensation at risk in the event of a change in control could create a conflict of interest if the Board believed a potential change in control transaction was in the best interests of our stockholders. One of the essential purposes of providing executives with equity-based awards is to align their interests with those of our stockholders. As described in our </w:t>
      </w:r>
      <w:r>
        <w:rPr>
          <w:rFonts w:ascii="Arial" w:cs="Arial" w:eastAsia="Arial" w:hAnsi="Arial"/>
          <w:sz w:val="17"/>
          <w:szCs w:val="17"/>
          <w:i w:val="1"/>
          <w:iCs w:val="1"/>
          <w:color w:val="auto"/>
        </w:rPr>
        <w:t>Compensation Discussion &amp; Analysis</w:t>
      </w:r>
      <w:r>
        <w:rPr>
          <w:rFonts w:ascii="Arial" w:cs="Arial" w:eastAsia="Arial" w:hAnsi="Arial"/>
          <w:sz w:val="17"/>
          <w:szCs w:val="17"/>
          <w:color w:val="auto"/>
        </w:rPr>
        <w:t>, a significant percentage of each named executive officer’s compensation opportunity is in the form of equity-based awards, and at any time, our named executives’ unvested equity awards represent a significant portion of their total compensation. The proposal would eliminate our ability to</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provide reasonable assurance to named executives that they can realize the expected value of their equity-based awards and would penalize named executives that consummate a change in control transaction, particularly those that remain with the Company afterwards, with the loss of their incentive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Undue restriction on the MD&amp;C Committee’s structuring of executive compensation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Board believes that stockholders’ interests are best served by recognizing that the MD&amp;C Committee, comprised of seven independent, non-management directors, is in the best position to set the terms of executive compensation arrangements. Our stockholders have evidenced their overwhelming support of the MD&amp;C Committee’s actions, with 97%, 97%, 97%, 96% and 97% of shares present and entitled to vote casting votes in favor of our Company’s executive compensation at the last five annual meetings of stockholders, respectively. The Board believes that the Company’s treatment of equity-based awards upon a change in control, as summarized in our </w:t>
      </w:r>
      <w:r>
        <w:rPr>
          <w:rFonts w:ascii="Arial" w:cs="Arial" w:eastAsia="Arial" w:hAnsi="Arial"/>
          <w:sz w:val="17"/>
          <w:szCs w:val="17"/>
          <w:i w:val="1"/>
          <w:iCs w:val="1"/>
          <w:color w:val="auto"/>
        </w:rPr>
        <w:t>Compensation Discussion &amp; Analysis</w:t>
      </w:r>
      <w:r>
        <w:rPr>
          <w:rFonts w:ascii="Arial" w:cs="Arial" w:eastAsia="Arial" w:hAnsi="Arial"/>
          <w:sz w:val="17"/>
          <w:szCs w:val="17"/>
          <w:color w:val="auto"/>
        </w:rPr>
        <w:t>, is already prudent and appropriately balances the interests of all parties, while not granting executives an undeserved windfall.</w:t>
      </w:r>
    </w:p>
    <w:p>
      <w:pPr>
        <w:spacing w:after="0" w:line="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MD&amp;C Committee should continue to retain the flexibility to design and administer competitive compensation programs that reflect market conditions. Permitting the MD&amp;C Committee to accelerate vesting of equity awards can incentivize management to maximize stockholder value, further aligning the interests of management with our stockholders. Conversely, adopting the rigid policy advanced by the proponent would frustrate the purpose of the MD&amp;C Committee and interfere with the objective of our compensation program. The Board recommends that you vote against this proposal.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O</w:t>
      </w:r>
      <w:r>
        <w:rPr>
          <w:rFonts w:ascii="Arial" w:cs="Arial" w:eastAsia="Arial" w:hAnsi="Arial"/>
          <w:sz w:val="23"/>
          <w:szCs w:val="23"/>
          <w:b w:val="1"/>
          <w:bCs w:val="1"/>
          <w:color w:val="auto"/>
        </w:rPr>
        <w:t>THER</w:t>
      </w:r>
      <w:r>
        <w:rPr>
          <w:rFonts w:ascii="Arial" w:cs="Arial" w:eastAsia="Arial" w:hAnsi="Arial"/>
          <w:sz w:val="29"/>
          <w:szCs w:val="29"/>
          <w:b w:val="1"/>
          <w:bCs w:val="1"/>
          <w:color w:val="auto"/>
        </w:rPr>
        <w:t xml:space="preserve"> M</w:t>
      </w:r>
      <w:r>
        <w:rPr>
          <w:rFonts w:ascii="Arial" w:cs="Arial" w:eastAsia="Arial" w:hAnsi="Arial"/>
          <w:sz w:val="23"/>
          <w:szCs w:val="23"/>
          <w:b w:val="1"/>
          <w:bCs w:val="1"/>
          <w:color w:val="auto"/>
        </w:rPr>
        <w:t>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proxy holders to vote using their judgment.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left="5400" w:right="36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11, 2016. Have your proxy card in hand when you access the web site and follow the instructions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-194310</wp:posOffset>
            </wp:positionV>
            <wp:extent cx="1217930" cy="428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17930" cy="428625"/>
                    </a:xfrm>
                    <a:prstGeom prst="rect">
                      <a:avLst/>
                    </a:prstGeom>
                    <a:noFill/>
                  </pic:spPr>
                </pic:pic>
              </a:graphicData>
            </a:graphic>
          </wp:anchor>
        </w:drawing>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7140" w:type="dxa"/>
            <w:vAlign w:val="bottom"/>
          </w:tcPr>
          <w:p>
            <w:pPr>
              <w:ind w:left="1440"/>
              <w:spacing w:after="0"/>
              <w:rPr>
                <w:sz w:val="20"/>
                <w:szCs w:val="20"/>
                <w:color w:val="auto"/>
              </w:rPr>
            </w:pPr>
            <w:r>
              <w:rPr>
                <w:rFonts w:ascii="Arial" w:cs="Arial" w:eastAsia="Arial" w:hAnsi="Arial"/>
                <w:sz w:val="13"/>
                <w:szCs w:val="13"/>
                <w:b w:val="1"/>
                <w:bCs w:val="1"/>
                <w:color w:val="auto"/>
              </w:rPr>
              <w:t>ELECTRONIC DELIVERY OF FUTURE STOCKHOLDER COMMUNICATIONS</w:t>
            </w:r>
          </w:p>
        </w:tc>
        <w:tc>
          <w:tcPr>
            <w:tcW w:w="0" w:type="dxa"/>
            <w:vAlign w:val="bottom"/>
          </w:tcPr>
          <w:p>
            <w:pPr>
              <w:spacing w:after="0"/>
              <w:rPr>
                <w:sz w:val="1"/>
                <w:szCs w:val="1"/>
                <w:color w:val="auto"/>
              </w:rPr>
            </w:pPr>
          </w:p>
        </w:tc>
      </w:tr>
      <w:tr>
        <w:trPr>
          <w:trHeight w:val="135"/>
        </w:trPr>
        <w:tc>
          <w:tcPr>
            <w:tcW w:w="36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WASTE MANAGEMENT, INC.</w:t>
            </w:r>
          </w:p>
        </w:tc>
        <w:tc>
          <w:tcPr>
            <w:tcW w:w="7140" w:type="dxa"/>
            <w:vAlign w:val="bottom"/>
          </w:tcPr>
          <w:p>
            <w:pPr>
              <w:ind w:left="1440"/>
              <w:spacing w:after="0" w:line="135" w:lineRule="exact"/>
              <w:rPr>
                <w:sz w:val="20"/>
                <w:szCs w:val="20"/>
                <w:color w:val="auto"/>
              </w:rPr>
            </w:pPr>
            <w:r>
              <w:rPr>
                <w:rFonts w:ascii="Arial" w:cs="Arial" w:eastAsia="Arial" w:hAnsi="Arial"/>
                <w:sz w:val="13"/>
                <w:szCs w:val="13"/>
                <w:color w:val="auto"/>
                <w:w w:val="98"/>
              </w:rPr>
              <w:t>If you would like to reduce the costs incurred by Waste Management, Inc. in mailing proxy materials,</w:t>
            </w:r>
          </w:p>
        </w:tc>
        <w:tc>
          <w:tcPr>
            <w:tcW w:w="0" w:type="dxa"/>
            <w:vAlign w:val="bottom"/>
          </w:tcPr>
          <w:p>
            <w:pPr>
              <w:spacing w:after="0"/>
              <w:rPr>
                <w:sz w:val="1"/>
                <w:szCs w:val="1"/>
                <w:color w:val="auto"/>
              </w:rPr>
            </w:pPr>
          </w:p>
        </w:tc>
      </w:tr>
      <w:tr>
        <w:trPr>
          <w:trHeight w:val="123"/>
        </w:trPr>
        <w:tc>
          <w:tcPr>
            <w:tcW w:w="3620" w:type="dxa"/>
            <w:vAlign w:val="bottom"/>
            <w:vMerge w:val="continue"/>
          </w:tcPr>
          <w:p>
            <w:pPr>
              <w:spacing w:after="0"/>
              <w:rPr>
                <w:sz w:val="10"/>
                <w:szCs w:val="10"/>
                <w:color w:val="auto"/>
              </w:rPr>
            </w:pPr>
          </w:p>
        </w:tc>
        <w:tc>
          <w:tcPr>
            <w:tcW w:w="7140" w:type="dxa"/>
            <w:vAlign w:val="bottom"/>
          </w:tcPr>
          <w:p>
            <w:pPr>
              <w:ind w:left="1440"/>
              <w:spacing w:after="0" w:line="123" w:lineRule="exact"/>
              <w:rPr>
                <w:sz w:val="20"/>
                <w:szCs w:val="20"/>
                <w:color w:val="auto"/>
              </w:rPr>
            </w:pPr>
            <w:r>
              <w:rPr>
                <w:rFonts w:ascii="Arial" w:cs="Arial" w:eastAsia="Arial" w:hAnsi="Arial"/>
                <w:sz w:val="13"/>
                <w:szCs w:val="13"/>
                <w:color w:val="auto"/>
                <w:w w:val="96"/>
              </w:rPr>
              <w:t>you can consent to receiving all future proxy statements, proxy cards and annual reports electronically</w:t>
            </w:r>
          </w:p>
        </w:tc>
        <w:tc>
          <w:tcPr>
            <w:tcW w:w="0" w:type="dxa"/>
            <w:vAlign w:val="bottom"/>
          </w:tcPr>
          <w:p>
            <w:pPr>
              <w:spacing w:after="0"/>
              <w:rPr>
                <w:sz w:val="1"/>
                <w:szCs w:val="1"/>
                <w:color w:val="auto"/>
              </w:rPr>
            </w:pPr>
          </w:p>
        </w:tc>
      </w:tr>
      <w:tr>
        <w:trPr>
          <w:trHeight w:val="167"/>
        </w:trPr>
        <w:tc>
          <w:tcPr>
            <w:tcW w:w="3620" w:type="dxa"/>
            <w:vAlign w:val="bottom"/>
          </w:tcPr>
          <w:p>
            <w:pPr>
              <w:spacing w:after="0" w:line="167" w:lineRule="exact"/>
              <w:rPr>
                <w:sz w:val="20"/>
                <w:szCs w:val="20"/>
                <w:color w:val="auto"/>
              </w:rPr>
            </w:pPr>
            <w:r>
              <w:rPr>
                <w:rFonts w:ascii="Arial" w:cs="Arial" w:eastAsia="Arial" w:hAnsi="Arial"/>
                <w:sz w:val="16"/>
                <w:szCs w:val="16"/>
                <w:b w:val="1"/>
                <w:bCs w:val="1"/>
                <w:i w:val="1"/>
                <w:iCs w:val="1"/>
                <w:color w:val="auto"/>
              </w:rPr>
              <w:t>1001 FANNIN STREET</w:t>
            </w:r>
          </w:p>
        </w:tc>
        <w:tc>
          <w:tcPr>
            <w:tcW w:w="7140" w:type="dxa"/>
            <w:vAlign w:val="bottom"/>
          </w:tcPr>
          <w:p>
            <w:pPr>
              <w:ind w:left="1440"/>
              <w:spacing w:after="0"/>
              <w:rPr>
                <w:sz w:val="20"/>
                <w:szCs w:val="20"/>
                <w:color w:val="auto"/>
              </w:rPr>
            </w:pPr>
            <w:r>
              <w:rPr>
                <w:rFonts w:ascii="Arial" w:cs="Arial" w:eastAsia="Arial" w:hAnsi="Arial"/>
                <w:sz w:val="13"/>
                <w:szCs w:val="13"/>
                <w:color w:val="auto"/>
                <w:w w:val="96"/>
              </w:rPr>
              <w:t>via e-mail or the Internet. To sign up for electronic delivery, please follow the instructions above to vote</w:t>
            </w:r>
          </w:p>
        </w:tc>
        <w:tc>
          <w:tcPr>
            <w:tcW w:w="0" w:type="dxa"/>
            <w:vAlign w:val="bottom"/>
          </w:tcPr>
          <w:p>
            <w:pPr>
              <w:spacing w:after="0"/>
              <w:rPr>
                <w:sz w:val="1"/>
                <w:szCs w:val="1"/>
                <w:color w:val="auto"/>
              </w:rPr>
            </w:pPr>
          </w:p>
        </w:tc>
      </w:tr>
      <w:tr>
        <w:trPr>
          <w:trHeight w:val="116"/>
        </w:trPr>
        <w:tc>
          <w:tcPr>
            <w:tcW w:w="36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HOUSTON, TX 77002</w:t>
            </w:r>
          </w:p>
        </w:tc>
        <w:tc>
          <w:tcPr>
            <w:tcW w:w="7140" w:type="dxa"/>
            <w:vAlign w:val="bottom"/>
          </w:tcPr>
          <w:p>
            <w:pPr>
              <w:ind w:left="1440"/>
              <w:spacing w:after="0" w:line="116" w:lineRule="exact"/>
              <w:rPr>
                <w:sz w:val="20"/>
                <w:szCs w:val="20"/>
                <w:color w:val="auto"/>
              </w:rPr>
            </w:pPr>
            <w:r>
              <w:rPr>
                <w:rFonts w:ascii="Arial" w:cs="Arial" w:eastAsia="Arial" w:hAnsi="Arial"/>
                <w:sz w:val="13"/>
                <w:szCs w:val="13"/>
                <w:color w:val="auto"/>
              </w:rPr>
              <w:t>using the Internet and, when prompted, indicate that you agree to receive or access stockholder</w:t>
            </w:r>
          </w:p>
        </w:tc>
        <w:tc>
          <w:tcPr>
            <w:tcW w:w="0" w:type="dxa"/>
            <w:vAlign w:val="bottom"/>
          </w:tcPr>
          <w:p>
            <w:pPr>
              <w:spacing w:after="0"/>
              <w:rPr>
                <w:sz w:val="1"/>
                <w:szCs w:val="1"/>
                <w:color w:val="auto"/>
              </w:rPr>
            </w:pPr>
          </w:p>
        </w:tc>
      </w:tr>
      <w:tr>
        <w:trPr>
          <w:trHeight w:val="152"/>
        </w:trPr>
        <w:tc>
          <w:tcPr>
            <w:tcW w:w="3620" w:type="dxa"/>
            <w:vAlign w:val="bottom"/>
            <w:vMerge w:val="continue"/>
          </w:tcPr>
          <w:p>
            <w:pPr>
              <w:spacing w:after="0"/>
              <w:rPr>
                <w:sz w:val="13"/>
                <w:szCs w:val="13"/>
                <w:color w:val="auto"/>
              </w:rPr>
            </w:pPr>
          </w:p>
        </w:tc>
        <w:tc>
          <w:tcPr>
            <w:tcW w:w="7140" w:type="dxa"/>
            <w:vAlign w:val="bottom"/>
          </w:tcPr>
          <w:p>
            <w:pPr>
              <w:ind w:left="1440"/>
              <w:spacing w:after="0"/>
              <w:rPr>
                <w:sz w:val="20"/>
                <w:szCs w:val="20"/>
                <w:color w:val="auto"/>
              </w:rPr>
            </w:pPr>
            <w:r>
              <w:rPr>
                <w:rFonts w:ascii="Arial" w:cs="Arial" w:eastAsia="Arial" w:hAnsi="Arial"/>
                <w:sz w:val="13"/>
                <w:szCs w:val="13"/>
                <w:color w:val="auto"/>
              </w:rPr>
              <w:t>communications electronically in future years.</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VOTE BY PHONE - 1-800-690-6903</w:t>
      </w:r>
    </w:p>
    <w:p>
      <w:pPr>
        <w:ind w:left="5400"/>
        <w:spacing w:after="0" w:line="219" w:lineRule="auto"/>
        <w:rPr>
          <w:sz w:val="20"/>
          <w:szCs w:val="20"/>
          <w:color w:val="auto"/>
        </w:rPr>
      </w:pPr>
      <w:r>
        <w:rPr>
          <w:rFonts w:ascii="Arial" w:cs="Arial" w:eastAsia="Arial" w:hAnsi="Arial"/>
          <w:sz w:val="13"/>
          <w:szCs w:val="13"/>
          <w:color w:val="auto"/>
        </w:rPr>
        <w:t>Use any touch-tone telephone to transmit your voting instructions up until 11:59 P.M. Eastern Time on</w:t>
      </w:r>
    </w:p>
    <w:p>
      <w:pPr>
        <w:ind w:left="5400"/>
        <w:spacing w:after="0"/>
        <w:rPr>
          <w:sz w:val="20"/>
          <w:szCs w:val="20"/>
          <w:color w:val="auto"/>
        </w:rPr>
      </w:pPr>
      <w:r>
        <w:rPr>
          <w:rFonts w:ascii="Arial" w:cs="Arial" w:eastAsia="Arial" w:hAnsi="Arial"/>
          <w:sz w:val="13"/>
          <w:szCs w:val="13"/>
          <w:color w:val="auto"/>
        </w:rPr>
        <w:t>May 11, 2016. Have your proxy card in hand when you call and then follow the instructions.</w:t>
      </w:r>
    </w:p>
    <w:p>
      <w:pPr>
        <w:spacing w:after="0" w:line="145"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VOTE BY MAIL</w:t>
      </w:r>
    </w:p>
    <w:p>
      <w:pPr>
        <w:ind w:left="5400"/>
        <w:spacing w:after="0" w:line="219" w:lineRule="auto"/>
        <w:rPr>
          <w:sz w:val="20"/>
          <w:szCs w:val="20"/>
          <w:color w:val="auto"/>
        </w:rPr>
      </w:pPr>
      <w:r>
        <w:rPr>
          <w:rFonts w:ascii="Arial" w:cs="Arial" w:eastAsia="Arial" w:hAnsi="Arial"/>
          <w:sz w:val="13"/>
          <w:szCs w:val="13"/>
          <w:color w:val="auto"/>
        </w:rPr>
        <w:t>Mark, sign and date your proxy card and return it in the postage-paid envelope we have provided or</w:t>
      </w:r>
    </w:p>
    <w:p>
      <w:pPr>
        <w:ind w:left="5400"/>
        <w:spacing w:after="0"/>
        <w:rPr>
          <w:sz w:val="20"/>
          <w:szCs w:val="20"/>
          <w:color w:val="auto"/>
        </w:rPr>
      </w:pPr>
      <w:r>
        <w:rPr>
          <w:rFonts w:ascii="Arial" w:cs="Arial" w:eastAsia="Arial" w:hAnsi="Arial"/>
          <w:sz w:val="13"/>
          <w:szCs w:val="13"/>
          <w:color w:val="auto"/>
        </w:rPr>
        <w:t>return it to Waste Management, Inc.,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04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400" w:type="dxa"/>
            <w:vAlign w:val="bottom"/>
          </w:tcPr>
          <w:p>
            <w:pPr>
              <w:spacing w:after="0"/>
              <w:rPr>
                <w:sz w:val="13"/>
                <w:szCs w:val="13"/>
                <w:color w:val="auto"/>
              </w:rPr>
            </w:pPr>
          </w:p>
        </w:tc>
      </w:tr>
      <w:tr>
        <w:trPr>
          <w:trHeight w:val="257"/>
        </w:trPr>
        <w:tc>
          <w:tcPr>
            <w:tcW w:w="8040" w:type="dxa"/>
            <w:vAlign w:val="bottom"/>
          </w:tcPr>
          <w:p>
            <w:pPr>
              <w:ind w:left="6160"/>
              <w:spacing w:after="0"/>
              <w:rPr>
                <w:sz w:val="20"/>
                <w:szCs w:val="20"/>
                <w:color w:val="auto"/>
              </w:rPr>
            </w:pPr>
            <w:r>
              <w:rPr>
                <w:rFonts w:ascii="Arial" w:cs="Arial" w:eastAsia="Arial" w:hAnsi="Arial"/>
                <w:sz w:val="13"/>
                <w:szCs w:val="13"/>
                <w:color w:val="auto"/>
              </w:rPr>
              <w:t>E03815-P72187</w:t>
            </w:r>
          </w:p>
        </w:tc>
        <w:tc>
          <w:tcPr>
            <w:tcW w:w="3400" w:type="dxa"/>
            <w:vAlign w:val="bottom"/>
          </w:tcPr>
          <w:p>
            <w:pPr>
              <w:ind w:left="600"/>
              <w:spacing w:after="0"/>
              <w:rPr>
                <w:sz w:val="20"/>
                <w:szCs w:val="20"/>
                <w:color w:val="auto"/>
              </w:rPr>
            </w:pPr>
            <w:r>
              <w:rPr>
                <w:rFonts w:ascii="Arial" w:cs="Arial" w:eastAsia="Arial" w:hAnsi="Arial"/>
                <w:sz w:val="13"/>
                <w:szCs w:val="13"/>
                <w:color w:val="auto"/>
              </w:rPr>
              <w:t>KEEP THIS PORTION FOR YOUR RECORDS</w:t>
            </w:r>
          </w:p>
        </w:tc>
      </w:tr>
      <w:tr>
        <w:trPr>
          <w:trHeight w:val="315"/>
        </w:trPr>
        <w:tc>
          <w:tcPr>
            <w:tcW w:w="8040" w:type="dxa"/>
            <w:vAlign w:val="bottom"/>
          </w:tcPr>
          <w:p>
            <w:pPr>
              <w:ind w:left="30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400" w:type="dxa"/>
            <w:vAlign w:val="bottom"/>
          </w:tcPr>
          <w:p>
            <w:pPr>
              <w:ind w:left="660"/>
              <w:spacing w:after="0"/>
              <w:rPr>
                <w:sz w:val="20"/>
                <w:szCs w:val="20"/>
                <w:color w:val="auto"/>
              </w:rPr>
            </w:pPr>
            <w:r>
              <w:rPr>
                <w:rFonts w:ascii="Arial" w:cs="Arial" w:eastAsia="Arial" w:hAnsi="Arial"/>
                <w:sz w:val="13"/>
                <w:szCs w:val="13"/>
                <w:color w:val="auto"/>
                <w:w w:val="98"/>
              </w:rPr>
              <w:t>DETACH AND RETURN THIS PORTION ONLY</w:t>
            </w:r>
          </w:p>
        </w:tc>
      </w:tr>
      <w:tr>
        <w:trPr>
          <w:trHeight w:val="114"/>
        </w:trPr>
        <w:tc>
          <w:tcPr>
            <w:tcW w:w="804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187"/>
        </w:trPr>
        <w:tc>
          <w:tcPr>
            <w:tcW w:w="8040" w:type="dxa"/>
            <w:vAlign w:val="bottom"/>
          </w:tcPr>
          <w:p>
            <w:pPr>
              <w:ind w:left="160"/>
              <w:spacing w:after="0"/>
              <w:rPr>
                <w:sz w:val="20"/>
                <w:szCs w:val="20"/>
                <w:color w:val="auto"/>
              </w:rPr>
            </w:pPr>
            <w:r>
              <w:rPr>
                <w:rFonts w:ascii="Arial" w:cs="Arial" w:eastAsia="Arial" w:hAnsi="Arial"/>
                <w:sz w:val="13"/>
                <w:szCs w:val="13"/>
                <w:b w:val="1"/>
                <w:bCs w:val="1"/>
                <w:color w:val="auto"/>
              </w:rPr>
              <w:t>WASTE MANAGEMENT, INC.</w:t>
            </w:r>
          </w:p>
        </w:tc>
        <w:tc>
          <w:tcPr>
            <w:tcW w:w="34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7263765" cy="3670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367030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102" w:lineRule="exact"/>
        <w:rPr>
          <w:sz w:val="20"/>
          <w:szCs w:val="20"/>
          <w:color w:val="auto"/>
        </w:rPr>
      </w:pPr>
    </w:p>
    <w:p>
      <w:pPr>
        <w:ind w:left="320" w:right="1780"/>
        <w:spacing w:after="0" w:line="260" w:lineRule="auto"/>
        <w:rPr>
          <w:sz w:val="20"/>
          <w:szCs w:val="20"/>
          <w:color w:val="auto"/>
        </w:rPr>
      </w:pPr>
      <w:r>
        <w:rPr>
          <w:rFonts w:ascii="Arial" w:cs="Arial" w:eastAsia="Arial" w:hAnsi="Arial"/>
          <w:sz w:val="12"/>
          <w:szCs w:val="12"/>
          <w:b w:val="1"/>
          <w:bCs w:val="1"/>
          <w:color w:val="auto"/>
        </w:rPr>
        <w:t>The Board of Directors recommends you vote FOR each of the nominees in item 1 and FOR proposals 2 and 3:</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  Election of Directors</w:t>
      </w:r>
    </w:p>
    <w:p>
      <w:pPr>
        <w:spacing w:after="0" w:line="51" w:lineRule="exact"/>
        <w:rPr>
          <w:sz w:val="20"/>
          <w:szCs w:val="20"/>
          <w:color w:val="auto"/>
        </w:rPr>
      </w:pPr>
    </w:p>
    <w:tbl>
      <w:tblPr>
        <w:tblLayout w:type="fixed"/>
        <w:tblInd w:w="520" w:type="dxa"/>
        <w:tblCellMar>
          <w:top w:w="0" w:type="dxa"/>
          <w:left w:w="0" w:type="dxa"/>
          <w:bottom w:w="0" w:type="dxa"/>
          <w:right w:w="0" w:type="dxa"/>
        </w:tblCellMar>
      </w:tblPr>
      <w:tr>
        <w:trPr>
          <w:trHeight w:val="168"/>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160" w:type="dxa"/>
            <w:vAlign w:val="bottom"/>
          </w:tcPr>
          <w:p>
            <w:pPr>
              <w:jc w:val="center"/>
              <w:ind w:left="657"/>
              <w:spacing w:after="0"/>
              <w:rPr>
                <w:sz w:val="20"/>
                <w:szCs w:val="20"/>
                <w:color w:val="auto"/>
              </w:rPr>
            </w:pPr>
            <w:r>
              <w:rPr>
                <w:rFonts w:ascii="Arial" w:cs="Arial" w:eastAsia="Arial" w:hAnsi="Arial"/>
                <w:sz w:val="13"/>
                <w:szCs w:val="13"/>
                <w:b w:val="1"/>
                <w:bCs w:val="1"/>
                <w:color w:val="auto"/>
                <w:w w:val="95"/>
              </w:rPr>
              <w:t>For</w:t>
            </w:r>
          </w:p>
        </w:tc>
        <w:tc>
          <w:tcPr>
            <w:tcW w:w="680" w:type="dxa"/>
            <w:vAlign w:val="bottom"/>
          </w:tcPr>
          <w:p>
            <w:pPr>
              <w:ind w:left="120"/>
              <w:spacing w:after="0"/>
              <w:rPr>
                <w:sz w:val="20"/>
                <w:szCs w:val="20"/>
                <w:color w:val="auto"/>
              </w:rPr>
            </w:pPr>
            <w:r>
              <w:rPr>
                <w:rFonts w:ascii="Arial" w:cs="Arial" w:eastAsia="Arial" w:hAnsi="Arial"/>
                <w:sz w:val="13"/>
                <w:szCs w:val="13"/>
                <w:b w:val="1"/>
                <w:bCs w:val="1"/>
                <w:color w:val="auto"/>
              </w:rPr>
              <w:t>Against</w:t>
            </w:r>
          </w:p>
        </w:tc>
        <w:tc>
          <w:tcPr>
            <w:tcW w:w="580" w:type="dxa"/>
            <w:vAlign w:val="bottom"/>
          </w:tcPr>
          <w:p>
            <w:pPr>
              <w:jc w:val="center"/>
              <w:ind w:left="5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20"/>
                <w:szCs w:val="20"/>
                <w:color w:val="auto"/>
              </w:rPr>
            </w:pPr>
            <w:r>
              <w:rPr>
                <w:rFonts w:ascii="Arial" w:cs="Arial" w:eastAsia="Arial" w:hAnsi="Arial"/>
                <w:sz w:val="13"/>
                <w:szCs w:val="13"/>
                <w:color w:val="auto"/>
              </w:rPr>
              <w:t>1a.</w:t>
            </w:r>
          </w:p>
        </w:tc>
        <w:tc>
          <w:tcPr>
            <w:tcW w:w="2300" w:type="dxa"/>
            <w:vAlign w:val="bottom"/>
          </w:tcPr>
          <w:p>
            <w:pPr>
              <w:ind w:left="100"/>
              <w:spacing w:after="0"/>
              <w:rPr>
                <w:sz w:val="20"/>
                <w:szCs w:val="20"/>
                <w:color w:val="auto"/>
              </w:rPr>
            </w:pPr>
            <w:r>
              <w:rPr>
                <w:rFonts w:ascii="Arial" w:cs="Arial" w:eastAsia="Arial" w:hAnsi="Arial"/>
                <w:sz w:val="13"/>
                <w:szCs w:val="13"/>
                <w:color w:val="auto"/>
              </w:rPr>
              <w:t>Bradbury H. Anderson</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3"/>
                <w:szCs w:val="13"/>
                <w:color w:val="auto"/>
              </w:rPr>
              <w:t>1b.</w:t>
            </w:r>
          </w:p>
        </w:tc>
        <w:tc>
          <w:tcPr>
            <w:tcW w:w="2300" w:type="dxa"/>
            <w:vAlign w:val="bottom"/>
          </w:tcPr>
          <w:p>
            <w:pPr>
              <w:ind w:left="100"/>
              <w:spacing w:after="0"/>
              <w:rPr>
                <w:sz w:val="20"/>
                <w:szCs w:val="20"/>
                <w:color w:val="auto"/>
              </w:rPr>
            </w:pPr>
            <w:r>
              <w:rPr>
                <w:rFonts w:ascii="Arial" w:cs="Arial" w:eastAsia="Arial" w:hAnsi="Arial"/>
                <w:sz w:val="13"/>
                <w:szCs w:val="13"/>
                <w:color w:val="auto"/>
              </w:rPr>
              <w:t>Frank M. Clark, Jr.</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3"/>
                <w:szCs w:val="13"/>
                <w:color w:val="auto"/>
              </w:rPr>
              <w:t>1c.</w:t>
            </w:r>
          </w:p>
        </w:tc>
        <w:tc>
          <w:tcPr>
            <w:tcW w:w="2300" w:type="dxa"/>
            <w:vAlign w:val="bottom"/>
          </w:tcPr>
          <w:p>
            <w:pPr>
              <w:ind w:left="80"/>
              <w:spacing w:after="0"/>
              <w:rPr>
                <w:sz w:val="20"/>
                <w:szCs w:val="20"/>
                <w:color w:val="auto"/>
              </w:rPr>
            </w:pPr>
            <w:r>
              <w:rPr>
                <w:rFonts w:ascii="Arial" w:cs="Arial" w:eastAsia="Arial" w:hAnsi="Arial"/>
                <w:sz w:val="13"/>
                <w:szCs w:val="13"/>
                <w:color w:val="auto"/>
              </w:rPr>
              <w:t>Andrés R. Gluski</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20"/>
                <w:szCs w:val="20"/>
                <w:color w:val="auto"/>
              </w:rPr>
            </w:pPr>
            <w:r>
              <w:rPr>
                <w:rFonts w:ascii="Arial" w:cs="Arial" w:eastAsia="Arial" w:hAnsi="Arial"/>
                <w:sz w:val="13"/>
                <w:szCs w:val="13"/>
                <w:color w:val="auto"/>
              </w:rPr>
              <w:t>1d.</w:t>
            </w:r>
          </w:p>
        </w:tc>
        <w:tc>
          <w:tcPr>
            <w:tcW w:w="2300" w:type="dxa"/>
            <w:vAlign w:val="bottom"/>
          </w:tcPr>
          <w:p>
            <w:pPr>
              <w:ind w:left="100"/>
              <w:spacing w:after="0"/>
              <w:rPr>
                <w:sz w:val="20"/>
                <w:szCs w:val="20"/>
                <w:color w:val="auto"/>
              </w:rPr>
            </w:pPr>
            <w:r>
              <w:rPr>
                <w:rFonts w:ascii="Arial" w:cs="Arial" w:eastAsia="Arial" w:hAnsi="Arial"/>
                <w:sz w:val="13"/>
                <w:szCs w:val="13"/>
                <w:color w:val="auto"/>
              </w:rPr>
              <w:t>Patrick W. Gross</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20"/>
                <w:szCs w:val="20"/>
                <w:color w:val="auto"/>
              </w:rPr>
            </w:pPr>
            <w:r>
              <w:rPr>
                <w:rFonts w:ascii="Arial" w:cs="Arial" w:eastAsia="Arial" w:hAnsi="Arial"/>
                <w:sz w:val="13"/>
                <w:szCs w:val="13"/>
                <w:color w:val="auto"/>
              </w:rPr>
              <w:t>1e.</w:t>
            </w:r>
          </w:p>
        </w:tc>
        <w:tc>
          <w:tcPr>
            <w:tcW w:w="2300" w:type="dxa"/>
            <w:vAlign w:val="bottom"/>
          </w:tcPr>
          <w:p>
            <w:pPr>
              <w:ind w:left="100"/>
              <w:spacing w:after="0"/>
              <w:rPr>
                <w:sz w:val="20"/>
                <w:szCs w:val="20"/>
                <w:color w:val="auto"/>
              </w:rPr>
            </w:pPr>
            <w:r>
              <w:rPr>
                <w:rFonts w:ascii="Arial" w:cs="Arial" w:eastAsia="Arial" w:hAnsi="Arial"/>
                <w:sz w:val="13"/>
                <w:szCs w:val="13"/>
                <w:color w:val="auto"/>
              </w:rPr>
              <w:t>Victoria M. Holt</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3"/>
                <w:szCs w:val="13"/>
                <w:color w:val="auto"/>
              </w:rPr>
              <w:t>1f.</w:t>
            </w:r>
          </w:p>
        </w:tc>
        <w:tc>
          <w:tcPr>
            <w:tcW w:w="2300" w:type="dxa"/>
            <w:vAlign w:val="bottom"/>
          </w:tcPr>
          <w:p>
            <w:pPr>
              <w:ind w:left="60"/>
              <w:spacing w:after="0"/>
              <w:rPr>
                <w:sz w:val="20"/>
                <w:szCs w:val="20"/>
                <w:color w:val="auto"/>
              </w:rPr>
            </w:pPr>
            <w:r>
              <w:rPr>
                <w:rFonts w:ascii="Arial" w:cs="Arial" w:eastAsia="Arial" w:hAnsi="Arial"/>
                <w:sz w:val="13"/>
                <w:szCs w:val="13"/>
                <w:color w:val="auto"/>
              </w:rPr>
              <w:t>Kathleen M. Mazzarella</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20"/>
                <w:szCs w:val="20"/>
                <w:color w:val="auto"/>
              </w:rPr>
            </w:pPr>
            <w:r>
              <w:rPr>
                <w:rFonts w:ascii="Arial" w:cs="Arial" w:eastAsia="Arial" w:hAnsi="Arial"/>
                <w:sz w:val="13"/>
                <w:szCs w:val="13"/>
                <w:color w:val="auto"/>
              </w:rPr>
              <w:t>1g.</w:t>
            </w:r>
          </w:p>
        </w:tc>
        <w:tc>
          <w:tcPr>
            <w:tcW w:w="2300" w:type="dxa"/>
            <w:vAlign w:val="bottom"/>
          </w:tcPr>
          <w:p>
            <w:pPr>
              <w:ind w:left="100"/>
              <w:spacing w:after="0"/>
              <w:rPr>
                <w:sz w:val="20"/>
                <w:szCs w:val="20"/>
                <w:color w:val="auto"/>
              </w:rPr>
            </w:pPr>
            <w:r>
              <w:rPr>
                <w:rFonts w:ascii="Arial" w:cs="Arial" w:eastAsia="Arial" w:hAnsi="Arial"/>
                <w:sz w:val="13"/>
                <w:szCs w:val="13"/>
                <w:color w:val="auto"/>
              </w:rPr>
              <w:t>John C. Pope</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20"/>
                <w:szCs w:val="20"/>
                <w:color w:val="auto"/>
              </w:rPr>
            </w:pPr>
            <w:r>
              <w:rPr>
                <w:rFonts w:ascii="Arial" w:cs="Arial" w:eastAsia="Arial" w:hAnsi="Arial"/>
                <w:sz w:val="13"/>
                <w:szCs w:val="13"/>
                <w:color w:val="auto"/>
              </w:rPr>
              <w:t>1h.</w:t>
            </w:r>
          </w:p>
        </w:tc>
        <w:tc>
          <w:tcPr>
            <w:tcW w:w="2300" w:type="dxa"/>
            <w:vAlign w:val="bottom"/>
          </w:tcPr>
          <w:p>
            <w:pPr>
              <w:ind w:left="100"/>
              <w:spacing w:after="0"/>
              <w:rPr>
                <w:sz w:val="20"/>
                <w:szCs w:val="20"/>
                <w:color w:val="auto"/>
              </w:rPr>
            </w:pPr>
            <w:r>
              <w:rPr>
                <w:rFonts w:ascii="Arial" w:cs="Arial" w:eastAsia="Arial" w:hAnsi="Arial"/>
                <w:sz w:val="13"/>
                <w:szCs w:val="13"/>
                <w:color w:val="auto"/>
              </w:rPr>
              <w:t>W. Robert Reum</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13"/>
                <w:szCs w:val="13"/>
                <w:color w:val="auto"/>
              </w:rPr>
              <w:t>1i.</w:t>
            </w:r>
          </w:p>
        </w:tc>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David P. Steiner</w:t>
            </w:r>
          </w:p>
        </w:tc>
        <w:tc>
          <w:tcPr>
            <w:tcW w:w="1160" w:type="dxa"/>
            <w:vAlign w:val="bottom"/>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40"/>
        </w:trPr>
        <w:tc>
          <w:tcPr>
            <w:tcW w:w="220" w:type="dxa"/>
            <w:vAlign w:val="bottom"/>
            <w:vMerge w:val="continue"/>
          </w:tcPr>
          <w:p>
            <w:pPr>
              <w:spacing w:after="0"/>
              <w:rPr>
                <w:sz w:val="3"/>
                <w:szCs w:val="3"/>
                <w:color w:val="auto"/>
              </w:rPr>
            </w:pPr>
          </w:p>
        </w:tc>
        <w:tc>
          <w:tcPr>
            <w:tcW w:w="2300" w:type="dxa"/>
            <w:vAlign w:val="bottom"/>
            <w:vMerge w:val="continue"/>
          </w:tcPr>
          <w:p>
            <w:pPr>
              <w:spacing w:after="0"/>
              <w:rPr>
                <w:sz w:val="3"/>
                <w:szCs w:val="3"/>
                <w:color w:val="auto"/>
              </w:rPr>
            </w:pPr>
          </w:p>
        </w:tc>
        <w:tc>
          <w:tcPr>
            <w:tcW w:w="1160" w:type="dxa"/>
            <w:vAlign w:val="bottom"/>
            <w:vMerge w:val="restart"/>
          </w:tcPr>
          <w:p>
            <w:pPr>
              <w:jc w:val="center"/>
              <w:ind w:left="677"/>
              <w:spacing w:after="0" w:line="131" w:lineRule="exact"/>
              <w:rPr>
                <w:sz w:val="20"/>
                <w:szCs w:val="20"/>
                <w:color w:val="auto"/>
              </w:rPr>
            </w:pPr>
            <w:r>
              <w:rPr>
                <w:rFonts w:ascii="MS PGothic" w:cs="MS PGothic" w:eastAsia="MS PGothic" w:hAnsi="MS PGothic"/>
                <w:sz w:val="13"/>
                <w:szCs w:val="13"/>
                <w:color w:val="auto"/>
                <w:w w:val="76"/>
              </w:rPr>
              <w:t>☐</w:t>
            </w:r>
          </w:p>
        </w:tc>
        <w:tc>
          <w:tcPr>
            <w:tcW w:w="680" w:type="dxa"/>
            <w:vAlign w:val="bottom"/>
            <w:vMerge w:val="restart"/>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vMerge w:val="restart"/>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59"/>
        </w:trPr>
        <w:tc>
          <w:tcPr>
            <w:tcW w:w="220" w:type="dxa"/>
            <w:vAlign w:val="bottom"/>
            <w:vMerge w:val="restart"/>
          </w:tcPr>
          <w:p>
            <w:pPr>
              <w:spacing w:after="0"/>
              <w:rPr>
                <w:sz w:val="20"/>
                <w:szCs w:val="20"/>
                <w:color w:val="auto"/>
              </w:rPr>
            </w:pPr>
            <w:r>
              <w:rPr>
                <w:rFonts w:ascii="Arial" w:cs="Arial" w:eastAsia="Arial" w:hAnsi="Arial"/>
                <w:sz w:val="13"/>
                <w:szCs w:val="13"/>
                <w:color w:val="auto"/>
              </w:rPr>
              <w:t>1j.</w:t>
            </w:r>
          </w:p>
        </w:tc>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Thomas H. Weidemeyer</w:t>
            </w:r>
          </w:p>
        </w:tc>
        <w:tc>
          <w:tcPr>
            <w:tcW w:w="11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20" w:type="dxa"/>
            <w:vAlign w:val="bottom"/>
            <w:vMerge w:val="continue"/>
          </w:tcPr>
          <w:p>
            <w:pPr>
              <w:spacing w:after="0"/>
              <w:rPr>
                <w:sz w:val="4"/>
                <w:szCs w:val="4"/>
                <w:color w:val="auto"/>
              </w:rPr>
            </w:pPr>
          </w:p>
        </w:tc>
        <w:tc>
          <w:tcPr>
            <w:tcW w:w="23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3" w:hanging="243"/>
        <w:spacing w:after="0" w:line="259" w:lineRule="auto"/>
        <w:tabs>
          <w:tab w:leader="none" w:pos="236" w:val="left"/>
        </w:tabs>
        <w:numPr>
          <w:ilvl w:val="0"/>
          <w:numId w:val="52"/>
        </w:numPr>
        <w:rPr>
          <w:rFonts w:ascii="Arial" w:cs="Arial" w:eastAsia="Arial" w:hAnsi="Arial"/>
          <w:sz w:val="12"/>
          <w:szCs w:val="12"/>
          <w:color w:val="auto"/>
        </w:rPr>
      </w:pPr>
      <w:r>
        <w:rPr>
          <w:rFonts w:ascii="Arial" w:cs="Arial" w:eastAsia="Arial" w:hAnsi="Arial"/>
          <w:sz w:val="12"/>
          <w:szCs w:val="12"/>
          <w:color w:val="auto"/>
        </w:rPr>
        <w:t>Ratification of the appointment of Ernst &amp; Young LLP as the independent registered public accounting firm for 2016.</w:t>
      </w:r>
    </w:p>
    <w:p>
      <w:pPr>
        <w:spacing w:after="0" w:line="174" w:lineRule="exact"/>
        <w:rPr>
          <w:rFonts w:ascii="Arial" w:cs="Arial" w:eastAsia="Arial" w:hAnsi="Arial"/>
          <w:sz w:val="12"/>
          <w:szCs w:val="12"/>
          <w:color w:val="auto"/>
        </w:rPr>
      </w:pPr>
    </w:p>
    <w:p>
      <w:pPr>
        <w:ind w:left="243" w:hanging="243"/>
        <w:spacing w:after="0"/>
        <w:tabs>
          <w:tab w:leader="none" w:pos="243" w:val="left"/>
        </w:tabs>
        <w:numPr>
          <w:ilvl w:val="0"/>
          <w:numId w:val="52"/>
        </w:numPr>
        <w:rPr>
          <w:rFonts w:ascii="Arial" w:cs="Arial" w:eastAsia="Arial" w:hAnsi="Arial"/>
          <w:sz w:val="13"/>
          <w:szCs w:val="13"/>
          <w:color w:val="auto"/>
        </w:rPr>
      </w:pPr>
      <w:r>
        <w:rPr>
          <w:rFonts w:ascii="Arial" w:cs="Arial" w:eastAsia="Arial" w:hAnsi="Arial"/>
          <w:sz w:val="13"/>
          <w:szCs w:val="13"/>
          <w:color w:val="auto"/>
        </w:rPr>
        <w:t>Approval of our executive compensation.</w:t>
      </w:r>
    </w:p>
    <w:p>
      <w:pPr>
        <w:spacing w:after="0" w:line="118" w:lineRule="exact"/>
        <w:rPr>
          <w:sz w:val="20"/>
          <w:szCs w:val="20"/>
          <w:color w:val="auto"/>
        </w:rPr>
      </w:pPr>
    </w:p>
    <w:p>
      <w:pPr>
        <w:ind w:left="3" w:right="220"/>
        <w:spacing w:after="0" w:line="246" w:lineRule="auto"/>
        <w:rPr>
          <w:sz w:val="20"/>
          <w:szCs w:val="20"/>
          <w:color w:val="auto"/>
        </w:rPr>
      </w:pPr>
      <w:r>
        <w:rPr>
          <w:rFonts w:ascii="Arial" w:cs="Arial" w:eastAsia="Arial" w:hAnsi="Arial"/>
          <w:sz w:val="13"/>
          <w:szCs w:val="13"/>
          <w:b w:val="1"/>
          <w:bCs w:val="1"/>
          <w:color w:val="auto"/>
        </w:rPr>
        <w:t>The Board of Directors recommends you vote AGAINST proposal 4:</w:t>
      </w:r>
    </w:p>
    <w:p>
      <w:pPr>
        <w:spacing w:after="0" w:line="155" w:lineRule="exact"/>
        <w:rPr>
          <w:sz w:val="20"/>
          <w:szCs w:val="20"/>
          <w:color w:val="auto"/>
        </w:rPr>
      </w:pPr>
    </w:p>
    <w:p>
      <w:pPr>
        <w:ind w:left="243" w:right="240" w:hanging="243"/>
        <w:spacing w:after="0" w:line="234" w:lineRule="auto"/>
        <w:tabs>
          <w:tab w:leader="none" w:pos="236" w:val="left"/>
        </w:tabs>
        <w:numPr>
          <w:ilvl w:val="0"/>
          <w:numId w:val="53"/>
        </w:numPr>
        <w:rPr>
          <w:rFonts w:ascii="Arial" w:cs="Arial" w:eastAsia="Arial" w:hAnsi="Arial"/>
          <w:sz w:val="12"/>
          <w:szCs w:val="12"/>
          <w:color w:val="auto"/>
        </w:rPr>
      </w:pPr>
      <w:r>
        <w:rPr>
          <w:rFonts w:ascii="Arial" w:cs="Arial" w:eastAsia="Arial" w:hAnsi="Arial"/>
          <w:sz w:val="12"/>
          <w:szCs w:val="12"/>
          <w:color w:val="auto"/>
        </w:rPr>
        <w:t>Stockholder proposal regarding a policy on accelerated vesting of equity awards, if properly presented at the</w:t>
      </w:r>
    </w:p>
    <w:p>
      <w:pPr>
        <w:ind w:left="243"/>
        <w:spacing w:after="0" w:line="218" w:lineRule="auto"/>
        <w:rPr>
          <w:sz w:val="20"/>
          <w:szCs w:val="20"/>
          <w:color w:val="auto"/>
        </w:rPr>
      </w:pPr>
      <w:r>
        <w:rPr>
          <w:rFonts w:ascii="Arial" w:cs="Arial" w:eastAsia="Arial" w:hAnsi="Arial"/>
          <w:sz w:val="13"/>
          <w:szCs w:val="13"/>
          <w:color w:val="auto"/>
        </w:rPr>
        <w:t>meeting.</w:t>
      </w:r>
    </w:p>
    <w:p>
      <w:pPr>
        <w:ind w:left="3" w:right="220"/>
        <w:spacing w:after="0" w:line="225"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upon such other matters that may</w:t>
      </w:r>
      <w:r>
        <w:rPr>
          <w:rFonts w:ascii="Arial" w:cs="Arial" w:eastAsia="Arial" w:hAnsi="Arial"/>
          <w:sz w:val="13"/>
          <w:szCs w:val="13"/>
          <w:b w:val="1"/>
          <w:bCs w:val="1"/>
          <w:color w:val="auto"/>
        </w:rPr>
        <w:t xml:space="preserve"> </w:t>
      </w:r>
      <w:r>
        <w:rPr>
          <w:rFonts w:ascii="Arial" w:cs="Arial" w:eastAsia="Arial" w:hAnsi="Arial"/>
          <w:sz w:val="13"/>
          <w:szCs w:val="13"/>
          <w:color w:val="auto"/>
        </w:rPr>
        <w:t>properly come before the meeting or any adjournment or adjournments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60" w:val="left"/>
          <w:tab w:leader="none" w:pos="94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200" w:lineRule="exact"/>
        <w:rPr>
          <w:sz w:val="20"/>
          <w:szCs w:val="20"/>
          <w:color w:val="auto"/>
        </w:rPr>
      </w:pPr>
    </w:p>
    <w:p>
      <w:pPr>
        <w:spacing w:after="0" w:line="322" w:lineRule="exact"/>
        <w:rPr>
          <w:sz w:val="20"/>
          <w:szCs w:val="20"/>
          <w:color w:val="auto"/>
        </w:rPr>
      </w:pPr>
    </w:p>
    <w:p>
      <w:pPr>
        <w:ind w:left="40"/>
        <w:spacing w:after="0" w:line="131" w:lineRule="exact"/>
        <w:tabs>
          <w:tab w:leader="none" w:pos="560" w:val="left"/>
          <w:tab w:leader="none" w:pos="11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00" w:lineRule="exact"/>
        <w:rPr>
          <w:sz w:val="20"/>
          <w:szCs w:val="20"/>
          <w:color w:val="auto"/>
        </w:rPr>
      </w:pPr>
    </w:p>
    <w:p>
      <w:pPr>
        <w:ind w:left="40"/>
        <w:spacing w:after="0" w:line="131" w:lineRule="exact"/>
        <w:tabs>
          <w:tab w:leader="none" w:pos="540" w:val="left"/>
          <w:tab w:leader="none" w:pos="11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318" w:lineRule="exact"/>
        <w:rPr>
          <w:sz w:val="20"/>
          <w:szCs w:val="20"/>
          <w:color w:val="auto"/>
        </w:rPr>
      </w:pPr>
    </w:p>
    <w:p>
      <w:pPr>
        <w:ind w:left="40"/>
        <w:spacing w:after="0" w:line="131" w:lineRule="exact"/>
        <w:tabs>
          <w:tab w:leader="none" w:pos="560" w:val="left"/>
          <w:tab w:leader="none" w:pos="11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797" w:lineRule="exact"/>
        <w:rPr>
          <w:sz w:val="20"/>
          <w:szCs w:val="20"/>
          <w:color w:val="auto"/>
        </w:rPr>
      </w:pPr>
    </w:p>
    <w:p>
      <w:pPr>
        <w:sectPr>
          <w:pgSz w:w="11900" w:h="16838" w:orient="portrait"/>
          <w:cols w:equalWidth="0" w:num="3">
            <w:col w:w="5460" w:space="517"/>
            <w:col w:w="3563" w:space="200"/>
            <w:col w:w="170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shares represented by this proxy, when properly executed, will be voted in the manner</w:t>
      </w:r>
    </w:p>
    <w:p>
      <w:pPr>
        <w:ind w:left="320"/>
        <w:spacing w:after="0" w:line="234" w:lineRule="auto"/>
        <w:rPr>
          <w:sz w:val="20"/>
          <w:szCs w:val="20"/>
          <w:color w:val="auto"/>
        </w:rPr>
      </w:pPr>
      <w:r>
        <w:rPr>
          <w:rFonts w:ascii="Arial" w:cs="Arial" w:eastAsia="Arial" w:hAnsi="Arial"/>
          <w:sz w:val="12"/>
          <w:szCs w:val="12"/>
          <w:color w:val="auto"/>
        </w:rPr>
        <w:t>directed herein by the undersigned stockholder(s). If no direction is made, this proxy will be</w:t>
      </w:r>
    </w:p>
    <w:p>
      <w:pPr>
        <w:ind w:left="320"/>
        <w:spacing w:after="0" w:line="235" w:lineRule="auto"/>
        <w:rPr>
          <w:sz w:val="20"/>
          <w:szCs w:val="20"/>
          <w:color w:val="auto"/>
        </w:rPr>
      </w:pPr>
      <w:r>
        <w:rPr>
          <w:rFonts w:ascii="Arial" w:cs="Arial" w:eastAsia="Arial" w:hAnsi="Arial"/>
          <w:sz w:val="12"/>
          <w:szCs w:val="12"/>
          <w:color w:val="auto"/>
        </w:rPr>
        <w:t>voted FOR each of the nominees in item 1, FOR proposals 2 and 3, and AGAINST proposal</w:t>
      </w:r>
    </w:p>
    <w:p>
      <w:pPr>
        <w:ind w:left="320" w:right="120" w:hanging="1"/>
        <w:spacing w:after="0" w:line="230" w:lineRule="auto"/>
        <w:tabs>
          <w:tab w:leader="none" w:pos="4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any other matters properly come before the meeting, the persons named in this proxy will vote in their discretion.</w:t>
      </w:r>
    </w:p>
    <w:p>
      <w:pPr>
        <w:spacing w:after="0" w:line="20" w:lineRule="exact"/>
        <w:rPr>
          <w:sz w:val="20"/>
          <w:szCs w:val="20"/>
          <w:color w:val="auto"/>
        </w:rPr>
      </w:pPr>
      <w:r>
        <w:rPr>
          <w:sz w:val="20"/>
          <w:szCs w:val="20"/>
          <w:color w:val="auto"/>
        </w:rPr>
        <w:br w:type="column"/>
      </w:r>
    </w:p>
    <w:p>
      <w:pPr>
        <w:spacing w:after="0" w:line="145" w:lineRule="exact"/>
        <w:tabs>
          <w:tab w:leader="none" w:pos="4880" w:val="left"/>
        </w:tabs>
        <w:rPr>
          <w:sz w:val="20"/>
          <w:szCs w:val="20"/>
          <w:color w:val="auto"/>
        </w:rPr>
      </w:pPr>
      <w:r>
        <w:rPr>
          <w:rFonts w:ascii="Arial" w:cs="Arial" w:eastAsia="Arial" w:hAnsi="Arial"/>
          <w:sz w:val="13"/>
          <w:szCs w:val="13"/>
          <w:color w:val="auto"/>
        </w:rPr>
        <w:t>For address changes and/or comments, please check this box</w:t>
      </w:r>
      <w:r>
        <w:rPr>
          <w:sz w:val="20"/>
          <w:szCs w:val="20"/>
          <w:color w:val="auto"/>
        </w:rPr>
        <w:tab/>
      </w:r>
      <w:r>
        <w:rPr>
          <w:rFonts w:ascii="MS PGothic" w:cs="MS PGothic" w:eastAsia="MS PGothic" w:hAnsi="MS PGothic"/>
          <w:sz w:val="15"/>
          <w:szCs w:val="15"/>
          <w:color w:val="auto"/>
          <w:vertAlign w:val="subscript"/>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and write them on the back where indicated.</w:t>
      </w:r>
    </w:p>
    <w:p>
      <w:pPr>
        <w:spacing w:after="0" w:line="20" w:lineRule="exact"/>
        <w:rPr>
          <w:sz w:val="20"/>
          <w:szCs w:val="20"/>
          <w:color w:val="auto"/>
        </w:rPr>
      </w:pPr>
    </w:p>
    <w:p>
      <w:pPr>
        <w:spacing w:after="0" w:line="150" w:lineRule="exact"/>
        <w:tabs>
          <w:tab w:leader="none" w:pos="3780" w:val="left"/>
          <w:tab w:leader="none" w:pos="4300" w:val="left"/>
        </w:tabs>
        <w:rPr>
          <w:sz w:val="20"/>
          <w:szCs w:val="20"/>
          <w:color w:val="auto"/>
        </w:rPr>
      </w:pPr>
      <w:r>
        <w:rPr>
          <w:rFonts w:ascii="Arial" w:cs="Arial" w:eastAsia="Arial" w:hAnsi="Arial"/>
          <w:sz w:val="13"/>
          <w:szCs w:val="13"/>
          <w:color w:val="auto"/>
        </w:rPr>
        <w:t>Please indicate if you plan to attend this meeting.</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70" w:lineRule="exact"/>
        <w:rPr>
          <w:sz w:val="20"/>
          <w:szCs w:val="20"/>
          <w:color w:val="auto"/>
        </w:rPr>
      </w:pPr>
    </w:p>
    <w:p>
      <w:pPr>
        <w:ind w:left="3740"/>
        <w:spacing w:after="0"/>
        <w:tabs>
          <w:tab w:leader="none" w:pos="426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717" w:lineRule="exact"/>
        <w:rPr>
          <w:sz w:val="20"/>
          <w:szCs w:val="20"/>
          <w:color w:val="auto"/>
        </w:rPr>
      </w:pPr>
    </w:p>
    <w:p>
      <w:pPr>
        <w:sectPr>
          <w:pgSz w:w="11900" w:h="16838" w:orient="portrait"/>
          <w:cols w:equalWidth="0" w:num="2">
            <w:col w:w="5440" w:space="540"/>
            <w:col w:w="5460"/>
          </w:cols>
          <w:pgMar w:left="240" w:top="459" w:right="219" w:bottom="1440" w:gutter="0" w:footer="0" w:header="0"/>
          <w:type w:val="continuous"/>
        </w:sectPr>
      </w:pPr>
    </w:p>
    <w:p>
      <w:pPr>
        <w:spacing w:after="0" w:line="216" w:lineRule="exact"/>
        <w:rPr>
          <w:sz w:val="20"/>
          <w:szCs w:val="20"/>
          <w:color w:val="auto"/>
        </w:rPr>
      </w:pPr>
    </w:p>
    <w:p>
      <w:pPr>
        <w:ind w:left="320"/>
        <w:spacing w:after="0"/>
        <w:tabs>
          <w:tab w:leader="none" w:pos="2940" w:val="left"/>
          <w:tab w:leader="none" w:pos="5740" w:val="left"/>
          <w:tab w:leader="none" w:pos="88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40"/>
          </w:cols>
          <w:pgMar w:left="240" w:top="459" w:right="21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Combined Proxy Statement and Annual Report on Form 10-K for the year ended December 31, 2015 is</w:t>
      </w:r>
    </w:p>
    <w:p>
      <w:pPr>
        <w:jc w:val="center"/>
        <w:spacing w:after="0"/>
        <w:rPr>
          <w:sz w:val="20"/>
          <w:szCs w:val="20"/>
          <w:color w:val="auto"/>
        </w:rPr>
      </w:pPr>
      <w:r>
        <w:rPr>
          <w:rFonts w:ascii="Arial" w:cs="Arial" w:eastAsia="Arial" w:hAnsi="Arial"/>
          <w:sz w:val="18"/>
          <w:szCs w:val="18"/>
          <w:color w:val="auto"/>
        </w:rPr>
        <w:t>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E03816-P72187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7263765" cy="3644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364490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Meeting of Stockholders - May 12, 2016 at 11:00 A.M.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PROXY IS SOLICITED BY THE BOARD OF DIRECTORS</w:t>
      </w:r>
    </w:p>
    <w:p>
      <w:pPr>
        <w:spacing w:after="0" w:line="239" w:lineRule="exact"/>
        <w:rPr>
          <w:sz w:val="20"/>
          <w:szCs w:val="20"/>
          <w:color w:val="auto"/>
        </w:rPr>
      </w:pPr>
    </w:p>
    <w:p>
      <w:pPr>
        <w:jc w:val="both"/>
        <w:ind w:left="320" w:right="320"/>
        <w:spacing w:after="0" w:line="237" w:lineRule="auto"/>
        <w:rPr>
          <w:sz w:val="20"/>
          <w:szCs w:val="20"/>
          <w:color w:val="auto"/>
        </w:rPr>
      </w:pPr>
      <w:r>
        <w:rPr>
          <w:rFonts w:ascii="Arial" w:cs="Arial" w:eastAsia="Arial" w:hAnsi="Arial"/>
          <w:sz w:val="18"/>
          <w:szCs w:val="18"/>
          <w:color w:val="auto"/>
        </w:rPr>
        <w:t>The undersigned stockholder(s) of Waste Management, Inc., a Delaware corporation, hereby acknowledge(s) receipt of the Proxy Statement dated March 25, 2016, and hereby appoint(s) David P. Steiner and Barry H. Caldwell, and each of them, proxies and attorneys-in-fact, with full power to each of substitution, on behalf and in the name of the undersigned, to represent the undersigned at the Annual Meeting of Stockholders of Waste Management, Inc., to be held May 12, 2016,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208" w:lineRule="exact"/>
        <w:rPr>
          <w:sz w:val="20"/>
          <w:szCs w:val="20"/>
          <w:color w:val="auto"/>
        </w:rPr>
      </w:pPr>
    </w:p>
    <w:p>
      <w:pPr>
        <w:jc w:val="both"/>
        <w:ind w:left="320" w:right="320"/>
        <w:spacing w:after="0" w:line="242" w:lineRule="auto"/>
        <w:rPr>
          <w:sz w:val="20"/>
          <w:szCs w:val="20"/>
          <w:color w:val="auto"/>
        </w:rPr>
      </w:pPr>
      <w:r>
        <w:rPr>
          <w:rFonts w:ascii="Arial" w:cs="Arial" w:eastAsia="Arial" w:hAnsi="Arial"/>
          <w:sz w:val="18"/>
          <w:szCs w:val="18"/>
          <w:b w:val="1"/>
          <w:bCs w:val="1"/>
          <w:color w:val="auto"/>
        </w:rPr>
        <w:t xml:space="preserve">Attention participants in 401(k) plans: </w:t>
      </w:r>
      <w:r>
        <w:rPr>
          <w:rFonts w:ascii="Arial" w:cs="Arial" w:eastAsia="Arial" w:hAnsi="Arial"/>
          <w:sz w:val="18"/>
          <w:szCs w:val="18"/>
          <w:color w:val="auto"/>
        </w:rPr>
        <w:t>If you have an interest in the Common Stock of Waste Management, Inc. through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Waste Management Retirement Savings Plan, you may confidentially instruct the Trustee(s) of the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pursuant to the direction of the State Street Bank and Trust Company, as Investment Manager for the Common Stock held through the plan. </w:t>
      </w:r>
      <w:r>
        <w:rPr>
          <w:rFonts w:ascii="Arial" w:cs="Arial" w:eastAsia="Arial" w:hAnsi="Arial"/>
          <w:sz w:val="18"/>
          <w:szCs w:val="18"/>
          <w:b w:val="1"/>
          <w:bCs w:val="1"/>
          <w:color w:val="auto"/>
        </w:rPr>
        <w:t>The voting deadline for 401(k) plan participants is 11:59 P.M. Eastern Time on May 10, 2016.</w:t>
      </w:r>
    </w:p>
    <w:p>
      <w:pPr>
        <w:spacing w:after="0" w:line="31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Address Changes/Comments:</w:t>
      </w:r>
      <w:r>
        <w:rPr>
          <w:rFonts w:ascii="Arial" w:cs="Arial" w:eastAsia="Arial" w:hAnsi="Arial"/>
          <w:sz w:val="14"/>
          <w:szCs w:val="14"/>
          <w:color w:val="auto"/>
        </w:rPr>
        <w:t>____________________________________________________________________________________</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________________________________________________________________________________________</w:t>
      </w: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lvl w:ilvl="1">
      <w:lvlJc w:val="left"/>
      <w:lvlText w:val="(%2)"/>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lowerRoman"/>
      <w:start w:val="2"/>
    </w:lvl>
  </w:abstractNum>
  <w:abstractNum w:abstractNumId="18">
    <w:nsid w:val="3804823E"/>
    <w:multiLevelType w:val="hybridMultilevel"/>
    <w:lvl w:ilvl="0">
      <w:lvlJc w:val="left"/>
      <w:lvlText w:val="(%1)"/>
      <w:numFmt w:val="lowerRoman"/>
      <w:start w:val="4"/>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4"/>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lowerRoman"/>
      <w:start w:val="2"/>
    </w:lvl>
  </w:abstractNum>
  <w:abstractNum w:abstractNumId="33">
    <w:nsid w:val="725A06FB"/>
    <w:multiLevelType w:val="hybridMultilevel"/>
    <w:lvl w:ilvl="0">
      <w:lvlJc w:val="left"/>
      <w:lvlText w:val="(%1)"/>
      <w:numFmt w:val="lowerRoman"/>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2"/>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2"/>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2"/>
    </w:lvl>
  </w:abstractNum>
  <w:abstractNum w:abstractNumId="52">
    <w:nsid w:val="520EEDD1"/>
    <w:multiLevelType w:val="hybridMultilevel"/>
    <w:lvl w:ilvl="0">
      <w:lvlJc w:val="left"/>
      <w:lvlText w:val="%1."/>
      <w:numFmt w:val="decimal"/>
      <w:start w:val="4"/>
    </w:lvl>
  </w:abstractNum>
  <w:abstractNum w:abstractNumId="53">
    <w:nsid w:val="374A3FE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2019-12-05T20:21:07Z</dcterms:created>
  <dcterms:modified xsi:type="dcterms:W3CDTF">2019-12-05T20:21:07Z</dcterms:modified>
</cp:coreProperties>
</file>