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212529"/>
        </w:rPr>
        <w:t xml:space="preserve">On November 17, 2020, Waste Management, Inc. (the “Company”) terminated its </w:t>
      </w:r>
      <w:r>
        <w:rPr>
          <w:rFonts w:ascii="Arial" w:cs="Arial" w:eastAsia="Arial" w:hAnsi="Arial"/>
          <w:sz w:val="18"/>
          <w:szCs w:val="18"/>
          <w:color w:val="000000"/>
        </w:rPr>
        <w:t>364-day $3.0 billion U.S. revolving credit facility dated July 28,</w:t>
      </w:r>
      <w:r>
        <w:rPr>
          <w:rFonts w:ascii="Arial" w:cs="Arial" w:eastAsia="Arial" w:hAnsi="Arial"/>
          <w:sz w:val="18"/>
          <w:szCs w:val="18"/>
          <w:color w:val="212529"/>
        </w:rPr>
        <w:t xml:space="preserve"> </w:t>
      </w:r>
      <w:r>
        <w:rPr>
          <w:rFonts w:ascii="Arial" w:cs="Arial" w:eastAsia="Arial" w:hAnsi="Arial"/>
          <w:sz w:val="18"/>
          <w:szCs w:val="18"/>
          <w:color w:val="000000"/>
        </w:rPr>
        <w:t>2020, with the lenders party thereto and Mizuho Bank, Ltd., as administrative agent (the “Credit Agreement”). All existing debt for borrowed money under the Credit Agreement was repaid in full with the proceeds from the Company’s issuance and sale of $2.5 billion of senior notes that closed on November 17, 2020.</w:t>
      </w:r>
    </w:p>
    <w:p>
      <w:pPr>
        <w:spacing w:after="0" w:line="187" w:lineRule="exact"/>
        <w:rPr>
          <w:sz w:val="20"/>
          <w:szCs w:val="20"/>
          <w:color w:val="auto"/>
        </w:rPr>
      </w:pPr>
    </w:p>
    <w:p>
      <w:pPr>
        <w:jc w:val="both"/>
        <w:ind w:firstLine="648"/>
        <w:spacing w:after="0" w:line="277" w:lineRule="auto"/>
        <w:rPr>
          <w:rFonts w:ascii="Arial" w:cs="Arial" w:eastAsia="Arial" w:hAnsi="Arial"/>
          <w:sz w:val="18"/>
          <w:szCs w:val="18"/>
          <w:color w:val="0000EE"/>
        </w:rPr>
      </w:pPr>
      <w:hyperlink r:id="rId14">
        <w:r>
          <w:rPr>
            <w:rFonts w:ascii="Arial" w:cs="Arial" w:eastAsia="Arial" w:hAnsi="Arial"/>
            <w:sz w:val="18"/>
            <w:szCs w:val="18"/>
            <w:color w:val="auto"/>
          </w:rPr>
          <w:t xml:space="preserve">A summary of the material terms of the Credit Agreement are set forth in Item 1.01 of the Company’s Current Report on </w:t>
        </w:r>
        <w:r>
          <w:rPr>
            <w:rFonts w:ascii="Arial" w:cs="Arial" w:eastAsia="Arial" w:hAnsi="Arial"/>
            <w:sz w:val="18"/>
            <w:szCs w:val="18"/>
            <w:u w:val="single" w:color="auto"/>
            <w:color w:val="0000EE"/>
          </w:rPr>
          <w:t>Form 8-K filed July 30,</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and are incorporated herein by reference.</w:t>
        </w:r>
      </w:hyperlink>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17, 2020, the Board of Directors (the “Board”) approved the amended and restated by-laws of the Company (the “Amended and Restated By-laws”), effective as of November 18, 2020. The Amended and Restated By-laws (i) include a new Section 2.17 that serves to opt-out of Section 116 of the General Corporation Law of the State of Delaware (the “DGCL”) by requiring that notices and other information or documents provided by stockholders to the Company pursuant to by-law requirements must be delivered in writing and (ii) provide that the number of nominees that a stockholder seeks to nominate for election to the Board under the advance notice by-law provision may not exceed the number of directors to be elected at the meeting. The Amended and Restated By-laws also include minor clarifications and changes intended to respond and conform to recent amendments to the DGCL.</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description is qualified in its entirety by reference to the Amended and Restated By-Laws, a copy of which is filed as Exhibit 3.2 to this Current Report on Form 8-K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0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8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860" w:type="dxa"/>
            <w:vAlign w:val="bottom"/>
          </w:tcPr>
          <w:p>
            <w:pPr>
              <w:spacing w:after="0"/>
              <w:rPr>
                <w:sz w:val="20"/>
                <w:szCs w:val="20"/>
                <w:color w:val="auto"/>
              </w:rPr>
            </w:pPr>
          </w:p>
        </w:tc>
        <w:tc>
          <w:tcPr>
            <w:tcW w:w="6140" w:type="dxa"/>
            <w:vAlign w:val="bottom"/>
            <w:gridSpan w:val="2"/>
          </w:tcPr>
          <w:p>
            <w:pPr>
              <w:ind w:left="7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3.2</w:t>
              </w:r>
            </w:hyperlink>
          </w:p>
        </w:tc>
        <w:tc>
          <w:tcPr>
            <w:tcW w:w="100" w:type="dxa"/>
            <w:vAlign w:val="bottom"/>
          </w:tcPr>
          <w:p>
            <w:pPr>
              <w:spacing w:after="0"/>
              <w:rPr>
                <w:sz w:val="24"/>
                <w:szCs w:val="24"/>
                <w:color w:val="auto"/>
              </w:rPr>
            </w:pPr>
          </w:p>
        </w:tc>
        <w:tc>
          <w:tcPr>
            <w:tcW w:w="10000" w:type="dxa"/>
            <w:vAlign w:val="bottom"/>
            <w:tcBorders>
              <w:top w:val="single" w:sz="8" w:color="auto"/>
            </w:tcBorders>
            <w:gridSpan w:val="3"/>
          </w:tcPr>
          <w:p>
            <w:pPr>
              <w:ind w:left="20"/>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Amended and Restated By-Laws of Waste Management, Inc. as of November 18, 2020</w:t>
              </w:r>
              <w:r>
                <w:rPr>
                  <w:rFonts w:ascii="Arial" w:cs="Arial" w:eastAsia="Arial" w:hAnsi="Arial"/>
                  <w:sz w:val="18"/>
                  <w:szCs w:val="18"/>
                  <w:color w:val="0000EE"/>
                </w:rPr>
                <w:t>.</w:t>
              </w:r>
            </w:hyperlink>
          </w:p>
        </w:tc>
      </w:tr>
    </w:tbl>
    <w:p>
      <w:pPr>
        <w:spacing w:after="0" w:line="202" w:lineRule="exact"/>
        <w:rPr>
          <w:sz w:val="20"/>
          <w:szCs w:val="20"/>
          <w:color w:val="auto"/>
        </w:rPr>
      </w:pPr>
    </w:p>
    <w:p>
      <w:pPr>
        <w:ind w:left="5580" w:right="3460" w:hanging="5572"/>
        <w:spacing w:after="0" w:line="778"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WASTE MANAGEMENT,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18, 2020</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Executive Vice President, Corporate Development and Chief Legal</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NOVEMBER 18,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8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w:t>
      </w:r>
    </w:p>
    <w:p>
      <w:pPr>
        <w:spacing w:after="0" w:line="4" w:lineRule="exact"/>
        <w:rPr>
          <w:sz w:val="20"/>
          <w:szCs w:val="20"/>
          <w:color w:val="auto"/>
        </w:rPr>
      </w:pPr>
    </w:p>
    <w:p>
      <w:pPr>
        <w:jc w:val="both"/>
        <w:ind w:firstLine="8"/>
        <w:spacing w:after="0" w:line="270" w:lineRule="auto"/>
        <w:tabs>
          <w:tab w:leader="none" w:pos="277"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both"/>
        <w:ind w:firstLine="129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7" w:lineRule="auto"/>
        <w:tabs>
          <w:tab w:leader="none" w:pos="2065"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Special meetings of the stockholders, for any purpose or purposes, unless otherwise prescribed by the General Corporation Law of the State of Delaware, shall be called by the Secretary at the written request of the Chairman of the Board (if any) or the Chief Executive Officer, or may be called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1304"/>
        <w:spacing w:after="0" w:line="285" w:lineRule="auto"/>
        <w:tabs>
          <w:tab w:leader="none" w:pos="1824" w:val="left"/>
        </w:tabs>
        <w:numPr>
          <w:ilvl w:val="1"/>
          <w:numId w:val="5"/>
        </w:numPr>
        <w:rPr>
          <w:rFonts w:ascii="Arial" w:cs="Arial" w:eastAsia="Arial" w:hAnsi="Arial"/>
          <w:sz w:val="16"/>
          <w:szCs w:val="16"/>
          <w:color w:val="auto"/>
        </w:rPr>
      </w:pPr>
      <w:r>
        <w:rPr>
          <w:rFonts w:ascii="Arial" w:cs="Arial" w:eastAsia="Arial" w:hAnsi="Arial"/>
          <w:sz w:val="16"/>
          <w:szCs w:val="16"/>
          <w:color w:val="auto"/>
        </w:rPr>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68" w:lineRule="exact"/>
        <w:rPr>
          <w:rFonts w:ascii="Arial" w:cs="Arial" w:eastAsia="Arial" w:hAnsi="Arial"/>
          <w:sz w:val="16"/>
          <w:szCs w:val="16"/>
          <w:color w:val="auto"/>
        </w:rPr>
      </w:pPr>
    </w:p>
    <w:p>
      <w:pPr>
        <w:jc w:val="both"/>
        <w:ind w:firstLine="1304"/>
        <w:spacing w:after="0" w:line="287" w:lineRule="auto"/>
        <w:tabs>
          <w:tab w:leader="none" w:pos="1949" w:val="left"/>
        </w:tabs>
        <w:numPr>
          <w:ilvl w:val="1"/>
          <w:numId w:val="5"/>
        </w:numPr>
        <w:rPr>
          <w:rFonts w:ascii="Arial" w:cs="Arial" w:eastAsia="Arial" w:hAnsi="Arial"/>
          <w:sz w:val="16"/>
          <w:szCs w:val="16"/>
          <w:color w:val="auto"/>
        </w:rPr>
      </w:pPr>
      <w:r>
        <w:rPr>
          <w:rFonts w:ascii="Arial" w:cs="Arial" w:eastAsia="Arial" w:hAnsi="Arial"/>
          <w:sz w:val="16"/>
          <w:szCs w:val="16"/>
          <w:color w:val="auto"/>
        </w:rPr>
        <w:t>Calling of a Special Meeting. Notwithstanding the foregoing, the Secretary shall not be required to call a special meeting of stockholders if (i) 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w:t>
      </w:r>
    </w:p>
    <w:p>
      <w:pPr>
        <w:spacing w:after="0" w:line="2" w:lineRule="exact"/>
        <w:rPr>
          <w:rFonts w:ascii="Arial" w:cs="Arial" w:eastAsia="Arial" w:hAnsi="Arial"/>
          <w:sz w:val="16"/>
          <w:szCs w:val="16"/>
          <w:color w:val="auto"/>
        </w:rPr>
      </w:pPr>
    </w:p>
    <w:p>
      <w:pPr>
        <w:jc w:val="both"/>
        <w:ind w:firstLine="8"/>
        <w:spacing w:after="0" w:line="269" w:lineRule="auto"/>
        <w:tabs>
          <w:tab w:leader="none" w:pos="28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1304"/>
        <w:spacing w:after="0" w:line="269" w:lineRule="auto"/>
        <w:tabs>
          <w:tab w:leader="none" w:pos="1892" w:val="left"/>
        </w:tabs>
        <w:numPr>
          <w:ilvl w:val="0"/>
          <w:numId w:val="7"/>
        </w:numPr>
        <w:rPr>
          <w:rFonts w:ascii="Arial" w:cs="Arial" w:eastAsia="Arial" w:hAnsi="Arial"/>
          <w:sz w:val="17"/>
          <w:szCs w:val="17"/>
          <w:color w:val="auto"/>
        </w:rPr>
      </w:pPr>
      <w:r>
        <w:rPr>
          <w:rFonts w:ascii="Arial" w:cs="Arial" w:eastAsia="Arial" w:hAnsi="Arial"/>
          <w:sz w:val="17"/>
          <w:szCs w:val="17"/>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1842"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both"/>
        <w:ind w:firstLine="1304"/>
        <w:spacing w:after="0" w:line="255" w:lineRule="auto"/>
        <w:tabs>
          <w:tab w:leader="none" w:pos="179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 (i) each request identifies substantially the same purpose or purposes of the proposed special meeting and substantially the same matter proposed to be acted on at the proposed special meeting, and (ii) such request(s) have been dated and delivered to the Secretary within sixty (60) days of the earliest dated Special Meeting Request.</w:t>
      </w:r>
    </w:p>
    <w:p>
      <w:pPr>
        <w:spacing w:after="0" w:line="19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57" w:lineRule="auto"/>
        <w:rPr>
          <w:sz w:val="20"/>
          <w:szCs w:val="20"/>
          <w:color w:val="auto"/>
        </w:rPr>
      </w:pPr>
      <w:r>
        <w:rPr>
          <w:rFonts w:ascii="Arial" w:cs="Arial" w:eastAsia="Arial" w:hAnsi="Arial"/>
          <w:sz w:val="18"/>
          <w:szCs w:val="18"/>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Quorum; Adjournment</w:t>
      </w:r>
      <w:r>
        <w:rPr>
          <w:rFonts w:ascii="Arial" w:cs="Arial" w:eastAsia="Arial" w:hAnsi="Arial"/>
          <w:sz w:val="17"/>
          <w:szCs w:val="17"/>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7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the meeting from time to time, without notice other than announcement at the meeting of the time and place of the adjourned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Voting</w:t>
      </w:r>
      <w:r>
        <w:rPr>
          <w:rFonts w:ascii="Arial" w:cs="Arial" w:eastAsia="Arial" w:hAnsi="Arial"/>
          <w:sz w:val="16"/>
          <w:szCs w:val="16"/>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Except as otherwise provided by or pursuant to the provisions of the Certificate of Incorporation, each stockholder having the right to vote at a meeting of stockholders or to express consent or dissent to a corporate action in writing without a meeting shall be entitled to vote in person, or may authorize another person to act for such stockholder by proxy, bearing a date not more than three years prior to voting, unless such proxy provides for a longer period, and filed with the Secretary of the Corporation, or such other officer as the Board of Directors may from time to time determine by resolution, before, or at the time of, the meeting. A stockholder may revoke a proxy that is not irrevocable by attending the meeting and voting in person or by delivering to the Secretary of the Corporation a revocation of the proxy or a new proxy bearing a later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296"/>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he was appointed to act as proxy.</w:t>
      </w:r>
    </w:p>
    <w:p>
      <w:pPr>
        <w:spacing w:after="0" w:line="19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Voting of Stock of Certain Holders; Elections; Inspectors</w:t>
      </w:r>
      <w:r>
        <w:rPr>
          <w:rFonts w:ascii="Arial" w:cs="Arial" w:eastAsia="Arial" w:hAnsi="Arial"/>
          <w:sz w:val="16"/>
          <w:szCs w:val="16"/>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6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57" w:lineRule="exact"/>
        <w:rPr>
          <w:sz w:val="20"/>
          <w:szCs w:val="20"/>
          <w:color w:val="auto"/>
        </w:rPr>
      </w:pPr>
    </w:p>
    <w:p>
      <w:pPr>
        <w:ind w:left="2600" w:hanging="648"/>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23" w:lineRule="exact"/>
        <w:rPr>
          <w:rFonts w:ascii="Arial" w:cs="Arial" w:eastAsia="Arial" w:hAnsi="Arial"/>
          <w:sz w:val="18"/>
          <w:szCs w:val="18"/>
          <w:color w:val="auto"/>
        </w:rPr>
      </w:pPr>
    </w:p>
    <w:p>
      <w:pPr>
        <w:ind w:left="2600" w:hanging="648"/>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9" w:lineRule="exact"/>
        <w:rPr>
          <w:rFonts w:ascii="Arial" w:cs="Arial" w:eastAsia="Arial" w:hAnsi="Arial"/>
          <w:sz w:val="18"/>
          <w:szCs w:val="18"/>
          <w:color w:val="auto"/>
        </w:rPr>
      </w:pPr>
    </w:p>
    <w:p>
      <w:pPr>
        <w:jc w:val="both"/>
        <w:ind w:left="1300" w:firstLine="652"/>
        <w:spacing w:after="0" w:line="292" w:lineRule="auto"/>
        <w:tabs>
          <w:tab w:leader="none" w:pos="2732"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296"/>
        <w:spacing w:after="0" w:line="277" w:lineRule="auto"/>
        <w:rPr>
          <w:sz w:val="20"/>
          <w:szCs w:val="20"/>
          <w:color w:val="auto"/>
        </w:rPr>
      </w:pPr>
      <w:r>
        <w:rPr>
          <w:rFonts w:ascii="Arial" w:cs="Arial" w:eastAsia="Arial" w:hAnsi="Arial"/>
          <w:sz w:val="18"/>
          <w:szCs w:val="18"/>
          <w:color w:val="auto"/>
        </w:rPr>
        <w:t>All voting of stockholders shall be conducted as may be required under any procedures established for the meeting. All proxies submitted to the Corporation may be voted by a master ballot.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Unless otherwise provided in the Certificate of Incorporation, cumulative voting for the election of directors shall be prohibited.</w:t>
      </w:r>
    </w:p>
    <w:p>
      <w:pPr>
        <w:spacing w:after="0" w:line="23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Conduct of Meeting</w:t>
      </w:r>
      <w:r>
        <w:rPr>
          <w:rFonts w:ascii="Arial" w:cs="Arial" w:eastAsia="Arial" w:hAnsi="Arial"/>
          <w:sz w:val="17"/>
          <w:szCs w:val="17"/>
          <w:color w:val="auto"/>
        </w:rPr>
        <w:t>. The meetings of the stockholders shall be presided over by the Chairman of the Board (if any), or if he is not present, by the Chairman of the Nominating and Governance Committee of the Board, or if neither the Chairman of the Board (if any) nor the Chairman of the Nominating and Governance Committee is present, by the Chief Executive Officer, or if neither the Chairman of the Board (if any), the Chairman of the Nominating and Governance Committee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unless otherwise determined by the Board of Directors, the order of business and the procedure at the meeting, including such regulation of the manner of voting and the conduct of discussion as seem to him in order. Unless the Board of Directors or the chairman of the meeting of stockholders shall otherwise determine, the order of business shall be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23"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Appointment of a secretary if necessary.</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21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Without limiting the foregoing, except to the extent inconsistent with any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6" w:lineRule="auto"/>
        <w:tabs>
          <w:tab w:leader="none" w:pos="1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304"/>
        <w:spacing w:after="0" w:line="268" w:lineRule="auto"/>
        <w:tabs>
          <w:tab w:leader="none" w:pos="15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without a meeting, when no prior action by the Board of Directors is required by applicable law, shall be the first date on which a signed consent setting forth the action taken or proposed to be taken is delivered to the Corporation pursuant to Section 228 of the General Corporation Law of the State of Delaware.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without a meeting if prior action by the Board of Directors is required by applicable law shall be at the close of business on the date on which the Board of Directors adopts the resolution taking such prior action.</w:t>
      </w:r>
    </w:p>
    <w:p>
      <w:pPr>
        <w:spacing w:after="0" w:line="184" w:lineRule="exact"/>
        <w:rPr>
          <w:rFonts w:ascii="Arial" w:cs="Arial" w:eastAsia="Arial" w:hAnsi="Arial"/>
          <w:sz w:val="17"/>
          <w:szCs w:val="17"/>
          <w:color w:val="auto"/>
        </w:rPr>
      </w:pPr>
    </w:p>
    <w:p>
      <w:pPr>
        <w:jc w:val="both"/>
        <w:ind w:firstLine="1304"/>
        <w:spacing w:after="0" w:line="269" w:lineRule="auto"/>
        <w:tabs>
          <w:tab w:leader="none" w:pos="15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304"/>
        <w:spacing w:after="0" w:line="263" w:lineRule="auto"/>
        <w:tabs>
          <w:tab w:leader="none" w:pos="15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consent shall be effective to take the corporate action referred to therein unless a valid consent or valid consents signed by a sufficient number of stockholders to take such action are delivered to the Corporation in the manner prescribed in this Section 2.12 and applicable law, and not revoked, within 60 days of the first date on which a consent is so delivered to the Corporation.</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meeting of the stockholders, only such business (other than nominations of persons for election to the Board of Directors) shall be conducted as shall have been properly brought before the meeting. To be properly brought before an annual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meeting of stockholders pursuant to clause (c) above of this paragraph, the proposed business must constitute a proper matter for stockholder action.</w:t>
      </w:r>
    </w:p>
    <w:p>
      <w:pPr>
        <w:spacing w:after="0" w:line="16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6"/>
          <w:szCs w:val="16"/>
          <w:color w:val="auto"/>
        </w:rPr>
        <w:t>No proposal (other than nominations of persons for election to the Board of Directors) by a stockholder shall be presented at an annual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or the beneficial owner, if any,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the proposal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w:t>
      </w:r>
    </w:p>
    <w:p>
      <w:pPr>
        <w:spacing w:after="0" w:line="1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1296"/>
        <w:spacing w:after="0" w:line="285" w:lineRule="auto"/>
        <w:rPr>
          <w:sz w:val="20"/>
          <w:szCs w:val="20"/>
          <w:color w:val="auto"/>
        </w:rPr>
      </w:pPr>
      <w:r>
        <w:rPr>
          <w:rFonts w:ascii="Arial" w:cs="Arial" w:eastAsia="Arial" w:hAnsi="Arial"/>
          <w:sz w:val="16"/>
          <w:szCs w:val="16"/>
          <w:color w:val="auto"/>
        </w:rPr>
        <w:t>This provision shall not prevent the presentation at a meeting of stockholders of reports of officers, directors, and committees; but in connection with such reports, no new business shall be acted upon at such meeting unless properly brought before the meeting in accordance with this Section 2.13 with respect to annual meetings or Section 2.4 of these by-laws with respect to special meetings. Notwithstanding anything in these by-laws to the contrary, no business (other than nominations of persons for election to the Board of Directors) shall be conducted at any annual meeting of stockholders except in accordance with the procedures set forth in this Section 2.13 and no nominations shall be considered at an annual or special meeting of stockholders except in accordance with Section 2.14 or Section 2.16, as applicable, below. The chairman of the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Notwithstanding any other provision of these by-laws, the Corporation shall be under no obligation to include any stockholder proposal in its proxy statement materials or otherwise present any such proposal to stockholders at a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6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at an annual meeting of stockholders. Nothing in this Section 2.13 shall be deemed to affect any rights of stockholders to request inclusion of proposals in the Corporation’s proxy statement pursuant to applicable rules and regulations promulgated under the Exchange Act. Only such business shall be conducted at a special meeting of stockholders as shall have been brought before the meeting pursuant to the Corporation’s notice of meeting in accordance with Section 2.4 of these by-laws.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296"/>
        <w:spacing w:after="0" w:line="288"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Nomination of Directors</w:t>
      </w:r>
      <w:r>
        <w:rPr>
          <w:rFonts w:ascii="Arial" w:cs="Arial" w:eastAsia="Arial" w:hAnsi="Arial"/>
          <w:sz w:val="16"/>
          <w:szCs w:val="16"/>
          <w:color w:val="auto"/>
        </w:rPr>
        <w:t>. Only persons who are nominated in accordance with the procedures of this Section 2.14 or Section 2.16, as applicable,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or (d) with respect to annual meetings, by any Eligible Stockholder who complies with the requirements of Section 2.16 of these by-laws. Such stockholder may nominate one or more persons for election as a director at an annual or special meeting of stockholders pursuant to clause (c) of this Section 2.14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6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6"/>
          <w:szCs w:val="16"/>
          <w:color w:val="auto"/>
        </w:rPr>
        <w:t>To be timely, a stockholder’s notice pursuant to clause (c) of this Section 2.14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6"/>
          <w:szCs w:val="26"/>
          <w:color w:val="auto"/>
          <w:vertAlign w:val="superscript"/>
        </w:rPr>
        <w:t>th</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day prior to such annual meeting or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Corporation’s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w:t>
      </w:r>
    </w:p>
    <w:p>
      <w:pPr>
        <w:jc w:val="both"/>
        <w:ind w:firstLine="8"/>
        <w:spacing w:after="0" w:line="281" w:lineRule="auto"/>
        <w:tabs>
          <w:tab w:leader="none" w:pos="29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including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With respect to each person whom the stockholder proposes to nominate for election to the Board of Directors, a stockholder’s notice must, in addition to the matters set forth above, also include the completed and signed questionnaire, representations and agreements required by Section 2.15 of these by-laws. The Corporation may also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at the annual meeting is increased effective after the time period for which nominations would otherwise be due under this Section 2.14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w:t>
      </w:r>
    </w:p>
    <w:p>
      <w:pPr>
        <w:spacing w:after="0" w:line="13"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296"/>
        <w:spacing w:after="0" w:line="283"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the stockholders pursuant to Section 2.4 hereof or (2) provided that the Board of Directors or the stockholders pursuant to Section 2.4 hereof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The proposal by stockholders of other business to be conducted at a special meeting of the stockholders may be made only in accordance with Section 2.4 hereof.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(including, but not limited to, the completed and signed questionnaire, representations and agreements required by Section 2.15 of these by-laws) shall be</w:t>
      </w:r>
    </w:p>
    <w:p>
      <w:pPr>
        <w:spacing w:after="0" w:line="5"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delivered to the Secretary at the principal executive offices of the Corporation not earlier than the close of business on the one hundred fiftieth (150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special meeting and not later than the close of business on the later of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special meeting, or</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 is first made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Only such persons who are nominated in accordance with the procedures set forth in this Section 2.14 or Section 2.16 shall be eligible to be elected at an annual meeting of stockholders of the Corporation to serve as directors and only such persons who are nominated in accordance with the procedures set forth in this Section 2.14 shall be eligible to be elected at a special meeting of the stockholders of the Corporation to serve as directors.</w:t>
      </w:r>
    </w:p>
    <w:p>
      <w:pPr>
        <w:spacing w:after="0" w:line="14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Except as otherwise provided by law, the chairman of the meeting shall have the power and duty (a) to determine whether a nomination brought before the meeting pursuant to this Section 2.14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pursuant to this Section 2.14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1296"/>
        <w:spacing w:after="0" w:line="255" w:lineRule="auto"/>
        <w:rPr>
          <w:sz w:val="20"/>
          <w:szCs w:val="20"/>
          <w:color w:val="auto"/>
        </w:rPr>
      </w:pPr>
      <w:r>
        <w:rPr>
          <w:rFonts w:ascii="Arial" w:cs="Arial" w:eastAsia="Arial" w:hAnsi="Arial"/>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Submission of Questionnaire, Representations and Agreements</w:t>
      </w:r>
      <w:r>
        <w:rPr>
          <w:rFonts w:ascii="Arial" w:cs="Arial" w:eastAsia="Arial" w:hAnsi="Arial"/>
          <w:sz w:val="16"/>
          <w:szCs w:val="16"/>
          <w:color w:val="auto"/>
        </w:rPr>
        <w:t>. To be eligible to be a nominee for election or reelection as a director of the Corporation, a person must deliver (with respect to any person nominated by a stockholder in accordance with clause (c) of the first paragraph of Section 2.14 or the third paragraph of Section 2.14, in accordance with the time periods prescribed for delivery of notice under Section 2.14) to the Secretary at the principal executive offices of the Corporation a written questionnaire with respect to the background, and qualification and potential conflicts of interest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Proxy Access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4" w:lineRule="auto"/>
        <w:tabs>
          <w:tab w:leader="none" w:pos="1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Whenever the Board of Directors solicits proxies with respect to the election of directors at an annual meeting of stockholders (commencing with the 2020 annual meeting of stockholders), subject to the provisions of this Section 2.16, the Corporation shall include in its proxy statement, on its form of proxy card, voting instruction form and on any ballot distributed at such annual meeting, in addition to any persons nominated for election by the Board of Directors or any committee thereof, the name, together, in the case of the proxy statement, with the Required Information (defined below), of any person nominated for election (the “Stockholder Nominee”) to the Board of Directors by a stockholder or group of no more than 20 stockholders that satisfies the requirements of this Section 2.16 (such stockholder or stockholder group, including each member thereof to the extent the context requires, the “Eligible Stockholder”), and who expressly elects at the time of providing the notice required by this Section 2.16 (the “Notice of Proxy Access Nomination”) to have its nominee included in the Corporation’s proxy materials pursuant to this Section 2.16. For purposes of this Section 2.16, in calculating the number of stockholders in a group seeking to qualify as an Eligible Stockholder, two or more funds that are (i) under common management and investment control, (ii) under common management and funded primarily by the same employer, or (iii) a “group of investment companies” as such term is defined in Section 12(d)(1)(G)(ii) of the Investment Company Act of 1940, as amended, shall be counted as one stockholder. In the event that the Eligible Stockholder consists of a group of stockholders, any and all requirements and obligations for an individual Eligible Stockholder that are set forth in these by-laws, including the Minimum Holding Period (defined below), shall apply to each member of such group; provided, however, that the Required Ownership Percentage (defined below) shall apply to the ownership of the group in the aggregate. For purposes of this Section 2.16, the “Required Information” that the Corporation will include in its proxy statement is the information provided to the Secretary of the 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each Stockholder Nominee’s candidacy (the “Statement”). Notwithstanding anything to the contrary contained in this Section 2.16, the Corporation may omit from its proxy materials any information or Statement (or portion thereof) that it, in good faith, believes is untrue in any material respect (or omits to state a material fact necessary in order to make the statements made, in light of the circumstances under which they are made, not misleading) or would violate any applicable law or regulation, and the Corporation may solicit against, and include in the proxy statement its own statement relating to, any Stockholder Nominee.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304"/>
        <w:spacing w:after="0" w:line="270" w:lineRule="auto"/>
        <w:tabs>
          <w:tab w:leader="none" w:pos="15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be timely, the Notice of Proxy Access Nomination must be addressed to the Secretary of the Corporation and received at the principal executive offices of the Corporation no earlier than one hundred fifty (150) days and no later than one hundred twenty (120) days before the anniversary of the date that the Corporation commenced mailing of its definitive proxy statement for the previous year’s annual meeting of stockholders; provided, however, that in the event the annual meeting is more than thirty (30) days before or after the anniversary date of the prior year’s annual meeting, or if no annual meeting was held in the preceding year, to be timely, the Notice of Proxy Access Nomination must be received at the principal executive offices of the Corporation no earlier than one hundred fifty (150) days before such annual meeting and no later than the later of one hundred twenty (120) days before such annual meeting or the tenth (10th) day following the day on which public announcement of the date of such meeting is first made by the Corporation. In no event shall an adjournment or postponement of an annual meeting commence a new time period (or extend any time period) for the giving of the Notice of Proxy Access Nomination as described above.</w:t>
      </w:r>
    </w:p>
    <w:p>
      <w:pPr>
        <w:spacing w:after="0" w:line="180" w:lineRule="exact"/>
        <w:rPr>
          <w:rFonts w:ascii="Arial" w:cs="Arial" w:eastAsia="Arial" w:hAnsi="Arial"/>
          <w:sz w:val="17"/>
          <w:szCs w:val="17"/>
          <w:color w:val="auto"/>
        </w:rPr>
      </w:pPr>
    </w:p>
    <w:p>
      <w:pPr>
        <w:jc w:val="both"/>
        <w:ind w:firstLine="1304"/>
        <w:spacing w:after="0" w:line="283" w:lineRule="auto"/>
        <w:tabs>
          <w:tab w:leader="none" w:pos="15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maximum number of Stockholder Nominees nominated by all Eligible Stockholders that will be included in the Corporation’s proxy materials with respect to an annual meeting of stockholders shall not exceed the greater of (i) two and (ii) 20% of the total number of directors in office (rounded down to the nearest whole number) as of the last day on which a Notice of Proxy Access Nomination may be delivered pursuant to and in accordance with this Section 2.16 (the “Final Proxy Access Nomination Date”). In the event that one or more vacancies for any reason occurs after the Final Proxy Access Nomination Date but before the date of the annual meeting and the Board of Directors resolves to reduce the size of the Board of Directors in connection therewith, the maximum number of Stockholder Nominees included in the Corporation’s proxy materials shall be calculated based on the number of directors in office as so reduced. The following individuals shall be counted as one of the Stockholder Nominees for purposes of determining when the maximum number of Stockholder Nominees provided for in this Section 2.16 has been reached: (i) any individual nominated by an Eligible Stockholder for inclusion in the Corporation’s proxy materials pursuant to this Section 2.16 whom the Board of Directors decides to nominate as a nominee of the Board of Directors, (ii) any individual nominated by an Eligible Stockholder for inclusion in the Corporation’s proxy materials pursuant to this Section 2.16 but whose nomination is subsequently withdrawn, (iii) any individual who was previously elected to the Board of Directors as a Stockholder Nominee at any of the preceding two annual meetings and who is nominated for election at such annual meeting by the Board of Directors as a nominee of the Board of Directors and (iv) any director in office or director candidate who, in each case, will be included in the Corporation’s proxy materials with respect to such annual meeting as an unopposed (by the Corporation) nominee pursuant to an agreement, arrangement or understanding between the Corporation and a stockholder or group of stockholders (other than such agreement, arrangement or understanding entered into in connection with an acquisition of stock by such stockholder, or group of stockholders, from the Corporation). Any Eligible Stockholder submitting more than one Stockholder Nominee for inclusion in the Corporation’s proxy materials pursuant to this Section 2.16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2.16 exceeds the maximum number of nominees provided for in this Section 2.16. In the event that the number of Stockholder Nominees submitted by Eligible Stockholders pursuant to this Section 2.16 exceeds the maximum number of nominees provided for in this Section 2.16, the highest ranking Stockholder Nominee who meets the requirements of this Section 2.16 from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Notice of Proxy Access Nomination submitted to the Corporation. If the maximum number is not reached after the highest ranking Stockholder Nominee who meets the requirements of this Section 2.16 from each Eligible Stockholder has been selected, this process will continue as many times as necessary, following the same order each time, until the maximum number is reached. Following such determination, if any Stockholder Nominee who satisfies the eligibility requirements of this Section 2.16 (y) thereafter is nominated by the Board of Directors or (z) thereafter is not included in the Corporation’s proxy materials or is not submitted for election as a director, in either case, as a result of the Nominating Stockholder becoming ineligible or withdrawing its nomination, the Stockholder Nominee becoming unwilling or unable to serve on the Board of Directors or the Eligible Stockholder or the Stockholder Nominee failing to comply with the provisions of this Section 2.16, no other nominee or nominees shall be included in the Corporation’s proxy materials or otherwise submitted for director election in substitution thereof.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20" w:firstLine="1304"/>
        <w:spacing w:after="0" w:line="277" w:lineRule="auto"/>
        <w:tabs>
          <w:tab w:leader="none" w:pos="15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this Section 2.16, an Eligible Stockholder shall be deemed to “own” only those outstanding shares of common stock of the Corporation as to which the stockholder possesses both:</w:t>
      </w:r>
    </w:p>
    <w:p>
      <w:pPr>
        <w:spacing w:after="0" w:line="170" w:lineRule="exact"/>
        <w:rPr>
          <w:rFonts w:ascii="Arial" w:cs="Arial" w:eastAsia="Arial" w:hAnsi="Arial"/>
          <w:sz w:val="18"/>
          <w:szCs w:val="18"/>
          <w:color w:val="auto"/>
        </w:rPr>
      </w:pPr>
    </w:p>
    <w:p>
      <w:pPr>
        <w:ind w:left="2300" w:hanging="348"/>
        <w:spacing w:after="0"/>
        <w:tabs>
          <w:tab w:leader="none" w:pos="2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full voting and investment rights pertaining to the shares; and</w:t>
      </w:r>
    </w:p>
    <w:p>
      <w:pPr>
        <w:spacing w:after="0" w:line="225" w:lineRule="exact"/>
        <w:rPr>
          <w:rFonts w:ascii="Arial" w:cs="Arial" w:eastAsia="Arial" w:hAnsi="Arial"/>
          <w:sz w:val="18"/>
          <w:szCs w:val="18"/>
          <w:color w:val="auto"/>
        </w:rPr>
      </w:pPr>
    </w:p>
    <w:p>
      <w:pPr>
        <w:ind w:left="2360" w:hanging="408"/>
        <w:spacing w:after="0"/>
        <w:tabs>
          <w:tab w:leader="none" w:pos="2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full economic interest in (including the opportunity for profit from and risk of loss on) such shares;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provided that the number of shares calculated in accordance with clauses (i) and (ii) shall not include any shares:</w:t>
      </w:r>
    </w:p>
    <w:p>
      <w:pPr>
        <w:spacing w:after="0" w:line="225" w:lineRule="exact"/>
        <w:rPr>
          <w:sz w:val="20"/>
          <w:szCs w:val="20"/>
          <w:color w:val="auto"/>
        </w:rPr>
      </w:pPr>
    </w:p>
    <w:p>
      <w:pPr>
        <w:ind w:left="2380" w:hanging="428"/>
        <w:spacing w:after="0"/>
        <w:tabs>
          <w:tab w:leader="none" w:pos="2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sold by such stockholder or any of its affiliates in any transaction that has not been settled or closed, including any short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w:t>
      </w:r>
    </w:p>
    <w:p>
      <w:pPr>
        <w:spacing w:after="0" w:line="211" w:lineRule="exact"/>
        <w:rPr>
          <w:sz w:val="20"/>
          <w:szCs w:val="20"/>
          <w:color w:val="auto"/>
        </w:rPr>
      </w:pPr>
    </w:p>
    <w:p>
      <w:pPr>
        <w:ind w:left="660" w:right="20" w:firstLine="1292"/>
        <w:spacing w:after="0" w:line="277" w:lineRule="auto"/>
        <w:tabs>
          <w:tab w:leader="none" w:pos="24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borrowed by such stockholder or any of its affiliates for any purposes or purchased by such stockholder or any of its affiliates pursuant to an agreement to resell; or</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3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or if exercised by either party would have, the purpose or effect of:</w:t>
      </w:r>
    </w:p>
    <w:p>
      <w:pPr>
        <w:spacing w:after="0" w:line="186" w:lineRule="exact"/>
        <w:rPr>
          <w:rFonts w:ascii="Arial" w:cs="Arial" w:eastAsia="Arial" w:hAnsi="Arial"/>
          <w:sz w:val="18"/>
          <w:szCs w:val="18"/>
          <w:color w:val="auto"/>
        </w:rPr>
      </w:pPr>
    </w:p>
    <w:p>
      <w:pPr>
        <w:ind w:left="340" w:firstLine="1936"/>
        <w:spacing w:after="0" w:line="277" w:lineRule="auto"/>
        <w:tabs>
          <w:tab w:leader="none" w:pos="2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reducing in any manner, to any extent or at any time in the future, such stockholder’s or its affiliates’ full right to vote or direct the voting of any such shares; and/or</w:t>
      </w:r>
    </w:p>
    <w:p>
      <w:pPr>
        <w:spacing w:after="0" w:line="170" w:lineRule="exact"/>
        <w:rPr>
          <w:rFonts w:ascii="Arial" w:cs="Arial" w:eastAsia="Arial" w:hAnsi="Arial"/>
          <w:sz w:val="18"/>
          <w:szCs w:val="18"/>
          <w:color w:val="auto"/>
        </w:rPr>
      </w:pPr>
    </w:p>
    <w:p>
      <w:pPr>
        <w:ind w:left="340" w:right="20" w:firstLine="1936"/>
        <w:spacing w:after="0" w:line="277" w:lineRule="auto"/>
        <w:tabs>
          <w:tab w:leader="none" w:pos="25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hedging, offsetting or altering to any degree any gain or loss realized or realizable from maintaining the full economic ownership of such shares by such stockholder or its affiliates.</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which is revocable at any time by the stockholder. A stockholder’s ownership of shares shall be deemed to continue during any period in which the stockholder has loaned such shares provided that the stockholder has the power to recall such loaned shares on five (5) business days’ notice and recalls such loaned shares within five (5) business days of being notified that its Stockholder Nominee will be included in the Corporation’s proxy materials for the applicable annual meeting and holds such shares through such annual meeting. The terms “owned,” “owning” and other variations of the word “own” shall have correlative meanings. Whether outstanding shares of the common stock of the Corporation are “owned” for these purposes shall be determined by the Board of Directors or any committee thereof, in each case, in its sole discretion. For purposes of this Section 2.16, the term “affiliate” or “affiliates” shall have the meaning ascribed thereto under the rules and regulations of the Exchange Act. An Eligible Stockholder shall include in its Notice of Proxy Access Nomination the number of shares it is deemed to own for the purposes of this Section 2.16.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jc w:val="both"/>
        <w:ind w:firstLine="1304"/>
        <w:spacing w:after="0" w:line="254" w:lineRule="auto"/>
        <w:tabs>
          <w:tab w:leader="none" w:pos="15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order to make a nomination pursuant to this Section 2.16, an Eligible Stockholder must have owned (as defined above) the Required Ownership Percentage of the Corporation’s shares of common stock outstanding and entitled to vote in the election of directors as of the date of the Notice of Proxy Access Nomination (the “Required Shares”) continuously for the Minimum Holding Period as of both the date the Notice of Proxy Access Nomination is received by the Secretary of the Corporation in accordance with this Section 2.16 and the record date for determining the stockholders entitled to vote at the annual meeting and must continue to own the Required Shares through the meeting date. For purposes of this Section 2.16, the “Required Ownership Percentage” shall be 3% or more. For purposes of this Section 2.16, the “Minimum Holding Period” is 3 years. Within the time period specified in this Section 2.16 for delivering the Notice of Proxy Access Nomination, an Eligible Stockholder must provide the following information in writing to the Secretary of the Corporation:</w:t>
      </w:r>
    </w:p>
    <w:p>
      <w:pPr>
        <w:spacing w:after="0" w:line="191" w:lineRule="exact"/>
        <w:rPr>
          <w:rFonts w:ascii="Arial" w:cs="Arial" w:eastAsia="Arial" w:hAnsi="Arial"/>
          <w:sz w:val="18"/>
          <w:szCs w:val="18"/>
          <w:color w:val="auto"/>
        </w:rPr>
      </w:pPr>
    </w:p>
    <w:p>
      <w:pPr>
        <w:jc w:val="both"/>
        <w:ind w:firstLine="1628"/>
        <w:spacing w:after="0" w:line="255" w:lineRule="auto"/>
        <w:tabs>
          <w:tab w:leader="none" w:pos="18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shares (and from each intermediary through which the shares are or have been held during the Minimum Holding Period) verifying that, as of a date within seven calendar days prior to the date the Notice of Proxy Access Nomination is received by the Secretary of the Corporation, the Eligible Stockholder owns, and has owned continuously for the Minimum Holding Period, the Required Shares, and the Eligible Stockholder’s agreement to provide, within five business days after the record date for the annual meeting, written statements from the record holder and intermediaries verifying the Eligible Stockholder’s continuous ownership of the Required Shares through the record date;</w:t>
      </w:r>
    </w:p>
    <w:p>
      <w:pPr>
        <w:spacing w:after="0" w:line="192" w:lineRule="exact"/>
        <w:rPr>
          <w:rFonts w:ascii="Arial" w:cs="Arial" w:eastAsia="Arial" w:hAnsi="Arial"/>
          <w:sz w:val="18"/>
          <w:szCs w:val="18"/>
          <w:color w:val="auto"/>
        </w:rPr>
      </w:pPr>
    </w:p>
    <w:p>
      <w:pPr>
        <w:ind w:left="1900" w:hanging="272"/>
        <w:spacing w:after="0"/>
        <w:tabs>
          <w:tab w:leader="none" w:pos="1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copy of the Schedule 14N that has been filed with the Securities and Exchange Commission as required by Rule 14a-18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Exchange Act;</w:t>
      </w:r>
    </w:p>
    <w:p>
      <w:pPr>
        <w:spacing w:after="0" w:line="210" w:lineRule="exact"/>
        <w:rPr>
          <w:rFonts w:ascii="Arial" w:cs="Arial" w:eastAsia="Arial" w:hAnsi="Arial"/>
          <w:sz w:val="16"/>
          <w:szCs w:val="16"/>
          <w:color w:val="auto"/>
        </w:rPr>
      </w:pPr>
    </w:p>
    <w:p>
      <w:pPr>
        <w:ind w:firstLine="1628"/>
        <w:spacing w:after="0" w:line="277" w:lineRule="auto"/>
        <w:tabs>
          <w:tab w:leader="none" w:pos="19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representations and agreements that are the same as those that would be required to be set forth in a stockholder’s notice of nomination pursuant to Article II, Section 2.14 of these by-laws;</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consent of each Stockholder Nominee to being named in the Corporation’s proxy statement as a nominee and to serving as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 if elected;</w:t>
      </w:r>
    </w:p>
    <w:p>
      <w:pPr>
        <w:spacing w:after="0" w:line="210" w:lineRule="exact"/>
        <w:rPr>
          <w:rFonts w:ascii="Arial" w:cs="Arial" w:eastAsia="Arial" w:hAnsi="Arial"/>
          <w:sz w:val="16"/>
          <w:szCs w:val="16"/>
          <w:color w:val="auto"/>
        </w:rPr>
      </w:pPr>
    </w:p>
    <w:p>
      <w:pPr>
        <w:ind w:left="1880" w:hanging="252"/>
        <w:spacing w:after="0"/>
        <w:tabs>
          <w:tab w:leader="none" w:pos="1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representation that the Eligible Stockholder:</w:t>
      </w:r>
    </w:p>
    <w:p>
      <w:pPr>
        <w:spacing w:after="0" w:line="225" w:lineRule="exact"/>
        <w:rPr>
          <w:rFonts w:ascii="Arial" w:cs="Arial" w:eastAsia="Arial" w:hAnsi="Arial"/>
          <w:sz w:val="18"/>
          <w:szCs w:val="18"/>
          <w:color w:val="auto"/>
        </w:rPr>
      </w:pPr>
    </w:p>
    <w:p>
      <w:pPr>
        <w:ind w:firstLine="2276"/>
        <w:spacing w:after="0" w:line="277" w:lineRule="auto"/>
        <w:tabs>
          <w:tab w:leader="none" w:pos="2565" w:val="left"/>
        </w:tabs>
        <w:numPr>
          <w:ilvl w:val="2"/>
          <w:numId w:val="19"/>
        </w:numPr>
        <w:rPr>
          <w:rFonts w:ascii="Arial" w:cs="Arial" w:eastAsia="Arial" w:hAnsi="Arial"/>
          <w:sz w:val="18"/>
          <w:szCs w:val="18"/>
          <w:color w:val="auto"/>
        </w:rPr>
      </w:pPr>
      <w:r>
        <w:rPr>
          <w:rFonts w:ascii="Arial" w:cs="Arial" w:eastAsia="Arial" w:hAnsi="Arial"/>
          <w:sz w:val="18"/>
          <w:szCs w:val="18"/>
          <w:color w:val="auto"/>
        </w:rPr>
        <w:t>acquired the Required Shares in the ordinary course of business and not with the intent to change or influence control at the Corporation, and does not presently have such intent,</w:t>
      </w:r>
    </w:p>
    <w:p>
      <w:pPr>
        <w:spacing w:after="0" w:line="170" w:lineRule="exact"/>
        <w:rPr>
          <w:rFonts w:ascii="Arial" w:cs="Arial" w:eastAsia="Arial" w:hAnsi="Arial"/>
          <w:sz w:val="18"/>
          <w:szCs w:val="18"/>
          <w:color w:val="auto"/>
        </w:rPr>
      </w:pPr>
    </w:p>
    <w:p>
      <w:pPr>
        <w:ind w:left="2560" w:hanging="284"/>
        <w:spacing w:after="0"/>
        <w:tabs>
          <w:tab w:leader="none" w:pos="25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presently intends to maintain qualifying ownership of the Required Shares through the date of the annual meeting,</w:t>
      </w:r>
    </w:p>
    <w:p>
      <w:pPr>
        <w:spacing w:after="0" w:line="236" w:lineRule="exact"/>
        <w:rPr>
          <w:rFonts w:ascii="Arial" w:cs="Arial" w:eastAsia="Arial" w:hAnsi="Arial"/>
          <w:sz w:val="17"/>
          <w:szCs w:val="17"/>
          <w:color w:val="auto"/>
        </w:rPr>
      </w:pPr>
    </w:p>
    <w:p>
      <w:pPr>
        <w:ind w:left="2580" w:hanging="304"/>
        <w:spacing w:after="0"/>
        <w:tabs>
          <w:tab w:leader="none" w:pos="25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has not nominated and will not nominate for election any individual as a director at the annual meeting, other than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 Nominee(s),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2276"/>
        <w:spacing w:after="0" w:line="263" w:lineRule="auto"/>
        <w:tabs>
          <w:tab w:leader="none" w:pos="2576" w:val="left"/>
        </w:tabs>
        <w:numPr>
          <w:ilvl w:val="2"/>
          <w:numId w:val="20"/>
        </w:numPr>
        <w:rPr>
          <w:rFonts w:ascii="Arial" w:cs="Arial" w:eastAsia="Arial" w:hAnsi="Arial"/>
          <w:sz w:val="18"/>
          <w:szCs w:val="18"/>
          <w:color w:val="auto"/>
        </w:rPr>
      </w:pPr>
      <w:r>
        <w:rPr>
          <w:rFonts w:ascii="Arial" w:cs="Arial" w:eastAsia="Arial" w:hAnsi="Arial"/>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w:t>
      </w:r>
    </w:p>
    <w:p>
      <w:pPr>
        <w:spacing w:after="0" w:line="183" w:lineRule="exact"/>
        <w:rPr>
          <w:rFonts w:ascii="Arial" w:cs="Arial" w:eastAsia="Arial" w:hAnsi="Arial"/>
          <w:sz w:val="18"/>
          <w:szCs w:val="18"/>
          <w:color w:val="auto"/>
        </w:rPr>
      </w:pPr>
    </w:p>
    <w:p>
      <w:pPr>
        <w:ind w:firstLine="2276"/>
        <w:spacing w:after="0" w:line="277" w:lineRule="auto"/>
        <w:tabs>
          <w:tab w:leader="none" w:pos="25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agrees to comply with all applicable laws and regulations with respect to any solicitation in connection with the meeting or applicable to the filing and use, if any, of soliciting material,</w:t>
      </w:r>
    </w:p>
    <w:p>
      <w:pPr>
        <w:spacing w:after="0" w:line="170" w:lineRule="exact"/>
        <w:rPr>
          <w:rFonts w:ascii="Arial" w:cs="Arial" w:eastAsia="Arial" w:hAnsi="Arial"/>
          <w:sz w:val="18"/>
          <w:szCs w:val="18"/>
          <w:color w:val="auto"/>
        </w:rPr>
      </w:pPr>
    </w:p>
    <w:p>
      <w:pPr>
        <w:jc w:val="both"/>
        <w:ind w:firstLine="2276"/>
        <w:spacing w:after="0" w:line="263" w:lineRule="auto"/>
        <w:tabs>
          <w:tab w:leader="none" w:pos="2552" w:val="left"/>
        </w:tabs>
        <w:numPr>
          <w:ilvl w:val="2"/>
          <w:numId w:val="20"/>
        </w:numPr>
        <w:rPr>
          <w:rFonts w:ascii="Arial" w:cs="Arial" w:eastAsia="Arial" w:hAnsi="Arial"/>
          <w:sz w:val="18"/>
          <w:szCs w:val="18"/>
          <w:color w:val="auto"/>
        </w:rPr>
      </w:pPr>
      <w:r>
        <w:rPr>
          <w:rFonts w:ascii="Arial" w:cs="Arial" w:eastAsia="Arial" w:hAnsi="Arial"/>
          <w:sz w:val="18"/>
          <w:szCs w:val="18"/>
          <w:color w:val="auto"/>
        </w:rPr>
        <w:t>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and</w:t>
      </w:r>
    </w:p>
    <w:p>
      <w:pPr>
        <w:spacing w:after="0" w:line="183" w:lineRule="exact"/>
        <w:rPr>
          <w:rFonts w:ascii="Arial" w:cs="Arial" w:eastAsia="Arial" w:hAnsi="Arial"/>
          <w:sz w:val="18"/>
          <w:szCs w:val="18"/>
          <w:color w:val="auto"/>
        </w:rPr>
      </w:pPr>
    </w:p>
    <w:p>
      <w:pPr>
        <w:jc w:val="both"/>
        <w:ind w:firstLine="2276"/>
        <w:spacing w:after="0" w:line="259" w:lineRule="auto"/>
        <w:tabs>
          <w:tab w:leader="none" w:pos="2568" w:val="left"/>
        </w:tabs>
        <w:numPr>
          <w:ilvl w:val="2"/>
          <w:numId w:val="20"/>
        </w:numPr>
        <w:rPr>
          <w:rFonts w:ascii="Arial" w:cs="Arial" w:eastAsia="Arial" w:hAnsi="Arial"/>
          <w:sz w:val="18"/>
          <w:szCs w:val="18"/>
          <w:color w:val="auto"/>
        </w:rPr>
      </w:pPr>
      <w:r>
        <w:rPr>
          <w:rFonts w:ascii="Arial" w:cs="Arial" w:eastAsia="Arial" w:hAnsi="Arial"/>
          <w:sz w:val="18"/>
          <w:szCs w:val="18"/>
          <w:color w:val="auto"/>
        </w:rPr>
        <w:t>as to any two or more funds whose shares are aggregated to count as one stockholder for the purpose of constituting an Eligible Stockholder, within five business days after the date of the Notice of Proxy Access Nomination, will provide to the Corporation documentation reasonably satisfactory to the Corporation that demonstrates that the funds satisfy the requirements of the second sentence of subsection (a) of this Section 2.16;</w:t>
      </w:r>
    </w:p>
    <w:p>
      <w:pPr>
        <w:spacing w:after="0" w:line="186" w:lineRule="exact"/>
        <w:rPr>
          <w:rFonts w:ascii="Arial" w:cs="Arial" w:eastAsia="Arial" w:hAnsi="Arial"/>
          <w:sz w:val="18"/>
          <w:szCs w:val="18"/>
          <w:color w:val="auto"/>
        </w:rPr>
      </w:pPr>
    </w:p>
    <w:p>
      <w:pPr>
        <w:ind w:left="1940" w:hanging="312"/>
        <w:spacing w:after="0"/>
        <w:tabs>
          <w:tab w:leader="none" w:pos="1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undertaking that the Eligible Stockholder agrees to:</w:t>
      </w:r>
    </w:p>
    <w:p>
      <w:pPr>
        <w:spacing w:after="0" w:line="225" w:lineRule="exact"/>
        <w:rPr>
          <w:rFonts w:ascii="Arial" w:cs="Arial" w:eastAsia="Arial" w:hAnsi="Arial"/>
          <w:sz w:val="18"/>
          <w:szCs w:val="18"/>
          <w:color w:val="auto"/>
        </w:rPr>
      </w:pPr>
    </w:p>
    <w:p>
      <w:pPr>
        <w:ind w:firstLine="2276"/>
        <w:spacing w:after="0" w:line="277" w:lineRule="auto"/>
        <w:tabs>
          <w:tab w:leader="none" w:pos="2617" w:val="left"/>
        </w:tabs>
        <w:numPr>
          <w:ilvl w:val="2"/>
          <w:numId w:val="21"/>
        </w:numPr>
        <w:rPr>
          <w:rFonts w:ascii="Arial" w:cs="Arial" w:eastAsia="Arial" w:hAnsi="Arial"/>
          <w:sz w:val="18"/>
          <w:szCs w:val="18"/>
          <w:color w:val="auto"/>
        </w:rPr>
      </w:pPr>
      <w:r>
        <w:rPr>
          <w:rFonts w:ascii="Arial" w:cs="Arial" w:eastAsia="Arial" w:hAnsi="Arial"/>
          <w:sz w:val="18"/>
          <w:szCs w:val="18"/>
          <w:color w:val="auto"/>
        </w:rPr>
        <w:t>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170" w:lineRule="exact"/>
        <w:rPr>
          <w:rFonts w:ascii="Arial" w:cs="Arial" w:eastAsia="Arial" w:hAnsi="Arial"/>
          <w:sz w:val="18"/>
          <w:szCs w:val="18"/>
          <w:color w:val="auto"/>
        </w:rPr>
      </w:pPr>
    </w:p>
    <w:p>
      <w:pPr>
        <w:jc w:val="both"/>
        <w:ind w:firstLine="2276"/>
        <w:spacing w:after="0" w:line="259" w:lineRule="auto"/>
        <w:tabs>
          <w:tab w:leader="none" w:pos="2559" w:val="left"/>
        </w:tabs>
        <w:numPr>
          <w:ilvl w:val="2"/>
          <w:numId w:val="21"/>
        </w:numPr>
        <w:rPr>
          <w:rFonts w:ascii="Arial" w:cs="Arial" w:eastAsia="Arial" w:hAnsi="Arial"/>
          <w:sz w:val="18"/>
          <w:szCs w:val="18"/>
          <w:color w:val="auto"/>
        </w:rPr>
      </w:pPr>
      <w:r>
        <w:rPr>
          <w:rFonts w:ascii="Arial" w:cs="Arial" w:eastAsia="Arial" w:hAnsi="Arial"/>
          <w:sz w:val="18"/>
          <w:szCs w:val="18"/>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2.16; and</w:t>
      </w:r>
    </w:p>
    <w:p>
      <w:pPr>
        <w:spacing w:after="0" w:line="186" w:lineRule="exact"/>
        <w:rPr>
          <w:rFonts w:ascii="Arial" w:cs="Arial" w:eastAsia="Arial" w:hAnsi="Arial"/>
          <w:sz w:val="18"/>
          <w:szCs w:val="18"/>
          <w:color w:val="auto"/>
        </w:rPr>
      </w:pPr>
    </w:p>
    <w:p>
      <w:pPr>
        <w:jc w:val="both"/>
        <w:ind w:firstLine="2276"/>
        <w:spacing w:after="0" w:line="263" w:lineRule="auto"/>
        <w:tabs>
          <w:tab w:leader="none" w:pos="2583" w:val="left"/>
        </w:tabs>
        <w:numPr>
          <w:ilvl w:val="2"/>
          <w:numId w:val="21"/>
        </w:numPr>
        <w:rPr>
          <w:rFonts w:ascii="Arial" w:cs="Arial" w:eastAsia="Arial" w:hAnsi="Arial"/>
          <w:sz w:val="18"/>
          <w:szCs w:val="18"/>
          <w:color w:val="auto"/>
        </w:rPr>
      </w:pPr>
      <w:r>
        <w:rPr>
          <w:rFonts w:ascii="Arial" w:cs="Arial" w:eastAsia="Arial" w:hAnsi="Arial"/>
          <w:sz w:val="18"/>
          <w:szCs w:val="18"/>
          <w:color w:val="auto"/>
        </w:rPr>
        <w:t>file with the Securities and Exchange Commission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 and</w:t>
      </w:r>
    </w:p>
    <w:p>
      <w:pPr>
        <w:spacing w:after="0" w:line="183" w:lineRule="exact"/>
        <w:rPr>
          <w:rFonts w:ascii="Arial" w:cs="Arial" w:eastAsia="Arial" w:hAnsi="Arial"/>
          <w:sz w:val="18"/>
          <w:szCs w:val="18"/>
          <w:color w:val="auto"/>
        </w:rPr>
      </w:pPr>
    </w:p>
    <w:p>
      <w:pPr>
        <w:jc w:val="both"/>
        <w:ind w:firstLine="1628"/>
        <w:spacing w:after="0" w:line="263" w:lineRule="auto"/>
        <w:tabs>
          <w:tab w:leader="none" w:pos="19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an Eligible Stockholder, the designation by all group members of one group member that is authorized to act on behalf of all such members with respect to the nomination and matters related thereto, including withdrawal of the nomination.</w:t>
      </w:r>
    </w:p>
    <w:p>
      <w:pPr>
        <w:spacing w:after="0" w:line="183" w:lineRule="exact"/>
        <w:rPr>
          <w:rFonts w:ascii="Arial" w:cs="Arial" w:eastAsia="Arial" w:hAnsi="Arial"/>
          <w:sz w:val="18"/>
          <w:szCs w:val="18"/>
          <w:color w:val="auto"/>
        </w:rPr>
      </w:pPr>
    </w:p>
    <w:p>
      <w:pPr>
        <w:ind w:firstLine="1304"/>
        <w:spacing w:after="0" w:line="342" w:lineRule="auto"/>
        <w:tabs>
          <w:tab w:leader="none" w:pos="1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Within the time period specified in this Section 2.16 for delivering the Notice of Proxy Access Nomination, a Stockholder Nominee must deliver to the Secretary of the Corporation (which shall be deemed to be part of the Stockholder Notice for purposes of this Section 2.16):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1628"/>
        <w:spacing w:after="0" w:line="277" w:lineRule="auto"/>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required with respect to persons whom a stockholder proposes to nominate for election or reelection as a director by Article II, Section 2.14 of these by-laws;</w:t>
      </w:r>
    </w:p>
    <w:p>
      <w:pPr>
        <w:spacing w:after="0" w:line="170" w:lineRule="exact"/>
        <w:rPr>
          <w:rFonts w:ascii="Arial" w:cs="Arial" w:eastAsia="Arial" w:hAnsi="Arial"/>
          <w:sz w:val="18"/>
          <w:szCs w:val="18"/>
          <w:color w:val="auto"/>
        </w:rPr>
      </w:pPr>
    </w:p>
    <w:p>
      <w:pPr>
        <w:ind w:left="1900" w:hanging="27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written representation and agreement that such person:</w:t>
      </w:r>
    </w:p>
    <w:p>
      <w:pPr>
        <w:spacing w:after="0" w:line="225" w:lineRule="exact"/>
        <w:rPr>
          <w:rFonts w:ascii="Arial" w:cs="Arial" w:eastAsia="Arial" w:hAnsi="Arial"/>
          <w:sz w:val="18"/>
          <w:szCs w:val="18"/>
          <w:color w:val="auto"/>
        </w:rPr>
      </w:pPr>
    </w:p>
    <w:p>
      <w:pPr>
        <w:ind w:left="2580" w:hanging="304"/>
        <w:spacing w:after="0"/>
        <w:tabs>
          <w:tab w:leader="none" w:pos="2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will act as a representative of all of the stockholders of the Corporation while serving as a director;</w:t>
      </w:r>
    </w:p>
    <w:p>
      <w:pPr>
        <w:spacing w:after="0" w:line="225" w:lineRule="exact"/>
        <w:rPr>
          <w:rFonts w:ascii="Arial" w:cs="Arial" w:eastAsia="Arial" w:hAnsi="Arial"/>
          <w:sz w:val="18"/>
          <w:szCs w:val="18"/>
          <w:color w:val="auto"/>
        </w:rPr>
      </w:pPr>
    </w:p>
    <w:p>
      <w:pPr>
        <w:jc w:val="both"/>
        <w:ind w:firstLine="2276"/>
        <w:spacing w:after="0" w:line="286" w:lineRule="auto"/>
        <w:tabs>
          <w:tab w:leader="none" w:pos="25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is not and will not become a party to (I) a Voting Commitment (as defined in Article II, Section 2.15 of these by-laws) that has not been disclosed to the Corporation or (II) any Voting Commitment that could limit or interfere with such Stockholder Nominee’s ability to comply, if elected as a director of the Corporation, with such Stockholder Nominee’s fiduciary duties under applicable law;</w:t>
      </w:r>
    </w:p>
    <w:p>
      <w:pPr>
        <w:spacing w:after="0" w:line="165" w:lineRule="exact"/>
        <w:rPr>
          <w:rFonts w:ascii="Arial" w:cs="Arial" w:eastAsia="Arial" w:hAnsi="Arial"/>
          <w:sz w:val="17"/>
          <w:szCs w:val="17"/>
          <w:color w:val="auto"/>
        </w:rPr>
      </w:pPr>
    </w:p>
    <w:p>
      <w:pPr>
        <w:jc w:val="both"/>
        <w:ind w:firstLine="2276"/>
        <w:spacing w:after="0" w:line="263" w:lineRule="auto"/>
        <w:tabs>
          <w:tab w:leader="none" w:pos="2562"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not or will not become a party to any agreement, arrangement or understanding with any person or entity other than the Corporation with respect to direct or indirect compensation, reimbursement or indemnification in connection with service or action as a director that has not been disclosed to the Corporation;</w:t>
      </w:r>
    </w:p>
    <w:p>
      <w:pPr>
        <w:spacing w:after="0" w:line="183" w:lineRule="exact"/>
        <w:rPr>
          <w:rFonts w:ascii="Arial" w:cs="Arial" w:eastAsia="Arial" w:hAnsi="Arial"/>
          <w:sz w:val="18"/>
          <w:szCs w:val="18"/>
          <w:color w:val="auto"/>
        </w:rPr>
      </w:pPr>
    </w:p>
    <w:p>
      <w:pPr>
        <w:jc w:val="both"/>
        <w:ind w:firstLine="2276"/>
        <w:spacing w:after="0" w:line="263" w:lineRule="auto"/>
        <w:tabs>
          <w:tab w:leader="none" w:pos="25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will comply with all applicable publicly disclosed corporate governance, conflict of interest, confidentiality and stock ownership and trading policies and guidelines of the Corporation, as well as the applicable provisions of these by-laws and the rules and regulations of the Securities and Exchange Commission and any stock exchange applicable to the Corporation; and</w:t>
      </w:r>
    </w:p>
    <w:p>
      <w:pPr>
        <w:spacing w:after="0" w:line="183" w:lineRule="exact"/>
        <w:rPr>
          <w:rFonts w:ascii="Arial" w:cs="Arial" w:eastAsia="Arial" w:hAnsi="Arial"/>
          <w:sz w:val="18"/>
          <w:szCs w:val="18"/>
          <w:color w:val="auto"/>
        </w:rPr>
      </w:pPr>
    </w:p>
    <w:p>
      <w:pPr>
        <w:jc w:val="both"/>
        <w:ind w:firstLine="2276"/>
        <w:spacing w:after="0" w:line="263" w:lineRule="auto"/>
        <w:tabs>
          <w:tab w:leader="none" w:pos="25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will provide facts, statements and other information in all communications with the Corporation and its stockholders that are or will be true and correct in all material respects (and shall not omit to state a material fact necessary in order to make the statements made, in light of the circumstances under which they were made, not misleading).</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At the request of the Corporation, the Stockholder Nominee(s) must submit all completed and signed questionnaires required of directors and officers of the Corporation, including, but not limited to, the questionnaire referenced in Article II, Section 2.15 of the by-laws. The Corporation may request such additional information as necessary to permit the Board of Directors to determine if each Stockholder Nominee satisfies the requirements of this Section 2.16 or if each Stockholder Nominee is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the independence of the Corporation’s directors.</w:t>
      </w:r>
    </w:p>
    <w:p>
      <w:pPr>
        <w:spacing w:after="0" w:line="178" w:lineRule="exact"/>
        <w:rPr>
          <w:sz w:val="20"/>
          <w:szCs w:val="20"/>
          <w:color w:val="auto"/>
        </w:rPr>
      </w:pPr>
    </w:p>
    <w:p>
      <w:pPr>
        <w:jc w:val="both"/>
        <w:ind w:firstLine="1304"/>
        <w:spacing w:after="0" w:line="255" w:lineRule="auto"/>
        <w:tabs>
          <w:tab w:leader="none" w:pos="15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the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Stockholder Nominee, as the case may be, shall promptly notify the Secretary of the Corporation of any defect in such previously provided information and of the information that is required to correct any such defect it being understood that providing any such notification shall not be deemed to cure any defect or limit the Corporation’s rights to omit a Stockholder Nominee from its proxy materials as provided in this Section 2.16.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1304"/>
        <w:spacing w:after="0" w:line="263" w:lineRule="auto"/>
        <w:tabs>
          <w:tab w:leader="none" w:pos="15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 shall not be required to include, pursuant to this Section 2.16, a Stockholder Nominee in its proxy materials for any meeting of stockholders (any such nomination shall be disregarded and no vote on such Stockholder Nominee will occur, notwithstanding that proxies in respect of such vote may have been received by the Corporation):</w:t>
      </w:r>
    </w:p>
    <w:p>
      <w:pPr>
        <w:spacing w:after="0" w:line="183" w:lineRule="exact"/>
        <w:rPr>
          <w:rFonts w:ascii="Arial" w:cs="Arial" w:eastAsia="Arial" w:hAnsi="Arial"/>
          <w:sz w:val="18"/>
          <w:szCs w:val="18"/>
          <w:color w:val="auto"/>
        </w:rPr>
      </w:pPr>
    </w:p>
    <w:p>
      <w:pPr>
        <w:jc w:val="both"/>
        <w:ind w:firstLine="1628"/>
        <w:spacing w:after="0" w:line="263" w:lineRule="auto"/>
        <w:tabs>
          <w:tab w:leader="none" w:pos="1869"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a stockholder has submitted (and the Secretary of the Corporation has received) a notice of nomination (whether or not subsequently withdrawn) pursuant to the advance notice requirements for stockholder nominees for director set forth in clause (c) of the first sentence of Article II, Section 2.14 of these by-laws;</w:t>
      </w:r>
    </w:p>
    <w:p>
      <w:pPr>
        <w:spacing w:after="0" w:line="183" w:lineRule="exact"/>
        <w:rPr>
          <w:rFonts w:ascii="Arial" w:cs="Arial" w:eastAsia="Arial" w:hAnsi="Arial"/>
          <w:sz w:val="18"/>
          <w:szCs w:val="18"/>
          <w:color w:val="auto"/>
        </w:rPr>
      </w:pPr>
    </w:p>
    <w:p>
      <w:pPr>
        <w:jc w:val="both"/>
        <w:ind w:firstLine="1628"/>
        <w:spacing w:after="0" w:line="311" w:lineRule="auto"/>
        <w:tabs>
          <w:tab w:leader="none" w:pos="1919" w:val="left"/>
        </w:tabs>
        <w:numPr>
          <w:ilvl w:val="1"/>
          <w:numId w:val="25"/>
        </w:numPr>
        <w:rPr>
          <w:rFonts w:ascii="Arial" w:cs="Arial" w:eastAsia="Arial" w:hAnsi="Arial"/>
          <w:sz w:val="16"/>
          <w:szCs w:val="16"/>
          <w:color w:val="auto"/>
        </w:rPr>
      </w:pPr>
      <w:r>
        <w:rPr>
          <w:rFonts w:ascii="Arial" w:cs="Arial" w:eastAsia="Arial" w:hAnsi="Arial"/>
          <w:sz w:val="16"/>
          <w:szCs w:val="16"/>
          <w:color w:val="auto"/>
        </w:rPr>
        <w:t>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in its sole discretion;</w:t>
      </w:r>
    </w:p>
    <w:p>
      <w:pPr>
        <w:spacing w:after="0" w:line="148" w:lineRule="exact"/>
        <w:rPr>
          <w:rFonts w:ascii="Arial" w:cs="Arial" w:eastAsia="Arial" w:hAnsi="Arial"/>
          <w:sz w:val="16"/>
          <w:szCs w:val="16"/>
          <w:color w:val="auto"/>
        </w:rPr>
      </w:pPr>
    </w:p>
    <w:p>
      <w:pPr>
        <w:jc w:val="both"/>
        <w:ind w:firstLine="1628"/>
        <w:spacing w:after="0" w:line="263" w:lineRule="auto"/>
        <w:tabs>
          <w:tab w:leader="none" w:pos="19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whose election as a member of the Board of Directors would cause the Corporation to be in violation of these by-laws, the certificate of incorporation, the rules and listing standards of the principal U.S. exchanges upon which the common stock of the Corporation is traded, or any applicable state or federal law, rule or regulation;</w:t>
      </w:r>
    </w:p>
    <w:p>
      <w:pPr>
        <w:spacing w:after="0" w:line="183" w:lineRule="exact"/>
        <w:rPr>
          <w:rFonts w:ascii="Arial" w:cs="Arial" w:eastAsia="Arial" w:hAnsi="Arial"/>
          <w:sz w:val="18"/>
          <w:szCs w:val="18"/>
          <w:color w:val="auto"/>
        </w:rPr>
      </w:pPr>
    </w:p>
    <w:p>
      <w:pPr>
        <w:ind w:firstLine="1628"/>
        <w:spacing w:after="0" w:line="277" w:lineRule="auto"/>
        <w:tabs>
          <w:tab w:leader="none" w:pos="19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who is or has been, within the past three (3) years, an officer or director of a competitor, as defined for purposes of Section 8 of the Clayton Antitrust Act of 1914;</w:t>
      </w:r>
    </w:p>
    <w:p>
      <w:pPr>
        <w:spacing w:after="0" w:line="170" w:lineRule="exact"/>
        <w:rPr>
          <w:rFonts w:ascii="Arial" w:cs="Arial" w:eastAsia="Arial" w:hAnsi="Arial"/>
          <w:sz w:val="18"/>
          <w:szCs w:val="18"/>
          <w:color w:val="auto"/>
        </w:rPr>
      </w:pPr>
    </w:p>
    <w:p>
      <w:pPr>
        <w:ind w:firstLine="1628"/>
        <w:spacing w:after="0" w:line="277" w:lineRule="auto"/>
        <w:tabs>
          <w:tab w:leader="none" w:pos="18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who is a named subject of a pending criminal proceeding (excluding traffic violations and other minor offenses) or has been convicted in such a criminal proceeding within the past ten (10) years;</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who is subject to any order of the type specified in Rule 506(d) of Regulation D promulgated under the Securities Act of 1933,</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w:t>
      </w:r>
    </w:p>
    <w:p>
      <w:pPr>
        <w:spacing w:after="0" w:line="210" w:lineRule="exact"/>
        <w:rPr>
          <w:rFonts w:ascii="Arial" w:cs="Arial" w:eastAsia="Arial" w:hAnsi="Arial"/>
          <w:sz w:val="16"/>
          <w:szCs w:val="16"/>
          <w:color w:val="auto"/>
        </w:rPr>
      </w:pPr>
    </w:p>
    <w:p>
      <w:pPr>
        <w:jc w:val="both"/>
        <w:ind w:firstLine="1628"/>
        <w:spacing w:after="0" w:line="259" w:lineRule="auto"/>
        <w:tabs>
          <w:tab w:leader="none" w:pos="20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such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 in each case, in its sole discretion; or</w:t>
      </w:r>
    </w:p>
    <w:p>
      <w:pPr>
        <w:spacing w:after="0" w:line="186" w:lineRule="exact"/>
        <w:rPr>
          <w:rFonts w:ascii="Arial" w:cs="Arial" w:eastAsia="Arial" w:hAnsi="Arial"/>
          <w:sz w:val="18"/>
          <w:szCs w:val="18"/>
          <w:color w:val="auto"/>
        </w:rPr>
      </w:pPr>
    </w:p>
    <w:p>
      <w:pPr>
        <w:ind w:firstLine="1628"/>
        <w:spacing w:after="0" w:line="308" w:lineRule="auto"/>
        <w:tabs>
          <w:tab w:leader="none" w:pos="2035"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Eligible Stockholder or applicable Stockholder Nominee breaches or fails to comply with its obligations pursuant to these by-laws, including, but not limited to, this Section 2.16 and any agreement, representation or undertaking required by this Section 2.16.</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5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the Board of Directors or the chairman of the meeting of stockholders shall declare a nomination by an Eligible Stockholder to be invalid, and such nomination shall be disregarded notwithstanding that proxies in respect of such vote may have been received by the Corporation, if: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firstLine="1628"/>
        <w:spacing w:after="0" w:line="308" w:lineRule="auto"/>
        <w:tabs>
          <w:tab w:leader="none" w:pos="18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Stockholder Nominee(s) and/or the applicable Eligible Stockholder shall have breached its or their obligations under this Section 2.16, as determined by the Board of Directors or the chairman of the meeting of stockholders, in each case, in its or his sole discretion; or</w:t>
      </w:r>
    </w:p>
    <w:p>
      <w:pPr>
        <w:spacing w:after="0" w:line="146" w:lineRule="exact"/>
        <w:rPr>
          <w:rFonts w:ascii="Arial" w:cs="Arial" w:eastAsia="Arial" w:hAnsi="Arial"/>
          <w:sz w:val="17"/>
          <w:szCs w:val="17"/>
          <w:color w:val="auto"/>
        </w:rPr>
      </w:pPr>
    </w:p>
    <w:p>
      <w:pPr>
        <w:ind w:firstLine="1628"/>
        <w:spacing w:after="0" w:line="277" w:lineRule="auto"/>
        <w:tabs>
          <w:tab w:leader="none" w:pos="18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Eligible Stockholder (or a qualified representative thereof (as such term is defined in Section 2.14 of these by-laws)) does not appear at the meeting of stockholders to present any nomination pursuant to this Section 2.16.</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Stockholder Nominee who is included in the Corporation’s proxy materials for a particular annual meeting of stockholders but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either:</w:t>
      </w:r>
    </w:p>
    <w:p>
      <w:pPr>
        <w:spacing w:after="0" w:line="210" w:lineRule="exact"/>
        <w:rPr>
          <w:rFonts w:ascii="Arial" w:cs="Arial" w:eastAsia="Arial" w:hAnsi="Arial"/>
          <w:sz w:val="16"/>
          <w:szCs w:val="16"/>
          <w:color w:val="auto"/>
        </w:rPr>
      </w:pPr>
    </w:p>
    <w:p>
      <w:pPr>
        <w:ind w:left="1840" w:hanging="212"/>
        <w:spacing w:after="0"/>
        <w:tabs>
          <w:tab w:leader="none" w:pos="1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withdraws from or becomes ineligible or unavailable for election at the annual meeting; or</w:t>
      </w:r>
    </w:p>
    <w:p>
      <w:pPr>
        <w:spacing w:after="0" w:line="225" w:lineRule="exact"/>
        <w:rPr>
          <w:rFonts w:ascii="Arial" w:cs="Arial" w:eastAsia="Arial" w:hAnsi="Arial"/>
          <w:sz w:val="18"/>
          <w:szCs w:val="18"/>
          <w:color w:val="auto"/>
        </w:rPr>
      </w:pPr>
    </w:p>
    <w:p>
      <w:pPr>
        <w:ind w:left="1900" w:hanging="272"/>
        <w:spacing w:after="0"/>
        <w:tabs>
          <w:tab w:leader="none" w:pos="1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does not receive at least 25% of the votes cast in favor of such Stockholder Nominee’s election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be ineligible to be a Stockholder Nominee pursuant to this Section 2.16 for the next two annual meetings. For the avoidance of doubt, this Section 2.16(j) shall not prevent any stockholder from nominating any person to the Board of Directors pursuant to and in accordance with clause (c) of the first sentence of Article II, Section 2.14 of these by-laws.</w:t>
      </w:r>
    </w:p>
    <w:p>
      <w:pPr>
        <w:spacing w:after="0" w:line="184" w:lineRule="exact"/>
        <w:rPr>
          <w:sz w:val="20"/>
          <w:szCs w:val="20"/>
          <w:color w:val="auto"/>
        </w:rPr>
      </w:pPr>
    </w:p>
    <w:p>
      <w:pPr>
        <w:jc w:val="both"/>
        <w:ind w:firstLine="1304"/>
        <w:spacing w:after="0" w:line="257" w:lineRule="auto"/>
        <w:tabs>
          <w:tab w:leader="none" w:pos="15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of Directors (or any other person or body authorized by the Board of Directors) shall have the exclusive power and authority to interpret the provisions of this Section 2.16 of these by-laws and make all determinations deemed necessary or advisable in connection with this Section 2.16 to any person, facts or circumstances. All such actions, interpretations and determinations that are done or made by the Board of Directors (or any other person or body authorized by the Board of Directors) shall be final, conclusive and binding on the Corporation, the stockholders and all other parties.</w:t>
      </w:r>
    </w:p>
    <w:p>
      <w:pPr>
        <w:spacing w:after="0" w:line="187" w:lineRule="exact"/>
        <w:rPr>
          <w:rFonts w:ascii="Arial" w:cs="Arial" w:eastAsia="Arial" w:hAnsi="Arial"/>
          <w:sz w:val="18"/>
          <w:szCs w:val="18"/>
          <w:color w:val="auto"/>
        </w:rPr>
      </w:pPr>
    </w:p>
    <w:p>
      <w:pPr>
        <w:ind w:right="20" w:firstLine="1304"/>
        <w:spacing w:after="0" w:line="277" w:lineRule="auto"/>
        <w:tabs>
          <w:tab w:leader="none" w:pos="15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stockholder shall be permitted to join more than one group of stockholders to become an Eligible Stockholder for purposes of nominations pursuant to this Section 2.16 per each annual meeting of stockholders.</w:t>
      </w:r>
    </w:p>
    <w:p>
      <w:pPr>
        <w:spacing w:after="0" w:line="170" w:lineRule="exact"/>
        <w:rPr>
          <w:rFonts w:ascii="Arial" w:cs="Arial" w:eastAsia="Arial" w:hAnsi="Arial"/>
          <w:sz w:val="18"/>
          <w:szCs w:val="18"/>
          <w:color w:val="auto"/>
        </w:rPr>
      </w:pPr>
    </w:p>
    <w:p>
      <w:pPr>
        <w:ind w:left="1640" w:hanging="336"/>
        <w:spacing w:after="0"/>
        <w:tabs>
          <w:tab w:leader="none" w:pos="1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Section 2.16 shall be the exclusive method for stockholders to include nominees for director in the Corporation’s proxy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materials.</w:t>
      </w:r>
    </w:p>
    <w:p>
      <w:pPr>
        <w:spacing w:after="0" w:line="21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Delivery to the Corporation</w:t>
      </w:r>
      <w:r>
        <w:rPr>
          <w:rFonts w:ascii="Arial" w:cs="Arial" w:eastAsia="Arial" w:hAnsi="Arial"/>
          <w:sz w:val="17"/>
          <w:szCs w:val="17"/>
          <w:color w:val="auto"/>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under the Certificate of Incorporation, these by-laws or the General Corporation Law of the State of Delaware, to the fullest extent permitted by law, the Corporation expressly opts out of Section 116 of the General Corporation Law of the State of Delaware.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8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as of the tenth day preceding the date that the Corporation first mails it notice of meeting to the stockholders of the Corporation,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as of the tenth day preceding the date that the Corporation first mails its notice of meeting to the stockholders of the Corporation,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 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1296"/>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Special Meeting</w:t>
      </w:r>
      <w:r>
        <w:rPr>
          <w:rFonts w:ascii="Arial" w:cs="Arial" w:eastAsia="Arial" w:hAnsi="Arial"/>
          <w:sz w:val="18"/>
          <w:szCs w:val="18"/>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8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Notice of Special Meeting</w:t>
      </w:r>
      <w:r>
        <w:rPr>
          <w:rFonts w:ascii="Arial" w:cs="Arial" w:eastAsia="Arial" w:hAnsi="Arial"/>
          <w:sz w:val="17"/>
          <w:szCs w:val="17"/>
          <w:color w:val="auto"/>
        </w:rPr>
        <w:t>. Notice of special meetings of the Board of Directors shall be given to each director at least 24 hours prior to the time of such meeting by mail, personal delivery, facsimile, telephone or other means of electronic transmission.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1296"/>
        <w:spacing w:after="0" w:line="271"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Place of Meetings; Order of Business</w:t>
      </w:r>
      <w:r>
        <w:rPr>
          <w:rFonts w:ascii="Arial" w:cs="Arial" w:eastAsia="Arial" w:hAnsi="Arial"/>
          <w:sz w:val="17"/>
          <w:szCs w:val="17"/>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of the meeting may appoint any person to act as secretary of the meeting. At all meetings of the Board of Directors business shall be transacted in such order as shall from time to time be determined by the chairman of the meeting.</w:t>
      </w:r>
    </w:p>
    <w:p>
      <w:pPr>
        <w:spacing w:after="0" w:line="17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Quorum and Participation; Telephonic Meeting</w:t>
      </w:r>
      <w:r>
        <w:rPr>
          <w:rFonts w:ascii="Arial" w:cs="Arial" w:eastAsia="Arial" w:hAnsi="Arial"/>
          <w:sz w:val="17"/>
          <w:szCs w:val="17"/>
          <w:color w:val="auto"/>
        </w:rPr>
        <w:t>. A majority of the whole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(i) he objects at the beginning of the meeting to the transaction of any business on the ground that the meeting is not lawfully called or convened, (ii) his dissent shall be entered in the minutes of the meeting or (iii) he shall file his written dissent to such action with the person acting as secretary of the meeting before the adjournment thereof. Such right to dissent shall not apply to a director who voted in favor of such action.</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Action By Unanimous Consent of Directors</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After an action is taken, the consent or consents relating thereto shall be filed with the minutes of proceedings of the Board or committee in the same paper or electronic form as the minutes are maintained. Such consent shall have the same force and effect as a unanimous vote at a meeting, and may be stated as such in any document or instrument filed with the Secretary of State of the State of Delaware.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1296"/>
        <w:spacing w:after="0" w:line="263"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8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to the fullest extent permitted by law, shall be approved, adopted or ratified by the vote of the stockholders holding a majority in voting power of the issued and outstanding shares of stock of the Corporation entitled to vote and present in person or by proxy at such meeting (provided that a quorum is present), shall, to the fullest extent permitted by law,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consent of stockholders holding a majority of the issued and outstanding shares of capital stock of the Corporation entitled to vote and such consent shall, to the fullest extent permitted by law, be as valid and as binding upon the Corporation and upon all the stockholders as if it had been approved or ratified by every stockholder of the Corporation.</w:t>
      </w:r>
    </w:p>
    <w:p>
      <w:pPr>
        <w:spacing w:after="0" w:line="16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Designation, Powers and Name</w:t>
      </w:r>
      <w:r>
        <w:rPr>
          <w:rFonts w:ascii="Arial" w:cs="Arial" w:eastAsia="Arial" w:hAnsi="Arial"/>
          <w:sz w:val="17"/>
          <w:szCs w:val="17"/>
          <w:color w:val="auto"/>
        </w:rPr>
        <w:t>. The Corporation elects to be governed by Section 141(c)(2) of the General Corporation Law of the State of Delaware. The Board of Directors shall designate a Nominating and Governance Committee, a Management Development and Compensation Committee, and an Audit Committee and may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296"/>
        <w:spacing w:after="0" w:line="25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for such committee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at a meeting where a quorum is present, the affirmative vote of a majority of the members present shall be necessary for the adoption by it of any resolution.</w:t>
      </w:r>
    </w:p>
    <w:p>
      <w:pPr>
        <w:spacing w:after="0" w:line="195"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Compensation</w:t>
      </w:r>
      <w:r>
        <w:rPr>
          <w:rFonts w:ascii="Arial" w:cs="Arial" w:eastAsia="Arial" w:hAnsi="Arial"/>
          <w:sz w:val="16"/>
          <w:szCs w:val="16"/>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OF NOTICE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Without limiting the manner by which notice otherwise may be given effectively to stockholders, any notice to stockholders given by the Corporation under any provision of the General Corporation Law of the State of Delaware,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(ii) if delivered by courier service, the earlier of when the notice is received or left at the stockholder’s address, or (iii) if given by electronic mail, when directed at to such stockholder’s electronic mail address (unless the stockholder has notified the Corporation in writing or by electronic transmission of an objection to receiving notice by electronic mail or such notice is prohibited by the General Corporation Law of the State of Delaware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under any provision of the General Corporation Law of the State of Delaware, the Certificate of Incorporation or these by-laws provided by electronic transmission (other than any such notice given by electronic mail) may only be given in a form consented to by such stockholder, and any such notice by electronic transmission shall be deemed to be given as provided by the General Corporation Law of the State of Delaware.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296"/>
        <w:spacing w:after="0" w:line="259" w:lineRule="auto"/>
        <w:rPr>
          <w:sz w:val="20"/>
          <w:szCs w:val="20"/>
          <w:color w:val="auto"/>
        </w:rPr>
      </w:pPr>
      <w:r>
        <w:rPr>
          <w:rFonts w:ascii="Arial" w:cs="Arial" w:eastAsia="Arial" w:hAnsi="Arial"/>
          <w:sz w:val="18"/>
          <w:szCs w:val="18"/>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Waiver</w:t>
      </w:r>
      <w:r>
        <w:rPr>
          <w:rFonts w:ascii="Arial" w:cs="Arial" w:eastAsia="Arial" w:hAnsi="Arial"/>
          <w:sz w:val="16"/>
          <w:szCs w:val="16"/>
          <w:color w:val="auto"/>
        </w:rPr>
        <w:t>. Whenever any notice is required to be given under the Certificate of Incorporation, these by-laws or applicable law, a waiver thereof in writing or by electronic transmission, given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unless so required by the Certificate of Incorporation or these by-laws.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Officers</w:t>
      </w:r>
      <w:r>
        <w:rPr>
          <w:rFonts w:ascii="Arial" w:cs="Arial" w:eastAsia="Arial" w:hAnsi="Arial"/>
          <w:sz w:val="17"/>
          <w:szCs w:val="17"/>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 Chief Legal Officer,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1296"/>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6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Vacancies</w:t>
      </w:r>
      <w:r>
        <w:rPr>
          <w:rFonts w:ascii="Arial" w:cs="Arial" w:eastAsia="Arial" w:hAnsi="Arial"/>
          <w:sz w:val="17"/>
          <w:szCs w:val="17"/>
          <w:color w:val="auto"/>
        </w:rPr>
        <w:t>. If the Chief Executive Officer, President, Chief Legal Officer, Chief Financial Officer, Chief Accounting Officer or the most senior representative of Internal Audit shall die, resign, or otherwise be removed from such officer position, such vacancy may be filled solely by the Board of Directors. Any vacancy occurring with respect to any other officer due to death, resignation, removal or otherwise, may be filled by the Board of Directors or by the Chief Executive Officer or the President in accordance with these by-laws.</w:t>
      </w:r>
    </w:p>
    <w:p>
      <w:pPr>
        <w:spacing w:after="0" w:line="17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Compensation</w:t>
      </w:r>
      <w:r>
        <w:rPr>
          <w:rFonts w:ascii="Arial" w:cs="Arial" w:eastAsia="Arial" w:hAnsi="Arial"/>
          <w:sz w:val="17"/>
          <w:szCs w:val="17"/>
          <w:color w:val="auto"/>
        </w:rPr>
        <w:t>. The compensation of the Corporation’s executive officers (as determined in accordance with the Securities Exchange Act of 1934, as amended), and any other group of officers elected or appointed by the Board of Directors and set forth in the charter of the Management Development and Compensation Committee,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7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296"/>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Substitute for Chairman of the Board</w:t>
      </w:r>
      <w:r>
        <w:rPr>
          <w:rFonts w:ascii="Arial" w:cs="Arial" w:eastAsia="Arial" w:hAnsi="Arial"/>
          <w:sz w:val="18"/>
          <w:szCs w:val="18"/>
          <w:color w:val="auto"/>
        </w:rPr>
        <w:t>. In the absence of the Chairman of the Board, or in the event of his inability or refusal to act, the Chairman of the Nominating and Governance Committee will preside and shall perform the duties and exercise the powers of the Chairman of the Board, and when acting shall have all the powers of and be subject to all the restriction upon the Chairman of the Board. If both the Chairman of the Board and the Chairman of the Nominating and Governance Committee are absent or unable to act as chairman, a chairman shall be elected from the directors present.</w:t>
      </w:r>
    </w:p>
    <w:p>
      <w:pPr>
        <w:spacing w:after="0" w:line="18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the Chairman of the Nominating and Governance Committee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or to fill a vacancy in the office of the President, Chief Legal Officer, Chief Financial Officer, Chief Accounting Officer or the most senior representative of Internal Audit without the approval of the Board of Directors.</w:t>
      </w:r>
    </w:p>
    <w:p>
      <w:pPr>
        <w:spacing w:after="0" w:line="182"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Board of Directors or the Executive Committee (if any) from time to time.</w:t>
      </w:r>
    </w:p>
    <w:p>
      <w:pPr>
        <w:spacing w:after="0" w:line="14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President</w:t>
      </w:r>
      <w:r>
        <w:rPr>
          <w:rFonts w:ascii="Arial" w:cs="Arial" w:eastAsia="Arial" w:hAnsi="Arial"/>
          <w:sz w:val="17"/>
          <w:szCs w:val="17"/>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or to fill a vacancy in the office of the Chief Executive Officer, Chief Legal Officer, Chief Financial Officer, Chief Accounting Officer or the most senior representative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296"/>
        <w:spacing w:after="0" w:line="25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9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296"/>
        <w:spacing w:after="0" w:line="301"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General Counsel / Chief Legal Officer</w:t>
      </w:r>
      <w:r>
        <w:rPr>
          <w:rFonts w:ascii="Arial" w:cs="Arial" w:eastAsia="Arial" w:hAnsi="Arial"/>
          <w:sz w:val="16"/>
          <w:szCs w:val="16"/>
          <w:color w:val="auto"/>
        </w:rPr>
        <w:t>. The General Counsel, who may also, or in the alternative, have the title Chief Legal Officer, shall be the chief legal advisor of the Corporation and shall have responsibility for the management of the legal affairs and litigation of the Corporation; and, in general, he shall perform the duties incident to the office of general counsel or chief legal officer of a corporation and such other duties as may be assigned to him by these by-laws or by the Chief Executive Officer, the President, the Board of Directors, or the Executive Committee (if any).</w:t>
      </w:r>
    </w:p>
    <w:p>
      <w:pPr>
        <w:spacing w:after="0" w:line="15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if required by law,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18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Chief Accounting Officer</w:t>
      </w:r>
      <w:r>
        <w:rPr>
          <w:rFonts w:ascii="Arial" w:cs="Arial" w:eastAsia="Arial" w:hAnsi="Arial"/>
          <w:sz w:val="17"/>
          <w:szCs w:val="17"/>
          <w:color w:val="auto"/>
        </w:rPr>
        <w:t>. The Chief Accounting Officer shall be the principal accounting officer of the Corporation and may also be the controller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7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1296"/>
        <w:spacing w:after="0" w:line="253"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Assistant Secretary, Assistant Treasurer or Assistant Controller</w:t>
      </w:r>
      <w:r>
        <w:rPr>
          <w:rFonts w:ascii="Arial" w:cs="Arial" w:eastAsia="Arial" w:hAnsi="Arial"/>
          <w:sz w:val="18"/>
          <w:szCs w:val="18"/>
          <w:color w:val="auto"/>
        </w:rPr>
        <w:t>. The Assistant Secretaries, Assistant Treasurers and Assistant Controllers shall, in general, 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and Assistant Treasurers may sign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CONTRACTS, CHECKS AND DEPOSITS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Contracts</w:t>
      </w:r>
      <w:r>
        <w:rPr>
          <w:rFonts w:ascii="Arial" w:cs="Arial" w:eastAsia="Arial" w:hAnsi="Arial"/>
          <w:sz w:val="17"/>
          <w:szCs w:val="17"/>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loans,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296"/>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8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CERTIFICATES OF STOCK</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if provided by the Board of Directors by resolution or resolutions, shall be uncertificated shares evidenced by a book-entry system maintained by the registrar of such stock, or a combination of both. Every holder of stock represented by certificates shall be entitled to a certificate signed by, or in the name of the Corporation by, two authorized officers of the Corporation, including, but not limited to, the Chairman of the Board of Directors, the Vice Chairman of the Board of Directors, the President, a Vice-President, the Treasurer, an Assistant Treasurer, the Secretary or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7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1296"/>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6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Lost, Stolen or Destroyed; Issuance of New Certificates</w:t>
      </w:r>
      <w:r>
        <w:rPr>
          <w:rFonts w:ascii="Arial" w:cs="Arial" w:eastAsia="Arial" w:hAnsi="Arial"/>
          <w:sz w:val="16"/>
          <w:szCs w:val="16"/>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Transfers</w:t>
      </w:r>
      <w:r>
        <w:rPr>
          <w:rFonts w:ascii="Arial" w:cs="Arial" w:eastAsia="Arial" w:hAnsi="Arial"/>
          <w:sz w:val="16"/>
          <w:szCs w:val="16"/>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296"/>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pursuant to and in accordance with applicable law. Dividends may be paid in the form of cash, in property or in shares of capital stock, subject to the provisions of the Certificate of Incorporation.</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Reserve</w:t>
      </w:r>
      <w:r>
        <w:rPr>
          <w:rFonts w:ascii="Arial" w:cs="Arial" w:eastAsia="Arial" w:hAnsi="Arial"/>
          <w:sz w:val="18"/>
          <w:szCs w:val="18"/>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ADVANCEMENT OF EXPENSES</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Third Party Actions</w:t>
      </w:r>
      <w:r>
        <w:rPr>
          <w:rFonts w:ascii="Arial" w:cs="Arial" w:eastAsia="Arial" w:hAnsi="Arial"/>
          <w:sz w:val="16"/>
          <w:szCs w:val="16"/>
          <w:color w:val="auto"/>
        </w:rPr>
        <w:t>. This Corporation shall, to the maximum extent permitted from time to time under the law of the State of Delaware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 For purposes of this Article X, an “officer” is defined as any person elected as an officer of this Corporation by the Board of Directors or appointed as an officer of this Corporation by the Chief Executive Officer or President, in each case, in accordance with Article VI of these by-laws.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296"/>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Successful Defense</w:t>
      </w:r>
      <w:r>
        <w:rPr>
          <w:rFonts w:ascii="Arial" w:cs="Arial" w:eastAsia="Arial" w:hAnsi="Arial"/>
          <w:sz w:val="17"/>
          <w:szCs w:val="17"/>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296"/>
        <w:spacing w:after="0" w:line="29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8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Survival; Preservation of Other Rights</w:t>
      </w:r>
      <w:r>
        <w:rPr>
          <w:rFonts w:ascii="Arial" w:cs="Arial" w:eastAsia="Arial" w:hAnsi="Arial"/>
          <w:sz w:val="17"/>
          <w:szCs w:val="17"/>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296"/>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6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Other Sources</w:t>
      </w:r>
      <w:r>
        <w:rPr>
          <w:rFonts w:ascii="Arial" w:cs="Arial" w:eastAsia="Arial" w:hAnsi="Arial"/>
          <w:sz w:val="17"/>
          <w:szCs w:val="17"/>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as established from time to time by the Board of Directors.</w:t>
      </w:r>
    </w:p>
    <w:p>
      <w:pPr>
        <w:spacing w:after="0" w:line="248"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or member of a committee may resign at any time. Such resignation shall be made in writing or by electronic transmission and shall take effect at the time specified therein, or if no time be specified, at the time of its receipt by the Chairman of the Board or Secretary if the resignation is from a director or committee member. The acceptance of a resignation shall not be necessary to make it effective, unless expressly so provided in the resignation.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right="20" w:firstLine="1296"/>
        <w:spacing w:after="0" w:line="263"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Facsimile and Other Electronic Signatures</w:t>
      </w:r>
      <w:r>
        <w:rPr>
          <w:rFonts w:ascii="Arial" w:cs="Arial" w:eastAsia="Arial" w:hAnsi="Arial"/>
          <w:sz w:val="18"/>
          <w:szCs w:val="18"/>
          <w:color w:val="auto"/>
        </w:rPr>
        <w:t>. In addition to the provisions for the use of facsimile or other electronic signatures elsewhere specifically authorized in these by-laws, facsimile signatures or other form of electronic signature of any officer, director, employee, agent or stockholder of the Corporation may be used as permitted by applicable law.</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Forum for Adjudication of Certain Disputes</w:t>
      </w:r>
      <w:r>
        <w:rPr>
          <w:rFonts w:ascii="Arial" w:cs="Arial" w:eastAsia="Arial" w:hAnsi="Arial"/>
          <w:sz w:val="16"/>
          <w:szCs w:val="16"/>
          <w:color w:val="auto"/>
        </w:rPr>
        <w:t>. Unless the Corporation consents in writing to the selection of an alternative forum (an “Alternative Forum Consent”), the Delaware Court of Chancery (the “Chancery Court”) shall, to the fullest extent permitted by law,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w:t>
      </w:r>
    </w:p>
    <w:p>
      <w:pPr>
        <w:spacing w:after="0" w:line="1" w:lineRule="exact"/>
        <w:rPr>
          <w:sz w:val="20"/>
          <w:szCs w:val="20"/>
          <w:color w:val="auto"/>
        </w:rPr>
      </w:pPr>
    </w:p>
    <w:p>
      <w:pPr>
        <w:jc w:val="both"/>
        <w:ind w:firstLine="8"/>
        <w:spacing w:after="0" w:line="267" w:lineRule="auto"/>
        <w:tabs>
          <w:tab w:leader="none" w:pos="323"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action asserting a claim pursuant to any provision of the General Corporation Law of the State of Delaware or the Certificate of Incorporation or these by-laws or as to which the General Corporation Law of the State of Delaware confers jurisdiction upon the Chancery Court; or (iv) any action asserting a claim governed by the internal affairs doctrine. Notwithstanding the foregoing, solely in the event that the Chancery Court declines to accept jurisdiction over any such action or proceeding, unless there is an Alternative Forum Consent, the sole and exclusive forum for such action or proceeding shall, to the fullest extent permitted by law, be the Superior Court of the State of Delaware (Complex Commercial Division) or, if subject matter jurisdiction over the matter that is the subject of any such action or proceeding is vested exclusively in the federal courts of the United States of America, the United States District Court for the District of Delaware, and any appellate court from any thereof (the “Selected Courts”), in each such case unless any of the Selected Courts has dismissed a prior action by the same plaintiff asserting the same claims because such court lacked personal jurisdiction over an indispensable party named as a defendant therein. Any person or entity purchasing, otherwise acquiring or retaining any interest in shares of capital stock of the Corporation shall be deemed to have notice of and to have consented to the provisions of this Section 11.7. The existence of any prior Alternative Forum Consent shall not act as a waiver of the Corporation’s ongoing consent right as set forth above in this Section 11.7 with respect to any current or future actions or claims.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1)"/>
      <w:numFmt w:val="lowerRoman"/>
      <w:start w:val="2"/>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lvl w:ilvl="1">
      <w:lvlJc w:val="left"/>
      <w:lvlText w:val="(%2)"/>
      <w:numFmt w:val="lowerLetter"/>
      <w:start w:val="2"/>
    </w:lvl>
  </w:abstractNum>
  <w:abstractNum w:abstractNumId="5">
    <w:nsid w:val="519B500D"/>
    <w:multiLevelType w:val="hybridMultilevel"/>
    <w:lvl w:ilvl="0">
      <w:lvlJc w:val="left"/>
      <w:lvlText w:val="(%1)"/>
      <w:numFmt w:val="lowerLetter"/>
      <w:start w:val="35"/>
    </w:lvl>
    <w:lvl w:ilvl="1">
      <w:lvlJc w:val="left"/>
      <w:lvlText w:val="%2"/>
      <w:numFmt w:val="lowerLetter"/>
      <w:start w:val="1"/>
    </w:lvl>
  </w:abstractNum>
  <w:abstractNum w:abstractNumId="6">
    <w:nsid w:val="431BD7B7"/>
    <w:multiLevelType w:val="hybridMultilevel"/>
    <w:lvl w:ilvl="0">
      <w:lvlJc w:val="left"/>
      <w:lvlText w:val="(%1)"/>
      <w:numFmt w:val="lowerLetter"/>
      <w:start w:val="4"/>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1)"/>
      <w:numFmt w:val="lowerLetter"/>
      <w:start w:val="4"/>
    </w:lvl>
  </w:abstractNum>
  <w:abstractNum w:abstractNumId="12">
    <w:nsid w:val="628C895D"/>
    <w:multiLevelType w:val="hybridMultilevel"/>
    <w:lvl w:ilvl="0">
      <w:lvlJc w:val="left"/>
      <w:lvlText w:val="(%1)"/>
      <w:numFmt w:val="lowerRoman"/>
      <w:start w:val="2"/>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Letter"/>
      <w:start w:val="4"/>
    </w:lvl>
    <w:lvl w:ilvl="1">
      <w:lvlJc w:val="left"/>
      <w:lvlText w:val="(%2)"/>
      <w:numFmt w:val="lowerRoman"/>
      <w:start w:val="1"/>
    </w:lvl>
  </w:abstractNum>
  <w:abstractNum w:abstractNumId="16">
    <w:nsid w:val="2D1D5AE9"/>
    <w:multiLevelType w:val="hybridMultilevel"/>
    <w:lvl w:ilvl="0">
      <w:lvlJc w:val="left"/>
      <w:lvlText w:val="(%1)"/>
      <w:numFmt w:val="lowerRoman"/>
      <w:start w:val="10"/>
    </w:lvl>
  </w:abstractNum>
  <w:abstractNum w:abstractNumId="17">
    <w:nsid w:val="6763845E"/>
    <w:multiLevelType w:val="hybridMultilevel"/>
    <w:lvl w:ilvl="0">
      <w:lvlJc w:val="left"/>
      <w:lvlText w:val="(%1)"/>
      <w:numFmt w:val="lowerLetter"/>
      <w:start w:val="25"/>
    </w:lvl>
    <w:lvl w:ilvl="1">
      <w:lvlJc w:val="left"/>
      <w:lvlText w:val="(%2)"/>
      <w:numFmt w:val="decimal"/>
      <w:start w:val="1"/>
    </w:lvl>
  </w:abstractNum>
  <w:abstractNum w:abstractNumId="18">
    <w:nsid w:val="75A2A8D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9">
    <w:nsid w:val="8EDBD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0">
    <w:nsid w:val="79838CB2"/>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1">
    <w:nsid w:val="4353D0C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2">
    <w:nsid w:val="B03E0C6"/>
    <w:multiLevelType w:val="hybridMultilevel"/>
    <w:lvl w:ilvl="0">
      <w:lvlJc w:val="left"/>
      <w:lvlText w:val="(%1)"/>
      <w:numFmt w:val="lowerRoman"/>
      <w:start w:val="1"/>
    </w:lvl>
    <w:lvl w:ilvl="1">
      <w:lvlJc w:val="left"/>
      <w:lvlText w:val="(%2)"/>
      <w:numFmt w:val="upperLetter"/>
      <w:start w:val="1"/>
    </w:lvl>
  </w:abstractNum>
  <w:abstractNum w:abstractNumId="23">
    <w:nsid w:val="189A769B"/>
    <w:multiLevelType w:val="hybridMultilevel"/>
    <w:lvl w:ilvl="0">
      <w:lvlJc w:val="left"/>
      <w:lvlText w:val="(%1)"/>
      <w:numFmt w:val="lowerLetter"/>
      <w:start w:val="7"/>
    </w:lvl>
  </w:abstractNum>
  <w:abstractNum w:abstractNumId="24">
    <w:nsid w:val="54E49EB4"/>
    <w:multiLevelType w:val="hybridMultilevel"/>
    <w:lvl w:ilvl="0">
      <w:lvlJc w:val="left"/>
      <w:lvlText w:val="(%1)"/>
      <w:numFmt w:val="lowerLetter"/>
      <w:start w:val="8"/>
    </w:lvl>
    <w:lvl w:ilvl="1">
      <w:lvlJc w:val="left"/>
      <w:lvlText w:val="(%2)"/>
      <w:numFmt w:val="lowerRoman"/>
      <w:start w:val="1"/>
    </w:lvl>
  </w:abstractNum>
  <w:abstractNum w:abstractNumId="25">
    <w:nsid w:val="71F32454"/>
    <w:multiLevelType w:val="hybridMultilevel"/>
    <w:lvl w:ilvl="0">
      <w:lvlJc w:val="left"/>
      <w:lvlText w:val="%1"/>
      <w:numFmt w:val="lowerLetter"/>
      <w:start w:val="1"/>
    </w:lvl>
    <w:lvl w:ilvl="1">
      <w:lvlJc w:val="left"/>
      <w:lvlText w:val="(%2)"/>
      <w:numFmt w:val="lowerRoman"/>
      <w:start w:val="1"/>
    </w:lvl>
  </w:abstractNum>
  <w:abstractNum w:abstractNumId="26">
    <w:nsid w:val="2CA88611"/>
    <w:multiLevelType w:val="hybridMultilevel"/>
    <w:lvl w:ilvl="0">
      <w:lvlJc w:val="left"/>
      <w:lvlText w:val="(%1)"/>
      <w:numFmt w:val="lowerLetter"/>
      <w:start w:val="10"/>
    </w:lvl>
    <w:lvl w:ilvl="1">
      <w:lvlJc w:val="left"/>
      <w:lvlText w:val="(%2)"/>
      <w:numFmt w:val="lowerRoman"/>
      <w:start w:val="1"/>
    </w:lvl>
  </w:abstractNum>
  <w:abstractNum w:abstractNumId="27">
    <w:nsid w:val="836C40E"/>
    <w:multiLevelType w:val="hybridMultilevel"/>
    <w:lvl w:ilvl="0">
      <w:lvlJc w:val="left"/>
      <w:lvlText w:val="(%1)"/>
      <w:numFmt w:val="lowerLetter"/>
      <w:start w:val="11"/>
    </w:lvl>
  </w:abstractNum>
  <w:abstractNum w:abstractNumId="28">
    <w:nsid w:val="2901D8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14" Type="http://schemas.openxmlformats.org/officeDocument/2006/relationships/hyperlink" Target="http://www.sec.gov/ix?doc=/Archives/edgar/data/823768/000110465920088121/tm2025932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2020-11-18T16:22:48Z</dcterms:created>
  <dcterms:modified xsi:type="dcterms:W3CDTF">2020-11-18T16:22:48Z</dcterms:modified>
</cp:coreProperties>
</file>