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ind w:left="3700"/>
        <w:spacing w:after="0" w:line="238" w:lineRule="auto"/>
        <w:rPr>
          <w:sz w:val="20"/>
          <w:szCs w:val="20"/>
          <w:color w:val="auto"/>
        </w:rPr>
      </w:pPr>
      <w:r>
        <w:rPr>
          <w:rFonts w:ascii="Courier New" w:cs="Courier New" w:eastAsia="Courier New" w:hAnsi="Courier New"/>
          <w:sz w:val="18"/>
          <w:szCs w:val="18"/>
          <w:color w:val="auto"/>
        </w:rPr>
        <w:t>Common Stock</w:t>
      </w:r>
    </w:p>
    <w:p>
      <w:pPr>
        <w:ind w:left="3060"/>
        <w:spacing w:after="0"/>
        <w:rPr>
          <w:sz w:val="20"/>
          <w:szCs w:val="20"/>
          <w:color w:val="auto"/>
        </w:rPr>
      </w:pPr>
      <w:r>
        <w:rPr>
          <w:rFonts w:ascii="Courier New" w:cs="Courier New" w:eastAsia="Courier New" w:hAnsi="Courier New"/>
          <w:sz w:val="18"/>
          <w:szCs w:val="18"/>
          <w:color w:val="auto"/>
        </w:rPr>
        <w:t>CUSIP Number 94106L109</w:t>
      </w:r>
    </w:p>
    <w:p>
      <w:pPr>
        <w:spacing w:after="0" w:line="200" w:lineRule="exact"/>
        <w:rPr>
          <w:sz w:val="24"/>
          <w:szCs w:val="24"/>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94106L109</w:t>
      </w:r>
    </w:p>
    <w:p>
      <w:pPr>
        <w:spacing w:after="0" w:line="207" w:lineRule="exact"/>
        <w:rPr>
          <w:sz w:val="24"/>
          <w:szCs w:val="24"/>
          <w:color w:val="auto"/>
        </w:rPr>
      </w:pPr>
    </w:p>
    <w:p>
      <w:pPr>
        <w:ind w:left="1900" w:right="5899" w:hanging="944"/>
        <w:spacing w:after="0" w:line="268" w:lineRule="auto"/>
        <w:tabs>
          <w:tab w:leader="none" w:pos="168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Legg Mason, Inc.</w:t>
      </w:r>
    </w:p>
    <w:p>
      <w:pPr>
        <w:ind w:left="1800"/>
        <w:spacing w:after="0" w:line="233" w:lineRule="auto"/>
        <w:rPr>
          <w:sz w:val="20"/>
          <w:szCs w:val="20"/>
          <w:color w:val="auto"/>
        </w:rPr>
      </w:pPr>
      <w:r>
        <w:rPr>
          <w:rFonts w:ascii="Courier New" w:cs="Courier New" w:eastAsia="Courier New" w:hAnsi="Courier New"/>
          <w:sz w:val="18"/>
          <w:szCs w:val="18"/>
          <w:color w:val="auto"/>
        </w:rPr>
        <w:t>Tax Identification No.:</w:t>
      </w:r>
    </w:p>
    <w:p>
      <w:pPr>
        <w:ind w:left="1900"/>
        <w:spacing w:after="0"/>
        <w:rPr>
          <w:sz w:val="20"/>
          <w:szCs w:val="20"/>
          <w:color w:val="auto"/>
        </w:rPr>
      </w:pPr>
      <w:r>
        <w:rPr>
          <w:rFonts w:ascii="Courier New" w:cs="Courier New" w:eastAsia="Courier New" w:hAnsi="Courier New"/>
          <w:sz w:val="18"/>
          <w:szCs w:val="18"/>
          <w:color w:val="auto"/>
        </w:rPr>
        <w:t>52-1200960</w:t>
      </w:r>
    </w:p>
    <w:p>
      <w:pPr>
        <w:spacing w:after="0" w:line="201" w:lineRule="exact"/>
        <w:rPr>
          <w:sz w:val="24"/>
          <w:szCs w:val="24"/>
          <w:color w:val="auto"/>
        </w:rPr>
      </w:pPr>
    </w:p>
    <w:p>
      <w:pPr>
        <w:ind w:left="1700" w:hanging="744"/>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736"/>
        <w:spacing w:after="0" w:line="238" w:lineRule="auto"/>
        <w:tabs>
          <w:tab w:leader="none" w:pos="26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2640" w:hanging="736"/>
        <w:spacing w:after="0" w:line="238" w:lineRule="auto"/>
        <w:tabs>
          <w:tab w:leader="none" w:pos="26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Maryland</w:t>
            </w:r>
          </w:p>
        </w:tc>
        <w:tc>
          <w:tcPr>
            <w:tcW w:w="5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600" w:type="dxa"/>
            <w:vAlign w:val="bottom"/>
            <w:gridSpan w:val="3"/>
          </w:tcPr>
          <w:p>
            <w:pPr>
              <w:spacing w:after="0"/>
              <w:rPr>
                <w:sz w:val="20"/>
                <w:szCs w:val="20"/>
                <w:color w:val="auto"/>
              </w:rPr>
            </w:pPr>
            <w:r>
              <w:rPr>
                <w:rFonts w:ascii="Courier New" w:cs="Courier New" w:eastAsia="Courier New" w:hAnsi="Courier New"/>
                <w:sz w:val="18"/>
                <w:szCs w:val="18"/>
                <w:color w:val="auto"/>
                <w:w w:val="98"/>
              </w:rPr>
              <w:t>Number of shares beneficially owned by each</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reporting person with:</w:t>
            </w:r>
          </w:p>
        </w:tc>
      </w:tr>
      <w:tr>
        <w:trPr>
          <w:trHeight w:val="203"/>
        </w:trPr>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29,479,770</w:t>
            </w:r>
          </w:p>
        </w:tc>
      </w:tr>
    </w:tbl>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- 0 -</w:t>
      </w:r>
    </w:p>
    <w:p>
      <w:pPr>
        <w:ind w:left="1480" w:hanging="524"/>
        <w:spacing w:after="0" w:line="238"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29,479,770</w:t>
      </w:r>
    </w:p>
    <w:p>
      <w:pPr>
        <w:spacing w:after="0" w:line="207" w:lineRule="exact"/>
        <w:rPr>
          <w:rFonts w:ascii="Courier New" w:cs="Courier New" w:eastAsia="Courier New" w:hAnsi="Courier New"/>
          <w:sz w:val="18"/>
          <w:szCs w:val="18"/>
          <w:color w:val="auto"/>
        </w:rPr>
      </w:pPr>
    </w:p>
    <w:p>
      <w:pPr>
        <w:ind w:left="1900" w:right="2319" w:hanging="944"/>
        <w:spacing w:after="0" w:line="235" w:lineRule="auto"/>
        <w:tabs>
          <w:tab w:leader="none" w:pos="147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29,479,770</w:t>
      </w:r>
    </w:p>
    <w:p>
      <w:pPr>
        <w:spacing w:after="0" w:line="208" w:lineRule="exact"/>
        <w:rPr>
          <w:rFonts w:ascii="Courier New" w:cs="Courier New" w:eastAsia="Courier New" w:hAnsi="Courier New"/>
          <w:sz w:val="18"/>
          <w:szCs w:val="18"/>
          <w:color w:val="auto"/>
        </w:rPr>
      </w:pPr>
    </w:p>
    <w:p>
      <w:pPr>
        <w:ind w:left="1900" w:right="1879" w:hanging="944"/>
        <w:spacing w:after="0" w:line="235" w:lineRule="auto"/>
        <w:tabs>
          <w:tab w:leader="none" w:pos="147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900"/>
        <w:spacing w:after="0" w:line="238" w:lineRule="auto"/>
        <w:rPr>
          <w:sz w:val="20"/>
          <w:szCs w:val="20"/>
          <w:color w:val="auto"/>
        </w:rPr>
      </w:pPr>
      <w:r>
        <w:rPr>
          <w:rFonts w:ascii="Courier New" w:cs="Courier New" w:eastAsia="Courier New" w:hAnsi="Courier New"/>
          <w:sz w:val="18"/>
          <w:szCs w:val="18"/>
          <w:color w:val="auto"/>
        </w:rPr>
        <w:t>4.84%</w:t>
      </w:r>
    </w:p>
    <w:p>
      <w:pPr>
        <w:spacing w:after="0" w:line="207" w:lineRule="exact"/>
        <w:rPr>
          <w:sz w:val="24"/>
          <w:szCs w:val="24"/>
          <w:color w:val="auto"/>
        </w:rPr>
      </w:pPr>
    </w:p>
    <w:p>
      <w:pPr>
        <w:ind w:left="1900" w:right="6099" w:hanging="944"/>
        <w:spacing w:after="0" w:line="235" w:lineRule="auto"/>
        <w:tabs>
          <w:tab w:leader="none" w:pos="147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ind w:left="1160"/>
        <w:spacing w:after="0"/>
        <w:rPr>
          <w:sz w:val="20"/>
          <w:szCs w:val="20"/>
          <w:color w:val="auto"/>
        </w:rPr>
      </w:pPr>
      <w:r>
        <w:rPr>
          <w:rFonts w:ascii="Courier New" w:cs="Courier New" w:eastAsia="Courier New" w:hAnsi="Courier New"/>
          <w:sz w:val="18"/>
          <w:szCs w:val="18"/>
          <w:color w:val="auto"/>
        </w:rPr>
        <w:t>______________________________________________________________</w:t>
      </w: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8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260" w:type="dxa"/>
            <w:vAlign w:val="bottom"/>
          </w:tcPr>
          <w:p>
            <w:pPr>
              <w:spacing w:after="0"/>
              <w:rPr>
                <w:sz w:val="17"/>
                <w:szCs w:val="17"/>
                <w:color w:val="auto"/>
              </w:rPr>
            </w:pPr>
          </w:p>
        </w:tc>
        <w:tc>
          <w:tcPr>
            <w:tcW w:w="61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1001 Fannin, Suite 4000</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Houston, TX</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77002</w:t>
            </w: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2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Legg Mason, Inc.</w:t>
            </w: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2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100 Light Street</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Baltimore, MD</w:t>
            </w:r>
          </w:p>
        </w:tc>
        <w:tc>
          <w:tcPr>
            <w:tcW w:w="4120" w:type="dxa"/>
            <w:vAlign w:val="bottom"/>
          </w:tcPr>
          <w:p>
            <w:pPr>
              <w:jc w:val="right"/>
              <w:ind w:right="3292"/>
              <w:spacing w:after="0" w:line="203" w:lineRule="exact"/>
              <w:rPr>
                <w:sz w:val="20"/>
                <w:szCs w:val="20"/>
                <w:color w:val="auto"/>
              </w:rPr>
            </w:pPr>
            <w:r>
              <w:rPr>
                <w:rFonts w:ascii="Courier New" w:cs="Courier New" w:eastAsia="Courier New" w:hAnsi="Courier New"/>
                <w:sz w:val="18"/>
                <w:szCs w:val="18"/>
                <w:color w:val="auto"/>
              </w:rPr>
              <w:t>21202</w:t>
            </w: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26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Citizenship:</w:t>
            </w:r>
          </w:p>
        </w:tc>
        <w:tc>
          <w:tcPr>
            <w:tcW w:w="41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Maryland Corporation</w:t>
            </w: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2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Common Stock</w:t>
            </w:r>
          </w:p>
        </w:tc>
        <w:tc>
          <w:tcPr>
            <w:tcW w:w="4120" w:type="dxa"/>
            <w:vAlign w:val="bottom"/>
          </w:tcPr>
          <w:p>
            <w:pPr>
              <w:spacing w:after="0"/>
              <w:rPr>
                <w:sz w:val="17"/>
                <w:szCs w:val="17"/>
                <w:color w:val="auto"/>
              </w:rPr>
            </w:pP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26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CUSIP number:</w:t>
            </w:r>
          </w:p>
        </w:tc>
        <w:tc>
          <w:tcPr>
            <w:tcW w:w="4120" w:type="dxa"/>
            <w:vAlign w:val="bottom"/>
          </w:tcPr>
          <w:p>
            <w:pPr>
              <w:spacing w:after="0"/>
              <w:rPr>
                <w:sz w:val="20"/>
                <w:szCs w:val="20"/>
                <w:color w:val="auto"/>
              </w:rPr>
            </w:pPr>
            <w:r>
              <w:rPr>
                <w:rFonts w:ascii="Courier New" w:cs="Courier New" w:eastAsia="Courier New" w:hAnsi="Courier New"/>
                <w:sz w:val="18"/>
                <w:szCs w:val="18"/>
                <w:color w:val="auto"/>
              </w:rPr>
              <w:t>94106L109</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Item 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If this statement is filed pursuant to Rule 13d-1(b),</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or 13d-2(b), check whether the person filing is a:</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Broker or dealer under Section 15 of the Act.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(c)</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Insurance Company as defined in Section 3(a) (6) of</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4"/>
              </w:rPr>
              <w:t>the Act.</w:t>
            </w:r>
          </w:p>
        </w:tc>
        <w:tc>
          <w:tcPr>
            <w:tcW w:w="412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Investment Company Act.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(e)</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Investment Adviser registered under Section 203 of the</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Investment Advisers Act of 1940.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(f)</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Employee Benefit Plan, Pension Fund which is subject</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to ERISA of 1974 or Endowment Fund; see</w:t>
            </w:r>
          </w:p>
        </w:tc>
      </w:tr>
    </w:tbl>
    <w:p>
      <w:pPr>
        <w:sectPr>
          <w:pgSz w:w="11900" w:h="16855" w:orient="portrait"/>
          <w:cols w:equalWidth="0" w:num="1">
            <w:col w:w="10219"/>
          </w:cols>
          <w:pgMar w:left="240" w:top="244" w:right="1440" w:bottom="0" w:gutter="0" w:footer="0" w:header="0"/>
        </w:sectPr>
      </w:pPr>
    </w:p>
    <w:bookmarkStart w:id="1" w:name="page2"/>
    <w:bookmarkEnd w:id="1"/>
    <w:p>
      <w:pPr>
        <w:ind w:left="2424"/>
        <w:spacing w:after="0"/>
        <w:rPr>
          <w:sz w:val="20"/>
          <w:szCs w:val="20"/>
          <w:color w:val="auto"/>
        </w:rPr>
      </w:pPr>
      <w:r>
        <w:rPr>
          <w:rFonts w:ascii="Courier New" w:cs="Courier New" w:eastAsia="Courier New" w:hAnsi="Courier New"/>
          <w:sz w:val="18"/>
          <w:szCs w:val="18"/>
          <w:color w:val="auto"/>
        </w:rPr>
        <w:t>240.13d-1(b)(ii)(F).</w:t>
      </w:r>
    </w:p>
    <w:p>
      <w:pPr>
        <w:spacing w:after="0" w:line="4" w:lineRule="exact"/>
        <w:rPr>
          <w:sz w:val="20"/>
          <w:szCs w:val="20"/>
          <w:color w:val="auto"/>
        </w:rPr>
      </w:pPr>
    </w:p>
    <w:p>
      <w:pPr>
        <w:jc w:val="center"/>
        <w:ind w:left="1684" w:right="3159" w:hanging="1684"/>
        <w:spacing w:after="0" w:line="235" w:lineRule="auto"/>
        <w:tabs>
          <w:tab w:leader="none" w:pos="-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]Parent holding company, in accordance with 240.13d-1(b)(ii)(G).</w:t>
      </w:r>
    </w:p>
    <w:p>
      <w:pPr>
        <w:sectPr>
          <w:pgSz w:w="11900" w:h="16838" w:orient="portrait"/>
          <w:cols w:equalWidth="0" w:num="1">
            <w:col w:w="9263"/>
          </w:cols>
          <w:pgMar w:left="1196" w:top="136" w:right="1440" w:bottom="0" w:gutter="0" w:footer="0" w:header="0"/>
        </w:sectPr>
      </w:pPr>
    </w:p>
    <w:p>
      <w:pPr>
        <w:ind w:left="4"/>
        <w:spacing w:after="0"/>
        <w:tabs>
          <w:tab w:leader="none" w:pos="723" w:val="left"/>
          <w:tab w:leader="none" w:pos="1143"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240.13d-1(b)(1)(ii)(H).</w:t>
      </w:r>
    </w:p>
    <w:p>
      <w:pPr>
        <w:spacing w:after="0" w:line="216" w:lineRule="exact"/>
        <w:rPr>
          <w:sz w:val="20"/>
          <w:szCs w:val="20"/>
          <w:color w:val="auto"/>
        </w:rPr>
      </w:pPr>
    </w:p>
    <w:p>
      <w:pPr>
        <w:sectPr>
          <w:pgSz w:w="11900" w:h="16838" w:orient="portrait"/>
          <w:cols w:equalWidth="0" w:num="2">
            <w:col w:w="1264" w:space="420"/>
            <w:col w:w="7579"/>
          </w:cols>
          <w:pgMar w:left="1196" w:top="136" w:right="1440" w:bottom="0"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4)</w:t>
      </w:r>
    </w:p>
    <w:p>
      <w:pPr>
        <w:spacing w:after="0" w:line="16"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Ownership: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beneficially owned: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29,479,770</w:t>
      </w:r>
    </w:p>
    <w:p>
      <w:pPr>
        <w:spacing w:after="0" w:line="216" w:lineRule="exact"/>
        <w:rPr>
          <w:sz w:val="20"/>
          <w:szCs w:val="20"/>
          <w:color w:val="auto"/>
        </w:rPr>
      </w:pPr>
    </w:p>
    <w:p>
      <w:pPr>
        <w:sectPr>
          <w:pgSz w:w="11900" w:h="16838" w:orient="portrait"/>
          <w:cols w:equalWidth="0" w:num="3">
            <w:col w:w="744" w:space="100"/>
            <w:col w:w="2960" w:space="720"/>
            <w:col w:w="4739"/>
          </w:cols>
          <w:pgMar w:left="1196" w:top="136" w:right="1440" w:bottom="0" w:gutter="0" w:footer="0" w:header="0"/>
          <w:type w:val="continuous"/>
        </w:sectPr>
      </w:pPr>
    </w:p>
    <w:p>
      <w:pPr>
        <w:spacing w:after="0" w:line="1" w:lineRule="exact"/>
        <w:rPr>
          <w:sz w:val="20"/>
          <w:szCs w:val="20"/>
          <w:color w:val="auto"/>
        </w:rPr>
      </w:pPr>
    </w:p>
    <w:p>
      <w:pPr>
        <w:ind w:left="844" w:hanging="844"/>
        <w:spacing w:after="0"/>
        <w:tabs>
          <w:tab w:leader="none" w:pos="8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4.84%</w:t>
      </w:r>
    </w:p>
    <w:p>
      <w:pPr>
        <w:spacing w:after="0" w:line="201" w:lineRule="exact"/>
        <w:rPr>
          <w:rFonts w:ascii="Courier New" w:cs="Courier New" w:eastAsia="Courier New" w:hAnsi="Courier New"/>
          <w:sz w:val="18"/>
          <w:szCs w:val="18"/>
          <w:color w:val="auto"/>
        </w:rPr>
      </w:pPr>
    </w:p>
    <w:p>
      <w:pPr>
        <w:ind w:left="844" w:hanging="844"/>
        <w:spacing w:after="0"/>
        <w:tabs>
          <w:tab w:leader="none" w:pos="8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584" w:hanging="636"/>
        <w:spacing w:after="0" w:line="238" w:lineRule="auto"/>
        <w:tabs>
          <w:tab w:leader="none" w:pos="158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3164" w:hanging="320"/>
        <w:spacing w:after="0" w:line="238" w:lineRule="auto"/>
        <w:tabs>
          <w:tab w:leader="none" w:pos="316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844" w:right="3159" w:hanging="1896"/>
        <w:spacing w:after="0" w:line="235"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29,479,770</w:t>
      </w:r>
    </w:p>
    <w:p>
      <w:pPr>
        <w:spacing w:after="0" w:line="5" w:lineRule="exact"/>
        <w:rPr>
          <w:rFonts w:ascii="Courier New" w:cs="Courier New" w:eastAsia="Courier New" w:hAnsi="Courier New"/>
          <w:sz w:val="18"/>
          <w:szCs w:val="18"/>
          <w:color w:val="auto"/>
        </w:rPr>
      </w:pPr>
    </w:p>
    <w:p>
      <w:pPr>
        <w:ind w:left="1584" w:hanging="636"/>
        <w:spacing w:after="0"/>
        <w:tabs>
          <w:tab w:leader="none" w:pos="158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w:t>
      </w:r>
    </w:p>
    <w:p>
      <w:pPr>
        <w:spacing w:after="0" w:line="16" w:lineRule="exact"/>
        <w:rPr>
          <w:rFonts w:ascii="Courier New" w:cs="Courier New" w:eastAsia="Courier New" w:hAnsi="Courier New"/>
          <w:sz w:val="16"/>
          <w:szCs w:val="16"/>
          <w:color w:val="auto"/>
        </w:rPr>
      </w:pPr>
    </w:p>
    <w:p>
      <w:pPr>
        <w:ind w:left="3064" w:hanging="220"/>
        <w:spacing w:after="0" w:line="238" w:lineRule="auto"/>
        <w:tabs>
          <w:tab w:leader="none" w:pos="306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844" w:right="1879" w:hanging="1896"/>
        <w:spacing w:after="0" w:line="235" w:lineRule="auto"/>
        <w:tabs>
          <w:tab w:leader="none" w:pos="147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29,479,770</w:t>
      </w:r>
    </w:p>
    <w:p>
      <w:pPr>
        <w:spacing w:after="0" w:line="203" w:lineRule="exact"/>
        <w:rPr>
          <w:sz w:val="20"/>
          <w:szCs w:val="20"/>
          <w:color w:val="auto"/>
        </w:rPr>
      </w:pPr>
    </w:p>
    <w:p>
      <w:pPr>
        <w:ind w:left="4"/>
        <w:spacing w:after="0"/>
        <w:tabs>
          <w:tab w:leader="none" w:pos="1143"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904"/>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164" w:right="2199" w:hanging="2422"/>
        <w:spacing w:after="0" w:line="235" w:lineRule="auto"/>
        <w:tabs>
          <w:tab w:leader="none" w:pos="1143"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904" w:right="1999"/>
        <w:spacing w:after="0" w:line="272" w:lineRule="auto"/>
        <w:rPr>
          <w:sz w:val="20"/>
          <w:szCs w:val="20"/>
          <w:color w:val="auto"/>
        </w:rPr>
      </w:pPr>
      <w:r>
        <w:rPr>
          <w:rFonts w:ascii="Courier New" w:cs="Courier New" w:eastAsia="Courier New" w:hAnsi="Courier New"/>
          <w:sz w:val="16"/>
          <w:szCs w:val="16"/>
          <w:color w:val="auto"/>
        </w:rPr>
        <w:t>Various accounts managed by the investment advisory subsidiaries described in Item 7 have the right to receive or the power to direct the receipt of dividends from, or the proceeds from the sale of shares of Waste Management, Inc. No such account owns more than 5% of the shares outstanding.</w:t>
      </w:r>
    </w:p>
    <w:p>
      <w:pPr>
        <w:spacing w:after="0" w:line="186" w:lineRule="exact"/>
        <w:rPr>
          <w:sz w:val="20"/>
          <w:szCs w:val="20"/>
          <w:color w:val="auto"/>
        </w:rPr>
      </w:pPr>
    </w:p>
    <w:p>
      <w:pPr>
        <w:ind w:left="1164" w:right="1999" w:hanging="2422"/>
        <w:spacing w:after="0" w:line="236" w:lineRule="auto"/>
        <w:tabs>
          <w:tab w:leader="none" w:pos="1143"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9"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Berkshire Asset Management, Inc., investment adviser</w:t>
      </w:r>
    </w:p>
    <w:p>
      <w:pPr>
        <w:spacing w:after="0" w:line="21"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Brandywine Asset Management, LLC, investment adviser</w:t>
      </w:r>
    </w:p>
    <w:p>
      <w:pPr>
        <w:spacing w:after="0" w:line="16" w:lineRule="exact"/>
        <w:rPr>
          <w:sz w:val="20"/>
          <w:szCs w:val="20"/>
          <w:color w:val="auto"/>
        </w:rPr>
      </w:pPr>
    </w:p>
    <w:p>
      <w:pPr>
        <w:ind w:left="1784"/>
        <w:spacing w:after="0"/>
        <w:rPr>
          <w:sz w:val="20"/>
          <w:szCs w:val="20"/>
          <w:color w:val="auto"/>
        </w:rPr>
      </w:pPr>
      <w:r>
        <w:rPr>
          <w:rFonts w:ascii="Courier New" w:cs="Courier New" w:eastAsia="Courier New" w:hAnsi="Courier New"/>
          <w:sz w:val="18"/>
          <w:szCs w:val="18"/>
          <w:color w:val="auto"/>
        </w:rPr>
        <w:t>Legg Mason Capital Management, Inc., investment</w:t>
      </w:r>
    </w:p>
    <w:p>
      <w:pPr>
        <w:ind w:left="2844"/>
        <w:spacing w:after="0" w:line="238" w:lineRule="auto"/>
        <w:rPr>
          <w:sz w:val="20"/>
          <w:szCs w:val="20"/>
          <w:color w:val="auto"/>
        </w:rPr>
      </w:pPr>
      <w:r>
        <w:rPr>
          <w:rFonts w:ascii="Courier New" w:cs="Courier New" w:eastAsia="Courier New" w:hAnsi="Courier New"/>
          <w:sz w:val="18"/>
          <w:szCs w:val="18"/>
          <w:color w:val="auto"/>
        </w:rPr>
        <w:t>adviser</w:t>
      </w:r>
    </w:p>
    <w:p>
      <w:pPr>
        <w:spacing w:after="0" w:line="5" w:lineRule="exact"/>
        <w:rPr>
          <w:sz w:val="20"/>
          <w:szCs w:val="20"/>
          <w:color w:val="auto"/>
        </w:rPr>
      </w:pPr>
    </w:p>
    <w:p>
      <w:pPr>
        <w:ind w:left="1784" w:right="1879"/>
        <w:spacing w:after="0" w:line="268" w:lineRule="auto"/>
        <w:rPr>
          <w:sz w:val="20"/>
          <w:szCs w:val="20"/>
          <w:color w:val="auto"/>
        </w:rPr>
      </w:pPr>
      <w:r>
        <w:rPr>
          <w:rFonts w:ascii="Courier New" w:cs="Courier New" w:eastAsia="Courier New" w:hAnsi="Courier New"/>
          <w:sz w:val="16"/>
          <w:szCs w:val="16"/>
          <w:color w:val="auto"/>
        </w:rPr>
        <w:t>Legg Mason Funds Management, Inc., investment adviser Legg Mason Wood Walker, Inc., investment adviser</w:t>
      </w:r>
    </w:p>
    <w:p>
      <w:pPr>
        <w:jc w:val="center"/>
        <w:ind w:right="95"/>
        <w:spacing w:after="0" w:line="233" w:lineRule="auto"/>
        <w:rPr>
          <w:sz w:val="20"/>
          <w:szCs w:val="20"/>
          <w:color w:val="auto"/>
        </w:rPr>
      </w:pPr>
      <w:r>
        <w:rPr>
          <w:rFonts w:ascii="Courier New" w:cs="Courier New" w:eastAsia="Courier New" w:hAnsi="Courier New"/>
          <w:sz w:val="18"/>
          <w:szCs w:val="18"/>
          <w:color w:val="auto"/>
        </w:rPr>
        <w:t>and broker/dealer with discretion</w:t>
      </w:r>
    </w:p>
    <w:p>
      <w:pPr>
        <w:spacing w:after="0" w:line="5" w:lineRule="exact"/>
        <w:rPr>
          <w:sz w:val="20"/>
          <w:szCs w:val="20"/>
          <w:color w:val="auto"/>
        </w:rPr>
      </w:pPr>
    </w:p>
    <w:p>
      <w:pPr>
        <w:ind w:left="1784" w:right="2199"/>
        <w:spacing w:after="0" w:line="268" w:lineRule="auto"/>
        <w:rPr>
          <w:sz w:val="20"/>
          <w:szCs w:val="20"/>
          <w:color w:val="auto"/>
        </w:rPr>
      </w:pPr>
      <w:r>
        <w:rPr>
          <w:rFonts w:ascii="Courier New" w:cs="Courier New" w:eastAsia="Courier New" w:hAnsi="Courier New"/>
          <w:sz w:val="16"/>
          <w:szCs w:val="16"/>
          <w:color w:val="auto"/>
        </w:rPr>
        <w:t>Legg Mason Focus Capital, Inc., investment adviser Legg Mason Trust, fsb, investment adviser</w:t>
      </w:r>
    </w:p>
    <w:p>
      <w:pPr>
        <w:ind w:left="1784"/>
        <w:spacing w:after="0"/>
        <w:rPr>
          <w:sz w:val="20"/>
          <w:szCs w:val="20"/>
          <w:color w:val="auto"/>
        </w:rPr>
      </w:pPr>
      <w:r>
        <w:rPr>
          <w:rFonts w:ascii="Courier New" w:cs="Courier New" w:eastAsia="Courier New" w:hAnsi="Courier New"/>
          <w:sz w:val="16"/>
          <w:szCs w:val="16"/>
          <w:color w:val="auto"/>
        </w:rPr>
        <w:t>Perigee Investment Counsel, Inc., investment adviser</w:t>
      </w:r>
    </w:p>
    <w:p>
      <w:pPr>
        <w:spacing w:after="0" w:line="218" w:lineRule="exact"/>
        <w:rPr>
          <w:sz w:val="20"/>
          <w:szCs w:val="20"/>
          <w:color w:val="auto"/>
        </w:rPr>
      </w:pPr>
    </w:p>
    <w:p>
      <w:pPr>
        <w:ind w:left="4"/>
        <w:spacing w:after="0"/>
        <w:tabs>
          <w:tab w:leader="none" w:pos="1143"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904"/>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4"/>
        <w:spacing w:after="0"/>
        <w:tabs>
          <w:tab w:leader="none" w:pos="1143"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904"/>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4"/>
        <w:spacing w:after="0"/>
        <w:tabs>
          <w:tab w:leader="none" w:pos="1143"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4" w:right="1999" w:firstLine="1896"/>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Signature</w:t>
      </w:r>
    </w:p>
    <w:p>
      <w:pPr>
        <w:ind w:left="2844"/>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 w:right="187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w:t>
      </w:r>
    </w:p>
    <w:p>
      <w:pPr>
        <w:ind w:left="4"/>
        <w:spacing w:after="0" w:line="238" w:lineRule="auto"/>
        <w:rPr>
          <w:sz w:val="20"/>
          <w:szCs w:val="20"/>
          <w:color w:val="auto"/>
        </w:rPr>
      </w:pPr>
      <w:r>
        <w:rPr>
          <w:rFonts w:ascii="Courier New" w:cs="Courier New" w:eastAsia="Courier New" w:hAnsi="Courier New"/>
          <w:sz w:val="18"/>
          <w:szCs w:val="18"/>
          <w:color w:val="auto"/>
        </w:rPr>
        <w:t>Date - February 13, 2003</w:t>
      </w:r>
    </w:p>
    <w:p>
      <w:pPr>
        <w:spacing w:after="0" w:line="202"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Legg Mason,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By ________________________________________________</w:t>
      </w:r>
    </w:p>
    <w:p>
      <w:pPr>
        <w:ind w:left="744"/>
        <w:spacing w:after="0" w:line="238" w:lineRule="auto"/>
        <w:rPr>
          <w:sz w:val="20"/>
          <w:szCs w:val="20"/>
          <w:color w:val="auto"/>
        </w:rPr>
      </w:pPr>
      <w:r>
        <w:rPr>
          <w:rFonts w:ascii="Courier New" w:cs="Courier New" w:eastAsia="Courier New" w:hAnsi="Courier New"/>
          <w:sz w:val="18"/>
          <w:szCs w:val="18"/>
          <w:color w:val="auto"/>
        </w:rPr>
        <w:t>Timothy C. Scheve, Sr. Ex. Vice President</w:t>
      </w:r>
    </w:p>
    <w:p>
      <w:pPr>
        <w:sectPr>
          <w:pgSz w:w="11900" w:h="16838" w:orient="portrait"/>
          <w:cols w:equalWidth="0" w:num="1">
            <w:col w:w="9263"/>
          </w:cols>
          <w:pgMar w:left="1196"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lvl w:ilvl="1">
      <w:lvlJc w:val="left"/>
      <w:lvlText w:val="%2)"/>
      <w:numFmt w:val="lowerLetter"/>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2019-12-20T14:11:25Z</dcterms:created>
  <dcterms:modified xsi:type="dcterms:W3CDTF">2019-12-20T14:11:25Z</dcterms:modified>
</cp:coreProperties>
</file>