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763270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(Mark One)</w:t>
      </w:r>
    </w:p>
    <w:p>
      <w:pPr>
        <w:spacing w:after="0" w:line="185" w:lineRule="exact"/>
        <w:rPr>
          <w:sz w:val="24"/>
          <w:szCs w:val="24"/>
          <w:color w:val="auto"/>
        </w:rPr>
      </w:pPr>
    </w:p>
    <w:p>
      <w:pPr>
        <w:ind w:left="1320" w:right="459" w:hanging="622"/>
        <w:spacing w:after="0" w:line="262" w:lineRule="auto"/>
        <w:tabs>
          <w:tab w:leader="none" w:pos="1319"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159"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2021</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ind w:left="1320" w:right="1359" w:hanging="622"/>
        <w:spacing w:after="0" w:line="262" w:lineRule="auto"/>
        <w:tabs>
          <w:tab w:leader="none" w:pos="1319"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159" w:lineRule="exact"/>
        <w:rPr>
          <w:sz w:val="24"/>
          <w:szCs w:val="24"/>
          <w:color w:val="auto"/>
        </w:rPr>
      </w:pPr>
    </w:p>
    <w:p>
      <w:pPr>
        <w:ind w:left="1340"/>
        <w:spacing w:after="0"/>
        <w:tabs>
          <w:tab w:leader="none" w:pos="45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-5080</wp:posOffset>
            </wp:positionV>
            <wp:extent cx="1237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1-12154</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WASTE MANAGEMENT RETIREMENT SAVINGS PLAN</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800 Capitol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3000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811530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117475</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160020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0" w:type="dxa"/>
            <w:vAlign w:val="bottom"/>
            <w:gridSpan w:val="8"/>
          </w:tcPr>
          <w:p>
            <w:pPr>
              <w:jc w:val="center"/>
              <w:ind w:right="1420"/>
              <w:spacing w:after="0"/>
              <w:rPr>
                <w:sz w:val="20"/>
                <w:szCs w:val="20"/>
                <w:color w:val="auto"/>
              </w:rPr>
            </w:pPr>
            <w:r>
              <w:rPr>
                <w:rFonts w:ascii="Times New Roman" w:cs="Times New Roman" w:eastAsia="Times New Roman" w:hAnsi="Times New Roman"/>
                <w:sz w:val="18"/>
                <w:szCs w:val="18"/>
                <w:color w:val="auto"/>
                <w:w w:val="97"/>
              </w:rPr>
              <w:t>WASTE MANAGEMENT RETIREMENT SAVINGS PLAN</w:t>
            </w:r>
          </w:p>
        </w:tc>
        <w:tc>
          <w:tcPr>
            <w:tcW w:w="8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98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color w:val="auto"/>
                <w:w w:val="99"/>
              </w:rPr>
              <w:t>INDEX TO FINANCIAL STATEMENTS AND SUPPLEMENTAL SCHEDULES</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25"/>
        </w:trPr>
        <w:tc>
          <w:tcPr>
            <w:tcW w:w="20" w:type="dxa"/>
            <w:vAlign w:val="bottom"/>
          </w:tcPr>
          <w:p>
            <w:pPr>
              <w:spacing w:after="0"/>
              <w:rPr>
                <w:sz w:val="24"/>
                <w:szCs w:val="24"/>
                <w:color w:val="auto"/>
              </w:rPr>
            </w:pPr>
          </w:p>
        </w:tc>
        <w:tc>
          <w:tcPr>
            <w:tcW w:w="80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53"/>
        </w:trPr>
        <w:tc>
          <w:tcPr>
            <w:tcW w:w="20" w:type="dxa"/>
            <w:vAlign w:val="bottom"/>
          </w:tcPr>
          <w:p>
            <w:pPr>
              <w:spacing w:after="0"/>
              <w:rPr>
                <w:sz w:val="24"/>
                <w:szCs w:val="24"/>
                <w:color w:val="auto"/>
              </w:rPr>
            </w:pPr>
          </w:p>
        </w:tc>
        <w:tc>
          <w:tcPr>
            <w:tcW w:w="42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3880" w:type="dxa"/>
            <w:vAlign w:val="bottom"/>
            <w:gridSpan w:val="7"/>
          </w:tcPr>
          <w:p>
            <w:pPr>
              <w:spacing w:after="0"/>
              <w:rPr>
                <w:sz w:val="24"/>
                <w:szCs w:val="24"/>
                <w:color w:val="auto"/>
              </w:rPr>
            </w:pPr>
          </w:p>
        </w:tc>
        <w:tc>
          <w:tcPr>
            <w:tcW w:w="82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Statements of Net Assets Available for Benefits as of December 31, 2021 and 2020</w:t>
            </w:r>
          </w:p>
        </w:tc>
        <w:tc>
          <w:tcPr>
            <w:tcW w:w="196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Statement of Changes in Net Assets Available for Benefits for the Year Ended December 31, 2021</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Notes to Financial Statements</w:t>
            </w:r>
          </w:p>
        </w:tc>
        <w:tc>
          <w:tcPr>
            <w:tcW w:w="4900" w:type="dxa"/>
            <w:vAlign w:val="bottom"/>
            <w:tcBorders>
              <w:top w:val="single" w:sz="8" w:color="0000EE"/>
            </w:tcBorders>
            <w:gridSpan w:val="6"/>
          </w:tcPr>
          <w:p>
            <w:pPr>
              <w:spacing w:after="0"/>
              <w:rPr>
                <w:sz w:val="17"/>
                <w:szCs w:val="17"/>
                <w:color w:val="auto"/>
              </w:rPr>
            </w:pPr>
          </w:p>
        </w:tc>
        <w:tc>
          <w:tcPr>
            <w:tcW w:w="90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453"/>
        </w:trPr>
        <w:tc>
          <w:tcPr>
            <w:tcW w:w="20" w:type="dxa"/>
            <w:vAlign w:val="bottom"/>
          </w:tcPr>
          <w:p>
            <w:pPr>
              <w:spacing w:after="0"/>
              <w:rPr>
                <w:sz w:val="24"/>
                <w:szCs w:val="24"/>
                <w:color w:val="auto"/>
              </w:rPr>
            </w:pPr>
          </w:p>
        </w:tc>
        <w:tc>
          <w:tcPr>
            <w:tcW w:w="8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Supplemental Schedules</w:t>
            </w:r>
          </w:p>
        </w:tc>
        <w:tc>
          <w:tcPr>
            <w:tcW w:w="82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Schedule H, Line 4(a) - Schedule of Delinquent Participant Contributions</w:t>
            </w:r>
          </w:p>
        </w:tc>
        <w:tc>
          <w:tcPr>
            <w:tcW w:w="266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Schedule H, Line 4(i) - Schedule of Assets (Held at End of Year)</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661"/>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192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Administrative Committee of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Waste Management Retirement Savings Plan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Waste Management Retirement Savings Plan (the Plan) as of December 31, 2021 and 2020, and the related statement of changes in net assets available for benefits for the year ended December 31, 2021, and the related notes and schedules (collectively referred to as the financial statements). In our opinion, the financial statements present fairly, in all material respects, the net assets available for benefits of the Plan as of December 31, 2021 and 2020, and the changes in net assets available for benefits for the year ended December 31, 2021, in conformity with accounting principles generally accepted in the United States of America.</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Plan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Exchange Commission and the PCAOB.</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Supplementary Information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supplementary information in the accompanying schedule of assets (held at end of year) as of December 31, 2021 and the schedule of delinquent participant contributions for the year ended December 31, 2021 have been subjected to audit procedures performed in conjunction with the audit of the Plan’s financial statements. The supplementary information is the responsibility of Plan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schedules, we evaluated whether the supplementary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schedules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WEAVER AND TIDWELL,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Plan’s auditor since 2014.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May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Waste Management Retirement Savings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52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126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$ 3,286,042,689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$ 2,657,960,140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Investments at contract value</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398,224,330</w:t>
            </w:r>
          </w:p>
        </w:tc>
        <w:tc>
          <w:tcPr>
            <w:tcW w:w="1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381,332,845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3,684,267,019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3,039,292,985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contributions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2,045,124</w:t>
            </w:r>
          </w:p>
        </w:tc>
        <w:tc>
          <w:tcPr>
            <w:tcW w:w="1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1,478,189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Employer contributions</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1,304,949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Amount due from Advanced Disposal Services Union 401(k) Retirement Plan</w:t>
            </w:r>
          </w:p>
        </w:tc>
        <w:tc>
          <w:tcPr>
            <w:tcW w:w="2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170,331,463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Amount due from Advanced Disposal Services, Inc. 401(k) Retirement Plan</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72,463,240</w:t>
            </w:r>
          </w:p>
        </w:tc>
        <w:tc>
          <w:tcPr>
            <w:tcW w:w="1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72,815,954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Settlements pending</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25,512</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1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receivables</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75,847,422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256,008,802</w:t>
            </w:r>
          </w:p>
        </w:tc>
        <w:tc>
          <w:tcPr>
            <w:tcW w:w="0" w:type="dxa"/>
            <w:vAlign w:val="bottom"/>
          </w:tcPr>
          <w:p>
            <w:pPr>
              <w:spacing w:after="0"/>
              <w:rPr>
                <w:sz w:val="1"/>
                <w:szCs w:val="1"/>
                <w:color w:val="auto"/>
              </w:rPr>
            </w:pPr>
          </w:p>
        </w:tc>
      </w:tr>
      <w:tr>
        <w:trPr>
          <w:trHeight w:val="21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2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$ 3,760,114,441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$ 3,295,301,787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Waste Management Retirement Savings Plan</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4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9"/>
              </w:rPr>
              <w:t>Statement of Changes in Net Assets Available for Benefits</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4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9"/>
              </w:rPr>
              <w:t>Year Ended December 31, 2021</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NET ASSETS AVAILABLE FOR BENEFITS: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Contributions: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Employee</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167,958,955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Employer</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96,751,038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Rollover</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10,793,592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275,503,585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appreciation in Plan investments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521,861,272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Dividends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17,889,608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income</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additions</w:t>
            </w:r>
          </w:p>
        </w:tc>
        <w:tc>
          <w:tcPr>
            <w:tcW w:w="5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818,994,424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DEDUCTIONS FROM NET ASSETS AVAILABLE FOR BENEFITS: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352,249,950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Administrative expenses</w:t>
            </w:r>
          </w:p>
        </w:tc>
        <w:tc>
          <w:tcPr>
            <w:tcW w:w="5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1,931,820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deductions</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354,181,770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AVAILABLE FOR BENEFITS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464,812,654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Beginning of year</w:t>
            </w:r>
          </w:p>
        </w:tc>
        <w:tc>
          <w:tcPr>
            <w:tcW w:w="5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3,295,301,787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End of year</w:t>
            </w:r>
          </w:p>
        </w:tc>
        <w:tc>
          <w:tcPr>
            <w:tcW w:w="5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3,760,114,441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Waste Management Retirement Savings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Description of Plan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Waste Management Retirement Savings Plan (the “Plan”) provides only general information. Participants should refer to the Summary Plan Description and the plan document for a more complete description of the Plan’s provisions.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Plan is a defined contribution plan sponsored by Waste Management, Inc. (the “Company” or “WMI”), and eligible affiliates (as defined in the Plan) (collectively “Waste Management”) for the benefit of eligible employees and their beneficiaries. The Plan is subject to the provisions of the Employee Retirement Income Security Act of 1974, as amended (“ERISA”).</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October 30, 2020, the Company acquired Advanced Disposal Services, Inc. On December 31, 2020, the Advanced Disposal Union 401(k) Retirement Plan and the Advanced Disposal Services, Inc. 401(k) Retirement Plan (collectively, the “Advanced Disposal Plans”) were merged into the Plan. The investment assets of the Advanced Disposal Plans were liquidated on December 31, 2020 and received by the Plan on January 4, 2021. As a result, receivables from the Advanced Disposal Plans totaling $180,736,099 were included in the Statement of Net Assets Available for Benefits as of December 31, 2020. In January 2021, former participants of the Advanced Disposal Plans became participants of the Plan.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Administrative Committee of the Waste Management Employee Benefit Plans (the “Administrative Committee”) has been named to serve as administrator and fiduciary of the Plan. Bank of America, N.A. (“Bank of America”) serves as trustee of the Plan pursuant to a Defined Contribution Plan Trust Agreement and also serves as the Plan’s third-party recordkeeper.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Employees (as defined by the Plan) are eligible to participate in the Plan following completion of a 90-day period of service (as defined by the Plan).</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Individuals who are ineligible to participate in the Plan consist of (a) leased employees; (b) employees whose employment is governed by a collective bargaining agreement that does not provide for participation in the Plan for such individual;</w:t>
      </w:r>
    </w:p>
    <w:p>
      <w:pPr>
        <w:jc w:val="both"/>
        <w:ind w:left="60" w:right="59" w:hanging="10"/>
        <w:spacing w:after="0" w:line="253" w:lineRule="auto"/>
        <w:tabs>
          <w:tab w:leader="none" w:pos="3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providing services to the Company and who are designated as independent contractors; (d) employees performing services on a seasonal or temporary basis; (e) any individual who is not regularly employed in, or a citizen of, the United States and (f) individuals who are participants in certain other pension, retirement, profit-sharing, stock bonus, thrift or savings plans maintained by Waste Management. Certain United States citizens employed by foreign affiliates of the Company may participate in the Plan under certain provisions specified by the Plan.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Participants are permitted to contribute as much as 50% of their eligible annual compensation, as defined by the Plan, and 80% of their annual incentive plan bonus, subject to annual contribution limitations established by the Internal Revenue Service (“Employee Contribution”). In addition, participants that are age 50 or older are eligible to make pre-tax catch-up contributions not to exceed certain limits described in the Plan document. After-tax contributions are permitted by the Plan. Participants may also contribute amounts representing distributions from other qualified plans (“Rollover Contributions”).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With respect to each participant whose employment is not governed by a collective bargaining agreement, Waste Management matches 100% of each participant’s Employee Contribution up to 3% of the participant’s eligible annual compensation, as defined by the Plan, plus 50% of the participant’s Employee Contribution on the next 3% of the participant’s eligible annual compensation. Any such employee is automatically enrolled in the Plan at a contribution rate of 3% of eligible compensation, unless changed by the employee.</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With respect to each participant whose employment relationship is covered by a collective bargaining agreement, the amount of contributions by Waste Management, if any, is provided for in the applicable collective bargaining agreement.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Nonvested Forfeitures, Unclaimed Distributions and Other</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2021 and 2020, nonvested forfeitures, unclaimed distributions and other unallocated accounts, including settlements, totaled $6,650,032 and $6,564,603, respectively. These accounts will be used to reduce future Waste Management contributions and/or to pay Plan expenses. During 2021, Waste Management’s required contributions were reduced by $443,459 through the use of these accounts.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 Options</w:t>
      </w:r>
    </w:p>
    <w:p>
      <w:pPr>
        <w:spacing w:after="0" w:line="229"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The Plan offers participants diversified investment options. Effective April 2021, the Plan’s investment options were restructured to provide for the transfer of certain funds and the addition of certain new investments funds. As of December 31, 2021, the Plan offered (a) 13 common collective trust funds (including eight target retirement-date funds);</w:t>
      </w:r>
    </w:p>
    <w:p>
      <w:pPr>
        <w:spacing w:after="0" w:line="1" w:lineRule="exact"/>
        <w:rPr>
          <w:sz w:val="20"/>
          <w:szCs w:val="20"/>
          <w:color w:val="auto"/>
        </w:rPr>
      </w:pPr>
    </w:p>
    <w:p>
      <w:pPr>
        <w:jc w:val="both"/>
        <w:ind w:left="60" w:right="59" w:hanging="10"/>
        <w:spacing w:after="0" w:line="252" w:lineRule="auto"/>
        <w:tabs>
          <w:tab w:leader="none" w:pos="32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mutual funds; (c) a WMI common stock fund (which is an Employee Stock Ownership Plan); (d) a stable value fund, which includes direct investments in fully benefit-responsive contracts and investments in common collective trust funds, managed by Galliard Capital Management (“Galliard”) and (e) a self-directed brokerage account, which allows participants to select various securities sold on the New York Stock Exchange, American Stock Exchange and NASDAQ. Participants direct investment of their accounts among the investment options offered under the Plan. A participant may make such an election on any business day. The Plan utilizes cash equivalents to temporarily hold monies pending settlement for transactions initiated by participants.</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a participant invests in the WMI common stock fund, the participant can elect to receive in cash any dividends paid on the common stock in the participant’s account. If a participant does not make such an election, dividends will automatically be reinvested in the WMI common stock fund. Each participant who has invested in the WMI common stock fund has the right to vote the shares of stock in his or her account with respect to any matter that comes before the shareholders for a vote.</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With respect to the self-directed brokerage account, several restrictions apply and a minimum balance is required to participate. Additionally, if a participant invests in the self-directed brokerage account, the participant has the right to vote the shares of securities held in the participant’s account.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Participants are immediately vested in their Employee Contributions, Rollover Contributions and Employer Contributions, plus earnings thereon.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Employee Contribution, Rollover Contribution and any Employer Contribution and an allocation of investment income and loss and expenses. Investment income and loss is allocated to a participant’s account based upon a participant’s proportionate share of the funds within the Plan.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Upon retirement, disability or termination of employment, participants or, in the case of a participant’s death, their designated beneficiaries, may make withdrawals from their accounts as specified by the Plan. Prior to termination,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participants who have reached age 59-1/2 may withdraw from their accounts. Distributions are made by a single lump-sum payment or direct rollover. Distributions of accounts invested in WMI common stock may be taken in whole shares of common stock or cash.</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Participants may make withdrawals from their contributions, including certain earnings on those contributions, in the event of proven financial hardship of the participant.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Notes receivable from participants represent participant loans that are recorded at their unpaid principal balance plus any accrued but unpaid interest. Interest income on notes receivable from participants is recorded when it is earned. No allowance for credit losses has been recorded as of December 31, 2021 and 2020. If a participant ceases to make loan repayments and the Plan administrator deems the participant loan to be a distribution, the participant loan balance is reduced and a benefit payment is recorded. Participants who are active employees may obtain loans of not less than $1,000 and a maximum of 50% of a participant’s vested accounts (excluding any amounts invested in the self-directed brokerage account) immediately preceding the loan grant date. In no event shall a loan exceed $50,000, reduced by the greater of</w:t>
      </w:r>
    </w:p>
    <w:p>
      <w:pPr>
        <w:spacing w:after="0" w:line="3" w:lineRule="exact"/>
        <w:rPr>
          <w:sz w:val="20"/>
          <w:szCs w:val="20"/>
          <w:color w:val="auto"/>
        </w:rPr>
      </w:pPr>
    </w:p>
    <w:p>
      <w:pPr>
        <w:jc w:val="both"/>
        <w:ind w:left="60" w:right="59" w:hanging="10"/>
        <w:spacing w:after="0" w:line="250"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 (a) result from a merger of another plan into this Plan or</w:t>
      </w:r>
    </w:p>
    <w:p>
      <w:pPr>
        <w:spacing w:after="0" w:line="1" w:lineRule="exact"/>
        <w:rPr>
          <w:rFonts w:ascii="Times New Roman" w:cs="Times New Roman" w:eastAsia="Times New Roman" w:hAnsi="Times New Roman"/>
          <w:sz w:val="18"/>
          <w:szCs w:val="18"/>
          <w:color w:val="auto"/>
        </w:rPr>
      </w:pPr>
    </w:p>
    <w:p>
      <w:pPr>
        <w:jc w:val="both"/>
        <w:ind w:left="60" w:right="59" w:hanging="10"/>
        <w:spacing w:after="0" w:line="250" w:lineRule="auto"/>
        <w:tabs>
          <w:tab w:leader="none" w:pos="3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from a participant’s defaulting on a loan. Interest rates and repayment terms are established by the Administrative Committee. Such loans shall be repaid by payroll deduction or any other method approved by the Administrative Committee. The Administrative Committee requires that: (a) no more than one loan per year be taken by a participant;</w:t>
      </w:r>
    </w:p>
    <w:p>
      <w:pPr>
        <w:spacing w:after="0" w:line="1" w:lineRule="exact"/>
        <w:rPr>
          <w:rFonts w:ascii="Times New Roman" w:cs="Times New Roman" w:eastAsia="Times New Roman" w:hAnsi="Times New Roman"/>
          <w:sz w:val="18"/>
          <w:szCs w:val="18"/>
          <w:color w:val="auto"/>
        </w:rPr>
      </w:pPr>
    </w:p>
    <w:p>
      <w:pPr>
        <w:ind w:left="320" w:hanging="270"/>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be made no less frequently than quarterly; (c) loans be repaid over a period not to exceed 54 months and</w:t>
      </w:r>
    </w:p>
    <w:p>
      <w:pPr>
        <w:spacing w:after="0" w:line="9" w:lineRule="exact"/>
        <w:rPr>
          <w:rFonts w:ascii="Times New Roman" w:cs="Times New Roman" w:eastAsia="Times New Roman" w:hAnsi="Times New Roman"/>
          <w:sz w:val="18"/>
          <w:szCs w:val="18"/>
          <w:color w:val="auto"/>
        </w:rPr>
      </w:pPr>
    </w:p>
    <w:p>
      <w:pPr>
        <w:jc w:val="both"/>
        <w:ind w:left="60" w:right="59" w:hanging="10"/>
        <w:spacing w:after="0" w:line="255" w:lineRule="auto"/>
        <w:tabs>
          <w:tab w:leader="none" w:pos="3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including interest, be made in equal periodic payments over the term of the loan and applied to principal using a level amortization over the repayment period. Prepayment of a participant’s total principal amount outstanding is allowed at any time.</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Administrative expenses of the Plan are generally allocated among participants. Loan administration fees and certain other expenses are charged directly to the account balance of the applicable participant. In 2021, Waste Management elected to pay certain audit and legal fees of the Plan.</w:t>
      </w:r>
    </w:p>
    <w:p>
      <w:pPr>
        <w:spacing w:after="0" w:line="172" w:lineRule="exact"/>
        <w:rPr>
          <w:sz w:val="20"/>
          <w:szCs w:val="20"/>
          <w:color w:val="auto"/>
        </w:rPr>
      </w:pPr>
    </w:p>
    <w:p>
      <w:pPr>
        <w:ind w:left="60" w:right="6279" w:hanging="10"/>
        <w:spacing w:after="0" w:line="503" w:lineRule="auto"/>
        <w:tabs>
          <w:tab w:leader="none" w:pos="2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Accounting Policies Basis of Accounting</w:t>
      </w: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of the Plan have been prepared using the accrual basis of accounting in accordance with accounting principles generally accepted in the United States (“GAAP”). Benefits are recorded when paid to participants.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Plan’s management to make estimates and assumptions that affect the reported amounts of net assets available for benefits as of the date of the financial statements and the changes in net assets available for benefits during the reporting period and, when applicable, disclosures of contingent assets and liabilities as of the date of the financial statements. Actual results could differ materially from the estimates and assumptions used in the preparation of the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Corporate stocks, mutual funds and publicly-traded partnership interests held by the Plan are stated at fair value based on quoted market prices as of the financial statement date. The fair values of the common collective trust funds held by the Plan are generally based on net asset values established by the issuer of the common collective trust funds based on fair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values of the underlying assets. The investment options available within the Plan include a stable value fund that invests in fully benefit-responsive synthetic guaranteed investment contracts (“Synthetic GICs”). These investments held by the stable value fund are presented at contract value in the Statements of Net Assets Available for Benefits. See Note 3 for further discussion of Synthetic GICs. Short-term investments (included in amounts reported as common collective trust funds herein) are stated at cost, which approximates fair value.</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Plan records purchases and sales of securities on a trade-date basis and dividends on the ex-dividend date. Interest income is recorded on the accrual basis.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 See additional discussion of investments in the stable value fund in Note 3.</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COVID-19 global pandemic has caused significant disruption in social and commercial activity throughout North America and had an adverse impact on many sectors of the economy, including environmental services. In response to the COVID-19 pandemic, financial markets experienced times of extreme market volatility, which can hinder the ability to achieve attractive and predictable investment returns. Throughout 2021, the financial condition and operations of the Company experienced notable recovery from COVID-19 impacts. However, uncertainty remains with respect to various factors that influence the pace of economic recovery, including the potential for future resurgence in transmission of COVID-19 and resulting business closures and restrictions.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When necessary, reclassifications are made to the prior year financial information to conform to the current year presentation.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Investment in Stable Value Fund</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Plan includes a stable value fund that invests in fully benefit-responsive Synthetic GICs. Synthetic GICs are comprised of (a) individual assets or investments placed in a trust and (b) wrapper contracts that guarantee that participant transactions will be executed at contract value. The investment portfolio of a Synthetic GIC, when coupled with a wrapper contract, provides a specified rate of return for a specific period of time. Through the use of Synthetic GICs, the stable value fund aims to protect principal while providing a higher rate of return than shorter maturity investments, such as money market funds or certificates of deposit. Contract value represents principal, plus accrued interest less withdrawals and is the relevant measure as this is the amount received by participants when they initiate permitted transactions under the terms of the Plan.</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interest crediting rates for Synthetic GICs are calculated on a quarterly basis using the contract value, market value, yield and duration of the underlying securities, but cannot be less than zero.</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Synthetic GICs generally are evergreen contracts that contain termination provisions, allowing the fund or the contract issuer to terminate with notice, at any time at fair value, and providing for automatic termination of the contract if the contract value or the fair value of the underlying portfolio equals zero. The issuer is obligated to pay the excess contract value when the fair value of the underlying portfolio equals zero.</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There are certain events not initiated by the Plan participants that could limit the ability of the Plan to transact with the issuer at contract value. Examples of such events include, but are not limited to: material amendments to the Plan documents or administration; changes to the Plan’s competing investment options including the elimination of equity wash provisions; bankruptcy of the Plan sponsor or other events that would cause a significant withdrawal from the Plan; full or partial termination of the Plan; failure of the Plan to qualify for exemption from federal income taxes or any required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prohibited transaction exemption under ERISA; any change in tax code, laws or regulations applicable to the Plan and delivery of any communication to Plan participants designed to influence participants not to invest in the fund. The Plan sponsor does not believe that the occurrence of any of these events, which would limit the Plan’s ability to transact with the issuer at its contract value, is probable.</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Additionally, the fund also invests in a common collective trust fund, Wells Fargo/BlackRock Short Term Investment Fund S, which invests in highly liquid assets and is used for daily liquidity needs.</w:t>
      </w:r>
    </w:p>
    <w:p>
      <w:pPr>
        <w:spacing w:after="0" w:line="162" w:lineRule="exact"/>
        <w:rPr>
          <w:sz w:val="20"/>
          <w:szCs w:val="20"/>
          <w:color w:val="auto"/>
        </w:rPr>
      </w:pPr>
    </w:p>
    <w:p>
      <w:pPr>
        <w:jc w:val="both"/>
        <w:ind w:left="60" w:right="59"/>
        <w:spacing w:after="0" w:line="219" w:lineRule="exact"/>
        <w:rPr>
          <w:sz w:val="20"/>
          <w:szCs w:val="20"/>
          <w:color w:val="auto"/>
        </w:rPr>
      </w:pPr>
      <w:r>
        <w:rPr>
          <w:rFonts w:ascii="Times New Roman" w:cs="Times New Roman" w:eastAsia="Times New Roman" w:hAnsi="Times New Roman"/>
          <w:sz w:val="18"/>
          <w:szCs w:val="18"/>
          <w:color w:val="auto"/>
        </w:rPr>
        <w:t>Risks arise when entering into any investment contract due to the potential inability of the issuer to meet the terms of the contract. In addition, security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investment contracts and separate account guaranteed investment contracts have the risk of default or the lack of liquidity of the underlying portfolio assets. The credit risk of each issuer is evaluated and monitored through the portfolio manager’s credit analysis. The credit analysis includes, but is not limited to, asset quality and liquidity, management quality, surplus adequacy, and profitability. The Plan requires that the issuers of each contract have a minimum quality rating as of the contract effective date and that all underlying portfolio assets be rated investment grade at the time of purchase.</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For purposes of the Plan’s financial reporting, fair value is defined as the price that would be received from selling an asset or paid to transfer a liability in an orderly transaction between market participants at the measurement date. When measuring assets and liabilities that are required to be recorded at fair value, the Plan considers the principal or most advantageous market in which the Plan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Quoted prices in active markets for identical assets or liabilities.</w:t>
      </w:r>
    </w:p>
    <w:p>
      <w:pPr>
        <w:spacing w:after="0" w:line="225" w:lineRule="exact"/>
        <w:rPr>
          <w:sz w:val="20"/>
          <w:szCs w:val="20"/>
          <w:color w:val="auto"/>
        </w:rPr>
      </w:pPr>
    </w:p>
    <w:p>
      <w:pPr>
        <w:jc w:val="both"/>
        <w:ind w:left="30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Observable inputs other than quoted prices in active markets for identical assets and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identical or similar assets or liabilities in inactive markets, or other inputs that are observable or can be corroborated by observable market data for substantially the full term of the assets or liabilities.</w:t>
      </w:r>
    </w:p>
    <w:p>
      <w:pPr>
        <w:spacing w:after="0" w:line="173" w:lineRule="exact"/>
        <w:rPr>
          <w:sz w:val="20"/>
          <w:szCs w:val="20"/>
          <w:color w:val="auto"/>
        </w:rPr>
      </w:pPr>
    </w:p>
    <w:p>
      <w:pPr>
        <w:jc w:val="both"/>
        <w:ind w:left="300" w:right="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Inputs that are generally unobservable and typically reflect the Plan’s estimate of assumptions that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would use in pricing the asset or liability. The Plan had no Level 3 assets as of December 31, 2021 or 2020.</w:t>
      </w:r>
    </w:p>
    <w:p>
      <w:pPr>
        <w:spacing w:after="0" w:line="16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provides by level, within the fair value hierarchy, a summary of investments of the Plan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measured at fair value on a recurring basis: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Quoted Prices in Active Markets (Level 1):</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Mutual funds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289,725,577</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901,284,450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WMI common stock</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318,770,268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240,047,548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99,390,352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81,071,131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Subtotal Level 1</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707,886,197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1,222,403,129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Significant Other Observable Inputs (Level 2):</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Self-directed brokerage accounts — FedFund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8,080,598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8,555,254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Stable Value fund — short-term investment fund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16,006,720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FedFund</w:t>
            </w: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3,016,643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Subtotal Level 2</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27,103,961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20,427,279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 Measured at Net Asset Value (a):</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Common collective trust funds</w:t>
            </w: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2,551,052,531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1,415,129,732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Subtotal Investments Measured at Net Asset Value</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2,551,052,531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1,415,129,732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3,286,042,689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2,657,960,140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80" w:right="79" w:hanging="330"/>
        <w:spacing w:after="0" w:line="258"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investments that are measured at fair value using the net asset value per share (or its equivalent) practical expedient have not been categorized in the fair value hierarchy. The fair value amounts presented in this table are intended to permit reconciliation of the fair value hierarchy to the amounts presented in the Statements of Net Assets Available for Benefits. As of December 31, 2021 and 2020, there were no redemption restrictions on the investments held at net asset value other than possible advance notice requirements.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Federal Income Taxes</w:t>
      </w:r>
    </w:p>
    <w:p>
      <w:pPr>
        <w:spacing w:after="0" w:line="229"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17"/>
          <w:szCs w:val="17"/>
          <w:color w:val="auto"/>
        </w:rPr>
        <w:t>The Plan has received a determination letter from the Internal Revenue Service (“IRS”) dated April 30, 2015, stating that the Plan, as amended and restated as of January 1, 2015, was in compliance with the applicable requirements of the Internal Revenue Code (the "Code"), which were timely adopted by the Plan sponsor subsequent to receipt of the determination letter. The Plan sponsor has adopted a further amendment and restatement of the Plan and subsequent amendments since receiving the determination letter. The Plan administrator and counsel believe that the Plan is currently designed and being operated in compliance with the applicable requirements of the Code. If an operational issue is discovered, the Plan sponsor has indicated that it will take any necessary steps to bring the Plan’s operations into compliance with the Code.</w:t>
      </w:r>
    </w:p>
    <w:p>
      <w:pPr>
        <w:spacing w:after="0" w:line="17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GAAP requires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2021, there are no uncertain tax positions taken or expected to be taken. The Plan is subject to routine audits by taxing jurisdictions; however, there are currently no audits for any tax periods in progress. The Plan administrator believes it is no longer subject to income tax examinations for years prior to 2018.</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Reconciliation of Financial Statements to Form 5500</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net assets available for benefits per the financial statements to the Form 5500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22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9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$ 3,760,114,441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3,295,301,787</w:t>
            </w: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pending distribution to participants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(3,016,003)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(430,267)</w:t>
            </w:r>
          </w:p>
        </w:tc>
      </w:tr>
      <w:tr>
        <w:trPr>
          <w:trHeight w:val="209"/>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Form 5500</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$ 3,757,098,438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3,294,871,520</w:t>
            </w:r>
          </w:p>
        </w:tc>
      </w:tr>
      <w:tr>
        <w:trPr>
          <w:trHeight w:val="20"/>
        </w:trPr>
        <w:tc>
          <w:tcPr>
            <w:tcW w:w="5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the net increase in net assets available for benefits per the financial statements to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Form 5500 for the year ended December 31, 2021:</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available for benefits per the financial statements</w:t>
            </w: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464,812,654</w:t>
            </w:r>
          </w:p>
        </w:tc>
      </w:tr>
      <w:tr>
        <w:trPr>
          <w:trHeight w:val="216"/>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Amounts pending distribution to participants as of December 31, 2020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430,267</w:t>
            </w:r>
          </w:p>
        </w:tc>
      </w:tr>
      <w:tr>
        <w:trPr>
          <w:trHeight w:val="216"/>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pending distribution to participants as of December 31, 2021</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(3,016,003)</w:t>
            </w: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assets available for benefits per the Form 5500</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462,226,918</w:t>
            </w:r>
          </w:p>
        </w:tc>
      </w:tr>
      <w:tr>
        <w:trPr>
          <w:trHeight w:val="20"/>
        </w:trPr>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Plan Termination</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intention to do so, the Company has the right to discontinue its Plan contribution at any time and to terminate the Plan subject to the provisions of ERISA.</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Related-Party Transactions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Bank of America serves as the trustee and third-party recordkeeper of the Plan. Merrill Lynch, Pierce, Fenner &amp; Smith Incorporated, a Bank of America Company, provides securities brokerage services for the self-directed brokerage account. State Street Bank and Trust Company serves as the independent fiduciary for the WMI common stock fund. The Plan also holds notes receivable representing participant loans. The stable value fund is managed by Galliard, a subsidiary of Wells Fargo Bank, N.A., custodian for the fund. These transactions qualify as party-in-interest transactions. Additionally, a portion of the Plan’s assets are invested in WMI common stock. As WMI is the Plan sponsor, transactions involving WMI common stock also qualify as party-in-interest transactions. The Plan sponsor believes that all of these transactions are exempt from the prohibited transactions rules.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Subsequent Event</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January 2022, the Plan’s investment option for the stable value fund managed by Galliard was transferred to the John Hancock Stable Value Return Trust, a Collective Investment Trust offered by the John Hancock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8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Waste Management Retirement Savings Plan</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20" w:type="dxa"/>
            <w:vAlign w:val="bottom"/>
            <w:gridSpan w:val="12"/>
          </w:tcPr>
          <w:p>
            <w:pPr>
              <w:jc w:val="center"/>
              <w:ind w:left="1243"/>
              <w:spacing w:after="0"/>
              <w:rPr>
                <w:sz w:val="20"/>
                <w:szCs w:val="20"/>
                <w:color w:val="auto"/>
              </w:rPr>
            </w:pPr>
            <w:r>
              <w:rPr>
                <w:rFonts w:ascii="Times New Roman" w:cs="Times New Roman" w:eastAsia="Times New Roman" w:hAnsi="Times New Roman"/>
                <w:sz w:val="18"/>
                <w:szCs w:val="18"/>
                <w:color w:val="auto"/>
              </w:rPr>
              <w:t>Schedule H, Line 4(a) - Schedule of Delinquent Participant Contributions</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EIN: 73 1309529</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Plan: 001</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6"/>
          </w:tcPr>
          <w:p>
            <w:pPr>
              <w:jc w:val="center"/>
              <w:ind w:left="158"/>
              <w:spacing w:after="0"/>
              <w:rPr>
                <w:sz w:val="20"/>
                <w:szCs w:val="20"/>
                <w:color w:val="auto"/>
              </w:rPr>
            </w:pPr>
            <w:r>
              <w:rPr>
                <w:rFonts w:ascii="Times New Roman" w:cs="Times New Roman" w:eastAsia="Times New Roman" w:hAnsi="Times New Roman"/>
                <w:sz w:val="18"/>
                <w:szCs w:val="18"/>
                <w:color w:val="auto"/>
                <w:w w:val="99"/>
              </w:rPr>
              <w:t>Year Ended December 31, 2021</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6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Participant Contributions</w:t>
            </w:r>
          </w:p>
        </w:tc>
        <w:tc>
          <w:tcPr>
            <w:tcW w:w="160" w:type="dxa"/>
            <w:vAlign w:val="bottom"/>
          </w:tcPr>
          <w:p>
            <w:pPr>
              <w:spacing w:after="0"/>
              <w:rPr>
                <w:sz w:val="24"/>
                <w:szCs w:val="24"/>
                <w:color w:val="auto"/>
              </w:rPr>
            </w:pPr>
          </w:p>
        </w:tc>
        <w:tc>
          <w:tcPr>
            <w:tcW w:w="4860" w:type="dxa"/>
            <w:vAlign w:val="bottom"/>
            <w:gridSpan w:val="9"/>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Total that Constitute Nonexempt Prohibited Transactions</w:t>
            </w:r>
          </w:p>
        </w:tc>
        <w:tc>
          <w:tcPr>
            <w:tcW w:w="100" w:type="dxa"/>
            <w:vAlign w:val="bottom"/>
          </w:tcPr>
          <w:p>
            <w:pPr>
              <w:spacing w:after="0"/>
              <w:rPr>
                <w:sz w:val="24"/>
                <w:szCs w:val="24"/>
                <w:color w:val="auto"/>
              </w:rPr>
            </w:pPr>
          </w:p>
        </w:tc>
        <w:tc>
          <w:tcPr>
            <w:tcW w:w="1180" w:type="dxa"/>
            <w:vAlign w:val="bottom"/>
            <w:vMerge w:val="restart"/>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99"/>
              </w:rPr>
              <w:t>Total Fully</w:t>
            </w:r>
          </w:p>
        </w:tc>
        <w:tc>
          <w:tcPr>
            <w:tcW w:w="0" w:type="dxa"/>
            <w:vAlign w:val="bottom"/>
          </w:tcPr>
          <w:p>
            <w:pPr>
              <w:spacing w:after="0"/>
              <w:rPr>
                <w:sz w:val="1"/>
                <w:szCs w:val="1"/>
                <w:color w:val="auto"/>
              </w:rPr>
            </w:pPr>
          </w:p>
        </w:tc>
      </w:tr>
      <w:tr>
        <w:trPr>
          <w:trHeight w:val="117"/>
        </w:trPr>
        <w:tc>
          <w:tcPr>
            <w:tcW w:w="2600" w:type="dxa"/>
            <w:vAlign w:val="bottom"/>
            <w:gridSpan w:val="2"/>
            <w:vMerge w:val="continue"/>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126"/>
              <w:spacing w:after="0" w:line="118" w:lineRule="exact"/>
              <w:rPr>
                <w:sz w:val="20"/>
                <w:szCs w:val="20"/>
                <w:color w:val="auto"/>
              </w:rPr>
            </w:pPr>
            <w:r>
              <w:rPr>
                <w:rFonts w:ascii="Times New Roman" w:cs="Times New Roman" w:eastAsia="Times New Roman" w:hAnsi="Times New Roman"/>
                <w:sz w:val="13"/>
                <w:szCs w:val="13"/>
                <w:b w:val="1"/>
                <w:bCs w:val="1"/>
                <w:color w:val="auto"/>
              </w:rPr>
              <w:t>Contributions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Transferred Late to Plan</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Pending</w:t>
            </w:r>
          </w:p>
        </w:tc>
        <w:tc>
          <w:tcPr>
            <w:tcW w:w="100" w:type="dxa"/>
            <w:vAlign w:val="bottom"/>
          </w:tcPr>
          <w:p>
            <w:pPr>
              <w:spacing w:after="0"/>
              <w:rPr>
                <w:sz w:val="15"/>
                <w:szCs w:val="15"/>
                <w:color w:val="auto"/>
              </w:rPr>
            </w:pPr>
          </w:p>
        </w:tc>
        <w:tc>
          <w:tcPr>
            <w:tcW w:w="118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Corrected</w:t>
            </w:r>
          </w:p>
        </w:tc>
        <w:tc>
          <w:tcPr>
            <w:tcW w:w="0" w:type="dxa"/>
            <w:vAlign w:val="bottom"/>
          </w:tcPr>
          <w:p>
            <w:pPr>
              <w:spacing w:after="0"/>
              <w:rPr>
                <w:sz w:val="1"/>
                <w:szCs w:val="1"/>
                <w:color w:val="auto"/>
              </w:rPr>
            </w:pPr>
          </w:p>
        </w:tc>
      </w:tr>
      <w:tr>
        <w:trPr>
          <w:trHeight w:val="117"/>
        </w:trPr>
        <w:tc>
          <w:tcPr>
            <w:tcW w:w="23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Check here if Late Participant</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Contributions</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Corrected</w:t>
            </w:r>
          </w:p>
        </w:tc>
        <w:tc>
          <w:tcPr>
            <w:tcW w:w="200" w:type="dxa"/>
            <w:vAlign w:val="bottom"/>
          </w:tcPr>
          <w:p>
            <w:pPr>
              <w:spacing w:after="0"/>
              <w:rPr>
                <w:sz w:val="10"/>
                <w:szCs w:val="10"/>
                <w:color w:val="auto"/>
              </w:rPr>
            </w:pPr>
          </w:p>
        </w:tc>
        <w:tc>
          <w:tcPr>
            <w:tcW w:w="148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Correction</w:t>
            </w:r>
          </w:p>
        </w:tc>
        <w:tc>
          <w:tcPr>
            <w:tcW w:w="100" w:type="dxa"/>
            <w:vAlign w:val="bottom"/>
          </w:tcPr>
          <w:p>
            <w:pPr>
              <w:spacing w:after="0"/>
              <w:rPr>
                <w:sz w:val="10"/>
                <w:szCs w:val="10"/>
                <w:color w:val="auto"/>
              </w:rPr>
            </w:pPr>
          </w:p>
        </w:tc>
        <w:tc>
          <w:tcPr>
            <w:tcW w:w="1180" w:type="dxa"/>
            <w:vAlign w:val="bottom"/>
          </w:tcPr>
          <w:p>
            <w:pPr>
              <w:jc w:val="center"/>
              <w:ind w:right="25"/>
              <w:spacing w:after="0" w:line="118" w:lineRule="exact"/>
              <w:rPr>
                <w:sz w:val="20"/>
                <w:szCs w:val="20"/>
                <w:color w:val="auto"/>
              </w:rPr>
            </w:pPr>
            <w:r>
              <w:rPr>
                <w:rFonts w:ascii="Times New Roman" w:cs="Times New Roman" w:eastAsia="Times New Roman" w:hAnsi="Times New Roman"/>
                <w:sz w:val="13"/>
                <w:szCs w:val="13"/>
                <w:b w:val="1"/>
                <w:bCs w:val="1"/>
                <w:color w:val="auto"/>
              </w:rPr>
              <w:t>Under VFCP and</w:t>
            </w:r>
          </w:p>
        </w:tc>
        <w:tc>
          <w:tcPr>
            <w:tcW w:w="0" w:type="dxa"/>
            <w:vAlign w:val="bottom"/>
          </w:tcPr>
          <w:p>
            <w:pPr>
              <w:spacing w:after="0"/>
              <w:rPr>
                <w:sz w:val="1"/>
                <w:szCs w:val="1"/>
                <w:color w:val="auto"/>
              </w:rPr>
            </w:pPr>
          </w:p>
        </w:tc>
      </w:tr>
      <w:tr>
        <w:trPr>
          <w:trHeight w:val="173"/>
        </w:trPr>
        <w:tc>
          <w:tcPr>
            <w:tcW w:w="2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Loan Repayments are included:</w:t>
            </w:r>
          </w:p>
        </w:tc>
        <w:tc>
          <w:tcPr>
            <w:tcW w:w="160" w:type="dxa"/>
            <w:vAlign w:val="bottom"/>
          </w:tcPr>
          <w:p>
            <w:pPr>
              <w:spacing w:after="0"/>
              <w:rPr>
                <w:sz w:val="15"/>
                <w:szCs w:val="15"/>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Not Corrected</w:t>
            </w:r>
          </w:p>
        </w:tc>
        <w:tc>
          <w:tcPr>
            <w:tcW w:w="180" w:type="dxa"/>
            <w:vAlign w:val="bottom"/>
          </w:tcPr>
          <w:p>
            <w:pPr>
              <w:spacing w:after="0"/>
              <w:rPr>
                <w:sz w:val="15"/>
                <w:szCs w:val="15"/>
                <w:color w:val="auto"/>
              </w:rPr>
            </w:pPr>
          </w:p>
        </w:tc>
        <w:tc>
          <w:tcPr>
            <w:tcW w:w="15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Outside VFCP</w:t>
            </w:r>
          </w:p>
        </w:tc>
        <w:tc>
          <w:tcPr>
            <w:tcW w:w="200" w:type="dxa"/>
            <w:vAlign w:val="bottom"/>
          </w:tcPr>
          <w:p>
            <w:pPr>
              <w:spacing w:after="0"/>
              <w:rPr>
                <w:sz w:val="15"/>
                <w:szCs w:val="15"/>
                <w:color w:val="auto"/>
              </w:rPr>
            </w:pPr>
          </w:p>
        </w:tc>
        <w:tc>
          <w:tcPr>
            <w:tcW w:w="14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 VFCP</w:t>
            </w:r>
          </w:p>
        </w:tc>
        <w:tc>
          <w:tcPr>
            <w:tcW w:w="100" w:type="dxa"/>
            <w:vAlign w:val="bottom"/>
          </w:tcPr>
          <w:p>
            <w:pPr>
              <w:spacing w:after="0"/>
              <w:rPr>
                <w:sz w:val="15"/>
                <w:szCs w:val="15"/>
                <w:color w:val="auto"/>
              </w:rPr>
            </w:pPr>
          </w:p>
        </w:tc>
        <w:tc>
          <w:tcPr>
            <w:tcW w:w="118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PTE 2001-51</w:t>
            </w:r>
          </w:p>
        </w:tc>
        <w:tc>
          <w:tcPr>
            <w:tcW w:w="0" w:type="dxa"/>
            <w:vAlign w:val="bottom"/>
          </w:tcPr>
          <w:p>
            <w:pPr>
              <w:spacing w:after="0"/>
              <w:rPr>
                <w:sz w:val="1"/>
                <w:szCs w:val="1"/>
                <w:color w:val="auto"/>
              </w:rPr>
            </w:pPr>
          </w:p>
        </w:tc>
      </w:tr>
      <w:tr>
        <w:trPr>
          <w:trHeight w:val="209"/>
        </w:trPr>
        <w:tc>
          <w:tcPr>
            <w:tcW w:w="230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353,602</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80" w:type="dxa"/>
            <w:vAlign w:val="bottom"/>
            <w:gridSpan w:val="4"/>
          </w:tcPr>
          <w:p>
            <w:pPr>
              <w:jc w:val="center"/>
              <w:ind w:right="759"/>
              <w:spacing w:after="0"/>
              <w:rPr>
                <w:sz w:val="20"/>
                <w:szCs w:val="20"/>
                <w:color w:val="auto"/>
              </w:rPr>
            </w:pPr>
            <w:r>
              <w:rPr>
                <w:rFonts w:ascii="Times New Roman" w:cs="Times New Roman" w:eastAsia="Times New Roman" w:hAnsi="Times New Roman"/>
                <w:sz w:val="18"/>
                <w:szCs w:val="18"/>
                <w:color w:val="auto"/>
                <w:w w:val="99"/>
              </w:rPr>
              <w:t>Waste Management Retirement Savings Plan</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500" w:type="dxa"/>
            <w:vAlign w:val="bottom"/>
            <w:gridSpan w:val="5"/>
          </w:tcPr>
          <w:p>
            <w:pPr>
              <w:jc w:val="center"/>
              <w:ind w:left="1311"/>
              <w:spacing w:after="0"/>
              <w:rPr>
                <w:sz w:val="20"/>
                <w:szCs w:val="20"/>
                <w:color w:val="auto"/>
              </w:rPr>
            </w:pPr>
            <w:r>
              <w:rPr>
                <w:rFonts w:ascii="Times New Roman" w:cs="Times New Roman" w:eastAsia="Times New Roman" w:hAnsi="Times New Roman"/>
                <w:sz w:val="18"/>
                <w:szCs w:val="18"/>
                <w:color w:val="auto"/>
                <w:w w:val="99"/>
              </w:rPr>
              <w:t>Schedule H, Line 4(i) - Schedule of Assets (Held at End of Year)</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EIN: 73-1309529</w:t>
            </w:r>
          </w:p>
        </w:tc>
        <w:tc>
          <w:tcPr>
            <w:tcW w:w="2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Plan: 001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2"/>
          </w:tcPr>
          <w:p>
            <w:pPr>
              <w:jc w:val="center"/>
              <w:ind w:right="1819"/>
              <w:spacing w:after="0"/>
              <w:rPr>
                <w:sz w:val="20"/>
                <w:szCs w:val="20"/>
                <w:color w:val="auto"/>
              </w:rPr>
            </w:pPr>
            <w:r>
              <w:rPr>
                <w:rFonts w:ascii="Times New Roman" w:cs="Times New Roman" w:eastAsia="Times New Roman" w:hAnsi="Times New Roman"/>
                <w:sz w:val="18"/>
                <w:szCs w:val="18"/>
                <w:color w:val="auto"/>
              </w:rPr>
              <w:t>December 31, 2021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316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Identity of Issue</w:t>
            </w:r>
          </w:p>
        </w:tc>
        <w:tc>
          <w:tcPr>
            <w:tcW w:w="14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 of Investment</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Current Value</w:t>
            </w:r>
          </w:p>
        </w:tc>
      </w:tr>
      <w:tr>
        <w:trPr>
          <w:trHeight w:val="210"/>
        </w:trPr>
        <w:tc>
          <w:tcPr>
            <w:tcW w:w="20" w:type="dxa"/>
            <w:vAlign w:val="bottom"/>
          </w:tcPr>
          <w:p>
            <w:pPr>
              <w:spacing w:after="0"/>
              <w:rPr>
                <w:sz w:val="18"/>
                <w:szCs w:val="18"/>
                <w:color w:val="auto"/>
              </w:rPr>
            </w:pPr>
          </w:p>
        </w:tc>
        <w:tc>
          <w:tcPr>
            <w:tcW w:w="3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BlackRock</w:t>
            </w:r>
          </w:p>
        </w:tc>
        <w:tc>
          <w:tcPr>
            <w:tcW w:w="14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Liquidity Fund - FedFund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3,016,643</w:t>
            </w: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Inc.</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318,770,268</w:t>
            </w: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Wilmington Trust, N.A.</w:t>
            </w:r>
          </w:p>
        </w:tc>
        <w:tc>
          <w:tcPr>
            <w:tcW w:w="4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BlackRock EAFE Equity Index Fund, Class 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196,816,487</w:t>
            </w:r>
          </w:p>
        </w:tc>
      </w:tr>
      <w:tr>
        <w:trPr>
          <w:trHeight w:val="216"/>
        </w:trPr>
        <w:tc>
          <w:tcPr>
            <w:tcW w:w="20" w:type="dxa"/>
            <w:vAlign w:val="bottom"/>
          </w:tcPr>
          <w:p>
            <w:pPr>
              <w:spacing w:after="0"/>
              <w:rPr>
                <w:sz w:val="18"/>
                <w:szCs w:val="18"/>
                <w:color w:val="auto"/>
              </w:rPr>
            </w:pPr>
          </w:p>
        </w:tc>
        <w:tc>
          <w:tcPr>
            <w:tcW w:w="3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BlackRock Institutional Trust Company</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BlackRock Equity Index Fund J</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953,420,837</w:t>
            </w: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Wilmington Trust, N.A.</w:t>
            </w:r>
          </w:p>
        </w:tc>
        <w:tc>
          <w:tcPr>
            <w:tcW w:w="4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Lord Abbett Total Return Fund II BP</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133,586,935</w:t>
            </w:r>
          </w:p>
        </w:tc>
      </w:tr>
      <w:tr>
        <w:trPr>
          <w:trHeight w:val="216"/>
        </w:trPr>
        <w:tc>
          <w:tcPr>
            <w:tcW w:w="20" w:type="dxa"/>
            <w:vAlign w:val="bottom"/>
          </w:tcPr>
          <w:p>
            <w:pPr>
              <w:spacing w:after="0"/>
              <w:rPr>
                <w:sz w:val="18"/>
                <w:szCs w:val="18"/>
                <w:color w:val="auto"/>
              </w:rPr>
            </w:pPr>
          </w:p>
        </w:tc>
        <w:tc>
          <w:tcPr>
            <w:tcW w:w="3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SEI Trust Company</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PIMCO RealPath Blend 2025 Collective Trust Funds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111,440,520</w:t>
            </w: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SEI Trust Company</w:t>
            </w:r>
          </w:p>
        </w:tc>
        <w:tc>
          <w:tcPr>
            <w:tcW w:w="4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PIMCO RealPath Blend 2030 Collective Trust Funds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401,672,793</w:t>
            </w:r>
          </w:p>
        </w:tc>
      </w:tr>
      <w:tr>
        <w:trPr>
          <w:trHeight w:val="216"/>
        </w:trPr>
        <w:tc>
          <w:tcPr>
            <w:tcW w:w="20" w:type="dxa"/>
            <w:vAlign w:val="bottom"/>
          </w:tcPr>
          <w:p>
            <w:pPr>
              <w:spacing w:after="0"/>
              <w:rPr>
                <w:sz w:val="18"/>
                <w:szCs w:val="18"/>
                <w:color w:val="auto"/>
              </w:rPr>
            </w:pPr>
          </w:p>
        </w:tc>
        <w:tc>
          <w:tcPr>
            <w:tcW w:w="3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SEI Trust Company</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PIMCO RealPath Blend 2035 Collective Trust Funds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106,689,337</w:t>
            </w: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SEI Trust Company</w:t>
            </w:r>
          </w:p>
        </w:tc>
        <w:tc>
          <w:tcPr>
            <w:tcW w:w="4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PIMCO RealPath Blend 2040 Collective Trust Funds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228,286,994</w:t>
            </w:r>
          </w:p>
        </w:tc>
      </w:tr>
      <w:tr>
        <w:trPr>
          <w:trHeight w:val="216"/>
        </w:trPr>
        <w:tc>
          <w:tcPr>
            <w:tcW w:w="20" w:type="dxa"/>
            <w:vAlign w:val="bottom"/>
          </w:tcPr>
          <w:p>
            <w:pPr>
              <w:spacing w:after="0"/>
              <w:rPr>
                <w:sz w:val="18"/>
                <w:szCs w:val="18"/>
                <w:color w:val="auto"/>
              </w:rPr>
            </w:pPr>
          </w:p>
        </w:tc>
        <w:tc>
          <w:tcPr>
            <w:tcW w:w="3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SEI Trust Company</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PIMCO RealPath Blend 2045 Collective Trust Funds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80,606,229</w:t>
            </w: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SEI Trust Company</w:t>
            </w:r>
          </w:p>
        </w:tc>
        <w:tc>
          <w:tcPr>
            <w:tcW w:w="4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PIMCO RealPath Blend 2050 Collective Trust Funds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80,902,143</w:t>
            </w:r>
          </w:p>
        </w:tc>
      </w:tr>
      <w:tr>
        <w:trPr>
          <w:trHeight w:val="216"/>
        </w:trPr>
        <w:tc>
          <w:tcPr>
            <w:tcW w:w="20" w:type="dxa"/>
            <w:vAlign w:val="bottom"/>
          </w:tcPr>
          <w:p>
            <w:pPr>
              <w:spacing w:after="0"/>
              <w:rPr>
                <w:sz w:val="18"/>
                <w:szCs w:val="18"/>
                <w:color w:val="auto"/>
              </w:rPr>
            </w:pPr>
          </w:p>
        </w:tc>
        <w:tc>
          <w:tcPr>
            <w:tcW w:w="3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SEI Trust Company</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PIMCO RealPath Blend 2055 Collective Trust Funds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63,116,185</w:t>
            </w: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SEI Trust Company</w:t>
            </w:r>
          </w:p>
        </w:tc>
        <w:tc>
          <w:tcPr>
            <w:tcW w:w="4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PIMCO RealPath Blend 2060 Collective Trust Funds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1,333,449</w:t>
            </w:r>
          </w:p>
        </w:tc>
      </w:tr>
      <w:tr>
        <w:trPr>
          <w:trHeight w:val="216"/>
        </w:trPr>
        <w:tc>
          <w:tcPr>
            <w:tcW w:w="20" w:type="dxa"/>
            <w:vAlign w:val="bottom"/>
          </w:tcPr>
          <w:p>
            <w:pPr>
              <w:spacing w:after="0"/>
              <w:rPr>
                <w:sz w:val="18"/>
                <w:szCs w:val="18"/>
                <w:color w:val="auto"/>
              </w:rPr>
            </w:pPr>
          </w:p>
        </w:tc>
        <w:tc>
          <w:tcPr>
            <w:tcW w:w="3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SEI Trust Company</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PIMCO RealPath Blend Income Collective Trust Funds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191,854,571</w:t>
            </w: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Principal Global Investors Trust Company</w:t>
            </w:r>
          </w:p>
        </w:tc>
        <w:tc>
          <w:tcPr>
            <w:tcW w:w="4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Diversified Real Asset Tier 1 CIT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1,326,051</w:t>
            </w:r>
          </w:p>
        </w:tc>
      </w:tr>
      <w:tr>
        <w:trPr>
          <w:trHeight w:val="216"/>
        </w:trPr>
        <w:tc>
          <w:tcPr>
            <w:tcW w:w="20" w:type="dxa"/>
            <w:vAlign w:val="bottom"/>
          </w:tcPr>
          <w:p>
            <w:pPr>
              <w:spacing w:after="0"/>
              <w:rPr>
                <w:sz w:val="18"/>
                <w:szCs w:val="18"/>
                <w:color w:val="auto"/>
              </w:rPr>
            </w:pPr>
          </w:p>
        </w:tc>
        <w:tc>
          <w:tcPr>
            <w:tcW w:w="3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PIMCO</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PIMCO International Bond (US-HDG) Instl.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10,128,262</w:t>
            </w: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Fidelity</w:t>
            </w:r>
          </w:p>
        </w:tc>
        <w:tc>
          <w:tcPr>
            <w:tcW w:w="4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Fidelity Small Cap Index Fund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217,240,057</w:t>
            </w:r>
          </w:p>
        </w:tc>
      </w:tr>
      <w:tr>
        <w:trPr>
          <w:trHeight w:val="216"/>
        </w:trPr>
        <w:tc>
          <w:tcPr>
            <w:tcW w:w="20" w:type="dxa"/>
            <w:vAlign w:val="bottom"/>
          </w:tcPr>
          <w:p>
            <w:pPr>
              <w:spacing w:after="0"/>
              <w:rPr>
                <w:sz w:val="18"/>
                <w:szCs w:val="18"/>
                <w:color w:val="auto"/>
              </w:rPr>
            </w:pPr>
          </w:p>
        </w:tc>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Dimensional Fund Advisors</w:t>
            </w:r>
          </w:p>
        </w:tc>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DFA Emerging Markets Core Equity Portfolio</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62,357,258</w:t>
            </w: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*Galliard Capital Management, Inc.</w:t>
            </w:r>
          </w:p>
        </w:tc>
        <w:tc>
          <w:tcPr>
            <w:tcW w:w="4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Stable Value Fund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414,231,050</w:t>
            </w:r>
          </w:p>
        </w:tc>
      </w:tr>
      <w:tr>
        <w:trPr>
          <w:trHeight w:val="198"/>
        </w:trPr>
        <w:tc>
          <w:tcPr>
            <w:tcW w:w="20" w:type="dxa"/>
            <w:vAlign w:val="bottom"/>
          </w:tcPr>
          <w:p>
            <w:pPr>
              <w:spacing w:after="0"/>
              <w:rPr>
                <w:sz w:val="17"/>
                <w:szCs w:val="17"/>
                <w:color w:val="auto"/>
              </w:rPr>
            </w:pPr>
          </w:p>
        </w:tc>
        <w:tc>
          <w:tcPr>
            <w:tcW w:w="3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*Merrill Lynch, Pierce, Fenner &amp; Smith</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1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Incorporated</w:t>
            </w:r>
          </w:p>
        </w:tc>
        <w:tc>
          <w:tcPr>
            <w:tcW w:w="434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107,470,950</w:t>
            </w:r>
          </w:p>
        </w:tc>
      </w:tr>
      <w:tr>
        <w:trPr>
          <w:trHeight w:val="209"/>
        </w:trPr>
        <w:tc>
          <w:tcPr>
            <w:tcW w:w="20" w:type="dxa"/>
            <w:vAlign w:val="bottom"/>
          </w:tcPr>
          <w:p>
            <w:pPr>
              <w:spacing w:after="0"/>
              <w:rPr>
                <w:sz w:val="18"/>
                <w:szCs w:val="18"/>
                <w:color w:val="auto"/>
              </w:rPr>
            </w:pPr>
          </w:p>
        </w:tc>
        <w:tc>
          <w:tcPr>
            <w:tcW w:w="3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3,684,267,019</w:t>
            </w:r>
          </w:p>
        </w:tc>
      </w:tr>
      <w:tr>
        <w:trPr>
          <w:trHeight w:val="198"/>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34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Various maturity dates with interest rates ranging from</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3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140" w:type="dxa"/>
            <w:vAlign w:val="bottom"/>
          </w:tcPr>
          <w:p>
            <w:pPr>
              <w:spacing w:after="0"/>
              <w:rPr>
                <w:sz w:val="20"/>
                <w:szCs w:val="20"/>
                <w:color w:val="auto"/>
              </w:rPr>
            </w:pPr>
          </w:p>
        </w:tc>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3.25% to 6.50%</w:t>
            </w:r>
          </w:p>
        </w:tc>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72,463,240</w:t>
            </w: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29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3,756,730,259</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Party-in-interest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100" w:type="dxa"/>
            <w:vAlign w:val="bottom"/>
            <w:gridSpan w:val="2"/>
          </w:tcPr>
          <w:p>
            <w:pPr>
              <w:ind w:left="276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353"/>
        </w:trPr>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8100" w:type="dxa"/>
            <w:vAlign w:val="bottom"/>
            <w:gridSpan w:val="2"/>
            <w:vMerge w:val="restart"/>
          </w:tcPr>
          <w:p>
            <w:pPr>
              <w:ind w:left="3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14"/>
                <w:szCs w:val="14"/>
                <w:color w:val="auto"/>
              </w:rPr>
            </w:pPr>
          </w:p>
        </w:tc>
        <w:tc>
          <w:tcPr>
            <w:tcW w:w="81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The Plan</w:t>
      </w:r>
      <w:r>
        <w:rPr>
          <w:rFonts w:ascii="Times New Roman" w:cs="Times New Roman" w:eastAsia="Times New Roman" w:hAnsi="Times New Roman"/>
          <w:sz w:val="18"/>
          <w:szCs w:val="18"/>
          <w:color w:val="auto"/>
        </w:rPr>
        <w:t>. Pursuant to the requirements of the Securities Exchange Act of 1934, the Administrative Committee has duly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caused this annual report to be signed on its behalf by the undersigned hereunto duly authorized.</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60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WASTE MANAGEMENT RETIREMENT SAVINGS PLAN</w:t>
            </w: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Date: May 31, 2022</w:t>
            </w:r>
          </w:p>
        </w:tc>
        <w:tc>
          <w:tcPr>
            <w:tcW w:w="60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By:  /s/ Gordon Blasius</w:t>
            </w:r>
          </w:p>
        </w:tc>
      </w:tr>
      <w:tr>
        <w:trPr>
          <w:trHeight w:val="191"/>
        </w:trPr>
        <w:tc>
          <w:tcPr>
            <w:tcW w:w="28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Gordon Blasius</w:t>
            </w:r>
          </w:p>
        </w:tc>
      </w:tr>
      <w:tr>
        <w:trPr>
          <w:trHeight w:val="216"/>
        </w:trPr>
        <w:tc>
          <w:tcPr>
            <w:tcW w:w="2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Member, Administrative Committee of the Waste</w:t>
            </w:r>
          </w:p>
        </w:tc>
      </w:tr>
      <w:tr>
        <w:trPr>
          <w:trHeight w:val="234"/>
        </w:trPr>
        <w:tc>
          <w:tcPr>
            <w:tcW w:w="28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 Employee Benefit Plans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333-253683) pertaining to the Waste Management Retirement Savings Plan of our report dated May 31, 2022, with respect to the financial statements and supplemental schedules of the Waste Management Retirement Savings Plan included in this Annual Report (Form 11-K)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Weaver and Tidwell,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3"/>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4"/>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2022-05-31T15:54:46Z</dcterms:created>
  <dcterms:modified xsi:type="dcterms:W3CDTF">2022-05-31T15:54:46Z</dcterms:modified>
</cp:coreProperties>
</file>