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2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5760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171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53340</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7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43"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Waste Management, Inc.</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56515</wp:posOffset>
            </wp:positionV>
            <wp:extent cx="5760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0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248920</wp:posOffset>
            </wp:positionV>
            <wp:extent cx="5760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94"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4" w:lineRule="exact"/>
        <w:rPr>
          <w:sz w:val="24"/>
          <w:szCs w:val="24"/>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80" w:hanging="364"/>
        <w:spacing w:after="0"/>
        <w:tabs>
          <w:tab w:leader="none" w:pos="11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4114800</wp:posOffset>
            </wp:positionV>
            <wp:extent cx="576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357"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1480" w:type="dxa"/>
            <w:vAlign w:val="bottom"/>
          </w:tcPr>
          <w:p>
            <w:pPr>
              <w:spacing w:after="0"/>
              <w:rPr>
                <w:sz w:val="20"/>
                <w:szCs w:val="20"/>
                <w:color w:val="auto"/>
              </w:rPr>
            </w:pPr>
            <w:r>
              <w:rPr>
                <w:rFonts w:ascii="Arial" w:cs="Arial" w:eastAsia="Arial" w:hAnsi="Arial"/>
                <w:sz w:val="16"/>
                <w:szCs w:val="16"/>
                <w:color w:val="FC0014"/>
              </w:rPr>
              <w:t>​</w:t>
            </w:r>
          </w:p>
        </w:tc>
        <w:tc>
          <w:tcPr>
            <w:tcW w:w="7080" w:type="dxa"/>
            <w:vAlign w:val="bottom"/>
            <w:vMerge w:val="restart"/>
          </w:tcPr>
          <w:p>
            <w:pPr>
              <w:ind w:left="1420"/>
              <w:spacing w:after="0"/>
              <w:rPr>
                <w:sz w:val="20"/>
                <w:szCs w:val="20"/>
                <w:color w:val="auto"/>
              </w:rPr>
            </w:pPr>
            <w:r>
              <w:rPr>
                <w:rFonts w:ascii="Arial" w:cs="Arial" w:eastAsia="Arial" w:hAnsi="Arial"/>
                <w:sz w:val="16"/>
                <w:szCs w:val="16"/>
                <w:color w:val="FC0014"/>
              </w:rPr>
              <w:t>PRELIMINARY COPY - SUBJECT TO COMPLETION</w:t>
            </w:r>
          </w:p>
        </w:tc>
        <w:tc>
          <w:tcPr>
            <w:tcW w:w="1520" w:type="dxa"/>
            <w:vAlign w:val="bottom"/>
          </w:tcPr>
          <w:p>
            <w:pPr>
              <w:ind w:left="1480"/>
              <w:spacing w:after="0"/>
              <w:rPr>
                <w:sz w:val="20"/>
                <w:szCs w:val="20"/>
                <w:color w:val="auto"/>
              </w:rPr>
            </w:pPr>
            <w:r>
              <w:rPr>
                <w:rFonts w:ascii="Arial" w:cs="Arial" w:eastAsia="Arial" w:hAnsi="Arial"/>
                <w:sz w:val="16"/>
                <w:szCs w:val="16"/>
                <w:color w:val="FC0014"/>
              </w:rPr>
              <w:t>​</w:t>
            </w:r>
          </w:p>
        </w:tc>
        <w:tc>
          <w:tcPr>
            <w:tcW w:w="0" w:type="dxa"/>
            <w:vAlign w:val="bottom"/>
          </w:tcPr>
          <w:p>
            <w:pPr>
              <w:spacing w:after="0"/>
              <w:rPr>
                <w:sz w:val="1"/>
                <w:szCs w:val="1"/>
                <w:color w:val="auto"/>
              </w:rPr>
            </w:pPr>
          </w:p>
        </w:tc>
      </w:tr>
      <w:tr>
        <w:trPr>
          <w:trHeight w:val="58"/>
        </w:trPr>
        <w:tc>
          <w:tcPr>
            <w:tcW w:w="1480" w:type="dxa"/>
            <w:vAlign w:val="bottom"/>
          </w:tcPr>
          <w:p>
            <w:pPr>
              <w:spacing w:after="0"/>
              <w:rPr>
                <w:sz w:val="5"/>
                <w:szCs w:val="5"/>
                <w:color w:val="auto"/>
              </w:rPr>
            </w:pPr>
          </w:p>
        </w:tc>
        <w:tc>
          <w:tcPr>
            <w:tcW w:w="708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-172085</wp:posOffset>
            </wp:positionV>
            <wp:extent cx="638619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6195" cy="37719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color w:val="FC0014"/>
        </w:rPr>
        <w:t>Waste Management, Inc. intends to release definitive copies of the Proxy Statement to stockholders on or about April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20" w:right="3700"/>
        <w:spacing w:after="0" w:line="220" w:lineRule="auto"/>
        <w:rPr>
          <w:sz w:val="20"/>
          <w:szCs w:val="20"/>
          <w:color w:val="auto"/>
        </w:rPr>
      </w:pPr>
      <w:r>
        <w:rPr>
          <w:rFonts w:ascii="Arial" w:cs="Arial" w:eastAsia="Arial" w:hAnsi="Arial"/>
          <w:sz w:val="36"/>
          <w:szCs w:val="36"/>
          <w:b w:val="1"/>
          <w:bCs w:val="1"/>
          <w:color w:val="457157"/>
        </w:rPr>
        <w:t>NOTICE OF ANNUAL MEETING OF STOCKHOLDERS</w:t>
      </w:r>
      <w:r>
        <w:rPr>
          <w:rFonts w:ascii="Times New Roman" w:cs="Times New Roman" w:eastAsia="Times New Roman" w:hAnsi="Times New Roman"/>
          <w:sz w:val="64"/>
          <w:szCs w:val="64"/>
          <w:color w:val="000000"/>
        </w:rPr>
        <w:t>​</w:t>
      </w:r>
    </w:p>
    <w:p>
      <w:pPr>
        <w:sectPr>
          <w:pgSz w:w="11900" w:h="16838" w:orient="portrait"/>
          <w:cols w:equalWidth="0" w:num="1">
            <w:col w:w="10900"/>
          </w:cols>
          <w:pgMar w:left="580" w:top="97" w:right="419" w:bottom="1440" w:gutter="0" w:footer="0" w:header="0"/>
        </w:sectPr>
      </w:pPr>
    </w:p>
    <w:p>
      <w:pPr>
        <w:spacing w:after="0" w:line="19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Date and Time:</w:t>
      </w:r>
    </w:p>
    <w:p>
      <w:pPr>
        <w:spacing w:after="0" w:line="112" w:lineRule="exact"/>
        <w:rPr>
          <w:sz w:val="20"/>
          <w:szCs w:val="20"/>
          <w:color w:val="auto"/>
        </w:rPr>
      </w:pPr>
    </w:p>
    <w:p>
      <w:pPr>
        <w:ind w:left="820"/>
        <w:spacing w:after="0" w:line="263" w:lineRule="auto"/>
        <w:rPr>
          <w:sz w:val="20"/>
          <w:szCs w:val="20"/>
          <w:color w:val="auto"/>
        </w:rPr>
      </w:pPr>
      <w:r>
        <w:rPr>
          <w:rFonts w:ascii="Arial" w:cs="Arial" w:eastAsia="Arial" w:hAnsi="Arial"/>
          <w:sz w:val="18"/>
          <w:szCs w:val="18"/>
          <w:color w:val="auto"/>
        </w:rPr>
        <w:t>Tuesday, May 14, 2024 at 10:30 a.m. Central Time</w:t>
      </w: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Place: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Waste Management, Inc.</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Houston, Texas 77002</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Record Date:</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March 19, 2024</w:t>
      </w:r>
    </w:p>
    <w:p>
      <w:pPr>
        <w:spacing w:after="0" w:line="220" w:lineRule="exact"/>
        <w:rPr>
          <w:sz w:val="20"/>
          <w:szCs w:val="20"/>
          <w:color w:val="auto"/>
        </w:rPr>
      </w:pPr>
    </w:p>
    <w:p>
      <w:pPr>
        <w:ind w:left="820" w:right="340"/>
        <w:spacing w:after="0" w:line="284" w:lineRule="auto"/>
        <w:rPr>
          <w:sz w:val="20"/>
          <w:szCs w:val="20"/>
          <w:color w:val="auto"/>
        </w:rPr>
      </w:pPr>
      <w:r>
        <w:rPr>
          <w:rFonts w:ascii="Arial" w:cs="Arial" w:eastAsia="Arial" w:hAnsi="Arial"/>
          <w:sz w:val="20"/>
          <w:szCs w:val="20"/>
          <w:b w:val="1"/>
          <w:bCs w:val="1"/>
          <w:color w:val="457157"/>
        </w:rPr>
        <w:t>Agenda for the Annual Meeting (or any adjournment or postponement thereof):</w:t>
      </w:r>
    </w:p>
    <w:p>
      <w:pPr>
        <w:spacing w:after="0" w:line="27" w:lineRule="exact"/>
        <w:rPr>
          <w:sz w:val="20"/>
          <w:szCs w:val="20"/>
          <w:color w:val="auto"/>
        </w:rPr>
      </w:pPr>
    </w:p>
    <w:p>
      <w:pPr>
        <w:jc w:val="both"/>
        <w:ind w:left="1000" w:hanging="184"/>
        <w:spacing w:after="0" w:line="278" w:lineRule="auto"/>
        <w:tabs>
          <w:tab w:leader="none" w:pos="100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To elect the nine nominees named in the attached proxy statement to our Board of Directors;</w:t>
      </w:r>
    </w:p>
    <w:p>
      <w:pPr>
        <w:spacing w:after="0" w:line="276" w:lineRule="exact"/>
        <w:rPr>
          <w:rFonts w:ascii="Arial" w:cs="Arial" w:eastAsia="Arial" w:hAnsi="Arial"/>
          <w:sz w:val="18"/>
          <w:szCs w:val="18"/>
          <w:color w:val="457157"/>
        </w:rPr>
      </w:pPr>
    </w:p>
    <w:p>
      <w:pPr>
        <w:jc w:val="both"/>
        <w:ind w:left="1000" w:hanging="184"/>
        <w:spacing w:after="0" w:line="262" w:lineRule="auto"/>
        <w:tabs>
          <w:tab w:leader="none" w:pos="100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2024;</w:t>
      </w:r>
    </w:p>
    <w:p>
      <w:pPr>
        <w:spacing w:after="0" w:line="68" w:lineRule="exact"/>
        <w:rPr>
          <w:rFonts w:ascii="Arial" w:cs="Arial" w:eastAsia="Arial" w:hAnsi="Arial"/>
          <w:sz w:val="18"/>
          <w:szCs w:val="18"/>
          <w:color w:val="457157"/>
        </w:rPr>
      </w:pPr>
    </w:p>
    <w:p>
      <w:pPr>
        <w:ind w:left="1000" w:hanging="184"/>
        <w:spacing w:after="0" w:line="287" w:lineRule="auto"/>
        <w:tabs>
          <w:tab w:leader="none" w:pos="100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To vote on a non-binding, advisory proposal to approve our executive compensation;</w:t>
      </w:r>
    </w:p>
    <w:p>
      <w:pPr>
        <w:spacing w:after="0" w:line="44" w:lineRule="exact"/>
        <w:rPr>
          <w:rFonts w:ascii="Arial" w:cs="Arial" w:eastAsia="Arial" w:hAnsi="Arial"/>
          <w:sz w:val="18"/>
          <w:szCs w:val="18"/>
          <w:color w:val="457157"/>
        </w:rPr>
      </w:pPr>
    </w:p>
    <w:p>
      <w:pPr>
        <w:jc w:val="both"/>
        <w:ind w:left="1000" w:right="20" w:hanging="184"/>
        <w:spacing w:after="0" w:line="268" w:lineRule="auto"/>
        <w:tabs>
          <w:tab w:leader="none" w:pos="100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To vote on a proposal to approve an amendment to the Certificate of Incorporation to provide for officer exculpation; and</w:t>
      </w:r>
    </w:p>
    <w:p>
      <w:pPr>
        <w:spacing w:after="0" w:line="62" w:lineRule="exact"/>
        <w:rPr>
          <w:rFonts w:ascii="Arial" w:cs="Arial" w:eastAsia="Arial" w:hAnsi="Arial"/>
          <w:sz w:val="18"/>
          <w:szCs w:val="18"/>
          <w:color w:val="457157"/>
        </w:rPr>
      </w:pPr>
    </w:p>
    <w:p>
      <w:pPr>
        <w:ind w:left="1000" w:right="20" w:hanging="184"/>
        <w:spacing w:after="0" w:line="287" w:lineRule="auto"/>
        <w:tabs>
          <w:tab w:leader="none" w:pos="100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5"/>
        </w:trPr>
        <w:tc>
          <w:tcPr>
            <w:tcW w:w="320" w:type="dxa"/>
            <w:vAlign w:val="bottom"/>
            <w:vMerge w:val="restart"/>
            <w:shd w:val="clear" w:color="auto" w:fill="ECF1EE"/>
          </w:tcPr>
          <w:p>
            <w:pPr>
              <w:ind w:left="40"/>
              <w:spacing w:after="0"/>
              <w:rPr>
                <w:sz w:val="20"/>
                <w:szCs w:val="20"/>
                <w:color w:val="auto"/>
              </w:rPr>
            </w:pPr>
            <w:r>
              <w:rPr>
                <w:rFonts w:ascii="Arial" w:cs="Arial" w:eastAsia="Arial" w:hAnsi="Arial"/>
                <w:sz w:val="18"/>
                <w:szCs w:val="18"/>
                <w:b w:val="1"/>
                <w:bCs w:val="1"/>
                <w:color w:val="457157"/>
              </w:rPr>
              <w:t>​</w:t>
            </w:r>
          </w:p>
        </w:tc>
        <w:tc>
          <w:tcPr>
            <w:tcW w:w="3760" w:type="dxa"/>
            <w:vAlign w:val="bottom"/>
            <w:shd w:val="clear" w:color="auto" w:fill="ECF1EE"/>
          </w:tcPr>
          <w:p>
            <w:pPr>
              <w:jc w:val="center"/>
              <w:spacing w:after="0"/>
              <w:rPr>
                <w:sz w:val="20"/>
                <w:szCs w:val="20"/>
                <w:color w:val="auto"/>
              </w:rPr>
            </w:pPr>
            <w:r>
              <w:rPr>
                <w:rFonts w:ascii="Arial" w:cs="Arial" w:eastAsia="Arial" w:hAnsi="Arial"/>
                <w:sz w:val="18"/>
                <w:szCs w:val="18"/>
                <w:b w:val="1"/>
                <w:bCs w:val="1"/>
                <w:color w:val="457157"/>
              </w:rPr>
              <w:t>IMPORTANT NOTICE OF INTERNET</w:t>
            </w:r>
          </w:p>
        </w:tc>
        <w:tc>
          <w:tcPr>
            <w:tcW w:w="320" w:type="dxa"/>
            <w:vAlign w:val="bottom"/>
            <w:vMerge w:val="restart"/>
            <w:shd w:val="clear" w:color="auto" w:fill="ECF1EE"/>
          </w:tcPr>
          <w:p>
            <w:pPr>
              <w:ind w:left="260"/>
              <w:spacing w:after="0"/>
              <w:rPr>
                <w:sz w:val="20"/>
                <w:szCs w:val="20"/>
                <w:color w:val="auto"/>
              </w:rPr>
            </w:pPr>
            <w:r>
              <w:rPr>
                <w:rFonts w:ascii="Arial" w:cs="Arial" w:eastAsia="Arial" w:hAnsi="Arial"/>
                <w:sz w:val="18"/>
                <w:szCs w:val="18"/>
                <w:b w:val="1"/>
                <w:bCs w:val="1"/>
                <w:color w:val="457157"/>
              </w:rPr>
              <w:t>​</w:t>
            </w:r>
          </w:p>
        </w:tc>
        <w:tc>
          <w:tcPr>
            <w:tcW w:w="0" w:type="dxa"/>
            <w:vAlign w:val="bottom"/>
          </w:tcPr>
          <w:p>
            <w:pPr>
              <w:spacing w:after="0"/>
              <w:rPr>
                <w:sz w:val="1"/>
                <w:szCs w:val="1"/>
                <w:color w:val="auto"/>
              </w:rPr>
            </w:pPr>
          </w:p>
        </w:tc>
      </w:tr>
      <w:tr>
        <w:trPr>
          <w:trHeight w:val="216"/>
        </w:trPr>
        <w:tc>
          <w:tcPr>
            <w:tcW w:w="320" w:type="dxa"/>
            <w:vAlign w:val="bottom"/>
            <w:vMerge w:val="continue"/>
            <w:shd w:val="clear" w:color="auto" w:fill="ECF1EE"/>
          </w:tcPr>
          <w:p>
            <w:pPr>
              <w:spacing w:after="0"/>
              <w:rPr>
                <w:sz w:val="18"/>
                <w:szCs w:val="18"/>
                <w:color w:val="auto"/>
              </w:rPr>
            </w:pPr>
          </w:p>
        </w:tc>
        <w:tc>
          <w:tcPr>
            <w:tcW w:w="3760" w:type="dxa"/>
            <w:vAlign w:val="bottom"/>
            <w:shd w:val="clear" w:color="auto" w:fill="ECF1EE"/>
          </w:tcPr>
          <w:p>
            <w:pPr>
              <w:jc w:val="center"/>
              <w:ind w:right="10"/>
              <w:spacing w:after="0"/>
              <w:rPr>
                <w:sz w:val="20"/>
                <w:szCs w:val="20"/>
                <w:color w:val="auto"/>
              </w:rPr>
            </w:pPr>
            <w:r>
              <w:rPr>
                <w:rFonts w:ascii="Arial" w:cs="Arial" w:eastAsia="Arial" w:hAnsi="Arial"/>
                <w:sz w:val="18"/>
                <w:szCs w:val="18"/>
                <w:b w:val="1"/>
                <w:bCs w:val="1"/>
                <w:color w:val="457157"/>
              </w:rPr>
              <w:t>AVAILABILITY</w:t>
            </w:r>
          </w:p>
        </w:tc>
        <w:tc>
          <w:tcPr>
            <w:tcW w:w="320" w:type="dxa"/>
            <w:vAlign w:val="bottom"/>
            <w:vMerge w:val="continue"/>
            <w:shd w:val="clear" w:color="auto" w:fill="ECF1E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20" w:type="dxa"/>
            <w:vAlign w:val="bottom"/>
            <w:shd w:val="clear" w:color="auto" w:fill="ECF1EE"/>
          </w:tcPr>
          <w:p>
            <w:pPr>
              <w:spacing w:after="0"/>
              <w:rPr>
                <w:sz w:val="21"/>
                <w:szCs w:val="21"/>
                <w:color w:val="auto"/>
              </w:rPr>
            </w:pPr>
          </w:p>
        </w:tc>
        <w:tc>
          <w:tcPr>
            <w:tcW w:w="3760" w:type="dxa"/>
            <w:vAlign w:val="bottom"/>
            <w:shd w:val="clear" w:color="auto" w:fill="ECF1EE"/>
          </w:tcPr>
          <w:p>
            <w:pPr>
              <w:jc w:val="center"/>
              <w:spacing w:after="0"/>
              <w:rPr>
                <w:sz w:val="20"/>
                <w:szCs w:val="20"/>
                <w:color w:val="auto"/>
              </w:rPr>
            </w:pPr>
            <w:r>
              <w:rPr>
                <w:rFonts w:ascii="Arial" w:cs="Arial" w:eastAsia="Arial" w:hAnsi="Arial"/>
                <w:sz w:val="18"/>
                <w:szCs w:val="18"/>
                <w:b w:val="1"/>
                <w:bCs w:val="1"/>
                <w:color w:val="457157"/>
              </w:rPr>
              <w:t>OF PROXY MATERIALS:</w:t>
            </w:r>
          </w:p>
        </w:tc>
        <w:tc>
          <w:tcPr>
            <w:tcW w:w="320" w:type="dxa"/>
            <w:vAlign w:val="bottom"/>
            <w:shd w:val="clear" w:color="auto" w:fill="ECF1E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-488315</wp:posOffset>
            </wp:positionV>
            <wp:extent cx="2811780" cy="5366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1780" cy="5366385"/>
                    </a:xfrm>
                    <a:prstGeom prst="rect">
                      <a:avLst/>
                    </a:prstGeom>
                    <a:noFill/>
                  </pic:spPr>
                </pic:pic>
              </a:graphicData>
            </a:graphic>
          </wp:anchor>
        </w:drawing>
      </w:r>
    </w:p>
    <w:p>
      <w:pPr>
        <w:spacing w:after="0" w:line="2" w:lineRule="exact"/>
        <w:rPr>
          <w:sz w:val="20"/>
          <w:szCs w:val="20"/>
          <w:color w:val="auto"/>
        </w:rPr>
      </w:pPr>
    </w:p>
    <w:p>
      <w:pPr>
        <w:jc w:val="both"/>
        <w:ind w:right="1080" w:firstLine="95"/>
        <w:spacing w:after="0" w:line="263" w:lineRule="auto"/>
        <w:rPr>
          <w:sz w:val="20"/>
          <w:szCs w:val="20"/>
          <w:color w:val="auto"/>
        </w:rPr>
      </w:pPr>
      <w:r>
        <w:rPr>
          <w:rFonts w:ascii="Arial" w:cs="Arial" w:eastAsia="Arial" w:hAnsi="Arial"/>
          <w:sz w:val="18"/>
          <w:szCs w:val="18"/>
          <w:b w:val="1"/>
          <w:bCs w:val="1"/>
          <w:color w:val="auto"/>
        </w:rPr>
        <w:t>This Notice of Annual Meeting and Proxy Statement and the Company’s Annual ​ Report on Form 10-K for the year ended ​ December 31, 2023 are available at investors.wm.com.</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 w:type="dxa"/>
            <w:vAlign w:val="bottom"/>
          </w:tcPr>
          <w:p>
            <w:pPr>
              <w:spacing w:after="0"/>
              <w:rPr>
                <w:sz w:val="19"/>
                <w:szCs w:val="19"/>
                <w:color w:val="auto"/>
              </w:rPr>
            </w:pPr>
          </w:p>
        </w:tc>
        <w:tc>
          <w:tcPr>
            <w:tcW w:w="800" w:type="dxa"/>
            <w:vAlign w:val="bottom"/>
            <w:shd w:val="clear" w:color="auto" w:fill="ECF1EE"/>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You may submit your proxy via the</w:t>
            </w:r>
          </w:p>
        </w:tc>
        <w:tc>
          <w:tcPr>
            <w:tcW w:w="12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Internet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following</w:t>
            </w:r>
          </w:p>
        </w:tc>
        <w:tc>
          <w:tcPr>
            <w:tcW w:w="40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2120" w:type="dxa"/>
            <w:vAlign w:val="bottom"/>
            <w:gridSpan w:val="6"/>
          </w:tcPr>
          <w:p>
            <w:pPr>
              <w:spacing w:after="0" w:line="233"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color w:val="auto"/>
              </w:rPr>
              <w:t xml:space="preserve"> instructions provided</w:t>
            </w:r>
          </w:p>
        </w:tc>
        <w:tc>
          <w:tcPr>
            <w:tcW w:w="260" w:type="dxa"/>
            <w:vAlign w:val="bottom"/>
          </w:tcPr>
          <w:p>
            <w:pPr>
              <w:ind w:left="80"/>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the Notice</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gridSpan w:val="8"/>
          </w:tcPr>
          <w:p>
            <w:pPr>
              <w:ind w:left="100"/>
              <w:spacing w:after="0" w:line="198" w:lineRule="exact"/>
              <w:rPr>
                <w:sz w:val="20"/>
                <w:szCs w:val="20"/>
                <w:color w:val="auto"/>
              </w:rPr>
            </w:pPr>
            <w:r>
              <w:rPr>
                <w:rFonts w:ascii="Arial" w:cs="Arial" w:eastAsia="Arial" w:hAnsi="Arial"/>
                <w:sz w:val="18"/>
                <w:szCs w:val="18"/>
                <w:color w:val="auto"/>
              </w:rPr>
              <w:t>or, if you received printed copies of</w:t>
            </w:r>
          </w:p>
        </w:tc>
        <w:tc>
          <w:tcPr>
            <w:tcW w:w="12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the proxy materials, on your proxy</w:t>
            </w:r>
          </w:p>
        </w:tc>
        <w:tc>
          <w:tcPr>
            <w:tcW w:w="120" w:type="dxa"/>
            <w:vAlign w:val="bottom"/>
          </w:tcPr>
          <w:p>
            <w:pPr>
              <w:spacing w:after="0"/>
              <w:rPr>
                <w:sz w:val="18"/>
                <w:szCs w:val="18"/>
                <w:color w:val="auto"/>
              </w:rPr>
            </w:pPr>
          </w:p>
        </w:tc>
      </w:tr>
      <w:tr>
        <w:trPr>
          <w:trHeight w:val="244"/>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card.</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CF1EE"/>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materials  in  accordance  with  the</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instructions in the Notice, you also</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6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have</w:t>
            </w:r>
          </w:p>
        </w:tc>
        <w:tc>
          <w:tcPr>
            <w:tcW w:w="360" w:type="dxa"/>
            <w:vAlign w:val="bottom"/>
            <w:shd w:val="clear" w:color="auto" w:fill="ECF1EE"/>
          </w:tcPr>
          <w:p>
            <w:pPr>
              <w:ind w:left="40"/>
              <w:spacing w:after="0"/>
              <w:rPr>
                <w:sz w:val="20"/>
                <w:szCs w:val="20"/>
                <w:color w:val="auto"/>
              </w:rPr>
            </w:pPr>
            <w:r>
              <w:rPr>
                <w:rFonts w:ascii="Arial" w:cs="Arial" w:eastAsia="Arial" w:hAnsi="Arial"/>
                <w:sz w:val="18"/>
                <w:szCs w:val="18"/>
                <w:color w:val="auto"/>
              </w:rPr>
              <w:t>the</w:t>
            </w:r>
          </w:p>
        </w:tc>
        <w:tc>
          <w:tcPr>
            <w:tcW w:w="800" w:type="dxa"/>
            <w:vAlign w:val="bottom"/>
            <w:gridSpan w:val="2"/>
            <w:shd w:val="clear" w:color="auto" w:fill="ECF1EE"/>
          </w:tcPr>
          <w:p>
            <w:pPr>
              <w:ind w:left="120"/>
              <w:spacing w:after="0"/>
              <w:rPr>
                <w:sz w:val="20"/>
                <w:szCs w:val="20"/>
                <w:color w:val="auto"/>
              </w:rPr>
            </w:pPr>
            <w:r>
              <w:rPr>
                <w:rFonts w:ascii="Arial" w:cs="Arial" w:eastAsia="Arial" w:hAnsi="Arial"/>
                <w:sz w:val="18"/>
                <w:szCs w:val="18"/>
                <w:color w:val="auto"/>
              </w:rPr>
              <w:t>option</w:t>
            </w:r>
          </w:p>
        </w:tc>
        <w:tc>
          <w:tcPr>
            <w:tcW w:w="200" w:type="dxa"/>
            <w:vAlign w:val="bottom"/>
            <w:shd w:val="clear" w:color="auto" w:fill="ECF1EE"/>
          </w:tcPr>
          <w:p>
            <w:pPr>
              <w:ind w:left="20"/>
              <w:spacing w:after="0"/>
              <w:rPr>
                <w:sz w:val="20"/>
                <w:szCs w:val="20"/>
                <w:color w:val="auto"/>
              </w:rPr>
            </w:pPr>
            <w:r>
              <w:rPr>
                <w:rFonts w:ascii="Arial" w:cs="Arial" w:eastAsia="Arial" w:hAnsi="Arial"/>
                <w:sz w:val="18"/>
                <w:szCs w:val="18"/>
                <w:color w:val="auto"/>
              </w:rPr>
              <w:t>to</w:t>
            </w:r>
          </w:p>
        </w:tc>
        <w:tc>
          <w:tcPr>
            <w:tcW w:w="880" w:type="dxa"/>
            <w:vAlign w:val="bottom"/>
            <w:gridSpan w:val="2"/>
            <w:shd w:val="clear" w:color="auto" w:fill="ECF1EE"/>
          </w:tcPr>
          <w:p>
            <w:pPr>
              <w:jc w:val="right"/>
              <w:ind w:right="70"/>
              <w:spacing w:after="0"/>
              <w:rPr>
                <w:sz w:val="20"/>
                <w:szCs w:val="20"/>
                <w:color w:val="auto"/>
              </w:rPr>
            </w:pPr>
            <w:r>
              <w:rPr>
                <w:rFonts w:ascii="Arial" w:cs="Arial" w:eastAsia="Arial" w:hAnsi="Arial"/>
                <w:sz w:val="18"/>
                <w:szCs w:val="18"/>
                <w:color w:val="auto"/>
              </w:rPr>
              <w:t>submit</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your</w:t>
            </w:r>
          </w:p>
        </w:tc>
        <w:tc>
          <w:tcPr>
            <w:tcW w:w="120" w:type="dxa"/>
            <w:vAlign w:val="bottom"/>
            <w:shd w:val="clear" w:color="auto" w:fill="ECF1EE"/>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CF1EE"/>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proxy</w:t>
            </w:r>
          </w:p>
        </w:tc>
        <w:tc>
          <w:tcPr>
            <w:tcW w:w="360" w:type="dxa"/>
            <w:vAlign w:val="bottom"/>
            <w:shd w:val="clear" w:color="auto" w:fill="ECF1EE"/>
          </w:tcPr>
          <w:p>
            <w:pPr>
              <w:ind w:left="60"/>
              <w:spacing w:after="0"/>
              <w:rPr>
                <w:sz w:val="20"/>
                <w:szCs w:val="20"/>
                <w:color w:val="auto"/>
              </w:rPr>
            </w:pPr>
            <w:r>
              <w:rPr>
                <w:rFonts w:ascii="Arial" w:cs="Arial" w:eastAsia="Arial" w:hAnsi="Arial"/>
                <w:sz w:val="18"/>
                <w:szCs w:val="18"/>
                <w:color w:val="auto"/>
              </w:rPr>
              <w:t>by</w:t>
            </w:r>
          </w:p>
        </w:tc>
        <w:tc>
          <w:tcPr>
            <w:tcW w:w="1000" w:type="dxa"/>
            <w:vAlign w:val="bottom"/>
            <w:gridSpan w:val="3"/>
            <w:shd w:val="clear" w:color="auto" w:fill="ECF1EE"/>
          </w:tcPr>
          <w:p>
            <w:pPr>
              <w:ind w:left="20"/>
              <w:spacing w:after="0"/>
              <w:rPr>
                <w:sz w:val="20"/>
                <w:szCs w:val="20"/>
                <w:color w:val="auto"/>
              </w:rPr>
            </w:pPr>
            <w:r>
              <w:rPr>
                <w:rFonts w:ascii="Arial" w:cs="Arial" w:eastAsia="Arial" w:hAnsi="Arial"/>
                <w:sz w:val="18"/>
                <w:szCs w:val="18"/>
                <w:color w:val="auto"/>
              </w:rPr>
              <w:t>telephone</w:t>
            </w:r>
          </w:p>
        </w:tc>
        <w:tc>
          <w:tcPr>
            <w:tcW w:w="260" w:type="dxa"/>
            <w:vAlign w:val="bottom"/>
            <w:shd w:val="clear" w:color="auto" w:fill="ECF1EE"/>
          </w:tcPr>
          <w:p>
            <w:pPr>
              <w:spacing w:after="0"/>
              <w:rPr>
                <w:sz w:val="20"/>
                <w:szCs w:val="20"/>
                <w:color w:val="auto"/>
              </w:rPr>
            </w:pPr>
            <w:r>
              <w:rPr>
                <w:rFonts w:ascii="Arial" w:cs="Arial" w:eastAsia="Arial" w:hAnsi="Arial"/>
                <w:sz w:val="18"/>
                <w:szCs w:val="18"/>
                <w:color w:val="auto"/>
              </w:rPr>
              <w:t>by</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calling</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the</w:t>
            </w: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shd w:val="clear" w:color="auto" w:fill="ECF1EE"/>
          </w:tcPr>
          <w:p>
            <w:pPr>
              <w:spacing w:after="0"/>
              <w:rPr>
                <w:sz w:val="17"/>
                <w:szCs w:val="17"/>
                <w:color w:val="auto"/>
              </w:rPr>
            </w:pPr>
          </w:p>
        </w:tc>
        <w:tc>
          <w:tcPr>
            <w:tcW w:w="3280" w:type="dxa"/>
            <w:vAlign w:val="bottom"/>
            <w:gridSpan w:val="8"/>
            <w:shd w:val="clear" w:color="auto" w:fill="ECF1EE"/>
          </w:tcPr>
          <w:p>
            <w:pPr>
              <w:ind w:left="100"/>
              <w:spacing w:after="0" w:line="198" w:lineRule="exact"/>
              <w:rPr>
                <w:sz w:val="20"/>
                <w:szCs w:val="20"/>
                <w:color w:val="auto"/>
              </w:rPr>
            </w:pPr>
            <w:r>
              <w:rPr>
                <w:rFonts w:ascii="Arial" w:cs="Arial" w:eastAsia="Arial" w:hAnsi="Arial"/>
                <w:sz w:val="18"/>
                <w:szCs w:val="18"/>
                <w:color w:val="auto"/>
              </w:rPr>
              <w:t>toll-free  number  listed  on  your</w:t>
            </w:r>
          </w:p>
        </w:tc>
        <w:tc>
          <w:tcPr>
            <w:tcW w:w="120" w:type="dxa"/>
            <w:vAlign w:val="bottom"/>
            <w:shd w:val="clear" w:color="auto" w:fill="ECF1EE"/>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proxy  card.  Telephone  voting  is</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2880" w:type="dxa"/>
            <w:vAlign w:val="bottom"/>
            <w:gridSpan w:val="7"/>
            <w:shd w:val="clear" w:color="auto" w:fill="ECF1EE"/>
          </w:tcPr>
          <w:p>
            <w:pPr>
              <w:ind w:left="100"/>
              <w:spacing w:after="0"/>
              <w:rPr>
                <w:sz w:val="20"/>
                <w:szCs w:val="20"/>
                <w:color w:val="auto"/>
              </w:rPr>
            </w:pPr>
            <w:r>
              <w:rPr>
                <w:rFonts w:ascii="Arial" w:cs="Arial" w:eastAsia="Arial" w:hAnsi="Arial"/>
                <w:sz w:val="18"/>
                <w:szCs w:val="18"/>
                <w:color w:val="auto"/>
              </w:rPr>
              <w:t>available  24  hours  per  day</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until</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6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11:59</w:t>
            </w:r>
          </w:p>
        </w:tc>
        <w:tc>
          <w:tcPr>
            <w:tcW w:w="720" w:type="dxa"/>
            <w:vAlign w:val="bottom"/>
            <w:gridSpan w:val="2"/>
            <w:shd w:val="clear" w:color="auto" w:fill="ECF1EE"/>
          </w:tcPr>
          <w:p>
            <w:pPr>
              <w:ind w:left="160"/>
              <w:spacing w:after="0"/>
              <w:rPr>
                <w:sz w:val="20"/>
                <w:szCs w:val="20"/>
                <w:color w:val="auto"/>
              </w:rPr>
            </w:pPr>
            <w:r>
              <w:rPr>
                <w:rFonts w:ascii="Arial" w:cs="Arial" w:eastAsia="Arial" w:hAnsi="Arial"/>
                <w:sz w:val="18"/>
                <w:szCs w:val="18"/>
                <w:color w:val="auto"/>
              </w:rPr>
              <w:t>p.m.,</w:t>
            </w:r>
          </w:p>
        </w:tc>
        <w:tc>
          <w:tcPr>
            <w:tcW w:w="900" w:type="dxa"/>
            <w:vAlign w:val="bottom"/>
            <w:gridSpan w:val="3"/>
            <w:shd w:val="clear" w:color="auto" w:fill="ECF1EE"/>
          </w:tcPr>
          <w:p>
            <w:pPr>
              <w:ind w:left="100"/>
              <w:spacing w:after="0"/>
              <w:rPr>
                <w:sz w:val="20"/>
                <w:szCs w:val="20"/>
                <w:color w:val="auto"/>
              </w:rPr>
            </w:pPr>
            <w:r>
              <w:rPr>
                <w:rFonts w:ascii="Arial" w:cs="Arial" w:eastAsia="Arial" w:hAnsi="Arial"/>
                <w:sz w:val="18"/>
                <w:szCs w:val="18"/>
                <w:color w:val="auto"/>
              </w:rPr>
              <w:t>Eastern</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Time,</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on</w:t>
            </w:r>
          </w:p>
        </w:tc>
        <w:tc>
          <w:tcPr>
            <w:tcW w:w="120" w:type="dxa"/>
            <w:vAlign w:val="bottom"/>
            <w:shd w:val="clear" w:color="auto" w:fill="ECF1EE"/>
          </w:tcPr>
          <w:p>
            <w:pPr>
              <w:spacing w:after="0"/>
              <w:rPr>
                <w:sz w:val="18"/>
                <w:szCs w:val="18"/>
                <w:color w:val="auto"/>
              </w:rPr>
            </w:pPr>
          </w:p>
        </w:tc>
      </w:tr>
      <w:tr>
        <w:trPr>
          <w:trHeight w:val="239"/>
        </w:trPr>
        <w:tc>
          <w:tcPr>
            <w:tcW w:w="80" w:type="dxa"/>
            <w:vAlign w:val="bottom"/>
          </w:tcPr>
          <w:p>
            <w:pPr>
              <w:spacing w:after="0"/>
              <w:rPr>
                <w:sz w:val="20"/>
                <w:szCs w:val="20"/>
                <w:color w:val="auto"/>
              </w:rPr>
            </w:pP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p>
        </w:tc>
        <w:tc>
          <w:tcPr>
            <w:tcW w:w="1360" w:type="dxa"/>
            <w:vAlign w:val="bottom"/>
            <w:gridSpan w:val="3"/>
            <w:shd w:val="clear" w:color="auto" w:fill="ECF1EE"/>
          </w:tcPr>
          <w:p>
            <w:pPr>
              <w:ind w:left="100"/>
              <w:spacing w:after="0"/>
              <w:rPr>
                <w:sz w:val="20"/>
                <w:szCs w:val="20"/>
                <w:color w:val="auto"/>
              </w:rPr>
            </w:pPr>
            <w:r>
              <w:rPr>
                <w:rFonts w:ascii="Arial" w:cs="Arial" w:eastAsia="Arial" w:hAnsi="Arial"/>
                <w:sz w:val="18"/>
                <w:szCs w:val="18"/>
                <w:color w:val="auto"/>
              </w:rPr>
              <w:t>May 13, 2024.</w:t>
            </w:r>
          </w:p>
        </w:tc>
        <w:tc>
          <w:tcPr>
            <w:tcW w:w="440" w:type="dxa"/>
            <w:vAlign w:val="bottom"/>
            <w:shd w:val="clear" w:color="auto" w:fill="ECF1EE"/>
          </w:tcPr>
          <w:p>
            <w:pPr>
              <w:spacing w:after="0"/>
              <w:rPr>
                <w:sz w:val="20"/>
                <w:szCs w:val="20"/>
                <w:color w:val="auto"/>
              </w:rPr>
            </w:pPr>
          </w:p>
        </w:tc>
        <w:tc>
          <w:tcPr>
            <w:tcW w:w="200" w:type="dxa"/>
            <w:vAlign w:val="bottom"/>
            <w:shd w:val="clear" w:color="auto" w:fill="ECF1EE"/>
          </w:tcPr>
          <w:p>
            <w:pPr>
              <w:spacing w:after="0"/>
              <w:rPr>
                <w:sz w:val="20"/>
                <w:szCs w:val="20"/>
                <w:color w:val="auto"/>
              </w:rPr>
            </w:pPr>
          </w:p>
        </w:tc>
        <w:tc>
          <w:tcPr>
            <w:tcW w:w="260" w:type="dxa"/>
            <w:vAlign w:val="bottom"/>
            <w:shd w:val="clear" w:color="auto" w:fill="ECF1EE"/>
          </w:tcPr>
          <w:p>
            <w:pPr>
              <w:spacing w:after="0"/>
              <w:rPr>
                <w:sz w:val="20"/>
                <w:szCs w:val="20"/>
                <w:color w:val="auto"/>
              </w:rPr>
            </w:pPr>
          </w:p>
        </w:tc>
        <w:tc>
          <w:tcPr>
            <w:tcW w:w="620" w:type="dxa"/>
            <w:vAlign w:val="bottom"/>
            <w:shd w:val="clear" w:color="auto" w:fill="ECF1EE"/>
          </w:tcPr>
          <w:p>
            <w:pPr>
              <w:spacing w:after="0"/>
              <w:rPr>
                <w:sz w:val="20"/>
                <w:szCs w:val="20"/>
                <w:color w:val="auto"/>
              </w:rPr>
            </w:pPr>
          </w:p>
        </w:tc>
        <w:tc>
          <w:tcPr>
            <w:tcW w:w="4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CF1EE"/>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proxy materials in accordance with</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1800" w:type="dxa"/>
            <w:vAlign w:val="bottom"/>
            <w:gridSpan w:val="4"/>
            <w:shd w:val="clear" w:color="auto" w:fill="ECF1EE"/>
          </w:tcPr>
          <w:p>
            <w:pPr>
              <w:ind w:left="100"/>
              <w:spacing w:after="0"/>
              <w:rPr>
                <w:sz w:val="20"/>
                <w:szCs w:val="20"/>
                <w:color w:val="auto"/>
              </w:rPr>
            </w:pPr>
            <w:r>
              <w:rPr>
                <w:rFonts w:ascii="Arial" w:cs="Arial" w:eastAsia="Arial" w:hAnsi="Arial"/>
                <w:sz w:val="18"/>
                <w:szCs w:val="18"/>
                <w:color w:val="auto"/>
              </w:rPr>
              <w:t>the instructions in</w:t>
            </w:r>
          </w:p>
        </w:tc>
        <w:tc>
          <w:tcPr>
            <w:tcW w:w="460" w:type="dxa"/>
            <w:vAlign w:val="bottom"/>
            <w:gridSpan w:val="2"/>
            <w:shd w:val="clear" w:color="auto" w:fill="ECF1EE"/>
          </w:tcPr>
          <w:p>
            <w:pPr>
              <w:ind w:left="80"/>
              <w:spacing w:after="0"/>
              <w:rPr>
                <w:sz w:val="20"/>
                <w:szCs w:val="20"/>
                <w:color w:val="auto"/>
              </w:rPr>
            </w:pPr>
            <w:r>
              <w:rPr>
                <w:rFonts w:ascii="Arial" w:cs="Arial" w:eastAsia="Arial" w:hAnsi="Arial"/>
                <w:sz w:val="18"/>
                <w:szCs w:val="18"/>
                <w:color w:val="auto"/>
              </w:rPr>
              <w:t>the</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Notice</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and</w:t>
            </w:r>
          </w:p>
        </w:tc>
        <w:tc>
          <w:tcPr>
            <w:tcW w:w="120" w:type="dxa"/>
            <w:vAlign w:val="bottom"/>
            <w:shd w:val="clear" w:color="auto" w:fill="ECF1EE"/>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CF1EE"/>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would</w:t>
            </w:r>
          </w:p>
        </w:tc>
        <w:tc>
          <w:tcPr>
            <w:tcW w:w="360" w:type="dxa"/>
            <w:vAlign w:val="bottom"/>
            <w:shd w:val="clear" w:color="auto" w:fill="ECF1EE"/>
          </w:tcPr>
          <w:p>
            <w:pPr>
              <w:ind w:left="60"/>
              <w:spacing w:after="0"/>
              <w:rPr>
                <w:sz w:val="20"/>
                <w:szCs w:val="20"/>
                <w:color w:val="auto"/>
              </w:rPr>
            </w:pPr>
            <w:r>
              <w:rPr>
                <w:rFonts w:ascii="Arial" w:cs="Arial" w:eastAsia="Arial" w:hAnsi="Arial"/>
                <w:sz w:val="18"/>
                <w:szCs w:val="18"/>
                <w:color w:val="auto"/>
              </w:rPr>
              <w:t>like</w:t>
            </w:r>
          </w:p>
        </w:tc>
        <w:tc>
          <w:tcPr>
            <w:tcW w:w="360" w:type="dxa"/>
            <w:vAlign w:val="bottom"/>
            <w:shd w:val="clear" w:color="auto" w:fill="ECF1EE"/>
          </w:tcPr>
          <w:p>
            <w:pPr>
              <w:ind w:left="100"/>
              <w:spacing w:after="0"/>
              <w:rPr>
                <w:sz w:val="20"/>
                <w:szCs w:val="20"/>
                <w:color w:val="auto"/>
              </w:rPr>
            </w:pPr>
            <w:r>
              <w:rPr>
                <w:rFonts w:ascii="Arial" w:cs="Arial" w:eastAsia="Arial" w:hAnsi="Arial"/>
                <w:sz w:val="18"/>
                <w:szCs w:val="18"/>
                <w:color w:val="auto"/>
              </w:rPr>
              <w:t>to</w:t>
            </w:r>
          </w:p>
        </w:tc>
        <w:tc>
          <w:tcPr>
            <w:tcW w:w="640" w:type="dxa"/>
            <w:vAlign w:val="bottom"/>
            <w:gridSpan w:val="2"/>
            <w:shd w:val="clear" w:color="auto" w:fill="ECF1EE"/>
          </w:tcPr>
          <w:p>
            <w:pPr>
              <w:spacing w:after="0"/>
              <w:rPr>
                <w:sz w:val="20"/>
                <w:szCs w:val="20"/>
                <w:color w:val="auto"/>
              </w:rPr>
            </w:pPr>
            <w:r>
              <w:rPr>
                <w:rFonts w:ascii="Arial" w:cs="Arial" w:eastAsia="Arial" w:hAnsi="Arial"/>
                <w:sz w:val="18"/>
                <w:szCs w:val="18"/>
                <w:color w:val="auto"/>
              </w:rPr>
              <w:t>submit</w:t>
            </w:r>
          </w:p>
        </w:tc>
        <w:tc>
          <w:tcPr>
            <w:tcW w:w="1280" w:type="dxa"/>
            <w:vAlign w:val="bottom"/>
            <w:gridSpan w:val="3"/>
            <w:shd w:val="clear" w:color="auto" w:fill="ECF1EE"/>
          </w:tcPr>
          <w:p>
            <w:pPr>
              <w:jc w:val="right"/>
              <w:spacing w:after="0"/>
              <w:rPr>
                <w:sz w:val="20"/>
                <w:szCs w:val="20"/>
                <w:color w:val="auto"/>
              </w:rPr>
            </w:pPr>
            <w:r>
              <w:rPr>
                <w:rFonts w:ascii="Arial" w:cs="Arial" w:eastAsia="Arial" w:hAnsi="Arial"/>
                <w:sz w:val="18"/>
                <w:szCs w:val="18"/>
                <w:color w:val="auto"/>
              </w:rPr>
              <w:t>your proxy by</w:t>
            </w: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shd w:val="clear" w:color="auto" w:fill="ECF1EE"/>
          </w:tcPr>
          <w:p>
            <w:pPr>
              <w:spacing w:after="0"/>
              <w:rPr>
                <w:sz w:val="17"/>
                <w:szCs w:val="17"/>
                <w:color w:val="auto"/>
              </w:rPr>
            </w:pPr>
          </w:p>
        </w:tc>
        <w:tc>
          <w:tcPr>
            <w:tcW w:w="3280" w:type="dxa"/>
            <w:vAlign w:val="bottom"/>
            <w:gridSpan w:val="8"/>
            <w:shd w:val="clear" w:color="auto" w:fill="ECF1EE"/>
          </w:tcPr>
          <w:p>
            <w:pPr>
              <w:ind w:left="100"/>
              <w:spacing w:after="0" w:line="198" w:lineRule="exact"/>
              <w:rPr>
                <w:sz w:val="20"/>
                <w:szCs w:val="20"/>
                <w:color w:val="auto"/>
              </w:rPr>
            </w:pPr>
            <w:r>
              <w:rPr>
                <w:rFonts w:ascii="Arial" w:cs="Arial" w:eastAsia="Arial" w:hAnsi="Arial"/>
                <w:sz w:val="18"/>
                <w:szCs w:val="18"/>
                <w:color w:val="auto"/>
              </w:rPr>
              <w:t>mail,  please  mark,  sign  and  date</w:t>
            </w:r>
          </w:p>
        </w:tc>
        <w:tc>
          <w:tcPr>
            <w:tcW w:w="120" w:type="dxa"/>
            <w:vAlign w:val="bottom"/>
            <w:shd w:val="clear" w:color="auto" w:fill="ECF1EE"/>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your  proxy  card  and  return  it</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promptly   in   the   postage-paid</w:t>
            </w:r>
          </w:p>
        </w:tc>
        <w:tc>
          <w:tcPr>
            <w:tcW w:w="120" w:type="dxa"/>
            <w:vAlign w:val="bottom"/>
            <w:shd w:val="clear" w:color="auto" w:fill="ECF1EE"/>
          </w:tcPr>
          <w:p>
            <w:pPr>
              <w:spacing w:after="0"/>
              <w:rPr>
                <w:sz w:val="18"/>
                <w:szCs w:val="18"/>
                <w:color w:val="auto"/>
              </w:rPr>
            </w:pPr>
          </w:p>
        </w:tc>
      </w:tr>
      <w:tr>
        <w:trPr>
          <w:trHeight w:val="248"/>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1800" w:type="dxa"/>
            <w:vAlign w:val="bottom"/>
            <w:gridSpan w:val="4"/>
            <w:shd w:val="clear" w:color="auto" w:fill="ECF1EE"/>
          </w:tcPr>
          <w:p>
            <w:pPr>
              <w:ind w:left="100"/>
              <w:spacing w:after="0"/>
              <w:rPr>
                <w:sz w:val="20"/>
                <w:szCs w:val="20"/>
                <w:color w:val="auto"/>
              </w:rPr>
            </w:pPr>
            <w:r>
              <w:rPr>
                <w:rFonts w:ascii="Arial" w:cs="Arial" w:eastAsia="Arial" w:hAnsi="Arial"/>
                <w:sz w:val="18"/>
                <w:szCs w:val="18"/>
                <w:color w:val="auto"/>
              </w:rPr>
              <w:t>envelope provided.</w:t>
            </w:r>
          </w:p>
        </w:tc>
        <w:tc>
          <w:tcPr>
            <w:tcW w:w="200" w:type="dxa"/>
            <w:vAlign w:val="bottom"/>
            <w:shd w:val="clear" w:color="auto" w:fill="ECF1EE"/>
          </w:tcPr>
          <w:p>
            <w:pPr>
              <w:spacing w:after="0"/>
              <w:rPr>
                <w:sz w:val="21"/>
                <w:szCs w:val="21"/>
                <w:color w:val="auto"/>
              </w:rPr>
            </w:pPr>
          </w:p>
        </w:tc>
        <w:tc>
          <w:tcPr>
            <w:tcW w:w="260" w:type="dxa"/>
            <w:vAlign w:val="bottom"/>
            <w:shd w:val="clear" w:color="auto" w:fill="ECF1EE"/>
          </w:tcPr>
          <w:p>
            <w:pPr>
              <w:spacing w:after="0"/>
              <w:rPr>
                <w:sz w:val="21"/>
                <w:szCs w:val="21"/>
                <w:color w:val="auto"/>
              </w:rPr>
            </w:pPr>
          </w:p>
        </w:tc>
        <w:tc>
          <w:tcPr>
            <w:tcW w:w="620" w:type="dxa"/>
            <w:vAlign w:val="bottom"/>
            <w:shd w:val="clear" w:color="auto" w:fill="ECF1EE"/>
          </w:tcPr>
          <w:p>
            <w:pPr>
              <w:spacing w:after="0"/>
              <w:rPr>
                <w:sz w:val="21"/>
                <w:szCs w:val="21"/>
                <w:color w:val="auto"/>
              </w:rPr>
            </w:pPr>
          </w:p>
        </w:tc>
        <w:tc>
          <w:tcPr>
            <w:tcW w:w="4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r>
    </w:tbl>
    <w:p>
      <w:pPr>
        <w:spacing w:after="0" w:line="22" w:lineRule="exact"/>
        <w:rPr>
          <w:sz w:val="20"/>
          <w:szCs w:val="20"/>
          <w:color w:val="auto"/>
        </w:rPr>
      </w:pPr>
    </w:p>
    <w:p>
      <w:pPr>
        <w:jc w:val="both"/>
        <w:ind w:right="1080" w:firstLine="95"/>
        <w:spacing w:after="0" w:line="259" w:lineRule="auto"/>
        <w:rPr>
          <w:sz w:val="20"/>
          <w:szCs w:val="20"/>
          <w:color w:val="auto"/>
        </w:rPr>
      </w:pPr>
      <w:r>
        <w:rPr>
          <w:rFonts w:ascii="Arial" w:cs="Arial" w:eastAsia="Arial" w:hAnsi="Arial"/>
          <w:sz w:val="18"/>
          <w:szCs w:val="18"/>
          <w:color w:val="auto"/>
        </w:rPr>
        <w:t>If your shares of Common Stock are held in street name, you will receive instructions from ​ your broker, bank or nominee that you must ​ follow in order to have your shares of Common Stock voted at the Annual Meeting.</w:t>
      </w:r>
    </w:p>
    <w:p>
      <w:pPr>
        <w:spacing w:after="0" w:line="200" w:lineRule="exact"/>
        <w:rPr>
          <w:sz w:val="20"/>
          <w:szCs w:val="20"/>
          <w:color w:val="auto"/>
        </w:rPr>
      </w:pPr>
    </w:p>
    <w:p>
      <w:pPr>
        <w:sectPr>
          <w:pgSz w:w="11900" w:h="16838" w:orient="portrait"/>
          <w:cols w:equalWidth="0" w:num="2">
            <w:col w:w="5240" w:space="240"/>
            <w:col w:w="5420"/>
          </w:cols>
          <w:pgMar w:left="580" w:top="97" w:right="419" w:bottom="1440" w:gutter="0" w:footer="0" w:header="0"/>
          <w:type w:val="continuous"/>
        </w:sectPr>
      </w:pPr>
    </w:p>
    <w:p>
      <w:pPr>
        <w:spacing w:after="0" w:line="141" w:lineRule="exact"/>
        <w:rPr>
          <w:sz w:val="20"/>
          <w:szCs w:val="20"/>
          <w:color w:val="auto"/>
        </w:rPr>
      </w:pPr>
    </w:p>
    <w:p>
      <w:pPr>
        <w:ind w:left="820" w:right="1040"/>
        <w:spacing w:after="0" w:line="296" w:lineRule="auto"/>
        <w:rPr>
          <w:sz w:val="20"/>
          <w:szCs w:val="20"/>
          <w:color w:val="auto"/>
        </w:rPr>
      </w:pPr>
      <w:r>
        <w:rPr>
          <w:rFonts w:ascii="Arial" w:cs="Arial" w:eastAsia="Arial" w:hAnsi="Arial"/>
          <w:sz w:val="18"/>
          <w:szCs w:val="18"/>
          <w:color w:val="auto"/>
        </w:rPr>
        <w:t xml:space="preserve">Your vote is important. </w:t>
      </w:r>
      <w:r>
        <w:rPr>
          <w:rFonts w:ascii="Arial" w:cs="Arial" w:eastAsia="Arial" w:hAnsi="Arial"/>
          <w:sz w:val="18"/>
          <w:szCs w:val="18"/>
          <w:b w:val="1"/>
          <w:bCs w:val="1"/>
          <w:color w:val="auto"/>
        </w:rPr>
        <w:t>We urge all stockholders to vote and submit their proxies as soon as</w:t>
      </w:r>
      <w:r>
        <w:rPr>
          <w:rFonts w:ascii="Arial" w:cs="Arial" w:eastAsia="Arial" w:hAnsi="Arial"/>
          <w:sz w:val="18"/>
          <w:szCs w:val="18"/>
          <w:color w:val="auto"/>
        </w:rPr>
        <w:t xml:space="preserve"> </w:t>
      </w:r>
      <w:r>
        <w:rPr>
          <w:rFonts w:ascii="Arial" w:cs="Arial" w:eastAsia="Arial" w:hAnsi="Arial"/>
          <w:sz w:val="18"/>
          <w:szCs w:val="18"/>
          <w:b w:val="1"/>
          <w:bCs w:val="1"/>
          <w:color w:val="auto"/>
        </w:rPr>
        <w:t>possible using one of the methods described above.</w:t>
      </w:r>
    </w:p>
    <w:p>
      <w:pPr>
        <w:sectPr>
          <w:pgSz w:w="11900" w:h="16838" w:orient="portrait"/>
          <w:cols w:equalWidth="0" w:num="1">
            <w:col w:w="10900"/>
          </w:cols>
          <w:pgMar w:left="580" w:top="97" w:right="419" w:bottom="1440" w:gutter="0" w:footer="0" w:header="0"/>
          <w:type w:val="continuous"/>
        </w:sectPr>
      </w:pPr>
    </w:p>
    <w:p>
      <w:pPr>
        <w:spacing w:after="0" w:line="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-118745</wp:posOffset>
            </wp:positionV>
            <wp:extent cx="106299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368300"/>
                    </a:xfrm>
                    <a:prstGeom prst="rect">
                      <a:avLst/>
                    </a:prstGeom>
                    <a:noFill/>
                  </pic:spPr>
                </pic:pic>
              </a:graphicData>
            </a:graphic>
          </wp:anchor>
        </w:drawing>
      </w:r>
    </w:p>
    <w:p>
      <w:pPr>
        <w:spacing w:after="0" w:line="367" w:lineRule="exact"/>
        <w:rPr>
          <w:sz w:val="20"/>
          <w:szCs w:val="20"/>
          <w:color w:val="auto"/>
        </w:rPr>
      </w:pPr>
    </w:p>
    <w:p>
      <w:pPr>
        <w:ind w:left="880"/>
        <w:spacing w:after="0" w:line="287"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Corporate Secretary</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2, 2024</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200" w:right="1340"/>
        <w:spacing w:after="0" w:line="255" w:lineRule="auto"/>
        <w:rPr>
          <w:sz w:val="20"/>
          <w:szCs w:val="20"/>
          <w:color w:val="auto"/>
        </w:rPr>
      </w:pPr>
      <w:r>
        <w:rPr>
          <w:rFonts w:ascii="Arial" w:cs="Arial" w:eastAsia="Arial" w:hAnsi="Arial"/>
          <w:sz w:val="18"/>
          <w:szCs w:val="18"/>
          <w:b w:val="1"/>
          <w:bCs w:val="1"/>
          <w:i w:val="1"/>
          <w:iCs w:val="1"/>
          <w:color w:val="auto"/>
        </w:rPr>
        <w:t xml:space="preserve">Enroll in Electronic Delivery Today. </w:t>
      </w:r>
      <w:r>
        <w:rPr>
          <w:rFonts w:ascii="Arial" w:cs="Arial" w:eastAsia="Arial" w:hAnsi="Arial"/>
          <w:sz w:val="18"/>
          <w:szCs w:val="18"/>
          <w:color w:val="auto"/>
        </w:rPr>
        <w:t>Help us save paper,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If your shares are held in street name through a bank or broker, visit www.proxyvote.com or follow the instructions on the Notice, proxy card or voting instructions. All stockholders may enroll at enroll.icsdelivery.com/wmi.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1049655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60" w:space="380"/>
            <w:col w:w="7860"/>
          </w:cols>
          <w:pgMar w:left="580" w:top="97" w:right="41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9"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PROXY STATEMENT</w:t>
      </w:r>
      <w:r>
        <w:rPr>
          <w:rFonts w:ascii="Times New Roman" w:cs="Times New Roman" w:eastAsia="Times New Roman" w:hAnsi="Times New Roman"/>
          <w:sz w:val="64"/>
          <w:szCs w:val="64"/>
          <w:color w:val="000000"/>
        </w:rPr>
        <w:t>​</w:t>
      </w:r>
    </w:p>
    <w:p>
      <w:pPr>
        <w:ind w:left="820"/>
        <w:spacing w:after="0"/>
        <w:rPr>
          <w:sz w:val="20"/>
          <w:szCs w:val="20"/>
          <w:color w:val="auto"/>
        </w:rPr>
      </w:pPr>
      <w:r>
        <w:rPr>
          <w:rFonts w:ascii="Arial" w:cs="Arial" w:eastAsia="Arial" w:hAnsi="Arial"/>
          <w:sz w:val="36"/>
          <w:szCs w:val="36"/>
          <w:b w:val="1"/>
          <w:bCs w:val="1"/>
          <w:color w:val="457157"/>
        </w:rPr>
        <w:t>TABLE OF CONTENTS</w:t>
      </w:r>
      <w:r>
        <w:rPr>
          <w:rFonts w:ascii="Times New Roman" w:cs="Times New Roman" w:eastAsia="Times New Roman" w:hAnsi="Times New Roman"/>
          <w:sz w:val="64"/>
          <w:szCs w:val="64"/>
          <w:color w:val="000000"/>
        </w:rPr>
        <w:t>​</w:t>
      </w:r>
    </w:p>
    <w:p>
      <w:pPr>
        <w:spacing w:after="0" w:line="174" w:lineRule="exact"/>
        <w:rPr>
          <w:sz w:val="20"/>
          <w:szCs w:val="20"/>
          <w:color w:val="auto"/>
        </w:rPr>
      </w:pPr>
    </w:p>
    <w:p>
      <w:pPr>
        <w:ind w:left="820"/>
        <w:spacing w:after="0"/>
        <w:tabs>
          <w:tab w:leader="none" w:pos="5120" w:val="left"/>
          <w:tab w:leader="none" w:pos="9940" w:val="left"/>
        </w:tabs>
        <w:rPr>
          <w:sz w:val="20"/>
          <w:szCs w:val="20"/>
          <w:color w:val="auto"/>
        </w:rPr>
      </w:pPr>
      <w:r>
        <w:rPr>
          <w:rFonts w:ascii="Arial" w:cs="Arial" w:eastAsia="Arial" w:hAnsi="Arial"/>
          <w:sz w:val="29"/>
          <w:szCs w:val="29"/>
          <w:b w:val="1"/>
          <w:bCs w:val="1"/>
          <w:color w:val="auto"/>
          <w:vertAlign w:val="subscript"/>
        </w:rPr>
        <w:t>​</w:t>
      </w:r>
      <w:r>
        <w:rPr>
          <w:sz w:val="20"/>
          <w:szCs w:val="20"/>
          <w:color w:val="auto"/>
        </w:rPr>
        <w:tab/>
      </w:r>
      <w:r>
        <w:rPr>
          <w:rFonts w:ascii="Arial" w:cs="Arial" w:eastAsia="Arial" w:hAnsi="Arial"/>
          <w:sz w:val="28"/>
          <w:szCs w:val="28"/>
          <w:b w:val="1"/>
          <w:bCs w:val="1"/>
          <w:u w:val="single" w:color="auto"/>
          <w:color w:val="auto"/>
          <w:vertAlign w:val="subscript"/>
        </w:rPr>
        <w:t>​</w:t>
      </w:r>
      <w:r>
        <w:rPr>
          <w:rFonts w:ascii="Arial" w:cs="Arial" w:eastAsia="Arial" w:hAnsi="Arial"/>
          <w:sz w:val="14"/>
          <w:szCs w:val="14"/>
          <w:b w:val="1"/>
          <w:bCs w:val="1"/>
          <w:u w:val="single" w:color="auto"/>
          <w:color w:val="auto"/>
        </w:rPr>
        <w:t>Page</w:t>
      </w:r>
      <w:r>
        <w:rPr>
          <w:rFonts w:ascii="Arial" w:cs="Arial" w:eastAsia="Arial" w:hAnsi="Arial"/>
          <w:sz w:val="28"/>
          <w:szCs w:val="28"/>
          <w:b w:val="1"/>
          <w:bCs w:val="1"/>
          <w:color w:val="auto"/>
          <w:vertAlign w:val="subscript"/>
        </w:rPr>
        <w:t>​​</w:t>
      </w:r>
      <w:r>
        <w:rPr>
          <w:sz w:val="20"/>
          <w:szCs w:val="20"/>
          <w:color w:val="auto"/>
        </w:rPr>
        <w:tab/>
      </w:r>
      <w:r>
        <w:rPr>
          <w:rFonts w:ascii="Arial" w:cs="Arial" w:eastAsia="Arial" w:hAnsi="Arial"/>
          <w:sz w:val="17"/>
          <w:szCs w:val="17"/>
          <w:b w:val="1"/>
          <w:bCs w:val="1"/>
          <w:color w:val="auto"/>
          <w:vertAlign w:val="subscript"/>
        </w:rPr>
        <w:t>​</w:t>
      </w:r>
      <w:r>
        <w:rPr>
          <w:rFonts w:ascii="Arial" w:cs="Arial" w:eastAsia="Arial" w:hAnsi="Arial"/>
          <w:sz w:val="17"/>
          <w:szCs w:val="17"/>
          <w:b w:val="1"/>
          <w:bCs w:val="1"/>
          <w:color w:val="auto"/>
        </w:rPr>
        <w:t>Page</w:t>
      </w:r>
      <w:r>
        <w:rPr>
          <w:rFonts w:ascii="Arial" w:cs="Arial" w:eastAsia="Arial" w:hAnsi="Arial"/>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8032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03265" cy="154305"/>
                    </a:xfrm>
                    <a:prstGeom prst="rect">
                      <a:avLst/>
                    </a:prstGeom>
                    <a:noFill/>
                  </pic:spPr>
                </pic:pic>
              </a:graphicData>
            </a:graphic>
          </wp:anchor>
        </w:drawing>
      </w:r>
    </w:p>
    <w:p>
      <w:pPr>
        <w:sectPr>
          <w:pgSz w:w="11900" w:h="16838" w:orient="portrait"/>
          <w:cols w:equalWidth="0" w:num="1">
            <w:col w:w="10380"/>
          </w:cols>
          <w:pgMar w:left="580" w:top="97" w:right="939" w:bottom="1440" w:gutter="0" w:footer="0" w:header="0"/>
        </w:sectPr>
      </w:pPr>
    </w:p>
    <w:p>
      <w:pPr>
        <w:spacing w:after="0" w:line="55"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GENERAL INFORMATION</w:t>
      </w:r>
    </w:p>
    <w:p>
      <w:pPr>
        <w:spacing w:after="0" w:line="40" w:lineRule="exact"/>
        <w:rPr>
          <w:sz w:val="20"/>
          <w:szCs w:val="20"/>
          <w:color w:val="auto"/>
        </w:rPr>
      </w:pPr>
    </w:p>
    <w:p>
      <w:pPr>
        <w:ind w:left="1000" w:right="1140" w:hanging="179"/>
        <w:spacing w:after="0" w:line="290" w:lineRule="auto"/>
        <w:rPr>
          <w:sz w:val="20"/>
          <w:szCs w:val="20"/>
          <w:color w:val="auto"/>
        </w:rPr>
      </w:pPr>
      <w:r>
        <w:rPr>
          <w:rFonts w:ascii="Arial" w:cs="Arial" w:eastAsia="Arial" w:hAnsi="Arial"/>
          <w:sz w:val="18"/>
          <w:szCs w:val="18"/>
          <w:b w:val="1"/>
          <w:bCs w:val="1"/>
          <w:u w:val="single" w:color="auto"/>
          <w:color w:val="457157"/>
        </w:rPr>
        <w:t xml:space="preserve">BOARD OF DIRECTORS </w:t>
      </w:r>
      <w:r>
        <w:rPr>
          <w:rFonts w:ascii="Arial" w:cs="Arial" w:eastAsia="Arial" w:hAnsi="Arial"/>
          <w:sz w:val="18"/>
          <w:szCs w:val="18"/>
          <w:u w:val="single" w:color="auto"/>
          <w:color w:val="0000EE"/>
        </w:rPr>
        <w:t>Nominees for Director Leadership Structure Independence of Board Members Meetings and Board Committees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-655320</wp:posOffset>
            </wp:positionV>
            <wp:extent cx="298323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83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-346710</wp:posOffset>
            </wp:positionV>
            <wp:extent cx="298323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3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-38100</wp:posOffset>
            </wp:positionV>
            <wp:extent cx="298323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79" w:lineRule="exact"/>
        <w:rPr>
          <w:sz w:val="20"/>
          <w:szCs w:val="20"/>
          <w:color w:val="auto"/>
        </w:rPr>
      </w:pPr>
    </w:p>
    <w:p>
      <w:pPr>
        <w:ind w:left="1180" w:right="920" w:hanging="179"/>
        <w:spacing w:after="0" w:line="268" w:lineRule="auto"/>
        <w:rPr>
          <w:sz w:val="20"/>
          <w:szCs w:val="20"/>
          <w:color w:val="auto"/>
        </w:rPr>
      </w:pPr>
      <w:r>
        <w:rPr>
          <w:rFonts w:ascii="Arial" w:cs="Arial" w:eastAsia="Arial" w:hAnsi="Arial"/>
          <w:sz w:val="18"/>
          <w:szCs w:val="18"/>
          <w:u w:val="single" w:color="auto"/>
          <w:color w:val="0000EE"/>
        </w:rPr>
        <w:t>Oversight of Sustainability Risk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298323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u w:val="single" w:color="auto"/>
          <w:color w:val="0000EE"/>
        </w:rPr>
        <w:t>Audit Committee</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180" w:hanging="179"/>
        <w:spacing w:after="0" w:line="268" w:lineRule="auto"/>
        <w:rPr>
          <w:sz w:val="20"/>
          <w:szCs w:val="20"/>
          <w:color w:val="auto"/>
        </w:rPr>
      </w:pPr>
      <w:r>
        <w:rPr>
          <w:rFonts w:ascii="Arial" w:cs="Arial" w:eastAsia="Arial" w:hAnsi="Arial"/>
          <w:sz w:val="18"/>
          <w:szCs w:val="18"/>
          <w:u w:val="single" w:color="auto"/>
          <w:color w:val="0000EE"/>
        </w:rPr>
        <w:t>Management Development and Compensation Committee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Compensation Committee Interlocks and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Insider Participation</w:t>
      </w:r>
    </w:p>
    <w:p>
      <w:pPr>
        <w:spacing w:after="0" w:line="32" w:lineRule="exact"/>
        <w:rPr>
          <w:sz w:val="20"/>
          <w:szCs w:val="20"/>
          <w:color w:val="auto"/>
        </w:rPr>
      </w:pPr>
    </w:p>
    <w:p>
      <w:pPr>
        <w:ind w:left="1000" w:right="540"/>
        <w:spacing w:after="0" w:line="281" w:lineRule="auto"/>
        <w:rPr>
          <w:sz w:val="20"/>
          <w:szCs w:val="20"/>
          <w:color w:val="auto"/>
        </w:rPr>
      </w:pPr>
      <w:r>
        <w:rPr>
          <w:rFonts w:ascii="Arial" w:cs="Arial" w:eastAsia="Arial" w:hAnsi="Arial"/>
          <w:sz w:val="18"/>
          <w:szCs w:val="18"/>
          <w:u w:val="single" w:color="auto"/>
          <w:color w:val="0000EE"/>
        </w:rPr>
        <w:t>Nominating and Governance Committee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-166370</wp:posOffset>
            </wp:positionV>
            <wp:extent cx="29832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right="440"/>
        <w:spacing w:after="0" w:line="279" w:lineRule="auto"/>
        <w:rPr>
          <w:sz w:val="20"/>
          <w:szCs w:val="20"/>
          <w:color w:val="auto"/>
        </w:rPr>
      </w:pPr>
      <w:r>
        <w:rPr>
          <w:rFonts w:ascii="Arial" w:cs="Arial" w:eastAsia="Arial" w:hAnsi="Arial"/>
          <w:sz w:val="18"/>
          <w:szCs w:val="18"/>
          <w:u w:val="single" w:color="auto"/>
          <w:color w:val="0000EE"/>
        </w:rPr>
        <w:t>Board of Directors Governing Documents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-164465</wp:posOffset>
            </wp:positionV>
            <wp:extent cx="29832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right="400" w:hanging="179"/>
        <w:spacing w:after="0" w:line="268" w:lineRule="auto"/>
        <w:rPr>
          <w:sz w:val="20"/>
          <w:szCs w:val="20"/>
          <w:color w:val="auto"/>
        </w:rPr>
      </w:pPr>
      <w:r>
        <w:rPr>
          <w:rFonts w:ascii="Arial" w:cs="Arial" w:eastAsia="Arial" w:hAnsi="Arial"/>
          <w:sz w:val="18"/>
          <w:szCs w:val="18"/>
          <w:b w:val="1"/>
          <w:bCs w:val="1"/>
          <w:u w:val="single" w:color="auto"/>
          <w:color w:val="457157"/>
        </w:rPr>
        <w:t>ELECTION OF DIRECTORS (Item 1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298323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3230" cy="274320"/>
                    </a:xfrm>
                    <a:prstGeom prst="rect">
                      <a:avLst/>
                    </a:prstGeom>
                    <a:noFill/>
                  </pic:spPr>
                </pic:pic>
              </a:graphicData>
            </a:graphic>
          </wp:anchor>
        </w:drawing>
      </w:r>
    </w:p>
    <w:p>
      <w:pPr>
        <w:ind w:left="820" w:right="1120"/>
        <w:spacing w:after="0" w:line="244" w:lineRule="auto"/>
        <w:rPr>
          <w:sz w:val="20"/>
          <w:szCs w:val="20"/>
          <w:color w:val="auto"/>
        </w:rPr>
      </w:pPr>
      <w:r>
        <w:rPr>
          <w:rFonts w:ascii="Arial" w:cs="Arial" w:eastAsia="Arial" w:hAnsi="Arial"/>
          <w:sz w:val="18"/>
          <w:szCs w:val="18"/>
          <w:b w:val="1"/>
          <w:bCs w:val="1"/>
          <w:u w:val="single" w:color="auto"/>
          <w:color w:val="457157"/>
        </w:rPr>
        <w:t>DIRECTOR AND OFFICER STOCK OWNERSHIP</w:t>
      </w:r>
    </w:p>
    <w:p>
      <w:pPr>
        <w:spacing w:after="0" w:line="1" w:lineRule="exact"/>
        <w:rPr>
          <w:sz w:val="20"/>
          <w:szCs w:val="20"/>
          <w:color w:val="auto"/>
        </w:rPr>
      </w:pPr>
    </w:p>
    <w:p>
      <w:pPr>
        <w:ind w:left="1000" w:right="780" w:hanging="179"/>
        <w:spacing w:after="0" w:line="271" w:lineRule="auto"/>
        <w:rPr>
          <w:sz w:val="20"/>
          <w:szCs w:val="20"/>
          <w:color w:val="auto"/>
        </w:rPr>
      </w:pPr>
      <w:r>
        <w:rPr>
          <w:rFonts w:ascii="Arial" w:cs="Arial" w:eastAsia="Arial" w:hAnsi="Arial"/>
          <w:sz w:val="18"/>
          <w:szCs w:val="18"/>
          <w:b w:val="1"/>
          <w:bCs w:val="1"/>
          <w:u w:val="single" w:color="auto"/>
          <w:color w:val="457157"/>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-12065</wp:posOffset>
            </wp:positionV>
            <wp:extent cx="29832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b w:val="1"/>
          <w:bCs w:val="1"/>
          <w:u w:val="single" w:color="auto"/>
          <w:color w:val="457157"/>
        </w:rPr>
        <w:t>DELINQUENT SECTION 16(A) REPORTS</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29832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EXECUTIVE COMPENSATION</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45715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29832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Introduction</w:t>
      </w:r>
    </w:p>
    <w:p>
      <w:pPr>
        <w:spacing w:after="0" w:line="32"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360" w:right="200" w:hanging="179"/>
        <w:spacing w:after="0" w:line="260" w:lineRule="auto"/>
        <w:rPr>
          <w:sz w:val="20"/>
          <w:szCs w:val="20"/>
          <w:color w:val="auto"/>
        </w:rPr>
      </w:pPr>
      <w:r>
        <w:rPr>
          <w:rFonts w:ascii="Arial" w:cs="Arial" w:eastAsia="Arial" w:hAnsi="Arial"/>
          <w:sz w:val="18"/>
          <w:szCs w:val="18"/>
          <w:u w:val="single" w:color="auto"/>
          <w:color w:val="0000EE"/>
        </w:rPr>
        <w:t>2023 Compensation Program Results and Company Performance</w:t>
      </w:r>
    </w:p>
    <w:p>
      <w:pPr>
        <w:spacing w:after="0" w:line="1" w:lineRule="exact"/>
        <w:rPr>
          <w:sz w:val="20"/>
          <w:szCs w:val="20"/>
          <w:color w:val="auto"/>
        </w:rPr>
      </w:pPr>
    </w:p>
    <w:p>
      <w:pPr>
        <w:ind w:left="1360" w:right="500" w:hanging="179"/>
        <w:spacing w:after="0" w:line="273" w:lineRule="auto"/>
        <w:rPr>
          <w:sz w:val="20"/>
          <w:szCs w:val="20"/>
          <w:color w:val="auto"/>
        </w:rPr>
      </w:pPr>
      <w:r>
        <w:rPr>
          <w:rFonts w:ascii="Arial" w:cs="Arial" w:eastAsia="Arial" w:hAnsi="Arial"/>
          <w:sz w:val="18"/>
          <w:szCs w:val="18"/>
          <w:u w:val="single" w:color="auto"/>
          <w:color w:val="0000EE"/>
        </w:rPr>
        <w:t>Consideration of Stockholder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-12065</wp:posOffset>
            </wp:positionV>
            <wp:extent cx="298323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8"/>
          <w:szCs w:val="18"/>
          <w:u w:val="single" w:color="auto"/>
          <w:color w:val="0000EE"/>
        </w:rPr>
        <w:t>2024 Compensation Program Preview</w:t>
      </w:r>
    </w:p>
    <w:p>
      <w:pPr>
        <w:spacing w:after="0" w:line="32" w:lineRule="exact"/>
        <w:rPr>
          <w:sz w:val="20"/>
          <w:szCs w:val="20"/>
          <w:color w:val="auto"/>
        </w:rPr>
      </w:pPr>
    </w:p>
    <w:p>
      <w:pPr>
        <w:ind w:left="1360" w:right="220" w:hanging="179"/>
        <w:spacing w:after="0" w:line="276" w:lineRule="auto"/>
        <w:rPr>
          <w:sz w:val="20"/>
          <w:szCs w:val="20"/>
          <w:color w:val="auto"/>
        </w:rPr>
      </w:pPr>
      <w:r>
        <w:rPr>
          <w:rFonts w:ascii="Arial" w:cs="Arial" w:eastAsia="Arial" w:hAnsi="Arial"/>
          <w:sz w:val="18"/>
          <w:szCs w:val="18"/>
          <w:u w:val="single" w:color="auto"/>
          <w:color w:val="0000EE"/>
        </w:rPr>
        <w:t>Our Compensation Philosophy for Named Executive Officers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0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1</w:t>
            </w:r>
            <w:r>
              <w:rPr>
                <w:rFonts w:ascii="Arial" w:cs="Arial" w:eastAsia="Arial" w:hAnsi="Arial"/>
                <w:sz w:val="18"/>
                <w:szCs w:val="18"/>
                <w:color w:val="000000"/>
              </w:rPr>
              <w:t>​</w:t>
            </w:r>
          </w:p>
        </w:tc>
        <w:tc>
          <w:tcPr>
            <w:tcW w:w="18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4000" w:type="dxa"/>
            <w:vAlign w:val="bottom"/>
            <w:tcBorders>
              <w:top w:val="single" w:sz="8" w:color="CCEEFF"/>
              <w:bottom w:val="single" w:sz="8" w:color="0000EE"/>
            </w:tcBorders>
            <w:gridSpan w:val="25"/>
            <w:shd w:val="clear" w:color="auto" w:fill="CCEEFF"/>
          </w:tcPr>
          <w:p>
            <w:pPr>
              <w:spacing w:after="0" w:line="163" w:lineRule="exact"/>
              <w:rPr>
                <w:sz w:val="20"/>
                <w:szCs w:val="20"/>
                <w:color w:val="auto"/>
              </w:rPr>
            </w:pPr>
            <w:r>
              <w:rPr>
                <w:rFonts w:ascii="Arial" w:cs="Arial" w:eastAsia="Arial" w:hAnsi="Arial"/>
                <w:sz w:val="18"/>
                <w:szCs w:val="18"/>
                <w:color w:val="0000EE"/>
              </w:rPr>
              <w:t>Overview of Elements of Our 2023 Executive</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80" w:type="dxa"/>
            <w:vAlign w:val="bottom"/>
            <w:gridSpan w:val="9"/>
            <w:vMerge w:val="restart"/>
            <w:shd w:val="clear" w:color="auto" w:fill="CCEEFF"/>
          </w:tcPr>
          <w:p>
            <w:pPr>
              <w:spacing w:after="0" w:line="182" w:lineRule="exact"/>
              <w:rPr>
                <w:sz w:val="20"/>
                <w:szCs w:val="20"/>
                <w:color w:val="auto"/>
              </w:rPr>
            </w:pPr>
            <w:r>
              <w:rPr>
                <w:rFonts w:ascii="Arial" w:cs="Arial" w:eastAsia="Arial" w:hAnsi="Arial"/>
                <w:sz w:val="18"/>
                <w:szCs w:val="18"/>
                <w:color w:val="0000EE"/>
              </w:rPr>
              <w:t>Compensation Program</w:t>
            </w:r>
          </w:p>
        </w:tc>
        <w:tc>
          <w:tcPr>
            <w:tcW w:w="40" w:type="dxa"/>
            <w:vAlign w:val="bottom"/>
            <w:vMerge w:val="restart"/>
            <w:shd w:val="clear" w:color="auto" w:fill="CCEEFF"/>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tcBorders>
              <w:left w:val="single" w:sz="8" w:color="CCEEFF"/>
            </w:tcBorders>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37</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100" w:type="dxa"/>
            <w:vAlign w:val="bottom"/>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tcBorders>
              <w:left w:val="single" w:sz="8" w:color="CCEEFF"/>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2080" w:type="dxa"/>
            <w:vAlign w:val="bottom"/>
            <w:tcBorders>
              <w:bottom w:val="single" w:sz="8" w:color="0000EE"/>
            </w:tcBorders>
            <w:gridSpan w:val="9"/>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66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60" w:type="dxa"/>
            <w:vAlign w:val="bottom"/>
            <w:tcBorders>
              <w:left w:val="single" w:sz="8" w:color="CCEEFF"/>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vMerge w:val="continue"/>
            <w:shd w:val="clear" w:color="auto" w:fill="CCEEFF"/>
          </w:tcPr>
          <w:p>
            <w:pPr>
              <w:spacing w:after="0"/>
              <w:rPr>
                <w:sz w:val="17"/>
                <w:szCs w:val="17"/>
                <w:color w:val="auto"/>
              </w:rPr>
            </w:pPr>
          </w:p>
        </w:tc>
        <w:tc>
          <w:tcPr>
            <w:tcW w:w="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gridSpan w:val="2"/>
            <w:vMerge w:val="continue"/>
            <w:shd w:val="clear" w:color="auto" w:fill="CCEEFF"/>
          </w:tcPr>
          <w:p>
            <w:pPr>
              <w:spacing w:after="0"/>
              <w:rPr>
                <w:sz w:val="17"/>
                <w:szCs w:val="17"/>
                <w:color w:val="auto"/>
              </w:rPr>
            </w:pPr>
          </w:p>
        </w:tc>
        <w:tc>
          <w:tcPr>
            <w:tcW w:w="220" w:type="dxa"/>
            <w:vAlign w:val="bottom"/>
            <w:tcBorders>
              <w:bottom w:val="single" w:sz="8" w:color="0000EE"/>
            </w:tcBorders>
            <w:vMerge w:val="continue"/>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tcBorders>
            <w:vMerge w:val="restart"/>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4020" w:type="dxa"/>
            <w:vAlign w:val="bottom"/>
            <w:tcBorders>
              <w:top w:val="single" w:sz="8" w:color="CCEEFF"/>
            </w:tcBorders>
            <w:gridSpan w:val="26"/>
            <w:vMerge w:val="restart"/>
          </w:tcPr>
          <w:p>
            <w:pPr>
              <w:spacing w:after="0" w:line="182" w:lineRule="exact"/>
              <w:rPr>
                <w:sz w:val="20"/>
                <w:szCs w:val="20"/>
                <w:color w:val="auto"/>
              </w:rPr>
            </w:pPr>
            <w:r>
              <w:rPr>
                <w:rFonts w:ascii="Arial" w:cs="Arial" w:eastAsia="Arial" w:hAnsi="Arial"/>
                <w:sz w:val="18"/>
                <w:szCs w:val="18"/>
                <w:color w:val="0000EE"/>
              </w:rPr>
              <w:t>How Named Executive Officer Compensation</w:t>
            </w: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4020" w:type="dxa"/>
            <w:vAlign w:val="bottom"/>
            <w:tcBorders>
              <w:bottom w:val="single" w:sz="8" w:color="0000EE"/>
            </w:tcBorders>
            <w:gridSpan w:val="26"/>
            <w:vMerge w:val="continue"/>
          </w:tcPr>
          <w:p>
            <w:pPr>
              <w:spacing w:after="0"/>
              <w:rPr>
                <w:sz w:val="15"/>
                <w:szCs w:val="15"/>
                <w:color w:val="auto"/>
              </w:rPr>
            </w:pPr>
          </w:p>
        </w:tc>
        <w:tc>
          <w:tcPr>
            <w:tcW w:w="4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60" w:type="dxa"/>
            <w:vAlign w:val="bottom"/>
            <w:gridSpan w:val="25"/>
            <w:vMerge w:val="restart"/>
          </w:tcPr>
          <w:p>
            <w:pPr>
              <w:spacing w:after="0" w:line="176" w:lineRule="exact"/>
              <w:rPr>
                <w:sz w:val="20"/>
                <w:szCs w:val="20"/>
                <w:color w:val="auto"/>
              </w:rPr>
            </w:pPr>
            <w:r>
              <w:rPr>
                <w:rFonts w:ascii="Arial" w:cs="Arial" w:eastAsia="Arial" w:hAnsi="Arial"/>
                <w:sz w:val="18"/>
                <w:szCs w:val="18"/>
                <w:color w:val="0000EE"/>
              </w:rPr>
              <w:t>Decisions are Made</w:t>
            </w: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gridSpan w:val="2"/>
            <w:vMerge w:val="restart"/>
          </w:tcPr>
          <w:p>
            <w:pPr>
              <w:jc w:val="right"/>
              <w:spacing w:after="0" w:line="203" w:lineRule="exact"/>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860" w:type="dxa"/>
            <w:vAlign w:val="bottom"/>
            <w:gridSpan w:val="25"/>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top w:val="single" w:sz="8" w:color="0000EE"/>
              <w:bottom w:val="single" w:sz="8" w:color="CCEEFF"/>
            </w:tcBorders>
          </w:tcPr>
          <w:p>
            <w:pPr>
              <w:spacing w:after="0"/>
              <w:rPr>
                <w:sz w:val="2"/>
                <w:szCs w:val="2"/>
                <w:color w:val="auto"/>
              </w:rPr>
            </w:pPr>
          </w:p>
        </w:tc>
        <w:tc>
          <w:tcPr>
            <w:tcW w:w="160" w:type="dxa"/>
            <w:vAlign w:val="bottom"/>
            <w:tcBorders>
              <w:top w:val="single" w:sz="8" w:color="0000EE"/>
              <w:bottom w:val="single" w:sz="8" w:color="CCEEFF"/>
            </w:tcBorders>
          </w:tcPr>
          <w:p>
            <w:pPr>
              <w:spacing w:after="0"/>
              <w:rPr>
                <w:sz w:val="2"/>
                <w:szCs w:val="2"/>
                <w:color w:val="auto"/>
              </w:rPr>
            </w:pPr>
          </w:p>
        </w:tc>
        <w:tc>
          <w:tcPr>
            <w:tcW w:w="280" w:type="dxa"/>
            <w:vAlign w:val="bottom"/>
            <w:tcBorders>
              <w:top w:val="single" w:sz="8" w:color="0000EE"/>
              <w:bottom w:val="single" w:sz="8" w:color="CCEEFF"/>
            </w:tcBorders>
          </w:tcPr>
          <w:p>
            <w:pPr>
              <w:spacing w:after="0"/>
              <w:rPr>
                <w:sz w:val="2"/>
                <w:szCs w:val="2"/>
                <w:color w:val="auto"/>
              </w:rPr>
            </w:pPr>
          </w:p>
        </w:tc>
        <w:tc>
          <w:tcPr>
            <w:tcW w:w="520" w:type="dxa"/>
            <w:vAlign w:val="bottom"/>
            <w:tcBorders>
              <w:top w:val="single" w:sz="8" w:color="0000EE"/>
              <w:bottom w:val="single" w:sz="8" w:color="CCEEFF"/>
            </w:tcBorders>
          </w:tcPr>
          <w:p>
            <w:pPr>
              <w:spacing w:after="0"/>
              <w:rPr>
                <w:sz w:val="2"/>
                <w:szCs w:val="2"/>
                <w:color w:val="auto"/>
              </w:rPr>
            </w:pPr>
          </w:p>
        </w:tc>
        <w:tc>
          <w:tcPr>
            <w:tcW w:w="120" w:type="dxa"/>
            <w:vAlign w:val="bottom"/>
            <w:tcBorders>
              <w:top w:val="single" w:sz="8" w:color="0000EE"/>
              <w:bottom w:val="single" w:sz="8" w:color="CCEEFF"/>
            </w:tcBorders>
          </w:tcPr>
          <w:p>
            <w:pPr>
              <w:spacing w:after="0"/>
              <w:rPr>
                <w:sz w:val="2"/>
                <w:szCs w:val="2"/>
                <w:color w:val="auto"/>
              </w:rPr>
            </w:pPr>
          </w:p>
        </w:tc>
        <w:tc>
          <w:tcPr>
            <w:tcW w:w="20" w:type="dxa"/>
            <w:vAlign w:val="bottom"/>
            <w:tcBorders>
              <w:top w:val="single" w:sz="8" w:color="0000EE"/>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top w:val="single" w:sz="8" w:color="0000EE"/>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3500" w:type="dxa"/>
            <w:vAlign w:val="bottom"/>
            <w:gridSpan w:val="18"/>
            <w:vMerge w:val="restart"/>
            <w:shd w:val="clear" w:color="auto" w:fill="CCEEFF"/>
          </w:tcPr>
          <w:p>
            <w:pPr>
              <w:spacing w:after="0" w:line="156" w:lineRule="exact"/>
              <w:rPr>
                <w:sz w:val="20"/>
                <w:szCs w:val="20"/>
                <w:color w:val="auto"/>
              </w:rPr>
            </w:pPr>
            <w:r>
              <w:rPr>
                <w:rFonts w:ascii="Arial" w:cs="Arial" w:eastAsia="Arial" w:hAnsi="Arial"/>
                <w:sz w:val="18"/>
                <w:szCs w:val="18"/>
                <w:color w:val="0000EE"/>
              </w:rPr>
              <w:t>Named Executives’ 2023 Compensation</w:t>
            </w:r>
          </w:p>
        </w:tc>
        <w:tc>
          <w:tcPr>
            <w:tcW w:w="4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00" w:type="dxa"/>
            <w:vAlign w:val="bottom"/>
          </w:tcPr>
          <w:p>
            <w:pPr>
              <w:spacing w:after="0"/>
              <w:rPr>
                <w:sz w:val="13"/>
                <w:szCs w:val="13"/>
                <w:color w:val="auto"/>
              </w:rPr>
            </w:pPr>
          </w:p>
        </w:tc>
        <w:tc>
          <w:tcPr>
            <w:tcW w:w="160" w:type="dxa"/>
            <w:vAlign w:val="bottom"/>
            <w:gridSpan w:val="2"/>
            <w:vMerge w:val="restart"/>
          </w:tcPr>
          <w:p>
            <w:pPr>
              <w:jc w:val="right"/>
              <w:spacing w:after="0" w:line="195" w:lineRule="exact"/>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tcBorders>
              <w:left w:val="single" w:sz="8" w:color="CCEEFF"/>
              <w:bottom w:val="single" w:sz="8" w:color="CCEEFF"/>
            </w:tcBorders>
            <w:vMerge w:val="continue"/>
            <w:shd w:val="clear" w:color="auto" w:fill="CCEEFF"/>
          </w:tcPr>
          <w:p>
            <w:pPr>
              <w:spacing w:after="0"/>
              <w:rPr>
                <w:sz w:val="13"/>
                <w:szCs w:val="13"/>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3"/>
                <w:szCs w:val="13"/>
                <w:color w:val="auto"/>
              </w:rPr>
            </w:pPr>
          </w:p>
        </w:tc>
        <w:tc>
          <w:tcPr>
            <w:tcW w:w="3500" w:type="dxa"/>
            <w:vAlign w:val="bottom"/>
            <w:tcBorders>
              <w:bottom w:val="single" w:sz="8" w:color="0000EE"/>
            </w:tcBorders>
            <w:gridSpan w:val="18"/>
            <w:vMerge w:val="continue"/>
            <w:shd w:val="clear" w:color="auto" w:fill="CCEEFF"/>
          </w:tcPr>
          <w:p>
            <w:pPr>
              <w:spacing w:after="0"/>
              <w:rPr>
                <w:sz w:val="13"/>
                <w:szCs w:val="13"/>
                <w:color w:val="auto"/>
              </w:rPr>
            </w:pPr>
          </w:p>
        </w:tc>
        <w:tc>
          <w:tcPr>
            <w:tcW w:w="40" w:type="dxa"/>
            <w:vAlign w:val="bottom"/>
            <w:tcBorders>
              <w:bottom w:val="single" w:sz="8" w:color="CCEEFF"/>
            </w:tcBorders>
            <w:vMerge w:val="continue"/>
            <w:shd w:val="clear" w:color="auto" w:fill="CCEEFF"/>
          </w:tcPr>
          <w:p>
            <w:pPr>
              <w:spacing w:after="0"/>
              <w:rPr>
                <w:sz w:val="13"/>
                <w:szCs w:val="13"/>
                <w:color w:val="auto"/>
              </w:rPr>
            </w:pPr>
          </w:p>
        </w:tc>
        <w:tc>
          <w:tcPr>
            <w:tcW w:w="20" w:type="dxa"/>
            <w:vAlign w:val="bottom"/>
            <w:tcBorders>
              <w:bottom w:val="single" w:sz="8" w:color="CCEEFF"/>
            </w:tcBorders>
            <w:vMerge w:val="continue"/>
            <w:shd w:val="clear" w:color="auto" w:fill="CCEEFF"/>
          </w:tcPr>
          <w:p>
            <w:pPr>
              <w:spacing w:after="0"/>
              <w:rPr>
                <w:sz w:val="13"/>
                <w:szCs w:val="13"/>
                <w:color w:val="auto"/>
              </w:rPr>
            </w:pPr>
          </w:p>
        </w:tc>
        <w:tc>
          <w:tcPr>
            <w:tcW w:w="40" w:type="dxa"/>
            <w:vAlign w:val="bottom"/>
            <w:tcBorders>
              <w:bottom w:val="single" w:sz="8" w:color="CCEEFF"/>
            </w:tcBorders>
            <w:vMerge w:val="continue"/>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gridSpan w:val="2"/>
            <w:vMerge w:val="continue"/>
            <w:shd w:val="clear" w:color="auto" w:fill="CCEEFF"/>
          </w:tcPr>
          <w:p>
            <w:pPr>
              <w:spacing w:after="0"/>
              <w:rPr>
                <w:sz w:val="13"/>
                <w:szCs w:val="13"/>
                <w:color w:val="auto"/>
              </w:rPr>
            </w:pPr>
          </w:p>
        </w:tc>
        <w:tc>
          <w:tcPr>
            <w:tcW w:w="3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left w:val="single" w:sz="8" w:color="CCEEFF"/>
            </w:tcBorders>
            <w:vMerge w:val="continue"/>
            <w:shd w:val="clear" w:color="auto" w:fill="CCEEFF"/>
          </w:tcPr>
          <w:p>
            <w:pPr>
              <w:spacing w:after="0" w:line="20" w:lineRule="exact"/>
              <w:rPr>
                <w:sz w:val="1"/>
                <w:szCs w:val="1"/>
                <w:color w:val="auto"/>
              </w:rPr>
            </w:pPr>
          </w:p>
        </w:tc>
        <w:tc>
          <w:tcPr>
            <w:tcW w:w="200" w:type="dxa"/>
            <w:vAlign w:val="bottom"/>
            <w:tcBorders>
              <w:right w:val="single" w:sz="8" w:color="CCEEFF"/>
            </w:tcBorders>
            <w:vMerge w:val="continue"/>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160" w:type="dxa"/>
            <w:vAlign w:val="bottom"/>
            <w:vMerge w:val="continue"/>
            <w:shd w:val="clear" w:color="auto" w:fill="CCEEFF"/>
          </w:tcPr>
          <w:p>
            <w:pPr>
              <w:spacing w:after="0" w:line="20" w:lineRule="exact"/>
              <w:rPr>
                <w:sz w:val="1"/>
                <w:szCs w:val="1"/>
                <w:color w:val="auto"/>
              </w:rPr>
            </w:pPr>
          </w:p>
        </w:tc>
        <w:tc>
          <w:tcPr>
            <w:tcW w:w="140" w:type="dxa"/>
            <w:vAlign w:val="bottom"/>
            <w:vMerge w:val="continue"/>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60" w:type="dxa"/>
            <w:vAlign w:val="bottom"/>
            <w:gridSpan w:val="2"/>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0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bottom w:val="single" w:sz="8" w:color="CCEEFF"/>
            </w:tcBorders>
            <w:vMerge w:val="restart"/>
            <w:shd w:val="clear" w:color="auto" w:fill="CCEEFF"/>
          </w:tcPr>
          <w:p>
            <w:pPr>
              <w:spacing w:after="0"/>
              <w:rPr>
                <w:sz w:val="2"/>
                <w:szCs w:val="2"/>
                <w:color w:val="auto"/>
              </w:rPr>
            </w:pPr>
          </w:p>
        </w:tc>
        <w:tc>
          <w:tcPr>
            <w:tcW w:w="200" w:type="dxa"/>
            <w:vAlign w:val="bottom"/>
            <w:tcBorders>
              <w:bottom w:val="single" w:sz="8" w:color="CCEEFF"/>
              <w:right w:val="single" w:sz="8" w:color="CCEEFF"/>
            </w:tcBorders>
            <w:vMerge w:val="restart"/>
            <w:shd w:val="clear" w:color="auto" w:fill="CCEEFF"/>
          </w:tcPr>
          <w:p>
            <w:pPr>
              <w:spacing w:after="0"/>
              <w:rPr>
                <w:sz w:val="2"/>
                <w:szCs w:val="2"/>
                <w:color w:val="auto"/>
              </w:rPr>
            </w:pPr>
          </w:p>
        </w:tc>
        <w:tc>
          <w:tcPr>
            <w:tcW w:w="160" w:type="dxa"/>
            <w:vAlign w:val="bottom"/>
            <w:tcBorders>
              <w:bottom w:val="single" w:sz="8" w:color="CCEEFF"/>
            </w:tcBorders>
            <w:vMerge w:val="restart"/>
            <w:shd w:val="clear" w:color="auto" w:fill="CCEEFF"/>
          </w:tcPr>
          <w:p>
            <w:pPr>
              <w:spacing w:after="0"/>
              <w:rPr>
                <w:sz w:val="2"/>
                <w:szCs w:val="2"/>
                <w:color w:val="auto"/>
              </w:rPr>
            </w:pPr>
          </w:p>
        </w:tc>
        <w:tc>
          <w:tcPr>
            <w:tcW w:w="3860" w:type="dxa"/>
            <w:vAlign w:val="bottom"/>
            <w:tcBorders>
              <w:bottom w:val="single" w:sz="8" w:color="CCEEFF"/>
            </w:tcBorders>
            <w:gridSpan w:val="25"/>
            <w:vMerge w:val="restart"/>
            <w:shd w:val="clear" w:color="auto" w:fill="CCEEFF"/>
          </w:tcPr>
          <w:p>
            <w:pPr>
              <w:spacing w:after="0" w:line="176" w:lineRule="exact"/>
              <w:rPr>
                <w:sz w:val="20"/>
                <w:szCs w:val="20"/>
                <w:color w:val="auto"/>
              </w:rPr>
            </w:pPr>
            <w:r>
              <w:rPr>
                <w:rFonts w:ascii="Arial" w:cs="Arial" w:eastAsia="Arial" w:hAnsi="Arial"/>
                <w:sz w:val="18"/>
                <w:szCs w:val="18"/>
                <w:color w:val="0000EE"/>
              </w:rPr>
              <w:t>Program and Results</w:t>
            </w:r>
          </w:p>
        </w:tc>
        <w:tc>
          <w:tcPr>
            <w:tcW w:w="38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1"/>
                <w:szCs w:val="11"/>
                <w:color w:val="auto"/>
              </w:rPr>
            </w:pP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3860" w:type="dxa"/>
            <w:vAlign w:val="bottom"/>
            <w:gridSpan w:val="25"/>
            <w:vMerge w:val="continue"/>
            <w:shd w:val="clear" w:color="auto" w:fill="CCEEFF"/>
          </w:tcPr>
          <w:p>
            <w:pPr>
              <w:spacing w:after="0"/>
              <w:rPr>
                <w:sz w:val="11"/>
                <w:szCs w:val="11"/>
                <w:color w:val="auto"/>
              </w:rPr>
            </w:pPr>
          </w:p>
        </w:tc>
        <w:tc>
          <w:tcPr>
            <w:tcW w:w="380" w:type="dxa"/>
            <w:vAlign w:val="bottom"/>
            <w:gridSpan w:val="3"/>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0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20" w:type="dxa"/>
            <w:vAlign w:val="bottom"/>
            <w:gridSpan w:val="26"/>
            <w:vMerge w:val="restart"/>
          </w:tcPr>
          <w:p>
            <w:pPr>
              <w:spacing w:after="0" w:line="202" w:lineRule="exact"/>
              <w:rPr>
                <w:sz w:val="20"/>
                <w:szCs w:val="20"/>
                <w:color w:val="auto"/>
              </w:rPr>
            </w:pPr>
            <w:r>
              <w:rPr>
                <w:rFonts w:ascii="Arial" w:cs="Arial" w:eastAsia="Arial" w:hAnsi="Arial"/>
                <w:sz w:val="18"/>
                <w:szCs w:val="18"/>
                <w:color w:val="0000EE"/>
              </w:rPr>
              <w:t>Post-Employment and Change in Control</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20" w:type="dxa"/>
            <w:vAlign w:val="bottom"/>
            <w:gridSpan w:val="2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020" w:type="dxa"/>
            <w:vAlign w:val="bottom"/>
            <w:gridSpan w:val="26"/>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440" w:type="dxa"/>
            <w:vAlign w:val="bottom"/>
            <w:tcBorders>
              <w:top w:val="single" w:sz="8" w:color="0000EE"/>
            </w:tcBorders>
            <w:gridSpan w:val="20"/>
            <w:vMerge w:val="restart"/>
          </w:tcPr>
          <w:p>
            <w:pPr>
              <w:spacing w:after="0" w:line="196" w:lineRule="exact"/>
              <w:rPr>
                <w:sz w:val="20"/>
                <w:szCs w:val="20"/>
                <w:color w:val="auto"/>
              </w:rPr>
            </w:pPr>
            <w:r>
              <w:rPr>
                <w:rFonts w:ascii="Arial" w:cs="Arial" w:eastAsia="Arial" w:hAnsi="Arial"/>
                <w:sz w:val="18"/>
                <w:szCs w:val="18"/>
                <w:color w:val="0000EE"/>
              </w:rPr>
              <w:t>Compensation; Clawback Policies</w:t>
            </w:r>
          </w:p>
        </w:tc>
        <w:tc>
          <w:tcPr>
            <w:tcW w:w="420" w:type="dxa"/>
            <w:vAlign w:val="bottom"/>
            <w:gridSpan w:val="5"/>
            <w:vMerge w:val="restart"/>
          </w:tcPr>
          <w:p>
            <w:pPr>
              <w:spacing w:after="0"/>
              <w:rPr>
                <w:sz w:val="6"/>
                <w:szCs w:val="6"/>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Borders>
              <w:top w:val="single" w:sz="8" w:color="0000EE"/>
            </w:tcBorders>
            <w:gridSpan w:val="20"/>
            <w:vMerge w:val="continue"/>
          </w:tcPr>
          <w:p>
            <w:pPr>
              <w:spacing w:after="0"/>
              <w:rPr>
                <w:sz w:val="8"/>
                <w:szCs w:val="8"/>
                <w:color w:val="auto"/>
              </w:rPr>
            </w:pPr>
          </w:p>
        </w:tc>
        <w:tc>
          <w:tcPr>
            <w:tcW w:w="420" w:type="dxa"/>
            <w:vAlign w:val="bottom"/>
            <w:gridSpan w:val="5"/>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color w:val="000000"/>
              </w:rPr>
              <w:t>​</w:t>
            </w:r>
          </w:p>
        </w:tc>
        <w:tc>
          <w:tcPr>
            <w:tcW w:w="18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020" w:type="dxa"/>
            <w:vAlign w:val="bottom"/>
            <w:gridSpan w:val="26"/>
            <w:shd w:val="clear" w:color="auto" w:fill="CCEEFF"/>
          </w:tcPr>
          <w:p>
            <w:pPr>
              <w:spacing w:after="0" w:line="202" w:lineRule="exact"/>
              <w:rPr>
                <w:sz w:val="20"/>
                <w:szCs w:val="20"/>
                <w:color w:val="auto"/>
              </w:rPr>
            </w:pPr>
            <w:r>
              <w:rPr>
                <w:rFonts w:ascii="Arial" w:cs="Arial" w:eastAsia="Arial" w:hAnsi="Arial"/>
                <w:sz w:val="18"/>
                <w:szCs w:val="18"/>
                <w:color w:val="0000EE"/>
              </w:rPr>
              <w:t>Other Compensation Policies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80" w:type="dxa"/>
            <w:vAlign w:val="bottom"/>
            <w:tcBorders>
              <w:top w:val="single" w:sz="8" w:color="CCEEFF"/>
              <w:left w:val="single" w:sz="8" w:color="CCEEFF"/>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780" w:type="dxa"/>
            <w:vAlign w:val="bottom"/>
            <w:tcBorders>
              <w:top w:val="single" w:sz="8" w:color="0000EE"/>
              <w:right w:val="single" w:sz="8" w:color="CCEEFF"/>
            </w:tcBorders>
            <w:gridSpan w:val="11"/>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Practices</w:t>
            </w:r>
          </w:p>
        </w:tc>
        <w:tc>
          <w:tcPr>
            <w:tcW w:w="1080" w:type="dxa"/>
            <w:vAlign w:val="bottom"/>
            <w:tcBorders>
              <w:top w:val="single" w:sz="8" w:color="CCEEFF"/>
              <w:left w:val="single" w:sz="8" w:color="CCEEFF"/>
            </w:tcBorders>
            <w:gridSpan w:val="14"/>
            <w:vMerge w:val="restart"/>
            <w:shd w:val="clear" w:color="auto" w:fill="CCEEFF"/>
          </w:tcPr>
          <w:p>
            <w:pPr>
              <w:spacing w:after="0"/>
              <w:rPr>
                <w:sz w:val="5"/>
                <w:szCs w:val="5"/>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47</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780" w:type="dxa"/>
            <w:vAlign w:val="bottom"/>
            <w:tcBorders>
              <w:right w:val="single" w:sz="8" w:color="CCEEFF"/>
            </w:tcBorders>
            <w:gridSpan w:val="11"/>
            <w:vMerge w:val="continue"/>
            <w:shd w:val="clear" w:color="auto" w:fill="CCEEFF"/>
          </w:tcPr>
          <w:p>
            <w:pPr>
              <w:spacing w:after="0" w:line="20" w:lineRule="exact"/>
              <w:rPr>
                <w:sz w:val="1"/>
                <w:szCs w:val="1"/>
                <w:color w:val="auto"/>
              </w:rPr>
            </w:pPr>
          </w:p>
        </w:tc>
        <w:tc>
          <w:tcPr>
            <w:tcW w:w="1080" w:type="dxa"/>
            <w:vAlign w:val="bottom"/>
            <w:tcBorders>
              <w:left w:val="single" w:sz="8" w:color="CCEEFF"/>
            </w:tcBorders>
            <w:gridSpan w:val="14"/>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9</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2780" w:type="dxa"/>
            <w:vAlign w:val="bottom"/>
            <w:tcBorders>
              <w:right w:val="single" w:sz="8" w:color="CCEEFF"/>
            </w:tcBorders>
            <w:gridSpan w:val="11"/>
            <w:vMerge w:val="continue"/>
            <w:shd w:val="clear" w:color="auto" w:fill="CCEEFF"/>
          </w:tcPr>
          <w:p>
            <w:pPr>
              <w:spacing w:after="0"/>
              <w:rPr>
                <w:sz w:val="10"/>
                <w:szCs w:val="10"/>
                <w:color w:val="auto"/>
              </w:rPr>
            </w:pPr>
          </w:p>
        </w:tc>
        <w:tc>
          <w:tcPr>
            <w:tcW w:w="1080" w:type="dxa"/>
            <w:vAlign w:val="bottom"/>
            <w:tcBorders>
              <w:left w:val="single" w:sz="8" w:color="CCEEFF"/>
            </w:tcBorders>
            <w:gridSpan w:val="14"/>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140" w:type="dxa"/>
            <w:vAlign w:val="bottom"/>
            <w:gridSpan w:val="13"/>
            <w:vMerge w:val="restart"/>
          </w:tcPr>
          <w:p>
            <w:pPr>
              <w:spacing w:after="0" w:line="196" w:lineRule="exact"/>
              <w:rPr>
                <w:sz w:val="20"/>
                <w:szCs w:val="20"/>
                <w:color w:val="auto"/>
              </w:rPr>
            </w:pPr>
            <w:r>
              <w:rPr>
                <w:rFonts w:ascii="Arial" w:cs="Arial" w:eastAsia="Arial" w:hAnsi="Arial"/>
                <w:sz w:val="18"/>
                <w:szCs w:val="18"/>
                <w:b w:val="1"/>
                <w:bCs w:val="1"/>
                <w:color w:val="457157"/>
              </w:rPr>
              <w:t>Executive Compensation Tables</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tcPr>
          <w:p>
            <w:pPr>
              <w:jc w:val="right"/>
              <w:spacing w:after="0" w:line="196" w:lineRule="exact"/>
              <w:rPr>
                <w:sz w:val="20"/>
                <w:szCs w:val="20"/>
                <w:color w:val="auto"/>
              </w:rPr>
            </w:pPr>
            <w:r>
              <w:rPr>
                <w:rFonts w:ascii="Arial" w:cs="Arial" w:eastAsia="Arial" w:hAnsi="Arial"/>
                <w:sz w:val="18"/>
                <w:szCs w:val="18"/>
                <w:color w:val="0000EE"/>
                <w:w w:val="89"/>
              </w:rPr>
              <w:t>49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140" w:type="dxa"/>
            <w:vAlign w:val="bottom"/>
            <w:gridSpan w:val="13"/>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60" w:type="dxa"/>
            <w:vAlign w:val="bottom"/>
            <w:gridSpan w:val="3"/>
            <w:vMerge w:val="restart"/>
          </w:tcPr>
          <w:p>
            <w:pPr>
              <w:jc w:val="right"/>
              <w:spacing w:after="0" w:line="162"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color w:val="000000"/>
              </w:rPr>
              <w:t>​</w:t>
            </w:r>
          </w:p>
        </w:tc>
        <w:tc>
          <w:tcPr>
            <w:tcW w:w="180" w:type="dxa"/>
            <w:vAlign w:val="bottom"/>
            <w:vMerge w:val="continue"/>
          </w:tcPr>
          <w:p>
            <w:pPr>
              <w:spacing w:after="0"/>
              <w:rPr>
                <w:sz w:val="10"/>
                <w:szCs w:val="10"/>
                <w:color w:val="auto"/>
              </w:rPr>
            </w:pPr>
          </w:p>
        </w:tc>
        <w:tc>
          <w:tcPr>
            <w:tcW w:w="3140" w:type="dxa"/>
            <w:vAlign w:val="bottom"/>
            <w:tcBorders>
              <w:bottom w:val="single" w:sz="8" w:color="457157"/>
            </w:tcBorders>
            <w:gridSpan w:val="13"/>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220" w:type="dxa"/>
            <w:vAlign w:val="bottom"/>
            <w:tcBorders>
              <w:bottom w:val="single" w:sz="8" w:color="0000EE"/>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0" w:type="dxa"/>
            <w:vAlign w:val="bottom"/>
            <w:gridSpan w:val="3"/>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vMerge w:val="continue"/>
          </w:tcPr>
          <w:p>
            <w:pPr>
              <w:spacing w:after="0"/>
              <w:rPr>
                <w:sz w:val="2"/>
                <w:szCs w:val="2"/>
                <w:color w:val="auto"/>
              </w:rPr>
            </w:pPr>
          </w:p>
        </w:tc>
        <w:tc>
          <w:tcPr>
            <w:tcW w:w="120" w:type="dxa"/>
            <w:vAlign w:val="bottom"/>
            <w:tcBorders>
              <w:bottom w:val="single" w:sz="8" w:color="CCEEFF"/>
            </w:tcBorders>
            <w:gridSpan w:val="2"/>
            <w:vMerge w:val="continue"/>
          </w:tcPr>
          <w:p>
            <w:pPr>
              <w:spacing w:after="0"/>
              <w:rPr>
                <w:sz w:val="2"/>
                <w:szCs w:val="2"/>
                <w:color w:val="auto"/>
              </w:rPr>
            </w:pPr>
          </w:p>
        </w:tc>
        <w:tc>
          <w:tcPr>
            <w:tcW w:w="200" w:type="dxa"/>
            <w:vAlign w:val="bottom"/>
            <w:tcBorders>
              <w:bottom w:val="single" w:sz="8" w:color="CCEEFF"/>
            </w:tcBorders>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100" w:type="dxa"/>
            <w:vAlign w:val="bottom"/>
            <w:tcBorders>
              <w:bottom w:val="single" w:sz="8" w:color="CCEEFF"/>
            </w:tcBorders>
            <w:gridSpan w:val="2"/>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200" w:type="dxa"/>
            <w:vAlign w:val="bottom"/>
            <w:tcBorders>
              <w:bottom w:val="single" w:sz="8" w:color="CCEEFF"/>
            </w:tcBorders>
            <w:gridSpan w:val="2"/>
            <w:vMerge w:val="continue"/>
          </w:tcPr>
          <w:p>
            <w:pPr>
              <w:spacing w:after="0"/>
              <w:rPr>
                <w:sz w:val="2"/>
                <w:szCs w:val="2"/>
                <w:color w:val="auto"/>
              </w:rPr>
            </w:pPr>
          </w:p>
        </w:tc>
        <w:tc>
          <w:tcPr>
            <w:tcW w:w="14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gridSpan w:val="2"/>
            <w:vMerge w:val="continue"/>
          </w:tcPr>
          <w:p>
            <w:pPr>
              <w:spacing w:after="0"/>
              <w:rPr>
                <w:sz w:val="2"/>
                <w:szCs w:val="2"/>
                <w:color w:val="auto"/>
              </w:rPr>
            </w:pPr>
          </w:p>
        </w:tc>
        <w:tc>
          <w:tcPr>
            <w:tcW w:w="160" w:type="dxa"/>
            <w:vAlign w:val="bottom"/>
            <w:tcBorders>
              <w:bottom w:val="single" w:sz="8" w:color="CCEEFF"/>
            </w:tcBorders>
            <w:gridSpan w:val="2"/>
            <w:vMerge w:val="continue"/>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0000EE"/>
            </w:tcBorders>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left w:val="single" w:sz="8" w:color="CCEEFF"/>
              <w:bottom w:val="single" w:sz="8" w:color="CCEEFF"/>
            </w:tcBorders>
            <w:vMerge w:val="restart"/>
            <w:shd w:val="clear" w:color="auto" w:fill="CCEEFF"/>
          </w:tcPr>
          <w:p>
            <w:pPr>
              <w:spacing w:after="0"/>
              <w:rPr>
                <w:sz w:val="3"/>
                <w:szCs w:val="3"/>
                <w:color w:val="auto"/>
              </w:rPr>
            </w:pPr>
          </w:p>
        </w:tc>
        <w:tc>
          <w:tcPr>
            <w:tcW w:w="200" w:type="dxa"/>
            <w:vAlign w:val="bottom"/>
            <w:tcBorders>
              <w:bottom w:val="single" w:sz="8" w:color="CCEEFF"/>
              <w:right w:val="single" w:sz="8" w:color="CCEEFF"/>
            </w:tcBorders>
            <w:vMerge w:val="restart"/>
            <w:shd w:val="clear" w:color="auto" w:fill="CCEEFF"/>
          </w:tcPr>
          <w:p>
            <w:pPr>
              <w:spacing w:after="0"/>
              <w:rPr>
                <w:sz w:val="3"/>
                <w:szCs w:val="3"/>
                <w:color w:val="auto"/>
              </w:rPr>
            </w:pPr>
          </w:p>
        </w:tc>
        <w:tc>
          <w:tcPr>
            <w:tcW w:w="2940" w:type="dxa"/>
            <w:vAlign w:val="bottom"/>
            <w:tcBorders>
              <w:bottom w:val="single" w:sz="8" w:color="CCEEFF"/>
              <w:right w:val="single" w:sz="8" w:color="CCEEFF"/>
            </w:tcBorders>
            <w:gridSpan w:val="12"/>
            <w:vMerge w:val="restart"/>
            <w:shd w:val="clear" w:color="auto" w:fill="CCEEFF"/>
          </w:tcPr>
          <w:p>
            <w:pPr>
              <w:spacing w:after="0" w:line="170" w:lineRule="exact"/>
              <w:rPr>
                <w:sz w:val="20"/>
                <w:szCs w:val="20"/>
                <w:color w:val="auto"/>
              </w:rPr>
            </w:pPr>
            <w:r>
              <w:rPr>
                <w:rFonts w:ascii="Arial" w:cs="Arial" w:eastAsia="Arial" w:hAnsi="Arial"/>
                <w:sz w:val="18"/>
                <w:szCs w:val="18"/>
                <w:color w:val="0000EE"/>
              </w:rPr>
              <w:t>Summary Compensation Table</w:t>
            </w:r>
          </w:p>
        </w:tc>
        <w:tc>
          <w:tcPr>
            <w:tcW w:w="1080" w:type="dxa"/>
            <w:vAlign w:val="bottom"/>
            <w:tcBorders>
              <w:left w:val="single" w:sz="8" w:color="CCEEFF"/>
              <w:bottom w:val="single" w:sz="8" w:color="CCEEFF"/>
            </w:tcBorders>
            <w:gridSpan w:val="14"/>
            <w:vMerge w:val="restart"/>
            <w:shd w:val="clear" w:color="auto" w:fill="CCEEFF"/>
          </w:tcPr>
          <w:p>
            <w:pPr>
              <w:spacing w:after="0"/>
              <w:rPr>
                <w:sz w:val="3"/>
                <w:szCs w:val="3"/>
                <w:color w:val="auto"/>
              </w:rPr>
            </w:pPr>
          </w:p>
        </w:tc>
        <w:tc>
          <w:tcPr>
            <w:tcW w:w="380" w:type="dxa"/>
            <w:vAlign w:val="bottom"/>
            <w:tcBorders>
              <w:bottom w:val="single" w:sz="8" w:color="CCEEFF"/>
            </w:tcBorders>
            <w:gridSpan w:val="3"/>
            <w:vMerge w:val="restart"/>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49</w:t>
            </w:r>
          </w:p>
        </w:tc>
        <w:tc>
          <w:tcPr>
            <w:tcW w:w="40" w:type="dxa"/>
            <w:vAlign w:val="bottom"/>
            <w:vMerge w:val="restart"/>
          </w:tcPr>
          <w:p>
            <w:pPr>
              <w:jc w:val="right"/>
              <w:spacing w:after="0" w:line="15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left w:val="single" w:sz="8" w:color="CCEEFF"/>
            </w:tcBorders>
            <w:vMerge w:val="continue"/>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2940" w:type="dxa"/>
            <w:vAlign w:val="bottom"/>
            <w:tcBorders>
              <w:right w:val="single" w:sz="8" w:color="CCEEFF"/>
            </w:tcBorders>
            <w:gridSpan w:val="12"/>
            <w:vMerge w:val="continue"/>
            <w:shd w:val="clear" w:color="auto" w:fill="CCEEFF"/>
          </w:tcPr>
          <w:p>
            <w:pPr>
              <w:spacing w:after="0"/>
              <w:rPr>
                <w:sz w:val="10"/>
                <w:szCs w:val="10"/>
                <w:color w:val="auto"/>
              </w:rPr>
            </w:pPr>
          </w:p>
        </w:tc>
        <w:tc>
          <w:tcPr>
            <w:tcW w:w="1080" w:type="dxa"/>
            <w:vAlign w:val="bottom"/>
            <w:tcBorders>
              <w:left w:val="single" w:sz="8" w:color="CCEEFF"/>
            </w:tcBorders>
            <w:gridSpan w:val="14"/>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60" w:type="dxa"/>
            <w:vAlign w:val="bottom"/>
            <w:tcBorders>
              <w:right w:val="single" w:sz="8" w:color="CCEEFF"/>
            </w:tcBorders>
            <w:shd w:val="clear" w:color="auto" w:fill="0000EE"/>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11</w:t>
            </w:r>
            <w:r>
              <w:rPr>
                <w:rFonts w:ascii="Arial" w:cs="Arial" w:eastAsia="Arial" w:hAnsi="Arial"/>
                <w:sz w:val="18"/>
                <w:szCs w:val="18"/>
                <w:color w:val="000000"/>
              </w:rPr>
              <w:t>​</w:t>
            </w:r>
          </w:p>
        </w:tc>
        <w:tc>
          <w:tcPr>
            <w:tcW w:w="1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2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Grant of Plan-Based Awards in 2023</w:t>
            </w:r>
          </w:p>
        </w:tc>
        <w:tc>
          <w:tcPr>
            <w:tcW w:w="2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51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gridSpan w:val="3"/>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vMerge w:val="continue"/>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100" w:type="dxa"/>
            <w:vAlign w:val="bottom"/>
            <w:tcBorders>
              <w:bottom w:val="single" w:sz="8" w:color="CCEEFF"/>
            </w:tcBorders>
            <w:gridSpan w:val="2"/>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200" w:type="dxa"/>
            <w:vAlign w:val="bottom"/>
            <w:tcBorders>
              <w:bottom w:val="single" w:sz="8" w:color="CCEEFF"/>
            </w:tcBorders>
            <w:gridSpan w:val="2"/>
            <w:vMerge w:val="continue"/>
          </w:tcPr>
          <w:p>
            <w:pPr>
              <w:spacing w:after="0"/>
              <w:rPr>
                <w:sz w:val="2"/>
                <w:szCs w:val="2"/>
                <w:color w:val="auto"/>
              </w:rPr>
            </w:pPr>
          </w:p>
        </w:tc>
        <w:tc>
          <w:tcPr>
            <w:tcW w:w="14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gridSpan w:val="2"/>
            <w:vMerge w:val="continue"/>
          </w:tcPr>
          <w:p>
            <w:pPr>
              <w:spacing w:after="0"/>
              <w:rPr>
                <w:sz w:val="2"/>
                <w:szCs w:val="2"/>
                <w:color w:val="auto"/>
              </w:rPr>
            </w:pPr>
          </w:p>
        </w:tc>
        <w:tc>
          <w:tcPr>
            <w:tcW w:w="160" w:type="dxa"/>
            <w:vAlign w:val="bottom"/>
            <w:tcBorders>
              <w:bottom w:val="single" w:sz="8" w:color="CCEEFF"/>
            </w:tcBorders>
            <w:gridSpan w:val="2"/>
            <w:vMerge w:val="continue"/>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020" w:type="dxa"/>
            <w:vAlign w:val="bottom"/>
            <w:gridSpan w:val="26"/>
            <w:vMerge w:val="restart"/>
            <w:shd w:val="clear" w:color="auto" w:fill="CCEEFF"/>
          </w:tcPr>
          <w:p>
            <w:pPr>
              <w:spacing w:after="0" w:line="162" w:lineRule="exact"/>
              <w:rPr>
                <w:sz w:val="20"/>
                <w:szCs w:val="20"/>
                <w:color w:val="auto"/>
              </w:rPr>
            </w:pPr>
            <w:r>
              <w:rPr>
                <w:rFonts w:ascii="Arial" w:cs="Arial" w:eastAsia="Arial" w:hAnsi="Arial"/>
                <w:sz w:val="18"/>
                <w:szCs w:val="18"/>
                <w:color w:val="0000EE"/>
              </w:rPr>
              <w:t>Outstanding Equity Awards as of</w:t>
            </w: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11</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4020" w:type="dxa"/>
            <w:vAlign w:val="bottom"/>
            <w:gridSpan w:val="26"/>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60" w:type="dxa"/>
            <w:vAlign w:val="bottom"/>
            <w:gridSpan w:val="3"/>
            <w:vMerge w:val="continue"/>
          </w:tcPr>
          <w:p>
            <w:pPr>
              <w:spacing w:after="0"/>
              <w:rPr>
                <w:sz w:val="6"/>
                <w:szCs w:val="6"/>
                <w:color w:val="auto"/>
              </w:rPr>
            </w:pPr>
          </w:p>
        </w:tc>
        <w:tc>
          <w:tcPr>
            <w:tcW w:w="180" w:type="dxa"/>
            <w:vAlign w:val="bottom"/>
            <w:tcBorders>
              <w:top w:val="single" w:sz="8" w:color="CCEEFF"/>
              <w:left w:val="single" w:sz="8" w:color="CCEEFF"/>
            </w:tcBorders>
            <w:shd w:val="clear" w:color="auto" w:fill="CCEEFF"/>
          </w:tcPr>
          <w:p>
            <w:pPr>
              <w:spacing w:after="0"/>
              <w:rPr>
                <w:sz w:val="6"/>
                <w:szCs w:val="6"/>
                <w:color w:val="auto"/>
              </w:rPr>
            </w:pPr>
          </w:p>
        </w:tc>
        <w:tc>
          <w:tcPr>
            <w:tcW w:w="2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gridSpan w:val="5"/>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December 31, 2023</w:t>
            </w:r>
          </w:p>
        </w:tc>
        <w:tc>
          <w:tcPr>
            <w:tcW w:w="1040" w:type="dxa"/>
            <w:vAlign w:val="bottom"/>
            <w:tcBorders>
              <w:top w:val="single" w:sz="8" w:color="0000EE"/>
              <w:right w:val="single" w:sz="8" w:color="CCEEFF"/>
            </w:tcBorders>
            <w:gridSpan w:val="6"/>
            <w:vMerge w:val="restart"/>
            <w:shd w:val="clear" w:color="auto" w:fill="CCEEFF"/>
          </w:tcPr>
          <w:p>
            <w:pPr>
              <w:spacing w:after="0"/>
              <w:rPr>
                <w:sz w:val="6"/>
                <w:szCs w:val="6"/>
                <w:color w:val="auto"/>
              </w:rPr>
            </w:pPr>
          </w:p>
        </w:tc>
        <w:tc>
          <w:tcPr>
            <w:tcW w:w="1080" w:type="dxa"/>
            <w:vAlign w:val="bottom"/>
            <w:tcBorders>
              <w:top w:val="single" w:sz="8" w:color="CCEEFF"/>
              <w:left w:val="single" w:sz="8" w:color="CCEEFF"/>
            </w:tcBorders>
            <w:gridSpan w:val="14"/>
            <w:vMerge w:val="restart"/>
            <w:shd w:val="clear" w:color="auto" w:fill="CCEEFF"/>
          </w:tcPr>
          <w:p>
            <w:pPr>
              <w:spacing w:after="0"/>
              <w:rPr>
                <w:sz w:val="6"/>
                <w:szCs w:val="6"/>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52</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CCEEFF"/>
              <w:left w:val="single" w:sz="8" w:color="CCEEFF"/>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740" w:type="dxa"/>
            <w:vAlign w:val="bottom"/>
            <w:tcBorders>
              <w:top w:val="single" w:sz="8" w:color="0000EE"/>
            </w:tcBorders>
            <w:gridSpan w:val="5"/>
            <w:vMerge w:val="continue"/>
            <w:shd w:val="clear" w:color="auto" w:fill="CCEEFF"/>
          </w:tcPr>
          <w:p>
            <w:pPr>
              <w:spacing w:after="0"/>
              <w:rPr>
                <w:sz w:val="8"/>
                <w:szCs w:val="8"/>
                <w:color w:val="auto"/>
              </w:rPr>
            </w:pPr>
          </w:p>
        </w:tc>
        <w:tc>
          <w:tcPr>
            <w:tcW w:w="1040" w:type="dxa"/>
            <w:vAlign w:val="bottom"/>
            <w:tcBorders>
              <w:top w:val="single" w:sz="8" w:color="0000EE"/>
              <w:right w:val="single" w:sz="8" w:color="CCEEFF"/>
            </w:tcBorders>
            <w:gridSpan w:val="6"/>
            <w:vMerge w:val="continue"/>
            <w:shd w:val="clear" w:color="auto" w:fill="CCEEFF"/>
          </w:tcPr>
          <w:p>
            <w:pPr>
              <w:spacing w:after="0"/>
              <w:rPr>
                <w:sz w:val="8"/>
                <w:szCs w:val="8"/>
                <w:color w:val="auto"/>
              </w:rPr>
            </w:pPr>
          </w:p>
        </w:tc>
        <w:tc>
          <w:tcPr>
            <w:tcW w:w="1080" w:type="dxa"/>
            <w:vAlign w:val="bottom"/>
            <w:tcBorders>
              <w:top w:val="single" w:sz="8" w:color="CCEEFF"/>
              <w:left w:val="single" w:sz="8" w:color="CCEEFF"/>
            </w:tcBorders>
            <w:gridSpan w:val="14"/>
            <w:vMerge w:val="continue"/>
            <w:shd w:val="clear" w:color="auto" w:fill="CCEEFF"/>
          </w:tcPr>
          <w:p>
            <w:pPr>
              <w:spacing w:after="0"/>
              <w:rPr>
                <w:sz w:val="8"/>
                <w:szCs w:val="8"/>
                <w:color w:val="auto"/>
              </w:rPr>
            </w:pPr>
          </w:p>
        </w:tc>
        <w:tc>
          <w:tcPr>
            <w:tcW w:w="380" w:type="dxa"/>
            <w:vAlign w:val="bottom"/>
            <w:tcBorders>
              <w:top w:val="single" w:sz="8" w:color="CCEEFF"/>
            </w:tcBorders>
            <w:gridSpan w:val="3"/>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12</w:t>
            </w:r>
            <w:r>
              <w:rPr>
                <w:rFonts w:ascii="Arial" w:cs="Arial" w:eastAsia="Arial" w:hAnsi="Arial"/>
                <w:sz w:val="18"/>
                <w:szCs w:val="18"/>
                <w:color w:val="000000"/>
              </w:rPr>
              <w:t>​</w:t>
            </w:r>
          </w:p>
        </w:tc>
        <w:tc>
          <w:tcPr>
            <w:tcW w:w="1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1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Option Exercises and Stock Vested</w:t>
            </w:r>
          </w:p>
        </w:tc>
        <w:tc>
          <w:tcPr>
            <w:tcW w:w="32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53</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bottom w:val="single" w:sz="8" w:color="CCEEFF"/>
            </w:tcBorders>
            <w:vMerge w:val="restart"/>
            <w:shd w:val="clear" w:color="auto" w:fill="CCEEFF"/>
          </w:tcPr>
          <w:p>
            <w:pPr>
              <w:spacing w:after="0"/>
              <w:rPr>
                <w:sz w:val="2"/>
                <w:szCs w:val="2"/>
                <w:color w:val="auto"/>
              </w:rPr>
            </w:pPr>
          </w:p>
        </w:tc>
        <w:tc>
          <w:tcPr>
            <w:tcW w:w="200" w:type="dxa"/>
            <w:vAlign w:val="bottom"/>
            <w:tcBorders>
              <w:bottom w:val="single" w:sz="8" w:color="CCEEFF"/>
              <w:right w:val="single" w:sz="8" w:color="CCEEFF"/>
            </w:tcBorders>
            <w:vMerge w:val="restart"/>
            <w:shd w:val="clear" w:color="auto" w:fill="CCEEFF"/>
          </w:tcPr>
          <w:p>
            <w:pPr>
              <w:spacing w:after="0"/>
              <w:rPr>
                <w:sz w:val="2"/>
                <w:szCs w:val="2"/>
                <w:color w:val="auto"/>
              </w:rPr>
            </w:pPr>
          </w:p>
        </w:tc>
        <w:tc>
          <w:tcPr>
            <w:tcW w:w="4400" w:type="dxa"/>
            <w:vAlign w:val="bottom"/>
            <w:tcBorders>
              <w:bottom w:val="single" w:sz="8" w:color="CCEEFF"/>
            </w:tcBorders>
            <w:gridSpan w:val="29"/>
            <w:vMerge w:val="restart"/>
            <w:shd w:val="clear" w:color="auto" w:fill="CCEEFF"/>
          </w:tcPr>
          <w:p>
            <w:pPr>
              <w:spacing w:after="0" w:line="189" w:lineRule="exact"/>
              <w:rPr>
                <w:sz w:val="20"/>
                <w:szCs w:val="20"/>
                <w:color w:val="auto"/>
              </w:rPr>
            </w:pPr>
            <w:r>
              <w:rPr>
                <w:rFonts w:ascii="Arial" w:cs="Arial" w:eastAsia="Arial" w:hAnsi="Arial"/>
                <w:sz w:val="18"/>
                <w:szCs w:val="18"/>
                <w:color w:val="0000EE"/>
              </w:rPr>
              <w:t xml:space="preserve">Nonqualified Deferred Compensation in 2023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color w:val="0000EE"/>
              </w:rPr>
              <w:t xml:space="preserve"> 54</w:t>
            </w:r>
          </w:p>
        </w:tc>
        <w:tc>
          <w:tcPr>
            <w:tcW w:w="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7"/>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12</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4400" w:type="dxa"/>
            <w:vAlign w:val="bottom"/>
            <w:gridSpan w:val="29"/>
            <w:vMerge w:val="continue"/>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60" w:type="dxa"/>
            <w:vAlign w:val="bottom"/>
            <w:gridSpan w:val="3"/>
            <w:vMerge w:val="continue"/>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20" w:type="dxa"/>
            <w:vAlign w:val="bottom"/>
            <w:gridSpan w:val="26"/>
            <w:vMerge w:val="restart"/>
          </w:tcPr>
          <w:p>
            <w:pPr>
              <w:spacing w:after="0" w:line="202" w:lineRule="exact"/>
              <w:rPr>
                <w:sz w:val="20"/>
                <w:szCs w:val="20"/>
                <w:color w:val="auto"/>
              </w:rPr>
            </w:pPr>
            <w:r>
              <w:rPr>
                <w:rFonts w:ascii="Arial" w:cs="Arial" w:eastAsia="Arial" w:hAnsi="Arial"/>
                <w:sz w:val="18"/>
                <w:szCs w:val="18"/>
                <w:color w:val="0000EE"/>
              </w:rPr>
              <w:t>Potential Payments Upon Termination or</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20" w:type="dxa"/>
            <w:vAlign w:val="bottom"/>
            <w:gridSpan w:val="2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13</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020" w:type="dxa"/>
            <w:vAlign w:val="bottom"/>
            <w:gridSpan w:val="26"/>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400" w:type="dxa"/>
            <w:vAlign w:val="bottom"/>
            <w:tcBorders>
              <w:top w:val="single" w:sz="8" w:color="0000EE"/>
            </w:tcBorders>
            <w:gridSpan w:val="19"/>
            <w:vMerge w:val="restart"/>
          </w:tcPr>
          <w:p>
            <w:pPr>
              <w:spacing w:after="0" w:line="196" w:lineRule="exact"/>
              <w:rPr>
                <w:sz w:val="20"/>
                <w:szCs w:val="20"/>
                <w:color w:val="auto"/>
              </w:rPr>
            </w:pPr>
            <w:r>
              <w:rPr>
                <w:rFonts w:ascii="Arial" w:cs="Arial" w:eastAsia="Arial" w:hAnsi="Arial"/>
                <w:sz w:val="18"/>
                <w:szCs w:val="18"/>
                <w:color w:val="0000EE"/>
              </w:rPr>
              <w:t>Change in Control</w:t>
            </w:r>
          </w:p>
        </w:tc>
        <w:tc>
          <w:tcPr>
            <w:tcW w:w="460" w:type="dxa"/>
            <w:vAlign w:val="bottom"/>
            <w:gridSpan w:val="6"/>
            <w:vMerge w:val="restart"/>
          </w:tcPr>
          <w:p>
            <w:pPr>
              <w:spacing w:after="0"/>
              <w:rPr>
                <w:sz w:val="6"/>
                <w:szCs w:val="6"/>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0" w:type="dxa"/>
            <w:vAlign w:val="bottom"/>
            <w:gridSpan w:val="19"/>
            <w:vMerge w:val="continue"/>
          </w:tcPr>
          <w:p>
            <w:pPr>
              <w:spacing w:after="0" w:line="20" w:lineRule="exact"/>
              <w:rPr>
                <w:sz w:val="1"/>
                <w:szCs w:val="1"/>
                <w:color w:val="auto"/>
              </w:rPr>
            </w:pPr>
          </w:p>
        </w:tc>
        <w:tc>
          <w:tcPr>
            <w:tcW w:w="460" w:type="dxa"/>
            <w:vAlign w:val="bottom"/>
            <w:gridSpan w:val="6"/>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14</w:t>
            </w:r>
            <w:r>
              <w:rPr>
                <w:rFonts w:ascii="Arial" w:cs="Arial" w:eastAsia="Arial" w:hAnsi="Arial"/>
                <w:sz w:val="18"/>
                <w:szCs w:val="18"/>
                <w:color w:val="000000"/>
              </w:rPr>
              <w:t>​</w:t>
            </w:r>
          </w:p>
        </w:tc>
        <w:tc>
          <w:tcPr>
            <w:tcW w:w="1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400" w:type="dxa"/>
            <w:vAlign w:val="bottom"/>
            <w:gridSpan w:val="19"/>
            <w:vMerge w:val="continue"/>
          </w:tcPr>
          <w:p>
            <w:pPr>
              <w:spacing w:after="0"/>
              <w:rPr>
                <w:sz w:val="8"/>
                <w:szCs w:val="8"/>
                <w:color w:val="auto"/>
              </w:rPr>
            </w:pPr>
          </w:p>
        </w:tc>
        <w:tc>
          <w:tcPr>
            <w:tcW w:w="460" w:type="dxa"/>
            <w:vAlign w:val="bottom"/>
            <w:gridSpan w:val="6"/>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60" w:type="dxa"/>
            <w:vAlign w:val="bottom"/>
            <w:gridSpan w:val="3"/>
            <w:vMerge w:val="continue"/>
          </w:tcPr>
          <w:p>
            <w:pPr>
              <w:spacing w:after="0"/>
              <w:rPr>
                <w:sz w:val="7"/>
                <w:szCs w:val="7"/>
                <w:color w:val="auto"/>
              </w:rPr>
            </w:pPr>
          </w:p>
        </w:tc>
        <w:tc>
          <w:tcPr>
            <w:tcW w:w="180" w:type="dxa"/>
            <w:vAlign w:val="bottom"/>
            <w:tcBorders>
              <w:left w:val="single" w:sz="8" w:color="CCEEFF"/>
            </w:tcBorders>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020" w:type="dxa"/>
            <w:vAlign w:val="bottom"/>
            <w:gridSpan w:val="26"/>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Potential Consideration Upon Termination of</w:t>
            </w: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020" w:type="dxa"/>
            <w:vAlign w:val="bottom"/>
            <w:gridSpan w:val="26"/>
            <w:vMerge w:val="continue"/>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15</w:t>
            </w:r>
            <w:r>
              <w:rPr>
                <w:rFonts w:ascii="Arial" w:cs="Arial" w:eastAsia="Arial" w:hAnsi="Arial"/>
                <w:sz w:val="18"/>
                <w:szCs w:val="18"/>
                <w:color w:val="000000"/>
              </w:rPr>
              <w:t>​</w:t>
            </w:r>
          </w:p>
        </w:tc>
        <w:tc>
          <w:tcPr>
            <w:tcW w:w="180" w:type="dxa"/>
            <w:vAlign w:val="bottom"/>
            <w:tcBorders>
              <w:left w:val="single" w:sz="8" w:color="CCEEFF"/>
            </w:tcBorders>
            <w:vMerge w:val="continue"/>
            <w:shd w:val="clear" w:color="auto" w:fill="CCEEFF"/>
          </w:tcPr>
          <w:p>
            <w:pPr>
              <w:spacing w:after="0"/>
              <w:rPr>
                <w:sz w:val="8"/>
                <w:szCs w:val="8"/>
                <w:color w:val="auto"/>
              </w:rPr>
            </w:pPr>
          </w:p>
        </w:tc>
        <w:tc>
          <w:tcPr>
            <w:tcW w:w="200" w:type="dxa"/>
            <w:vAlign w:val="bottom"/>
            <w:tcBorders>
              <w:right w:val="single" w:sz="8" w:color="CCEEFF"/>
            </w:tcBorders>
            <w:vMerge w:val="continue"/>
            <w:shd w:val="clear" w:color="auto" w:fill="CCEEFF"/>
          </w:tcPr>
          <w:p>
            <w:pPr>
              <w:spacing w:after="0"/>
              <w:rPr>
                <w:sz w:val="8"/>
                <w:szCs w:val="8"/>
                <w:color w:val="auto"/>
              </w:rPr>
            </w:pPr>
          </w:p>
        </w:tc>
        <w:tc>
          <w:tcPr>
            <w:tcW w:w="4020" w:type="dxa"/>
            <w:vAlign w:val="bottom"/>
            <w:gridSpan w:val="26"/>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 w:type="dxa"/>
            <w:vAlign w:val="bottom"/>
            <w:gridSpan w:val="3"/>
            <w:vMerge w:val="continue"/>
          </w:tcPr>
          <w:p>
            <w:pPr>
              <w:spacing w:after="0"/>
              <w:rPr>
                <w:sz w:val="8"/>
                <w:szCs w:val="8"/>
                <w:color w:val="auto"/>
              </w:rPr>
            </w:pPr>
          </w:p>
        </w:tc>
        <w:tc>
          <w:tcPr>
            <w:tcW w:w="180" w:type="dxa"/>
            <w:vAlign w:val="bottom"/>
            <w:tcBorders>
              <w:top w:val="single" w:sz="8" w:color="CCEEFF"/>
              <w:left w:val="single" w:sz="8" w:color="CCEEFF"/>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60" w:type="dxa"/>
            <w:vAlign w:val="bottom"/>
            <w:tcBorders>
              <w:top w:val="single" w:sz="8" w:color="0000EE"/>
            </w:tcBorders>
            <w:shd w:val="clear" w:color="auto" w:fill="CCEEFF"/>
          </w:tcPr>
          <w:p>
            <w:pPr>
              <w:spacing w:after="0"/>
              <w:rPr>
                <w:sz w:val="8"/>
                <w:szCs w:val="8"/>
                <w:color w:val="auto"/>
              </w:rPr>
            </w:pPr>
          </w:p>
        </w:tc>
        <w:tc>
          <w:tcPr>
            <w:tcW w:w="1100" w:type="dxa"/>
            <w:vAlign w:val="bottom"/>
            <w:tcBorders>
              <w:top w:val="single" w:sz="8" w:color="0000EE"/>
            </w:tcBorders>
            <w:gridSpan w:val="3"/>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Employment</w:t>
            </w:r>
          </w:p>
        </w:tc>
        <w:tc>
          <w:tcPr>
            <w:tcW w:w="2700" w:type="dxa"/>
            <w:vAlign w:val="bottom"/>
            <w:tcBorders>
              <w:top w:val="single" w:sz="8" w:color="0000EE"/>
            </w:tcBorders>
            <w:gridSpan w:val="20"/>
            <w:vMerge w:val="restart"/>
            <w:shd w:val="clear" w:color="auto" w:fill="CCEEFF"/>
          </w:tcPr>
          <w:p>
            <w:pPr>
              <w:spacing w:after="0"/>
              <w:rPr>
                <w:sz w:val="8"/>
                <w:szCs w:val="8"/>
                <w:color w:val="auto"/>
              </w:rPr>
            </w:pPr>
          </w:p>
        </w:tc>
        <w:tc>
          <w:tcPr>
            <w:tcW w:w="60" w:type="dxa"/>
            <w:vAlign w:val="bottom"/>
            <w:tcBorders>
              <w:top w:val="single" w:sz="8" w:color="CCEEFF"/>
            </w:tcBorders>
            <w:gridSpan w:val="2"/>
            <w:vMerge w:val="restart"/>
            <w:shd w:val="clear" w:color="auto" w:fill="CCEEFF"/>
          </w:tcPr>
          <w:p>
            <w:pPr>
              <w:spacing w:after="0"/>
              <w:rPr>
                <w:sz w:val="8"/>
                <w:szCs w:val="8"/>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57</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1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top w:val="single" w:sz="8" w:color="CCEEFF"/>
              <w:left w:val="single" w:sz="8" w:color="CCEEFF"/>
            </w:tcBorders>
            <w:shd w:val="clear" w:color="auto" w:fill="CCEEFF"/>
          </w:tcPr>
          <w:p>
            <w:pPr>
              <w:spacing w:after="0"/>
              <w:rPr>
                <w:sz w:val="6"/>
                <w:szCs w:val="6"/>
                <w:color w:val="auto"/>
              </w:rPr>
            </w:pPr>
          </w:p>
        </w:tc>
        <w:tc>
          <w:tcPr>
            <w:tcW w:w="2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0000EE"/>
            </w:tcBorders>
            <w:gridSpan w:val="3"/>
            <w:vMerge w:val="continue"/>
            <w:shd w:val="clear" w:color="auto" w:fill="CCEEFF"/>
          </w:tcPr>
          <w:p>
            <w:pPr>
              <w:spacing w:after="0"/>
              <w:rPr>
                <w:sz w:val="6"/>
                <w:szCs w:val="6"/>
                <w:color w:val="auto"/>
              </w:rPr>
            </w:pPr>
          </w:p>
        </w:tc>
        <w:tc>
          <w:tcPr>
            <w:tcW w:w="2700" w:type="dxa"/>
            <w:vAlign w:val="bottom"/>
            <w:tcBorders>
              <w:top w:val="single" w:sz="8" w:color="0000EE"/>
            </w:tcBorders>
            <w:gridSpan w:val="20"/>
            <w:vMerge w:val="continue"/>
            <w:shd w:val="clear" w:color="auto" w:fill="CCEEFF"/>
          </w:tcPr>
          <w:p>
            <w:pPr>
              <w:spacing w:after="0"/>
              <w:rPr>
                <w:sz w:val="6"/>
                <w:szCs w:val="6"/>
                <w:color w:val="auto"/>
              </w:rPr>
            </w:pPr>
          </w:p>
        </w:tc>
        <w:tc>
          <w:tcPr>
            <w:tcW w:w="60" w:type="dxa"/>
            <w:vAlign w:val="bottom"/>
            <w:tcBorders>
              <w:top w:val="single" w:sz="8" w:color="CCEEFF"/>
            </w:tcBorders>
            <w:gridSpan w:val="2"/>
            <w:vMerge w:val="continue"/>
            <w:shd w:val="clear" w:color="auto" w:fill="CCEEFF"/>
          </w:tcPr>
          <w:p>
            <w:pPr>
              <w:spacing w:after="0"/>
              <w:rPr>
                <w:sz w:val="6"/>
                <w:szCs w:val="6"/>
                <w:color w:val="auto"/>
              </w:rPr>
            </w:pPr>
          </w:p>
        </w:tc>
        <w:tc>
          <w:tcPr>
            <w:tcW w:w="380" w:type="dxa"/>
            <w:vAlign w:val="bottom"/>
            <w:tcBorders>
              <w:top w:val="single" w:sz="8" w:color="CCEEFF"/>
            </w:tcBorders>
            <w:gridSpan w:val="3"/>
            <w:vMerge w:val="continue"/>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17</w:t>
            </w:r>
            <w:r>
              <w:rPr>
                <w:rFonts w:ascii="Arial" w:cs="Arial" w:eastAsia="Arial" w:hAnsi="Arial"/>
                <w:sz w:val="18"/>
                <w:szCs w:val="18"/>
                <w:b w:val="1"/>
                <w:bCs w:val="1"/>
                <w:color w:val="000000"/>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12"/>
          </w:tcPr>
          <w:p>
            <w:pPr>
              <w:spacing w:after="0"/>
              <w:rPr>
                <w:sz w:val="20"/>
                <w:szCs w:val="20"/>
                <w:color w:val="auto"/>
              </w:rPr>
            </w:pPr>
            <w:r>
              <w:rPr>
                <w:rFonts w:ascii="Arial" w:cs="Arial" w:eastAsia="Arial" w:hAnsi="Arial"/>
                <w:sz w:val="18"/>
                <w:szCs w:val="18"/>
                <w:color w:val="0000EE"/>
              </w:rPr>
              <w:t>Chief Executive Officer Pay Ratio</w:t>
            </w:r>
          </w:p>
        </w:tc>
        <w:tc>
          <w:tcPr>
            <w:tcW w:w="1080" w:type="dxa"/>
            <w:vAlign w:val="bottom"/>
            <w:gridSpan w:val="14"/>
          </w:tcPr>
          <w:p>
            <w:pPr>
              <w:spacing w:after="0"/>
              <w:rPr>
                <w:sz w:val="18"/>
                <w:szCs w:val="18"/>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
        </w:trPr>
        <w:tc>
          <w:tcPr>
            <w:tcW w:w="260" w:type="dxa"/>
            <w:vAlign w:val="bottom"/>
            <w:gridSpan w:val="3"/>
            <w:vMerge w:val="continue"/>
          </w:tcPr>
          <w:p>
            <w:pPr>
              <w:spacing w:after="0"/>
              <w:rPr>
                <w:sz w:val="5"/>
                <w:szCs w:val="5"/>
                <w:color w:val="auto"/>
              </w:rPr>
            </w:pPr>
          </w:p>
        </w:tc>
        <w:tc>
          <w:tcPr>
            <w:tcW w:w="180" w:type="dxa"/>
            <w:vAlign w:val="bottom"/>
            <w:tcBorders>
              <w:left w:val="single" w:sz="8" w:color="CCEEFF"/>
            </w:tcBorders>
            <w:shd w:val="clear" w:color="auto" w:fill="CCEEFF"/>
          </w:tcPr>
          <w:p>
            <w:pPr>
              <w:spacing w:after="0"/>
              <w:rPr>
                <w:sz w:val="5"/>
                <w:szCs w:val="5"/>
                <w:color w:val="auto"/>
              </w:rPr>
            </w:pPr>
          </w:p>
        </w:tc>
        <w:tc>
          <w:tcPr>
            <w:tcW w:w="200" w:type="dxa"/>
            <w:vAlign w:val="bottom"/>
            <w:tcBorders>
              <w:right w:val="single" w:sz="8" w:color="CCEEFF"/>
            </w:tcBorders>
            <w:vMerge w:val="restart"/>
            <w:shd w:val="clear" w:color="auto" w:fill="CCEEFF"/>
          </w:tcPr>
          <w:p>
            <w:pPr>
              <w:spacing w:after="0"/>
              <w:rPr>
                <w:sz w:val="5"/>
                <w:szCs w:val="5"/>
                <w:color w:val="auto"/>
              </w:rPr>
            </w:pPr>
          </w:p>
        </w:tc>
        <w:tc>
          <w:tcPr>
            <w:tcW w:w="2940" w:type="dxa"/>
            <w:vAlign w:val="bottom"/>
            <w:tcBorders>
              <w:right w:val="single" w:sz="8" w:color="CCEEFF"/>
            </w:tcBorders>
            <w:gridSpan w:val="12"/>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Equity Compensation Plan Table</w:t>
            </w:r>
          </w:p>
        </w:tc>
        <w:tc>
          <w:tcPr>
            <w:tcW w:w="1080" w:type="dxa"/>
            <w:vAlign w:val="bottom"/>
            <w:tcBorders>
              <w:left w:val="single" w:sz="8" w:color="CCEEFF"/>
            </w:tcBorders>
            <w:gridSpan w:val="14"/>
            <w:vMerge w:val="restart"/>
            <w:shd w:val="clear" w:color="auto" w:fill="CCEEFF"/>
          </w:tcPr>
          <w:p>
            <w:pPr>
              <w:spacing w:after="0"/>
              <w:rPr>
                <w:sz w:val="5"/>
                <w:szCs w:val="5"/>
                <w:color w:val="auto"/>
              </w:rPr>
            </w:pPr>
          </w:p>
        </w:tc>
        <w:tc>
          <w:tcPr>
            <w:tcW w:w="380" w:type="dxa"/>
            <w:vAlign w:val="bottom"/>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58</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10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vMerge w:val="continue"/>
            <w:shd w:val="clear" w:color="auto" w:fill="CCEEFF"/>
          </w:tcPr>
          <w:p>
            <w:pPr>
              <w:spacing w:after="0"/>
              <w:rPr>
                <w:sz w:val="11"/>
                <w:szCs w:val="11"/>
                <w:color w:val="auto"/>
              </w:rPr>
            </w:pPr>
          </w:p>
        </w:tc>
        <w:tc>
          <w:tcPr>
            <w:tcW w:w="2940" w:type="dxa"/>
            <w:vAlign w:val="bottom"/>
            <w:tcBorders>
              <w:top w:val="single" w:sz="8" w:color="CCEEFF"/>
              <w:right w:val="single" w:sz="8" w:color="CCEEFF"/>
            </w:tcBorders>
            <w:gridSpan w:val="12"/>
            <w:vMerge w:val="continue"/>
            <w:shd w:val="clear" w:color="auto" w:fill="CCEEFF"/>
          </w:tcPr>
          <w:p>
            <w:pPr>
              <w:spacing w:after="0"/>
              <w:rPr>
                <w:sz w:val="11"/>
                <w:szCs w:val="11"/>
                <w:color w:val="auto"/>
              </w:rPr>
            </w:pPr>
          </w:p>
        </w:tc>
        <w:tc>
          <w:tcPr>
            <w:tcW w:w="1080" w:type="dxa"/>
            <w:vAlign w:val="bottom"/>
            <w:tcBorders>
              <w:top w:val="single" w:sz="8" w:color="CCEEFF"/>
              <w:left w:val="single" w:sz="8" w:color="CCEEFF"/>
            </w:tcBorders>
            <w:gridSpan w:val="14"/>
            <w:vMerge w:val="continue"/>
            <w:shd w:val="clear" w:color="auto" w:fill="CCEEFF"/>
          </w:tcPr>
          <w:p>
            <w:pPr>
              <w:spacing w:after="0"/>
              <w:rPr>
                <w:sz w:val="11"/>
                <w:szCs w:val="11"/>
                <w:color w:val="auto"/>
              </w:rPr>
            </w:pPr>
          </w:p>
        </w:tc>
        <w:tc>
          <w:tcPr>
            <w:tcW w:w="380" w:type="dxa"/>
            <w:vAlign w:val="bottom"/>
            <w:tcBorders>
              <w:top w:val="single" w:sz="8" w:color="CCEEFF"/>
            </w:tcBorders>
            <w:gridSpan w:val="3"/>
            <w:vMerge w:val="continue"/>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29</w:t>
            </w:r>
            <w:r>
              <w:rPr>
                <w:rFonts w:ascii="Arial" w:cs="Arial" w:eastAsia="Arial" w:hAnsi="Arial"/>
                <w:sz w:val="18"/>
                <w:szCs w:val="18"/>
                <w:color w:val="000000"/>
              </w:rPr>
              <w:t>​</w:t>
            </w:r>
          </w:p>
        </w:tc>
        <w:tc>
          <w:tcPr>
            <w:tcW w:w="180" w:type="dxa"/>
            <w:vAlign w:val="bottom"/>
          </w:tcPr>
          <w:p>
            <w:pPr>
              <w:spacing w:after="0"/>
              <w:rPr>
                <w:sz w:val="18"/>
                <w:szCs w:val="18"/>
                <w:color w:val="auto"/>
              </w:rPr>
            </w:pPr>
          </w:p>
        </w:tc>
        <w:tc>
          <w:tcPr>
            <w:tcW w:w="2320" w:type="dxa"/>
            <w:vAlign w:val="bottom"/>
            <w:tcBorders>
              <w:bottom w:val="single" w:sz="8" w:color="457157"/>
            </w:tcBorders>
            <w:gridSpan w:val="10"/>
          </w:tcPr>
          <w:p>
            <w:pPr>
              <w:spacing w:after="0" w:line="196" w:lineRule="exact"/>
              <w:rPr>
                <w:sz w:val="20"/>
                <w:szCs w:val="20"/>
                <w:color w:val="auto"/>
              </w:rPr>
            </w:pPr>
            <w:r>
              <w:rPr>
                <w:rFonts w:ascii="Arial" w:cs="Arial" w:eastAsia="Arial" w:hAnsi="Arial"/>
                <w:sz w:val="18"/>
                <w:szCs w:val="18"/>
                <w:b w:val="1"/>
                <w:bCs w:val="1"/>
                <w:color w:val="457157"/>
              </w:rPr>
              <w:t>Pay Versus Performance</w:t>
            </w:r>
          </w:p>
        </w:tc>
        <w:tc>
          <w:tcPr>
            <w:tcW w:w="160" w:type="dxa"/>
            <w:vAlign w:val="bottom"/>
            <w:gridSpan w:val="2"/>
            <w:vMerge w:val="restart"/>
          </w:tcPr>
          <w:p>
            <w:pPr>
              <w:spacing w:after="0"/>
              <w:rPr>
                <w:sz w:val="18"/>
                <w:szCs w:val="18"/>
                <w:color w:val="auto"/>
              </w:rPr>
            </w:pPr>
          </w:p>
        </w:tc>
        <w:tc>
          <w:tcPr>
            <w:tcW w:w="660" w:type="dxa"/>
            <w:vAlign w:val="bottom"/>
            <w:vMerge w:val="restart"/>
          </w:tcPr>
          <w:p>
            <w:pPr>
              <w:spacing w:after="0"/>
              <w:rPr>
                <w:sz w:val="18"/>
                <w:szCs w:val="18"/>
                <w:color w:val="auto"/>
              </w:rPr>
            </w:pPr>
          </w:p>
        </w:tc>
        <w:tc>
          <w:tcPr>
            <w:tcW w:w="48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220" w:type="dxa"/>
            <w:vAlign w:val="bottom"/>
            <w:gridSpan w:val="3"/>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120" w:type="dxa"/>
            <w:vAlign w:val="bottom"/>
            <w:gridSpan w:val="3"/>
            <w:vMerge w:val="restart"/>
          </w:tcPr>
          <w:p>
            <w:pPr>
              <w:spacing w:after="0"/>
              <w:rPr>
                <w:sz w:val="18"/>
                <w:szCs w:val="1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59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300" w:type="dxa"/>
            <w:vAlign w:val="bottom"/>
            <w:gridSpan w:val="7"/>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22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20" w:type="dxa"/>
            <w:vAlign w:val="bottom"/>
            <w:gridSpan w:val="3"/>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320" w:type="dxa"/>
            <w:vAlign w:val="bottom"/>
            <w:tcBorders>
              <w:top w:val="single" w:sz="8" w:color="CCEEFF"/>
              <w:left w:val="single" w:sz="8" w:color="CCEEFF"/>
              <w:bottom w:val="single" w:sz="8" w:color="457157"/>
              <w:right w:val="single" w:sz="8" w:color="CCEEFF"/>
            </w:tcBorders>
            <w:gridSpan w:val="14"/>
            <w:shd w:val="clear" w:color="auto" w:fill="CCEEFF"/>
          </w:tcPr>
          <w:p>
            <w:pPr>
              <w:spacing w:after="0" w:line="162" w:lineRule="exact"/>
              <w:rPr>
                <w:sz w:val="20"/>
                <w:szCs w:val="20"/>
                <w:color w:val="auto"/>
              </w:rPr>
            </w:pPr>
            <w:r>
              <w:rPr>
                <w:rFonts w:ascii="Arial" w:cs="Arial" w:eastAsia="Arial" w:hAnsi="Arial"/>
                <w:sz w:val="18"/>
                <w:szCs w:val="18"/>
                <w:b w:val="1"/>
                <w:bCs w:val="1"/>
                <w:color w:val="457157"/>
              </w:rPr>
              <w:t>RATIFICATION OF INDEPENDENT</w:t>
            </w:r>
          </w:p>
        </w:tc>
        <w:tc>
          <w:tcPr>
            <w:tcW w:w="1080" w:type="dxa"/>
            <w:vAlign w:val="bottom"/>
            <w:tcBorders>
              <w:top w:val="single" w:sz="8" w:color="CCEEFF"/>
              <w:left w:val="single" w:sz="8" w:color="CCEEFF"/>
              <w:bottom w:val="single" w:sz="8" w:color="CCEEFF"/>
            </w:tcBorders>
            <w:gridSpan w:val="14"/>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30</w:t>
            </w:r>
            <w:r>
              <w:rPr>
                <w:rFonts w:ascii="Arial" w:cs="Arial" w:eastAsia="Arial" w:hAnsi="Arial"/>
                <w:sz w:val="18"/>
                <w:szCs w:val="18"/>
                <w:color w:val="000000"/>
              </w:rPr>
              <w:t>​</w:t>
            </w:r>
          </w:p>
        </w:tc>
        <w:tc>
          <w:tcPr>
            <w:tcW w:w="180" w:type="dxa"/>
            <w:vAlign w:val="bottom"/>
            <w:tcBorders>
              <w:left w:val="single" w:sz="8" w:color="CCEEFF"/>
              <w:bottom w:val="single" w:sz="8" w:color="CCEEFF"/>
            </w:tcBorders>
            <w:shd w:val="clear" w:color="auto" w:fill="CCEEFF"/>
          </w:tcPr>
          <w:p>
            <w:pPr>
              <w:spacing w:after="0"/>
              <w:rPr>
                <w:sz w:val="17"/>
                <w:szCs w:val="17"/>
                <w:color w:val="auto"/>
              </w:rPr>
            </w:pPr>
          </w:p>
        </w:tc>
        <w:tc>
          <w:tcPr>
            <w:tcW w:w="3960" w:type="dxa"/>
            <w:vAlign w:val="bottom"/>
            <w:tcBorders>
              <w:bottom w:val="single" w:sz="8" w:color="457157"/>
            </w:tcBorders>
            <w:gridSpan w:val="23"/>
            <w:shd w:val="clear" w:color="auto" w:fill="CCEEFF"/>
          </w:tcPr>
          <w:p>
            <w:pPr>
              <w:spacing w:after="0" w:line="182" w:lineRule="exact"/>
              <w:rPr>
                <w:sz w:val="20"/>
                <w:szCs w:val="20"/>
                <w:color w:val="auto"/>
              </w:rPr>
            </w:pPr>
            <w:r>
              <w:rPr>
                <w:rFonts w:ascii="Arial" w:cs="Arial" w:eastAsia="Arial" w:hAnsi="Arial"/>
                <w:sz w:val="18"/>
                <w:szCs w:val="18"/>
                <w:b w:val="1"/>
                <w:bCs w:val="1"/>
                <w:color w:val="457157"/>
              </w:rPr>
              <w:t>REGISTERED PUBLIC ACCOUNTING FIRM</w:t>
            </w:r>
          </w:p>
        </w:tc>
        <w:tc>
          <w:tcPr>
            <w:tcW w:w="140" w:type="dxa"/>
            <w:vAlign w:val="bottom"/>
            <w:tcBorders>
              <w:bottom w:val="single" w:sz="8" w:color="CCEEFF"/>
            </w:tcBorders>
            <w:vMerge w:val="restart"/>
            <w:shd w:val="clear" w:color="auto" w:fill="CCEEFF"/>
          </w:tcPr>
          <w:p>
            <w:pPr>
              <w:spacing w:after="0"/>
              <w:rPr>
                <w:sz w:val="17"/>
                <w:szCs w:val="17"/>
                <w:color w:val="auto"/>
              </w:rPr>
            </w:pPr>
          </w:p>
        </w:tc>
        <w:tc>
          <w:tcPr>
            <w:tcW w:w="120" w:type="dxa"/>
            <w:vAlign w:val="bottom"/>
            <w:tcBorders>
              <w:bottom w:val="single" w:sz="8" w:color="CCEEFF"/>
            </w:tcBorders>
            <w:gridSpan w:val="3"/>
            <w:vMerge w:val="restart"/>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gridSpan w:val="3"/>
            <w:vMerge w:val="continue"/>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480" w:type="dxa"/>
            <w:vAlign w:val="bottom"/>
            <w:gridSpan w:val="12"/>
            <w:vMerge w:val="restart"/>
            <w:shd w:val="clear" w:color="auto" w:fill="CCEEFF"/>
          </w:tcPr>
          <w:p>
            <w:pPr>
              <w:spacing w:after="0" w:line="182" w:lineRule="exact"/>
              <w:rPr>
                <w:sz w:val="20"/>
                <w:szCs w:val="20"/>
                <w:color w:val="auto"/>
              </w:rPr>
            </w:pPr>
            <w:r>
              <w:rPr>
                <w:rFonts w:ascii="Arial" w:cs="Arial" w:eastAsia="Arial" w:hAnsi="Arial"/>
                <w:sz w:val="18"/>
                <w:szCs w:val="18"/>
                <w:b w:val="1"/>
                <w:bCs w:val="1"/>
                <w:color w:val="457157"/>
              </w:rPr>
              <w:t>(Item 2 on the Proxy Card)</w:t>
            </w:r>
          </w:p>
        </w:tc>
        <w:tc>
          <w:tcPr>
            <w:tcW w:w="660" w:type="dxa"/>
            <w:vAlign w:val="bottom"/>
            <w:tcBorders>
              <w:right w:val="single" w:sz="8" w:color="CCEEFF"/>
            </w:tcBorders>
            <w:shd w:val="clear" w:color="auto" w:fill="CCEEFF"/>
          </w:tcPr>
          <w:p>
            <w:pPr>
              <w:spacing w:after="0"/>
              <w:rPr>
                <w:sz w:val="2"/>
                <w:szCs w:val="2"/>
                <w:color w:val="auto"/>
              </w:rPr>
            </w:pPr>
          </w:p>
        </w:tc>
        <w:tc>
          <w:tcPr>
            <w:tcW w:w="480" w:type="dxa"/>
            <w:vAlign w:val="bottom"/>
            <w:tcBorders>
              <w:left w:val="single" w:sz="8" w:color="CCEEFF"/>
            </w:tcBorders>
            <w:gridSpan w:val="4"/>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220" w:type="dxa"/>
            <w:vAlign w:val="bottom"/>
            <w:gridSpan w:val="3"/>
            <w:shd w:val="clear" w:color="auto" w:fill="CCEEFF"/>
          </w:tcPr>
          <w:p>
            <w:pPr>
              <w:spacing w:after="0"/>
              <w:rPr>
                <w:sz w:val="2"/>
                <w:szCs w:val="2"/>
                <w:color w:val="auto"/>
              </w:rPr>
            </w:pPr>
          </w:p>
        </w:tc>
        <w:tc>
          <w:tcPr>
            <w:tcW w:w="140" w:type="dxa"/>
            <w:vAlign w:val="bottom"/>
            <w:vMerge w:val="continue"/>
            <w:shd w:val="clear" w:color="auto" w:fill="CCEEFF"/>
          </w:tcPr>
          <w:p>
            <w:pPr>
              <w:spacing w:after="0"/>
              <w:rPr>
                <w:sz w:val="2"/>
                <w:szCs w:val="2"/>
                <w:color w:val="auto"/>
              </w:rPr>
            </w:pPr>
          </w:p>
        </w:tc>
        <w:tc>
          <w:tcPr>
            <w:tcW w:w="120" w:type="dxa"/>
            <w:vAlign w:val="bottom"/>
            <w:gridSpan w:val="3"/>
            <w:vMerge w:val="continue"/>
            <w:shd w:val="clear" w:color="auto" w:fill="CCEEFF"/>
          </w:tcPr>
          <w:p>
            <w:pPr>
              <w:spacing w:after="0"/>
              <w:rPr>
                <w:sz w:val="2"/>
                <w:szCs w:val="2"/>
                <w:color w:val="auto"/>
              </w:rPr>
            </w:pPr>
          </w:p>
        </w:tc>
        <w:tc>
          <w:tcPr>
            <w:tcW w:w="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63</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left w:val="single" w:sz="8" w:color="CCEEFF"/>
            </w:tcBorders>
            <w:vMerge w:val="restart"/>
            <w:shd w:val="clear" w:color="auto" w:fill="CCEEFF"/>
          </w:tcPr>
          <w:p>
            <w:pPr>
              <w:spacing w:after="0" w:line="20" w:lineRule="exact"/>
              <w:rPr>
                <w:sz w:val="1"/>
                <w:szCs w:val="1"/>
                <w:color w:val="auto"/>
              </w:rPr>
            </w:pPr>
          </w:p>
        </w:tc>
        <w:tc>
          <w:tcPr>
            <w:tcW w:w="2480" w:type="dxa"/>
            <w:vAlign w:val="bottom"/>
            <w:gridSpan w:val="12"/>
            <w:vMerge w:val="continue"/>
            <w:shd w:val="clear" w:color="auto" w:fill="CCEEFF"/>
          </w:tcPr>
          <w:p>
            <w:pPr>
              <w:spacing w:after="0" w:line="20" w:lineRule="exact"/>
              <w:rPr>
                <w:sz w:val="1"/>
                <w:szCs w:val="1"/>
                <w:color w:val="auto"/>
              </w:rPr>
            </w:pPr>
          </w:p>
        </w:tc>
        <w:tc>
          <w:tcPr>
            <w:tcW w:w="660" w:type="dxa"/>
            <w:vAlign w:val="bottom"/>
            <w:tcBorders>
              <w:right w:val="single" w:sz="8" w:color="CCEEFF"/>
            </w:tcBorders>
            <w:vMerge w:val="restart"/>
            <w:shd w:val="clear" w:color="auto" w:fill="CCEEFF"/>
          </w:tcPr>
          <w:p>
            <w:pPr>
              <w:spacing w:after="0" w:line="20" w:lineRule="exact"/>
              <w:rPr>
                <w:sz w:val="1"/>
                <w:szCs w:val="1"/>
                <w:color w:val="auto"/>
              </w:rPr>
            </w:pPr>
          </w:p>
        </w:tc>
        <w:tc>
          <w:tcPr>
            <w:tcW w:w="480" w:type="dxa"/>
            <w:vAlign w:val="bottom"/>
            <w:tcBorders>
              <w:left w:val="single" w:sz="8" w:color="CCEEFF"/>
            </w:tcBorders>
            <w:gridSpan w:val="4"/>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00" w:type="dxa"/>
            <w:vAlign w:val="bottom"/>
            <w:gridSpan w:val="2"/>
            <w:vMerge w:val="restart"/>
            <w:shd w:val="clear" w:color="auto" w:fill="CCEEFF"/>
          </w:tcPr>
          <w:p>
            <w:pPr>
              <w:spacing w:after="0" w:line="20" w:lineRule="exact"/>
              <w:rPr>
                <w:sz w:val="1"/>
                <w:szCs w:val="1"/>
                <w:color w:val="auto"/>
              </w:rPr>
            </w:pPr>
          </w:p>
        </w:tc>
        <w:tc>
          <w:tcPr>
            <w:tcW w:w="360" w:type="dxa"/>
            <w:vAlign w:val="bottom"/>
            <w:gridSpan w:val="4"/>
            <w:vMerge w:val="restart"/>
            <w:shd w:val="clear" w:color="auto" w:fill="CCEEFF"/>
          </w:tcPr>
          <w:p>
            <w:pPr>
              <w:spacing w:after="0" w:line="20" w:lineRule="exact"/>
              <w:rPr>
                <w:sz w:val="1"/>
                <w:szCs w:val="1"/>
                <w:color w:val="auto"/>
              </w:rPr>
            </w:pPr>
          </w:p>
        </w:tc>
        <w:tc>
          <w:tcPr>
            <w:tcW w:w="120" w:type="dxa"/>
            <w:vAlign w:val="bottom"/>
            <w:gridSpan w:val="3"/>
            <w:vMerge w:val="restart"/>
            <w:shd w:val="clear" w:color="auto" w:fill="CCEEFF"/>
          </w:tcPr>
          <w:p>
            <w:pPr>
              <w:spacing w:after="0" w:line="20" w:lineRule="exact"/>
              <w:rPr>
                <w:sz w:val="1"/>
                <w:szCs w:val="1"/>
                <w:color w:val="auto"/>
              </w:rPr>
            </w:pPr>
          </w:p>
        </w:tc>
        <w:tc>
          <w:tcPr>
            <w:tcW w:w="160" w:type="dxa"/>
            <w:vAlign w:val="bottom"/>
            <w:gridSpan w:val="2"/>
            <w:vMerge w:val="continue"/>
            <w:shd w:val="clear" w:color="auto" w:fill="CCEEFF"/>
          </w:tcPr>
          <w:p>
            <w:pPr>
              <w:spacing w:after="0" w:line="20" w:lineRule="exact"/>
              <w:rPr>
                <w:sz w:val="1"/>
                <w:szCs w:val="1"/>
                <w:color w:val="auto"/>
              </w:rPr>
            </w:pPr>
          </w:p>
        </w:tc>
        <w:tc>
          <w:tcPr>
            <w:tcW w:w="220" w:type="dxa"/>
            <w:vAlign w:val="bottom"/>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30</w:t>
            </w:r>
            <w:r>
              <w:rPr>
                <w:rFonts w:ascii="Arial" w:cs="Arial" w:eastAsia="Arial" w:hAnsi="Arial"/>
                <w:sz w:val="18"/>
                <w:szCs w:val="18"/>
                <w:color w:val="000000"/>
              </w:rPr>
              <w:t>​</w:t>
            </w:r>
          </w:p>
        </w:tc>
        <w:tc>
          <w:tcPr>
            <w:tcW w:w="180" w:type="dxa"/>
            <w:vAlign w:val="bottom"/>
            <w:tcBorders>
              <w:left w:val="single" w:sz="8" w:color="CCEEFF"/>
              <w:bottom w:val="single" w:sz="8" w:color="CCEEFF"/>
            </w:tcBorders>
            <w:vMerge w:val="continue"/>
            <w:shd w:val="clear" w:color="auto" w:fill="CCEEFF"/>
          </w:tcPr>
          <w:p>
            <w:pPr>
              <w:spacing w:after="0"/>
              <w:rPr>
                <w:sz w:val="14"/>
                <w:szCs w:val="14"/>
                <w:color w:val="auto"/>
              </w:rPr>
            </w:pPr>
          </w:p>
        </w:tc>
        <w:tc>
          <w:tcPr>
            <w:tcW w:w="2480" w:type="dxa"/>
            <w:vAlign w:val="bottom"/>
            <w:tcBorders>
              <w:bottom w:val="single" w:sz="8" w:color="457157"/>
            </w:tcBorders>
            <w:gridSpan w:val="12"/>
            <w:vMerge w:val="continue"/>
            <w:shd w:val="clear" w:color="auto" w:fill="CCEEFF"/>
          </w:tcPr>
          <w:p>
            <w:pPr>
              <w:spacing w:after="0"/>
              <w:rPr>
                <w:sz w:val="14"/>
                <w:szCs w:val="14"/>
                <w:color w:val="auto"/>
              </w:rPr>
            </w:pPr>
          </w:p>
        </w:tc>
        <w:tc>
          <w:tcPr>
            <w:tcW w:w="66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480" w:type="dxa"/>
            <w:vAlign w:val="bottom"/>
            <w:tcBorders>
              <w:left w:val="single" w:sz="8" w:color="CCEEFF"/>
              <w:bottom w:val="single" w:sz="8" w:color="CCEEFF"/>
            </w:tcBorders>
            <w:gridSpan w:val="4"/>
            <w:vMerge w:val="continue"/>
            <w:shd w:val="clear" w:color="auto" w:fill="CCEEFF"/>
          </w:tcPr>
          <w:p>
            <w:pPr>
              <w:spacing w:after="0"/>
              <w:rPr>
                <w:sz w:val="14"/>
                <w:szCs w:val="14"/>
                <w:color w:val="auto"/>
              </w:rPr>
            </w:pPr>
          </w:p>
        </w:tc>
        <w:tc>
          <w:tcPr>
            <w:tcW w:w="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gridSpan w:val="2"/>
            <w:vMerge w:val="continue"/>
            <w:shd w:val="clear" w:color="auto" w:fill="CCEEFF"/>
          </w:tcPr>
          <w:p>
            <w:pPr>
              <w:spacing w:after="0"/>
              <w:rPr>
                <w:sz w:val="14"/>
                <w:szCs w:val="14"/>
                <w:color w:val="auto"/>
              </w:rPr>
            </w:pPr>
          </w:p>
        </w:tc>
        <w:tc>
          <w:tcPr>
            <w:tcW w:w="360" w:type="dxa"/>
            <w:vAlign w:val="bottom"/>
            <w:tcBorders>
              <w:bottom w:val="single" w:sz="8" w:color="CCEEFF"/>
            </w:tcBorders>
            <w:gridSpan w:val="4"/>
            <w:vMerge w:val="continue"/>
            <w:shd w:val="clear" w:color="auto" w:fill="CCEEFF"/>
          </w:tcPr>
          <w:p>
            <w:pPr>
              <w:spacing w:after="0"/>
              <w:rPr>
                <w:sz w:val="14"/>
                <w:szCs w:val="14"/>
                <w:color w:val="auto"/>
              </w:rPr>
            </w:pPr>
          </w:p>
        </w:tc>
        <w:tc>
          <w:tcPr>
            <w:tcW w:w="120" w:type="dxa"/>
            <w:vAlign w:val="bottom"/>
            <w:tcBorders>
              <w:bottom w:val="single" w:sz="8" w:color="CCEEFF"/>
            </w:tcBorders>
            <w:gridSpan w:val="3"/>
            <w:vMerge w:val="continue"/>
            <w:shd w:val="clear" w:color="auto" w:fill="CCEEFF"/>
          </w:tcPr>
          <w:p>
            <w:pPr>
              <w:spacing w:after="0"/>
              <w:rPr>
                <w:sz w:val="14"/>
                <w:szCs w:val="14"/>
                <w:color w:val="auto"/>
              </w:rPr>
            </w:pPr>
          </w:p>
        </w:tc>
        <w:tc>
          <w:tcPr>
            <w:tcW w:w="16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0000EE"/>
            </w:tcBorders>
            <w:vMerge w:val="continue"/>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60" w:type="dxa"/>
            <w:vAlign w:val="bottom"/>
            <w:gridSpan w:val="3"/>
            <w:vMerge w:val="continue"/>
          </w:tcPr>
          <w:p>
            <w:pPr>
              <w:spacing w:after="0"/>
              <w:rPr>
                <w:sz w:val="4"/>
                <w:szCs w:val="4"/>
                <w:color w:val="auto"/>
              </w:rPr>
            </w:pPr>
          </w:p>
        </w:tc>
        <w:tc>
          <w:tcPr>
            <w:tcW w:w="3320" w:type="dxa"/>
            <w:vAlign w:val="bottom"/>
            <w:tcBorders>
              <w:top w:val="single" w:sz="8" w:color="CCEEFF"/>
            </w:tcBorders>
            <w:gridSpan w:val="14"/>
            <w:vMerge w:val="restart"/>
          </w:tcPr>
          <w:p>
            <w:pPr>
              <w:spacing w:after="0" w:line="182" w:lineRule="exact"/>
              <w:rPr>
                <w:sz w:val="20"/>
                <w:szCs w:val="20"/>
                <w:color w:val="auto"/>
              </w:rPr>
            </w:pPr>
            <w:r>
              <w:rPr>
                <w:rFonts w:ascii="Arial" w:cs="Arial" w:eastAsia="Arial" w:hAnsi="Arial"/>
                <w:sz w:val="18"/>
                <w:szCs w:val="18"/>
                <w:b w:val="1"/>
                <w:bCs w:val="1"/>
                <w:color w:val="457157"/>
              </w:rPr>
              <w:t>ADVISORY VOTE ON EXECUTIVE</w:t>
            </w:r>
          </w:p>
        </w:tc>
        <w:tc>
          <w:tcPr>
            <w:tcW w:w="1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20" w:type="dxa"/>
            <w:vAlign w:val="bottom"/>
            <w:tcBorders>
              <w:top w:val="single" w:sz="8" w:color="0000EE"/>
              <w:bottom w:val="single" w:sz="8" w:color="0000EE"/>
            </w:tcBorders>
            <w:gridSpan w:val="2"/>
            <w:vMerge w:val="restart"/>
          </w:tcPr>
          <w:p>
            <w:pPr>
              <w:jc w:val="right"/>
              <w:spacing w:after="0" w:line="169" w:lineRule="exact"/>
              <w:rPr>
                <w:sz w:val="20"/>
                <w:szCs w:val="20"/>
                <w:color w:val="auto"/>
              </w:rPr>
            </w:pPr>
            <w:r>
              <w:rPr>
                <w:rFonts w:ascii="Arial" w:cs="Arial" w:eastAsia="Arial" w:hAnsi="Arial"/>
                <w:sz w:val="18"/>
                <w:szCs w:val="18"/>
                <w:color w:val="0000EE"/>
                <w:w w:val="89"/>
              </w:rPr>
              <w:t>31</w:t>
            </w:r>
          </w:p>
        </w:tc>
        <w:tc>
          <w:tcPr>
            <w:tcW w:w="40" w:type="dxa"/>
            <w:vAlign w:val="bottom"/>
            <w:vMerge w:val="restart"/>
          </w:tcPr>
          <w:p>
            <w:pPr>
              <w:jc w:val="right"/>
              <w:spacing w:after="0" w:line="168"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CCEEFF"/>
              <w:bottom w:val="single" w:sz="8" w:color="457157"/>
            </w:tcBorders>
            <w:gridSpan w:val="14"/>
            <w:vMerge w:val="continue"/>
          </w:tcPr>
          <w:p>
            <w:pPr>
              <w:spacing w:after="0"/>
              <w:rPr>
                <w:sz w:val="11"/>
                <w:szCs w:val="11"/>
                <w:color w:val="auto"/>
              </w:rPr>
            </w:pPr>
          </w:p>
        </w:tc>
        <w:tc>
          <w:tcPr>
            <w:tcW w:w="480" w:type="dxa"/>
            <w:vAlign w:val="bottom"/>
            <w:gridSpan w:val="4"/>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360" w:type="dxa"/>
            <w:vAlign w:val="bottom"/>
            <w:gridSpan w:val="4"/>
            <w:vMerge w:val="restart"/>
          </w:tcPr>
          <w:p>
            <w:pPr>
              <w:spacing w:after="0"/>
              <w:rPr>
                <w:sz w:val="11"/>
                <w:szCs w:val="11"/>
                <w:color w:val="auto"/>
              </w:rPr>
            </w:pPr>
          </w:p>
        </w:tc>
        <w:tc>
          <w:tcPr>
            <w:tcW w:w="120" w:type="dxa"/>
            <w:vAlign w:val="bottom"/>
            <w:gridSpan w:val="3"/>
            <w:vMerge w:val="restart"/>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48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360" w:type="dxa"/>
            <w:vAlign w:val="bottom"/>
            <w:gridSpan w:val="4"/>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0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640" w:type="dxa"/>
            <w:vAlign w:val="bottom"/>
            <w:gridSpan w:val="31"/>
            <w:vMerge w:val="restart"/>
          </w:tcPr>
          <w:p>
            <w:pPr>
              <w:spacing w:after="0" w:line="176" w:lineRule="exact"/>
              <w:rPr>
                <w:sz w:val="20"/>
                <w:szCs w:val="20"/>
                <w:color w:val="auto"/>
              </w:rPr>
            </w:pPr>
            <w:r>
              <w:rPr>
                <w:rFonts w:ascii="Arial" w:cs="Arial" w:eastAsia="Arial" w:hAnsi="Arial"/>
                <w:sz w:val="18"/>
                <w:szCs w:val="18"/>
                <w:b w:val="1"/>
                <w:bCs w:val="1"/>
                <w:color w:val="457157"/>
              </w:rPr>
              <w:t xml:space="preserve">COMPENSATION (Item 3 on the Proxy Card)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b w:val="1"/>
                <w:bCs w:val="1"/>
                <w:color w:val="457157"/>
              </w:rPr>
              <w:t xml:space="preserve"> </w:t>
            </w:r>
            <w:r>
              <w:rPr>
                <w:rFonts w:ascii="Arial" w:cs="Arial" w:eastAsia="Arial" w:hAnsi="Arial"/>
                <w:sz w:val="18"/>
                <w:szCs w:val="18"/>
                <w:color w:val="0000EE"/>
              </w:rPr>
              <w:t>64</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101"/>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8"/>
                <w:szCs w:val="8"/>
                <w:color w:val="auto"/>
              </w:rPr>
            </w:pPr>
          </w:p>
        </w:tc>
        <w:tc>
          <w:tcPr>
            <w:tcW w:w="4640" w:type="dxa"/>
            <w:vAlign w:val="bottom"/>
            <w:gridSpan w:val="3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66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280" w:type="dxa"/>
            <w:vAlign w:val="bottom"/>
            <w:tcBorders>
              <w:top w:val="single" w:sz="8" w:color="457157"/>
            </w:tcBorders>
          </w:tcPr>
          <w:p>
            <w:pPr>
              <w:spacing w:after="0" w:line="20" w:lineRule="exact"/>
              <w:rPr>
                <w:sz w:val="1"/>
                <w:szCs w:val="1"/>
                <w:color w:val="auto"/>
              </w:rPr>
            </w:pPr>
          </w:p>
        </w:tc>
        <w:tc>
          <w:tcPr>
            <w:tcW w:w="52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66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20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140" w:type="dxa"/>
            <w:vAlign w:val="bottom"/>
            <w:tcBorders>
              <w:top w:val="single" w:sz="8" w:color="45715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20" w:type="dxa"/>
            <w:vAlign w:val="bottom"/>
            <w:tcBorders>
              <w:bottom w:val="single" w:sz="8" w:color="0000EE"/>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820" w:type="dxa"/>
            <w:vAlign w:val="bottom"/>
            <w:tcBorders>
              <w:left w:val="single" w:sz="8" w:color="CCEEFF"/>
              <w:bottom w:val="single" w:sz="8" w:color="CCEEFF"/>
            </w:tcBorders>
            <w:gridSpan w:val="19"/>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457157"/>
              </w:rPr>
              <w:t>APPROVAL OF AN AMENDMENT TO THE</w:t>
            </w:r>
          </w:p>
        </w:tc>
        <w:tc>
          <w:tcPr>
            <w:tcW w:w="580" w:type="dxa"/>
            <w:vAlign w:val="bottom"/>
            <w:tcBorders>
              <w:bottom w:val="single" w:sz="8" w:color="CCEEFF"/>
            </w:tcBorders>
            <w:gridSpan w:val="9"/>
            <w:vMerge w:val="restart"/>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continue"/>
          </w:tcPr>
          <w:p>
            <w:pPr>
              <w:spacing w:after="0"/>
              <w:rPr>
                <w:sz w:val="8"/>
                <w:szCs w:val="8"/>
                <w:color w:val="auto"/>
              </w:rPr>
            </w:pPr>
          </w:p>
        </w:tc>
        <w:tc>
          <w:tcPr>
            <w:tcW w:w="3820" w:type="dxa"/>
            <w:vAlign w:val="bottom"/>
            <w:tcBorders>
              <w:left w:val="single" w:sz="8" w:color="CCEEFF"/>
              <w:bottom w:val="single" w:sz="8" w:color="457157"/>
            </w:tcBorders>
            <w:gridSpan w:val="19"/>
            <w:vMerge w:val="continue"/>
            <w:shd w:val="clear" w:color="auto" w:fill="CCEEFF"/>
          </w:tcPr>
          <w:p>
            <w:pPr>
              <w:spacing w:after="0"/>
              <w:rPr>
                <w:sz w:val="8"/>
                <w:szCs w:val="8"/>
                <w:color w:val="auto"/>
              </w:rPr>
            </w:pPr>
          </w:p>
        </w:tc>
        <w:tc>
          <w:tcPr>
            <w:tcW w:w="580" w:type="dxa"/>
            <w:vAlign w:val="bottom"/>
            <w:tcBorders>
              <w:bottom w:val="single" w:sz="8" w:color="CCEEFF"/>
            </w:tcBorders>
            <w:gridSpan w:val="9"/>
            <w:vMerge w:val="continue"/>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20" w:type="dxa"/>
            <w:vAlign w:val="bottom"/>
            <w:tcBorders>
              <w:bottom w:val="single" w:sz="8" w:color="0000EE"/>
            </w:tcBorders>
            <w:gridSpan w:val="2"/>
            <w:vMerge w:val="continue"/>
          </w:tcPr>
          <w:p>
            <w:pPr>
              <w:spacing w:after="0"/>
              <w:rPr>
                <w:sz w:val="9"/>
                <w:szCs w:val="9"/>
                <w:color w:val="auto"/>
              </w:rPr>
            </w:pPr>
          </w:p>
        </w:tc>
        <w:tc>
          <w:tcPr>
            <w:tcW w:w="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left w:val="single" w:sz="8" w:color="CCEEFF"/>
              <w:bottom w:val="single" w:sz="8" w:color="CCEEFF"/>
            </w:tcBorders>
            <w:vMerge w:val="restart"/>
            <w:shd w:val="clear" w:color="auto" w:fill="CCEEFF"/>
          </w:tcPr>
          <w:p>
            <w:pPr>
              <w:spacing w:after="0"/>
              <w:rPr>
                <w:sz w:val="9"/>
                <w:szCs w:val="9"/>
                <w:color w:val="auto"/>
              </w:rPr>
            </w:pPr>
          </w:p>
        </w:tc>
        <w:tc>
          <w:tcPr>
            <w:tcW w:w="3620" w:type="dxa"/>
            <w:vAlign w:val="bottom"/>
            <w:tcBorders>
              <w:bottom w:val="single" w:sz="8" w:color="CCEEFF"/>
            </w:tcBorders>
            <w:gridSpan w:val="17"/>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457157"/>
              </w:rPr>
              <w:t>CERTIFICATE OF INCORPORATION TO</w:t>
            </w:r>
          </w:p>
        </w:tc>
        <w:tc>
          <w:tcPr>
            <w:tcW w:w="600" w:type="dxa"/>
            <w:vAlign w:val="bottom"/>
            <w:tcBorders>
              <w:bottom w:val="single" w:sz="8" w:color="CCEEFF"/>
            </w:tcBorders>
            <w:gridSpan w:val="10"/>
            <w:vMerge w:val="restart"/>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continue"/>
          </w:tcPr>
          <w:p>
            <w:pPr>
              <w:spacing w:after="0"/>
              <w:rPr>
                <w:sz w:val="5"/>
                <w:szCs w:val="5"/>
                <w:color w:val="auto"/>
              </w:rPr>
            </w:pPr>
          </w:p>
        </w:tc>
        <w:tc>
          <w:tcPr>
            <w:tcW w:w="180" w:type="dxa"/>
            <w:vAlign w:val="bottom"/>
            <w:tcBorders>
              <w:left w:val="single" w:sz="8" w:color="CCEEFF"/>
              <w:bottom w:val="single" w:sz="8" w:color="CCEEFF"/>
            </w:tcBorders>
            <w:vMerge w:val="continue"/>
            <w:shd w:val="clear" w:color="auto" w:fill="CCEEFF"/>
          </w:tcPr>
          <w:p>
            <w:pPr>
              <w:spacing w:after="0"/>
              <w:rPr>
                <w:sz w:val="5"/>
                <w:szCs w:val="5"/>
                <w:color w:val="auto"/>
              </w:rPr>
            </w:pPr>
          </w:p>
        </w:tc>
        <w:tc>
          <w:tcPr>
            <w:tcW w:w="3620" w:type="dxa"/>
            <w:vAlign w:val="bottom"/>
            <w:tcBorders>
              <w:bottom w:val="single" w:sz="8" w:color="457157"/>
            </w:tcBorders>
            <w:gridSpan w:val="17"/>
            <w:vMerge w:val="continue"/>
            <w:shd w:val="clear" w:color="auto" w:fill="CCEEFF"/>
          </w:tcPr>
          <w:p>
            <w:pPr>
              <w:spacing w:after="0"/>
              <w:rPr>
                <w:sz w:val="5"/>
                <w:szCs w:val="5"/>
                <w:color w:val="auto"/>
              </w:rPr>
            </w:pPr>
          </w:p>
        </w:tc>
        <w:tc>
          <w:tcPr>
            <w:tcW w:w="600" w:type="dxa"/>
            <w:vAlign w:val="bottom"/>
            <w:tcBorders>
              <w:bottom w:val="single" w:sz="8" w:color="CCEEFF"/>
            </w:tcBorders>
            <w:gridSpan w:val="10"/>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0" w:type="dxa"/>
            <w:vAlign w:val="bottom"/>
            <w:tcBorders>
              <w:bottom w:val="single" w:sz="8" w:color="0000EE"/>
            </w:tcBorders>
            <w:gridSpan w:val="2"/>
            <w:vMerge w:val="continue"/>
          </w:tcPr>
          <w:p>
            <w:pPr>
              <w:spacing w:after="0"/>
              <w:rPr>
                <w:sz w:val="11"/>
                <w:szCs w:val="11"/>
                <w:color w:val="auto"/>
              </w:rPr>
            </w:pPr>
          </w:p>
        </w:tc>
        <w:tc>
          <w:tcPr>
            <w:tcW w:w="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left w:val="single" w:sz="8" w:color="CCEEFF"/>
              <w:bottom w:val="single" w:sz="8" w:color="CCEEFF"/>
            </w:tcBorders>
            <w:vMerge w:val="restart"/>
            <w:shd w:val="clear" w:color="auto" w:fill="CCEEFF"/>
          </w:tcPr>
          <w:p>
            <w:pPr>
              <w:spacing w:after="0"/>
              <w:rPr>
                <w:sz w:val="11"/>
                <w:szCs w:val="11"/>
                <w:color w:val="auto"/>
              </w:rPr>
            </w:pPr>
          </w:p>
        </w:tc>
        <w:tc>
          <w:tcPr>
            <w:tcW w:w="3740" w:type="dxa"/>
            <w:vAlign w:val="bottom"/>
            <w:tcBorders>
              <w:bottom w:val="single" w:sz="8" w:color="CCEEFF"/>
            </w:tcBorders>
            <w:gridSpan w:val="20"/>
            <w:vMerge w:val="restart"/>
            <w:shd w:val="clear" w:color="auto" w:fill="CCEEFF"/>
          </w:tcPr>
          <w:p>
            <w:pPr>
              <w:spacing w:after="0" w:line="202" w:lineRule="exact"/>
              <w:rPr>
                <w:sz w:val="20"/>
                <w:szCs w:val="20"/>
                <w:color w:val="auto"/>
              </w:rPr>
            </w:pPr>
            <w:r>
              <w:rPr>
                <w:rFonts w:ascii="Arial" w:cs="Arial" w:eastAsia="Arial" w:hAnsi="Arial"/>
                <w:sz w:val="18"/>
                <w:szCs w:val="18"/>
                <w:b w:val="1"/>
                <w:bCs w:val="1"/>
                <w:color w:val="457157"/>
              </w:rPr>
              <w:t>PROVIDE FOR OFFICER EXCULPATION</w:t>
            </w:r>
          </w:p>
        </w:tc>
        <w:tc>
          <w:tcPr>
            <w:tcW w:w="480" w:type="dxa"/>
            <w:vAlign w:val="bottom"/>
            <w:tcBorders>
              <w:bottom w:val="single" w:sz="8" w:color="CCEEFF"/>
            </w:tcBorders>
            <w:gridSpan w:val="7"/>
            <w:vMerge w:val="restart"/>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32</w:t>
            </w:r>
          </w:p>
        </w:tc>
        <w:tc>
          <w:tcPr>
            <w:tcW w:w="40" w:type="dxa"/>
            <w:vAlign w:val="bottom"/>
            <w:vMerge w:val="continue"/>
          </w:tcPr>
          <w:p>
            <w:pPr>
              <w:spacing w:after="0"/>
              <w:rPr>
                <w:sz w:val="4"/>
                <w:szCs w:val="4"/>
                <w:color w:val="auto"/>
              </w:rPr>
            </w:pPr>
          </w:p>
        </w:tc>
        <w:tc>
          <w:tcPr>
            <w:tcW w:w="180" w:type="dxa"/>
            <w:vAlign w:val="bottom"/>
            <w:tcBorders>
              <w:left w:val="single" w:sz="8" w:color="CCEEFF"/>
              <w:bottom w:val="single" w:sz="8" w:color="CCEEFF"/>
            </w:tcBorders>
            <w:vMerge w:val="continue"/>
            <w:shd w:val="clear" w:color="auto" w:fill="CCEEFF"/>
          </w:tcPr>
          <w:p>
            <w:pPr>
              <w:spacing w:after="0"/>
              <w:rPr>
                <w:sz w:val="4"/>
                <w:szCs w:val="4"/>
                <w:color w:val="auto"/>
              </w:rPr>
            </w:pPr>
          </w:p>
        </w:tc>
        <w:tc>
          <w:tcPr>
            <w:tcW w:w="3740" w:type="dxa"/>
            <w:vAlign w:val="bottom"/>
            <w:tcBorders>
              <w:bottom w:val="single" w:sz="8" w:color="457157"/>
            </w:tcBorders>
            <w:gridSpan w:val="20"/>
            <w:vMerge w:val="continue"/>
            <w:shd w:val="clear" w:color="auto" w:fill="CCEEFF"/>
          </w:tcPr>
          <w:p>
            <w:pPr>
              <w:spacing w:after="0"/>
              <w:rPr>
                <w:sz w:val="4"/>
                <w:szCs w:val="4"/>
                <w:color w:val="auto"/>
              </w:rPr>
            </w:pPr>
          </w:p>
        </w:tc>
        <w:tc>
          <w:tcPr>
            <w:tcW w:w="480" w:type="dxa"/>
            <w:vAlign w:val="bottom"/>
            <w:tcBorders>
              <w:bottom w:val="single" w:sz="8" w:color="CCEEFF"/>
            </w:tcBorders>
            <w:gridSpan w:val="7"/>
            <w:vMerge w:val="continue"/>
            <w:shd w:val="clear" w:color="auto" w:fill="CCEEFF"/>
          </w:tcPr>
          <w:p>
            <w:pPr>
              <w:spacing w:after="0"/>
              <w:rPr>
                <w:sz w:val="4"/>
                <w:szCs w:val="4"/>
                <w:color w:val="auto"/>
              </w:rPr>
            </w:pPr>
          </w:p>
        </w:tc>
        <w:tc>
          <w:tcPr>
            <w:tcW w:w="6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20" w:type="dxa"/>
            <w:vAlign w:val="bottom"/>
            <w:tcBorders>
              <w:bottom w:val="single" w:sz="8" w:color="0000EE"/>
            </w:tcBorders>
            <w:gridSpan w:val="2"/>
            <w:vMerge w:val="continue"/>
          </w:tcPr>
          <w:p>
            <w:pPr>
              <w:spacing w:after="0"/>
              <w:rPr>
                <w:sz w:val="13"/>
                <w:szCs w:val="13"/>
                <w:color w:val="auto"/>
              </w:rPr>
            </w:pP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left w:val="single" w:sz="8" w:color="CCEEFF"/>
              <w:bottom w:val="single" w:sz="8" w:color="CCEEFF"/>
            </w:tcBorders>
            <w:vMerge w:val="restart"/>
            <w:shd w:val="clear" w:color="auto" w:fill="CCEEFF"/>
          </w:tcPr>
          <w:p>
            <w:pPr>
              <w:spacing w:after="0"/>
              <w:rPr>
                <w:sz w:val="13"/>
                <w:szCs w:val="13"/>
                <w:color w:val="auto"/>
              </w:rPr>
            </w:pPr>
          </w:p>
        </w:tc>
        <w:tc>
          <w:tcPr>
            <w:tcW w:w="2480" w:type="dxa"/>
            <w:vAlign w:val="bottom"/>
            <w:tcBorders>
              <w:bottom w:val="single" w:sz="8" w:color="CCEEFF"/>
            </w:tcBorders>
            <w:gridSpan w:val="12"/>
            <w:vMerge w:val="restart"/>
            <w:shd w:val="clear" w:color="auto" w:fill="CCEEFF"/>
          </w:tcPr>
          <w:p>
            <w:pPr>
              <w:spacing w:after="0" w:line="196" w:lineRule="exact"/>
              <w:rPr>
                <w:sz w:val="20"/>
                <w:szCs w:val="20"/>
                <w:color w:val="auto"/>
              </w:rPr>
            </w:pPr>
            <w:r>
              <w:rPr>
                <w:rFonts w:ascii="Arial" w:cs="Arial" w:eastAsia="Arial" w:hAnsi="Arial"/>
                <w:sz w:val="18"/>
                <w:szCs w:val="18"/>
                <w:b w:val="1"/>
                <w:bCs w:val="1"/>
                <w:color w:val="457157"/>
              </w:rPr>
              <w:t>(Item 4 on the Proxy Card)</w:t>
            </w:r>
          </w:p>
        </w:tc>
        <w:tc>
          <w:tcPr>
            <w:tcW w:w="1740" w:type="dxa"/>
            <w:vAlign w:val="bottom"/>
            <w:tcBorders>
              <w:bottom w:val="single" w:sz="8" w:color="CCEEFF"/>
            </w:tcBorders>
            <w:gridSpan w:val="15"/>
            <w:vMerge w:val="restart"/>
            <w:shd w:val="clear" w:color="auto" w:fill="CCEEFF"/>
          </w:tcPr>
          <w:p>
            <w:pPr>
              <w:spacing w:after="0"/>
              <w:rPr>
                <w:sz w:val="13"/>
                <w:szCs w:val="13"/>
                <w:color w:val="auto"/>
              </w:rPr>
            </w:pPr>
          </w:p>
        </w:tc>
        <w:tc>
          <w:tcPr>
            <w:tcW w:w="380" w:type="dxa"/>
            <w:vAlign w:val="bottom"/>
            <w:tcBorders>
              <w:bottom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65</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
        </w:trPr>
        <w:tc>
          <w:tcPr>
            <w:tcW w:w="220" w:type="dxa"/>
            <w:vAlign w:val="bottom"/>
            <w:gridSpan w:val="2"/>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tcBorders>
              <w:left w:val="single" w:sz="8" w:color="CCEEFF"/>
            </w:tcBorders>
            <w:vMerge w:val="continue"/>
            <w:shd w:val="clear" w:color="auto" w:fill="CCEEFF"/>
          </w:tcPr>
          <w:p>
            <w:pPr>
              <w:spacing w:after="0" w:line="20" w:lineRule="exact"/>
              <w:rPr>
                <w:sz w:val="1"/>
                <w:szCs w:val="1"/>
                <w:color w:val="auto"/>
              </w:rPr>
            </w:pPr>
          </w:p>
        </w:tc>
        <w:tc>
          <w:tcPr>
            <w:tcW w:w="2480" w:type="dxa"/>
            <w:vAlign w:val="bottom"/>
            <w:gridSpan w:val="12"/>
            <w:vMerge w:val="continue"/>
            <w:shd w:val="clear" w:color="auto" w:fill="CCEEFF"/>
          </w:tcPr>
          <w:p>
            <w:pPr>
              <w:spacing w:after="0" w:line="20" w:lineRule="exact"/>
              <w:rPr>
                <w:sz w:val="1"/>
                <w:szCs w:val="1"/>
                <w:color w:val="auto"/>
              </w:rPr>
            </w:pPr>
          </w:p>
        </w:tc>
        <w:tc>
          <w:tcPr>
            <w:tcW w:w="1740" w:type="dxa"/>
            <w:vAlign w:val="bottom"/>
            <w:gridSpan w:val="15"/>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457157"/>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457157"/>
            </w:tcBorders>
            <w:shd w:val="clear" w:color="auto" w:fill="CCEEFF"/>
          </w:tcPr>
          <w:p>
            <w:pPr>
              <w:spacing w:after="0" w:line="20" w:lineRule="exact"/>
              <w:rPr>
                <w:sz w:val="1"/>
                <w:szCs w:val="1"/>
                <w:color w:val="auto"/>
              </w:rPr>
            </w:pPr>
          </w:p>
        </w:tc>
        <w:tc>
          <w:tcPr>
            <w:tcW w:w="660" w:type="dxa"/>
            <w:vAlign w:val="bottom"/>
            <w:tcBorders>
              <w:top w:val="single" w:sz="8" w:color="457157"/>
            </w:tcBorders>
            <w:shd w:val="clear" w:color="auto" w:fill="CCEEFF"/>
          </w:tcPr>
          <w:p>
            <w:pPr>
              <w:spacing w:after="0" w:line="20" w:lineRule="exact"/>
              <w:rPr>
                <w:sz w:val="1"/>
                <w:szCs w:val="1"/>
                <w:color w:val="auto"/>
              </w:rPr>
            </w:pPr>
          </w:p>
        </w:tc>
        <w:tc>
          <w:tcPr>
            <w:tcW w:w="160" w:type="dxa"/>
            <w:vAlign w:val="bottom"/>
            <w:tcBorders>
              <w:top w:val="single" w:sz="8" w:color="457157"/>
            </w:tcBorders>
            <w:shd w:val="clear" w:color="auto" w:fill="CCEEFF"/>
          </w:tcPr>
          <w:p>
            <w:pPr>
              <w:spacing w:after="0" w:line="20" w:lineRule="exact"/>
              <w:rPr>
                <w:sz w:val="1"/>
                <w:szCs w:val="1"/>
                <w:color w:val="auto"/>
              </w:rPr>
            </w:pPr>
          </w:p>
        </w:tc>
        <w:tc>
          <w:tcPr>
            <w:tcW w:w="280" w:type="dxa"/>
            <w:vAlign w:val="bottom"/>
            <w:tcBorders>
              <w:top w:val="single" w:sz="8" w:color="457157"/>
            </w:tcBorders>
            <w:shd w:val="clear" w:color="auto" w:fill="CCEEFF"/>
          </w:tcPr>
          <w:p>
            <w:pPr>
              <w:spacing w:after="0" w:line="20" w:lineRule="exact"/>
              <w:rPr>
                <w:sz w:val="1"/>
                <w:szCs w:val="1"/>
                <w:color w:val="auto"/>
              </w:rPr>
            </w:pPr>
          </w:p>
        </w:tc>
        <w:tc>
          <w:tcPr>
            <w:tcW w:w="520" w:type="dxa"/>
            <w:vAlign w:val="bottom"/>
            <w:tcBorders>
              <w:top w:val="single" w:sz="8" w:color="457157"/>
            </w:tcBorders>
            <w:shd w:val="clear" w:color="auto" w:fill="CCEEFF"/>
          </w:tcPr>
          <w:p>
            <w:pPr>
              <w:spacing w:after="0" w:line="20" w:lineRule="exact"/>
              <w:rPr>
                <w:sz w:val="1"/>
                <w:szCs w:val="1"/>
                <w:color w:val="auto"/>
              </w:rPr>
            </w:pPr>
          </w:p>
        </w:tc>
        <w:tc>
          <w:tcPr>
            <w:tcW w:w="120" w:type="dxa"/>
            <w:vAlign w:val="bottom"/>
            <w:tcBorders>
              <w:top w:val="single" w:sz="8" w:color="457157"/>
            </w:tcBorders>
            <w:shd w:val="clear" w:color="auto" w:fill="CCEEFF"/>
          </w:tcPr>
          <w:p>
            <w:pPr>
              <w:spacing w:after="0" w:line="20" w:lineRule="exact"/>
              <w:rPr>
                <w:sz w:val="1"/>
                <w:szCs w:val="1"/>
                <w:color w:val="auto"/>
              </w:rPr>
            </w:pPr>
          </w:p>
        </w:tc>
        <w:tc>
          <w:tcPr>
            <w:tcW w:w="20" w:type="dxa"/>
            <w:vAlign w:val="bottom"/>
            <w:tcBorders>
              <w:top w:val="single" w:sz="8" w:color="457157"/>
            </w:tcBorders>
            <w:shd w:val="clear" w:color="auto" w:fill="CCEEFF"/>
          </w:tcPr>
          <w:p>
            <w:pPr>
              <w:spacing w:after="0" w:line="20" w:lineRule="exact"/>
              <w:rPr>
                <w:sz w:val="1"/>
                <w:szCs w:val="1"/>
                <w:color w:val="auto"/>
              </w:rPr>
            </w:pPr>
          </w:p>
        </w:tc>
        <w:tc>
          <w:tcPr>
            <w:tcW w:w="100" w:type="dxa"/>
            <w:vAlign w:val="bottom"/>
            <w:tcBorders>
              <w:top w:val="single" w:sz="8" w:color="457157"/>
            </w:tcBorders>
            <w:shd w:val="clear" w:color="auto" w:fill="CCEEFF"/>
          </w:tcPr>
          <w:p>
            <w:pPr>
              <w:spacing w:after="0" w:line="20" w:lineRule="exact"/>
              <w:rPr>
                <w:sz w:val="1"/>
                <w:szCs w:val="1"/>
                <w:color w:val="auto"/>
              </w:rPr>
            </w:pPr>
          </w:p>
        </w:tc>
        <w:tc>
          <w:tcPr>
            <w:tcW w:w="100" w:type="dxa"/>
            <w:vAlign w:val="bottom"/>
            <w:tcBorders>
              <w:top w:val="single" w:sz="8" w:color="457157"/>
            </w:tcBorders>
            <w:shd w:val="clear" w:color="auto" w:fill="CCEEFF"/>
          </w:tcPr>
          <w:p>
            <w:pPr>
              <w:spacing w:after="0" w:line="20" w:lineRule="exact"/>
              <w:rPr>
                <w:sz w:val="1"/>
                <w:szCs w:val="1"/>
                <w:color w:val="auto"/>
              </w:rPr>
            </w:pPr>
          </w:p>
        </w:tc>
        <w:tc>
          <w:tcPr>
            <w:tcW w:w="120" w:type="dxa"/>
            <w:vAlign w:val="bottom"/>
            <w:tcBorders>
              <w:top w:val="single" w:sz="8" w:color="457157"/>
            </w:tcBorders>
            <w:shd w:val="clear" w:color="auto" w:fill="CCEEFF"/>
          </w:tcPr>
          <w:p>
            <w:pPr>
              <w:spacing w:after="0" w:line="20" w:lineRule="exact"/>
              <w:rPr>
                <w:sz w:val="1"/>
                <w:szCs w:val="1"/>
                <w:color w:val="auto"/>
              </w:rPr>
            </w:pPr>
          </w:p>
        </w:tc>
        <w:tc>
          <w:tcPr>
            <w:tcW w:w="40" w:type="dxa"/>
            <w:vAlign w:val="bottom"/>
            <w:tcBorders>
              <w:top w:val="single" w:sz="8" w:color="457157"/>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33</w:t>
            </w:r>
            <w:r>
              <w:rPr>
                <w:rFonts w:ascii="Arial" w:cs="Arial" w:eastAsia="Arial" w:hAnsi="Arial"/>
                <w:sz w:val="18"/>
                <w:szCs w:val="18"/>
                <w:color w:val="000000"/>
              </w:rPr>
              <w:t>​</w:t>
            </w:r>
          </w:p>
        </w:tc>
        <w:tc>
          <w:tcPr>
            <w:tcW w:w="1200" w:type="dxa"/>
            <w:vAlign w:val="bottom"/>
            <w:gridSpan w:val="4"/>
          </w:tcPr>
          <w:p>
            <w:pPr>
              <w:spacing w:after="0" w:line="196" w:lineRule="exact"/>
              <w:rPr>
                <w:sz w:val="20"/>
                <w:szCs w:val="20"/>
                <w:color w:val="auto"/>
              </w:rPr>
            </w:pPr>
            <w:r>
              <w:rPr>
                <w:rFonts w:ascii="Arial" w:cs="Arial" w:eastAsia="Arial" w:hAnsi="Arial"/>
                <w:sz w:val="18"/>
                <w:szCs w:val="18"/>
                <w:b w:val="1"/>
                <w:bCs w:val="1"/>
                <w:color w:val="457157"/>
              </w:rPr>
              <w:t>APPENDIX A</w:t>
            </w:r>
          </w:p>
        </w:tc>
        <w:tc>
          <w:tcPr>
            <w:tcW w:w="3200" w:type="dxa"/>
            <w:vAlign w:val="bottom"/>
            <w:gridSpan w:val="24"/>
            <w:vMerge w:val="restart"/>
          </w:tcPr>
          <w:p>
            <w:pPr>
              <w:spacing w:after="0"/>
              <w:rPr>
                <w:sz w:val="18"/>
                <w:szCs w:val="18"/>
                <w:color w:val="auto"/>
              </w:rPr>
            </w:pPr>
          </w:p>
        </w:tc>
        <w:tc>
          <w:tcPr>
            <w:tcW w:w="380" w:type="dxa"/>
            <w:vAlign w:val="bottom"/>
            <w:gridSpan w:val="3"/>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0000EE"/>
              </w:rPr>
              <w:t>A-1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260" w:type="dxa"/>
            <w:vAlign w:val="bottom"/>
            <w:gridSpan w:val="3"/>
            <w:vMerge w:val="continue"/>
          </w:tcPr>
          <w:p>
            <w:pPr>
              <w:spacing w:after="0"/>
              <w:rPr>
                <w:sz w:val="11"/>
                <w:szCs w:val="11"/>
                <w:color w:val="auto"/>
              </w:rPr>
            </w:pPr>
          </w:p>
        </w:tc>
        <w:tc>
          <w:tcPr>
            <w:tcW w:w="1200" w:type="dxa"/>
            <w:vAlign w:val="bottom"/>
            <w:tcBorders>
              <w:top w:val="single" w:sz="8" w:color="457157"/>
            </w:tcBorders>
            <w:gridSpan w:val="4"/>
          </w:tcPr>
          <w:p>
            <w:pPr>
              <w:spacing w:after="0"/>
              <w:rPr>
                <w:sz w:val="11"/>
                <w:szCs w:val="11"/>
                <w:color w:val="auto"/>
              </w:rPr>
            </w:pPr>
          </w:p>
        </w:tc>
        <w:tc>
          <w:tcPr>
            <w:tcW w:w="3200" w:type="dxa"/>
            <w:vAlign w:val="bottom"/>
            <w:gridSpan w:val="24"/>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top w:val="single" w:sz="8" w:color="0000EE"/>
            </w:tcBorders>
            <w:gridSpan w:val="2"/>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 w:type="dxa"/>
            <w:vAlign w:val="bottom"/>
            <w:gridSpan w:val="3"/>
          </w:tcPr>
          <w:p>
            <w:pPr>
              <w:jc w:val="right"/>
              <w:spacing w:after="0"/>
              <w:rPr>
                <w:sz w:val="20"/>
                <w:szCs w:val="20"/>
                <w:color w:val="auto"/>
              </w:rPr>
            </w:pPr>
            <w:r>
              <w:rPr>
                <w:rFonts w:ascii="Arial" w:cs="Arial" w:eastAsia="Arial" w:hAnsi="Arial"/>
                <w:sz w:val="18"/>
                <w:szCs w:val="18"/>
                <w:color w:val="0000EE"/>
              </w:rPr>
              <w:t>35</w:t>
            </w:r>
            <w:r>
              <w:rPr>
                <w:rFonts w:ascii="Arial" w:cs="Arial" w:eastAsia="Arial" w:hAnsi="Arial"/>
                <w:sz w:val="18"/>
                <w:szCs w:val="18"/>
                <w:color w:val="000000"/>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gridSpan w:val="3"/>
          </w:tcPr>
          <w:p>
            <w:pPr>
              <w:jc w:val="right"/>
              <w:spacing w:after="0"/>
              <w:rPr>
                <w:sz w:val="20"/>
                <w:szCs w:val="20"/>
                <w:color w:val="auto"/>
              </w:rPr>
            </w:pPr>
            <w:r>
              <w:rPr>
                <w:rFonts w:ascii="Arial" w:cs="Arial" w:eastAsia="Arial" w:hAnsi="Arial"/>
                <w:sz w:val="18"/>
                <w:szCs w:val="18"/>
                <w:color w:val="0000EE"/>
              </w:rPr>
              <w:t>35</w:t>
            </w:r>
            <w:r>
              <w:rPr>
                <w:rFonts w:ascii="Arial" w:cs="Arial" w:eastAsia="Arial" w:hAnsi="Arial"/>
                <w:sz w:val="18"/>
                <w:szCs w:val="18"/>
                <w:color w:val="000000"/>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0" w:type="dxa"/>
            <w:vAlign w:val="bottom"/>
            <w:gridSpan w:val="3"/>
          </w:tcPr>
          <w:p>
            <w:pPr>
              <w:jc w:val="right"/>
              <w:spacing w:after="0"/>
              <w:rPr>
                <w:sz w:val="20"/>
                <w:szCs w:val="20"/>
                <w:color w:val="auto"/>
              </w:rPr>
            </w:pPr>
            <w:r>
              <w:rPr>
                <w:rFonts w:ascii="Arial" w:cs="Arial" w:eastAsia="Arial" w:hAnsi="Arial"/>
                <w:sz w:val="18"/>
                <w:szCs w:val="18"/>
                <w:color w:val="0000EE"/>
              </w:rPr>
              <w:t>36</w:t>
            </w:r>
            <w:r>
              <w:rPr>
                <w:rFonts w:ascii="Arial" w:cs="Arial" w:eastAsia="Arial" w:hAnsi="Arial"/>
                <w:sz w:val="18"/>
                <w:szCs w:val="18"/>
                <w:color w:val="000000"/>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1307465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3">
            <w:col w:w="5060" w:space="80"/>
            <w:col w:w="100" w:space="60"/>
            <w:col w:w="5080"/>
          </w:cols>
          <w:pgMar w:left="580" w:top="97" w:right="93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GENERAL INFORMATION</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Waste Management, Inc. is a holding company, and all operations are conducted by its subsidiaries. Our subsidiaries are operated and managed locally and generally focus on providing services in distinct geographic areas. Through our subsidiaries, 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w:t>
      </w:r>
    </w:p>
    <w:p>
      <w:pPr>
        <w:spacing w:after="0" w:line="296"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Our Board of Directors is soliciting your proxy for the 2024 Annual Meeting of Stockholders and at any postponement or adjournment of the meeting. We are furnishing proxy materials to our stockholders primarily via the Internet. On April 2, 2024, we sent an electronic notice of how to access our proxy materials and our Annual Report to stockholders that have previously signed up to receive their proxy materials via the Internet. On April 2, 2024,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282"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b w:val="1"/>
          <w:bCs w:val="1"/>
          <w:color w:val="457157"/>
        </w:rPr>
        <w:t xml:space="preserve">Enroll in Electronic Delivery Today! </w:t>
      </w:r>
      <w:r>
        <w:rPr>
          <w:rFonts w:ascii="Arial" w:cs="Arial" w:eastAsia="Arial" w:hAnsi="Arial"/>
          <w:sz w:val="18"/>
          <w:szCs w:val="18"/>
          <w:color w:val="000000"/>
        </w:rPr>
        <w:t>We encourage stockholders to elect to receive all future proxy</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materials electronically, which is free, fast, convenient and helps lower our printing and postage costs. If you are a beneficial owner, visit www.proxyvote.com or follow the instructions on the Notice, proxy card or voting instructions. All stockholders may also enroll at enroll.icsdelivery.com/wmi.</w:t>
      </w:r>
    </w:p>
    <w:p>
      <w:pPr>
        <w:spacing w:after="0" w:line="7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color w:val="457157"/>
        </w:rPr>
        <w:t xml:space="preserve">Shares Outstanding on the Record Date </w:t>
      </w:r>
      <w:r>
        <w:rPr>
          <w:rFonts w:ascii="Arial" w:cs="Arial" w:eastAsia="Arial" w:hAnsi="Arial"/>
          <w:sz w:val="18"/>
          <w:szCs w:val="18"/>
          <w:color w:val="000000"/>
        </w:rPr>
        <w:t>There were                 shares of common stock of Waste</w:t>
      </w:r>
      <w:r>
        <w:rPr>
          <w:rFonts w:ascii="Arial" w:cs="Arial" w:eastAsia="Arial" w:hAnsi="Arial"/>
          <w:sz w:val="18"/>
          <w:szCs w:val="18"/>
          <w:b w:val="1"/>
          <w:bCs w:val="1"/>
          <w:color w:val="457157"/>
        </w:rPr>
        <w:t xml:space="preserve"> </w:t>
      </w:r>
      <w:r>
        <w:rPr>
          <w:rFonts w:ascii="Arial" w:cs="Arial" w:eastAsia="Arial" w:hAnsi="Arial"/>
          <w:sz w:val="18"/>
          <w:szCs w:val="18"/>
          <w:color w:val="000000"/>
        </w:rPr>
        <w:t>Management, Inc. (our “Common Stock”) outstanding and entitled to vote as of March 19, 2024, the record date for the Annual Meeting.</w:t>
      </w:r>
    </w:p>
    <w:p>
      <w:pPr>
        <w:sectPr>
          <w:pgSz w:w="11900" w:h="16838" w:orient="portrait"/>
          <w:cols w:equalWidth="0" w:num="1">
            <w:col w:w="9940"/>
          </w:cols>
          <w:pgMar w:left="580" w:top="97" w:right="1379" w:bottom="1440" w:gutter="0" w:footer="0" w:header="0"/>
        </w:sectPr>
      </w:pPr>
    </w:p>
    <w:p>
      <w:pPr>
        <w:spacing w:after="0" w:line="74" w:lineRule="exact"/>
        <w:rPr>
          <w:sz w:val="20"/>
          <w:szCs w:val="20"/>
          <w:color w:val="auto"/>
        </w:rPr>
      </w:pPr>
    </w:p>
    <w:p>
      <w:pPr>
        <w:jc w:val="both"/>
        <w:ind w:left="820"/>
        <w:spacing w:after="0" w:line="246" w:lineRule="auto"/>
        <w:rPr>
          <w:sz w:val="20"/>
          <w:szCs w:val="20"/>
          <w:color w:val="auto"/>
        </w:rPr>
      </w:pPr>
      <w:r>
        <w:rPr>
          <w:rFonts w:ascii="Arial" w:cs="Arial" w:eastAsia="Arial" w:hAnsi="Arial"/>
          <w:sz w:val="18"/>
          <w:szCs w:val="18"/>
          <w:b w:val="1"/>
          <w:bCs w:val="1"/>
          <w:color w:val="457157"/>
        </w:rPr>
        <w:t xml:space="preserve">Attending the Meeting </w:t>
      </w:r>
      <w:r>
        <w:rPr>
          <w:rFonts w:ascii="Arial" w:cs="Arial" w:eastAsia="Arial" w:hAnsi="Arial"/>
          <w:sz w:val="18"/>
          <w:szCs w:val="18"/>
          <w:color w:val="000000"/>
        </w:rPr>
        <w:t>Annual Meeting. If you holds shares in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ind w:right="60" w:firstLine="128"/>
        <w:spacing w:after="0" w:line="246" w:lineRule="auto"/>
        <w:rPr>
          <w:sz w:val="20"/>
          <w:szCs w:val="20"/>
          <w:color w:val="auto"/>
        </w:rPr>
      </w:pPr>
      <w:r>
        <w:rPr>
          <w:rFonts w:ascii="Arial" w:cs="Arial" w:eastAsia="Arial" w:hAnsi="Arial"/>
          <w:sz w:val="18"/>
          <w:szCs w:val="18"/>
          <w:color w:val="auto"/>
        </w:rPr>
        <w:t>Only stockholders, their proxy holders and our invited guests may attend the plan to attend, please bring identification. If you are a beneficial owner that name through a bank or broker, you must also bring your bank or broker</w:t>
      </w:r>
    </w:p>
    <w:p>
      <w:pPr>
        <w:spacing w:after="0" w:line="3" w:lineRule="exact"/>
        <w:rPr>
          <w:sz w:val="20"/>
          <w:szCs w:val="20"/>
          <w:color w:val="auto"/>
        </w:rPr>
      </w:pPr>
    </w:p>
    <w:p>
      <w:pPr>
        <w:sectPr>
          <w:pgSz w:w="11900" w:h="16838" w:orient="portrait"/>
          <w:cols w:equalWidth="0" w:num="2">
            <w:col w:w="2880" w:space="80"/>
            <w:col w:w="6980"/>
          </w:cols>
          <w:pgMar w:left="580" w:top="97" w:right="1379" w:bottom="1440" w:gutter="0" w:footer="0" w:header="0"/>
          <w:type w:val="continuous"/>
        </w:sectPr>
      </w:pPr>
    </w:p>
    <w:p>
      <w:pPr>
        <w:jc w:val="both"/>
        <w:ind w:left="820" w:right="60"/>
        <w:spacing w:after="0" w:line="242" w:lineRule="auto"/>
        <w:rPr>
          <w:sz w:val="20"/>
          <w:szCs w:val="20"/>
          <w:color w:val="auto"/>
        </w:rPr>
      </w:pPr>
      <w:r>
        <w:rPr>
          <w:rFonts w:ascii="Arial" w:cs="Arial" w:eastAsia="Arial" w:hAnsi="Arial"/>
          <w:sz w:val="18"/>
          <w:szCs w:val="18"/>
          <w:color w:val="auto"/>
        </w:rPr>
        <w:t>statement showing your beneficial ownership of Waste Management, Inc. Common Stock in order to be admitted to the meeting. If you are planning to attend our Annual Meeting and require directions to the meeting, please contact our Corporate Secretary at 713-512-6200. The only items that we anticipate will be discussed at the Annual Meeting are the items set out in the Notice. We do not anticipate that there will be any presentations.</w:t>
      </w:r>
    </w:p>
    <w:p>
      <w:pPr>
        <w:spacing w:after="0" w:line="28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b w:val="1"/>
          <w:bCs w:val="1"/>
          <w:color w:val="457157"/>
        </w:rPr>
        <w:t xml:space="preserve">Voting Instructions </w:t>
      </w:r>
      <w:r>
        <w:rPr>
          <w:rFonts w:ascii="Arial" w:cs="Arial" w:eastAsia="Arial" w:hAnsi="Arial"/>
          <w:sz w:val="18"/>
          <w:szCs w:val="18"/>
          <w:color w:val="000000"/>
        </w:rPr>
        <w:t>You can submit your proxy by Internet, phone or mail. You may receive more</w:t>
      </w:r>
      <w:r>
        <w:rPr>
          <w:rFonts w:ascii="Arial" w:cs="Arial" w:eastAsia="Arial" w:hAnsi="Arial"/>
          <w:sz w:val="18"/>
          <w:szCs w:val="18"/>
          <w:b w:val="1"/>
          <w:bCs w:val="1"/>
          <w:color w:val="457157"/>
        </w:rPr>
        <w:t xml:space="preserve"> </w:t>
      </w:r>
      <w:r>
        <w:rPr>
          <w:rFonts w:ascii="Arial" w:cs="Arial" w:eastAsia="Arial" w:hAnsi="Arial"/>
          <w:sz w:val="18"/>
          <w:szCs w:val="18"/>
          <w:color w:val="000000"/>
        </w:rPr>
        <w:t>than one proxy card depending on how you hold your shares. You should complete and return each proxy or other voting instruction request provided to you. If you are a beneficial owner that holds shares in street name through a bank or broker, you will receive instructions from your bank, broker or nominee that you must follow in order to have your shares of Common Stock voted at the Annual Meeting, and your ability to submit your voting instructions by phone or over the Internet depends on your bank’s or broker’s voting process.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set forth below.</w:t>
      </w:r>
    </w:p>
    <w:p>
      <w:pPr>
        <w:spacing w:after="0" w:line="296"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color w:val="457157"/>
        </w:rPr>
        <w:t xml:space="preserve">Other Matters </w:t>
      </w:r>
      <w:r>
        <w:rPr>
          <w:rFonts w:ascii="Arial" w:cs="Arial" w:eastAsia="Arial" w:hAnsi="Arial"/>
          <w:sz w:val="18"/>
          <w:szCs w:val="18"/>
          <w:color w:val="000000"/>
        </w:rPr>
        <w:t>The Company does not intend to bring any other matters before the Annual Meeting,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68"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b w:val="1"/>
          <w:bCs w:val="1"/>
          <w:color w:val="457157"/>
        </w:rPr>
        <w:t xml:space="preserve">Voting and Asking Questions at the Meeting </w:t>
      </w:r>
      <w:r>
        <w:rPr>
          <w:rFonts w:ascii="Arial" w:cs="Arial" w:eastAsia="Arial" w:hAnsi="Arial"/>
          <w:sz w:val="18"/>
          <w:szCs w:val="18"/>
          <w:color w:val="000000"/>
        </w:rPr>
        <w:t>Stockholders can vote and ask questions at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Annual Meeting relevant 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and this Proxy Statement with care and follow the voting instructions to ensure that your shares are represented at the Annual Meeting.</w:t>
      </w:r>
    </w:p>
    <w:p>
      <w:pPr>
        <w:spacing w:after="0" w:line="290"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b w:val="1"/>
          <w:bCs w:val="1"/>
          <w:color w:val="457157"/>
        </w:rPr>
        <w:t xml:space="preserve">Changing Your Vote </w:t>
      </w:r>
      <w:r>
        <w:rPr>
          <w:rFonts w:ascii="Arial" w:cs="Arial" w:eastAsia="Arial" w:hAnsi="Arial"/>
          <w:sz w:val="18"/>
          <w:szCs w:val="18"/>
          <w:color w:val="000000"/>
        </w:rPr>
        <w:t>Stockholders of record may revoke their proxy at any time before we vote it at</w:t>
      </w:r>
      <w:r>
        <w:rPr>
          <w:rFonts w:ascii="Arial" w:cs="Arial" w:eastAsia="Arial" w:hAnsi="Arial"/>
          <w:sz w:val="18"/>
          <w:szCs w:val="18"/>
          <w:b w:val="1"/>
          <w:bCs w:val="1"/>
          <w:color w:val="457157"/>
        </w:rPr>
        <w:t xml:space="preserve"> </w:t>
      </w:r>
      <w:r>
        <w:rPr>
          <w:rFonts w:ascii="Arial" w:cs="Arial" w:eastAsia="Arial" w:hAnsi="Arial"/>
          <w:sz w:val="18"/>
          <w:szCs w:val="18"/>
          <w:color w:val="000000"/>
        </w:rPr>
        <w:t>the meeting by submitting a later-dated proxy via the Internet, by telephone, by mail, by delivering instructions to our Corporate Secretary</w:t>
      </w:r>
    </w:p>
    <w:p>
      <w:pPr>
        <w:spacing w:after="0" w:line="24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GENERAL INFORMATION</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before the Annual Meeting revoking the proxy or by voting during the Annual Meeting. Attendance at the Annual Meeting, by itself, will not revoke a proxy. If you hold shares through a bank or broker, you may revoke any prior voting instructions by contacting that firm.</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The Proposals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proposals are being presented for a vote of the stockholders at the Annual Meeting:</w:t>
      </w:r>
    </w:p>
    <w:p>
      <w:pPr>
        <w:spacing w:after="0" w:line="156"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180" w:type="dxa"/>
            <w:vAlign w:val="bottom"/>
            <w:tcBorders>
              <w:top w:val="single" w:sz="8" w:color="457157"/>
            </w:tcBorders>
          </w:tcPr>
          <w:p>
            <w:pPr>
              <w:spacing w:after="0"/>
              <w:rPr>
                <w:sz w:val="15"/>
                <w:szCs w:val="15"/>
                <w:color w:val="auto"/>
              </w:rPr>
            </w:pPr>
          </w:p>
        </w:tc>
        <w:tc>
          <w:tcPr>
            <w:tcW w:w="1020" w:type="dxa"/>
            <w:vAlign w:val="bottom"/>
            <w:tcBorders>
              <w:top w:val="single" w:sz="8" w:color="457157"/>
            </w:tcBorders>
          </w:tcPr>
          <w:p>
            <w:pPr>
              <w:spacing w:after="0"/>
              <w:rPr>
                <w:sz w:val="15"/>
                <w:szCs w:val="15"/>
                <w:color w:val="auto"/>
              </w:rPr>
            </w:pPr>
          </w:p>
        </w:tc>
        <w:tc>
          <w:tcPr>
            <w:tcW w:w="5520" w:type="dxa"/>
            <w:vAlign w:val="bottom"/>
            <w:tcBorders>
              <w:top w:val="single" w:sz="8" w:color="457157"/>
            </w:tcBorders>
            <w:gridSpan w:val="2"/>
            <w:vMerge w:val="restart"/>
          </w:tcPr>
          <w:p>
            <w:pPr>
              <w:ind w:left="140"/>
              <w:spacing w:after="0"/>
              <w:rPr>
                <w:sz w:val="20"/>
                <w:szCs w:val="20"/>
                <w:color w:val="auto"/>
              </w:rPr>
            </w:pPr>
            <w:r>
              <w:rPr>
                <w:rFonts w:ascii="Arial" w:cs="Arial" w:eastAsia="Arial" w:hAnsi="Arial"/>
                <w:sz w:val="32"/>
                <w:szCs w:val="32"/>
                <w:b w:val="1"/>
                <w:bCs w:val="1"/>
                <w:color w:val="457157"/>
                <w:vertAlign w:val="subscript"/>
              </w:rPr>
              <w:t>​ ​</w:t>
            </w:r>
            <w:r>
              <w:rPr>
                <w:rFonts w:ascii="Arial" w:cs="Arial" w:eastAsia="Arial" w:hAnsi="Arial"/>
                <w:sz w:val="16"/>
                <w:szCs w:val="16"/>
                <w:b w:val="1"/>
                <w:bCs w:val="1"/>
                <w:color w:val="457157"/>
              </w:rPr>
              <w:t xml:space="preserve"> Matter</w:t>
            </w:r>
          </w:p>
        </w:tc>
        <w:tc>
          <w:tcPr>
            <w:tcW w:w="2180" w:type="dxa"/>
            <w:vAlign w:val="bottom"/>
            <w:tcBorders>
              <w:top w:val="single" w:sz="8" w:color="457157"/>
            </w:tcBorders>
          </w:tcPr>
          <w:p>
            <w:pPr>
              <w:ind w:left="440"/>
              <w:spacing w:after="0" w:line="175" w:lineRule="exact"/>
              <w:rPr>
                <w:sz w:val="20"/>
                <w:szCs w:val="20"/>
                <w:color w:val="auto"/>
              </w:rPr>
            </w:pPr>
            <w:r>
              <w:rPr>
                <w:rFonts w:ascii="Arial" w:cs="Arial" w:eastAsia="Arial" w:hAnsi="Arial"/>
                <w:sz w:val="16"/>
                <w:szCs w:val="16"/>
                <w:b w:val="1"/>
                <w:bCs w:val="1"/>
                <w:color w:val="457157"/>
              </w:rPr>
              <w:t>Board Vote</w:t>
            </w:r>
          </w:p>
        </w:tc>
        <w:tc>
          <w:tcPr>
            <w:tcW w:w="160" w:type="dxa"/>
            <w:vAlign w:val="bottom"/>
            <w:tcBorders>
              <w:top w:val="single" w:sz="8" w:color="457157"/>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57157"/>
              </w:rPr>
              <w:t>​</w:t>
            </w:r>
          </w:p>
        </w:tc>
        <w:tc>
          <w:tcPr>
            <w:tcW w:w="1020" w:type="dxa"/>
            <w:vAlign w:val="bottom"/>
            <w:tcBorders>
              <w:bottom w:val="single" w:sz="8" w:color="457157"/>
            </w:tcBorders>
          </w:tcPr>
          <w:p>
            <w:pPr>
              <w:ind w:left="140"/>
              <w:spacing w:after="0"/>
              <w:rPr>
                <w:sz w:val="20"/>
                <w:szCs w:val="20"/>
                <w:color w:val="auto"/>
              </w:rPr>
            </w:pPr>
            <w:r>
              <w:rPr>
                <w:rFonts w:ascii="Arial" w:cs="Arial" w:eastAsia="Arial" w:hAnsi="Arial"/>
                <w:sz w:val="16"/>
                <w:szCs w:val="16"/>
                <w:b w:val="1"/>
                <w:bCs w:val="1"/>
                <w:color w:val="457157"/>
              </w:rPr>
              <w:t>Proposal</w:t>
            </w:r>
          </w:p>
        </w:tc>
        <w:tc>
          <w:tcPr>
            <w:tcW w:w="5520" w:type="dxa"/>
            <w:vAlign w:val="bottom"/>
            <w:tcBorders>
              <w:bottom w:val="single" w:sz="8" w:color="457157"/>
            </w:tcBorders>
            <w:gridSpan w:val="2"/>
            <w:vMerge w:val="continue"/>
          </w:tcPr>
          <w:p>
            <w:pPr>
              <w:spacing w:after="0"/>
              <w:rPr>
                <w:sz w:val="21"/>
                <w:szCs w:val="21"/>
                <w:color w:val="auto"/>
              </w:rPr>
            </w:pPr>
          </w:p>
        </w:tc>
        <w:tc>
          <w:tcPr>
            <w:tcW w:w="2180" w:type="dxa"/>
            <w:vAlign w:val="bottom"/>
            <w:tcBorders>
              <w:bottom w:val="single" w:sz="8" w:color="457157"/>
            </w:tcBorders>
          </w:tcPr>
          <w:p>
            <w:pPr>
              <w:ind w:left="220"/>
              <w:spacing w:after="0" w:line="243"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5"/>
                <w:szCs w:val="15"/>
                <w:b w:val="1"/>
                <w:bCs w:val="1"/>
                <w:color w:val="457157"/>
              </w:rPr>
              <w:t xml:space="preserve"> Recommendation</w:t>
            </w:r>
          </w:p>
        </w:tc>
        <w:tc>
          <w:tcPr>
            <w:tcW w:w="160" w:type="dxa"/>
            <w:vAlign w:val="bottom"/>
            <w:tcBorders>
              <w:bottom w:val="single" w:sz="8" w:color="457157"/>
            </w:tcBorders>
          </w:tcPr>
          <w:p>
            <w:pPr>
              <w:ind w:left="120"/>
              <w:spacing w:after="0"/>
              <w:rPr>
                <w:sz w:val="20"/>
                <w:szCs w:val="20"/>
                <w:color w:val="auto"/>
              </w:rPr>
            </w:pPr>
            <w:r>
              <w:rPr>
                <w:rFonts w:ascii="Arial" w:cs="Arial" w:eastAsia="Arial" w:hAnsi="Arial"/>
                <w:sz w:val="16"/>
                <w:szCs w:val="16"/>
                <w:b w:val="1"/>
                <w:bCs w:val="1"/>
                <w:color w:val="457157"/>
              </w:rPr>
              <w:t>​</w:t>
            </w:r>
          </w:p>
        </w:tc>
        <w:tc>
          <w:tcPr>
            <w:tcW w:w="0" w:type="dxa"/>
            <w:vAlign w:val="bottom"/>
          </w:tcPr>
          <w:p>
            <w:pPr>
              <w:spacing w:after="0"/>
              <w:rPr>
                <w:sz w:val="1"/>
                <w:szCs w:val="1"/>
                <w:color w:val="auto"/>
              </w:rPr>
            </w:pPr>
          </w:p>
        </w:tc>
      </w:tr>
      <w:tr>
        <w:trPr>
          <w:trHeight w:val="466"/>
        </w:trPr>
        <w:tc>
          <w:tcPr>
            <w:tcW w:w="180" w:type="dxa"/>
            <w:vAlign w:val="bottom"/>
            <w:shd w:val="clear" w:color="auto" w:fill="D0DCD5"/>
          </w:tcPr>
          <w:p>
            <w:pPr>
              <w:spacing w:after="0"/>
              <w:rPr>
                <w:sz w:val="24"/>
                <w:szCs w:val="24"/>
                <w:color w:val="auto"/>
              </w:rPr>
            </w:pPr>
          </w:p>
        </w:tc>
        <w:tc>
          <w:tcPr>
            <w:tcW w:w="1020" w:type="dxa"/>
            <w:vAlign w:val="bottom"/>
            <w:vMerge w:val="restart"/>
            <w:shd w:val="clear" w:color="auto" w:fill="D0DCD5"/>
          </w:tcPr>
          <w:p>
            <w:pPr>
              <w:ind w:left="320"/>
              <w:spacing w:after="0"/>
              <w:rPr>
                <w:sz w:val="20"/>
                <w:szCs w:val="20"/>
                <w:color w:val="auto"/>
              </w:rPr>
            </w:pPr>
            <w:r>
              <w:rPr>
                <w:rFonts w:ascii="Arial" w:cs="Arial" w:eastAsia="Arial" w:hAnsi="Arial"/>
                <w:sz w:val="65"/>
                <w:szCs w:val="65"/>
                <w:b w:val="1"/>
                <w:bCs w:val="1"/>
                <w:color w:val="457157"/>
              </w:rPr>
              <w:t>1</w:t>
            </w:r>
            <w:r>
              <w:rPr>
                <w:rFonts w:ascii="Arial" w:cs="Arial" w:eastAsia="Arial" w:hAnsi="Arial"/>
                <w:sz w:val="17"/>
                <w:szCs w:val="17"/>
                <w:color w:val="000000"/>
              </w:rPr>
              <w:t>​</w:t>
            </w:r>
          </w:p>
        </w:tc>
        <w:tc>
          <w:tcPr>
            <w:tcW w:w="340" w:type="dxa"/>
            <w:vAlign w:val="bottom"/>
            <w:shd w:val="clear" w:color="auto" w:fill="D0DCD5"/>
          </w:tcPr>
          <w:p>
            <w:pPr>
              <w:spacing w:after="0"/>
              <w:rPr>
                <w:sz w:val="24"/>
                <w:szCs w:val="24"/>
                <w:color w:val="auto"/>
              </w:rPr>
            </w:pPr>
          </w:p>
        </w:tc>
        <w:tc>
          <w:tcPr>
            <w:tcW w:w="5180" w:type="dxa"/>
            <w:vAlign w:val="bottom"/>
            <w:shd w:val="clear" w:color="auto" w:fill="D0DCD5"/>
          </w:tcPr>
          <w:p>
            <w:pPr>
              <w:ind w:left="40"/>
              <w:spacing w:after="0"/>
              <w:rPr>
                <w:sz w:val="20"/>
                <w:szCs w:val="20"/>
                <w:color w:val="auto"/>
              </w:rPr>
            </w:pPr>
            <w:r>
              <w:rPr>
                <w:rFonts w:ascii="Arial" w:cs="Arial" w:eastAsia="Arial" w:hAnsi="Arial"/>
                <w:sz w:val="18"/>
                <w:szCs w:val="18"/>
                <w:b w:val="1"/>
                <w:bCs w:val="1"/>
                <w:color w:val="auto"/>
              </w:rPr>
              <w:t>Election of Director Nominees set forth in this Proxy</w:t>
            </w:r>
          </w:p>
        </w:tc>
        <w:tc>
          <w:tcPr>
            <w:tcW w:w="2180" w:type="dxa"/>
            <w:vAlign w:val="bottom"/>
            <w:shd w:val="clear" w:color="auto" w:fill="D0DCD5"/>
          </w:tcPr>
          <w:p>
            <w:pPr>
              <w:ind w:left="4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director</w:t>
            </w:r>
          </w:p>
        </w:tc>
        <w:tc>
          <w:tcPr>
            <w:tcW w:w="160" w:type="dxa"/>
            <w:vAlign w:val="bottom"/>
            <w:shd w:val="clear" w:color="auto" w:fill="D0DCD5"/>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vMerge w:val="continue"/>
            <w:shd w:val="clear" w:color="auto" w:fill="D0DCD5"/>
          </w:tcPr>
          <w:p>
            <w:pPr>
              <w:spacing w:after="0"/>
              <w:rPr>
                <w:sz w:val="24"/>
                <w:szCs w:val="24"/>
                <w:color w:val="auto"/>
              </w:rPr>
            </w:pPr>
          </w:p>
        </w:tc>
        <w:tc>
          <w:tcPr>
            <w:tcW w:w="340" w:type="dxa"/>
            <w:vAlign w:val="bottom"/>
            <w:tcBorders>
              <w:bottom w:val="single" w:sz="8" w:color="457157"/>
            </w:tcBorders>
            <w:shd w:val="clear" w:color="auto" w:fill="D0DCD5"/>
          </w:tcPr>
          <w:p>
            <w:pPr>
              <w:ind w:left="140"/>
              <w:spacing w:after="0"/>
              <w:rPr>
                <w:sz w:val="20"/>
                <w:szCs w:val="20"/>
                <w:color w:val="auto"/>
              </w:rPr>
            </w:pPr>
            <w:r>
              <w:rPr>
                <w:rFonts w:ascii="Arial" w:cs="Arial" w:eastAsia="Arial" w:hAnsi="Arial"/>
                <w:sz w:val="18"/>
                <w:szCs w:val="18"/>
                <w:color w:val="auto"/>
              </w:rPr>
              <w:t>​ ​</w:t>
            </w:r>
          </w:p>
        </w:tc>
        <w:tc>
          <w:tcPr>
            <w:tcW w:w="5180" w:type="dxa"/>
            <w:vAlign w:val="bottom"/>
            <w:tcBorders>
              <w:bottom w:val="single" w:sz="8" w:color="457157"/>
            </w:tcBorders>
            <w:shd w:val="clear" w:color="auto" w:fill="D0DCD5"/>
          </w:tcPr>
          <w:p>
            <w:pPr>
              <w:ind w:left="40"/>
              <w:spacing w:after="0"/>
              <w:rPr>
                <w:sz w:val="20"/>
                <w:szCs w:val="20"/>
                <w:color w:val="auto"/>
              </w:rPr>
            </w:pPr>
            <w:r>
              <w:rPr>
                <w:rFonts w:ascii="Arial" w:cs="Arial" w:eastAsia="Arial" w:hAnsi="Arial"/>
                <w:sz w:val="18"/>
                <w:szCs w:val="18"/>
                <w:b w:val="1"/>
                <w:bCs w:val="1"/>
                <w:color w:val="auto"/>
              </w:rPr>
              <w:t>Statement</w:t>
            </w:r>
          </w:p>
        </w:tc>
        <w:tc>
          <w:tcPr>
            <w:tcW w:w="218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nominee</w:t>
            </w:r>
          </w:p>
        </w:tc>
        <w:tc>
          <w:tcPr>
            <w:tcW w:w="1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180" w:type="dxa"/>
            <w:vAlign w:val="bottom"/>
            <w:shd w:val="clear" w:color="auto" w:fill="ECF1EE"/>
          </w:tcPr>
          <w:p>
            <w:pPr>
              <w:spacing w:after="0"/>
              <w:rPr>
                <w:sz w:val="24"/>
                <w:szCs w:val="24"/>
                <w:color w:val="auto"/>
              </w:rPr>
            </w:pPr>
          </w:p>
        </w:tc>
        <w:tc>
          <w:tcPr>
            <w:tcW w:w="1020" w:type="dxa"/>
            <w:vAlign w:val="bottom"/>
            <w:vMerge w:val="restart"/>
            <w:shd w:val="clear" w:color="auto" w:fill="ECF1EE"/>
          </w:tcPr>
          <w:p>
            <w:pPr>
              <w:ind w:left="320"/>
              <w:spacing w:after="0"/>
              <w:rPr>
                <w:sz w:val="20"/>
                <w:szCs w:val="20"/>
                <w:color w:val="auto"/>
              </w:rPr>
            </w:pPr>
            <w:r>
              <w:rPr>
                <w:rFonts w:ascii="Arial" w:cs="Arial" w:eastAsia="Arial" w:hAnsi="Arial"/>
                <w:sz w:val="65"/>
                <w:szCs w:val="65"/>
                <w:b w:val="1"/>
                <w:bCs w:val="1"/>
                <w:color w:val="457157"/>
              </w:rPr>
              <w:t>2</w:t>
            </w:r>
            <w:r>
              <w:rPr>
                <w:rFonts w:ascii="Arial" w:cs="Arial" w:eastAsia="Arial" w:hAnsi="Arial"/>
                <w:sz w:val="17"/>
                <w:szCs w:val="17"/>
                <w:color w:val="000000"/>
              </w:rPr>
              <w:t>​</w:t>
            </w:r>
          </w:p>
        </w:tc>
        <w:tc>
          <w:tcPr>
            <w:tcW w:w="340" w:type="dxa"/>
            <w:vAlign w:val="bottom"/>
            <w:shd w:val="clear" w:color="auto" w:fill="ECF1EE"/>
          </w:tcPr>
          <w:p>
            <w:pPr>
              <w:spacing w:after="0"/>
              <w:rPr>
                <w:sz w:val="24"/>
                <w:szCs w:val="24"/>
                <w:color w:val="auto"/>
              </w:rPr>
            </w:pP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Ratification of Ernst &amp; Young LLP as the Company’s</w:t>
            </w:r>
          </w:p>
        </w:tc>
        <w:tc>
          <w:tcPr>
            <w:tcW w:w="2180" w:type="dxa"/>
            <w:vAlign w:val="bottom"/>
            <w:vMerge w:val="restart"/>
            <w:shd w:val="clear" w:color="auto" w:fill="ECF1EE"/>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vMerge w:val="continue"/>
            <w:shd w:val="clear" w:color="auto" w:fill="ECF1EE"/>
          </w:tcPr>
          <w:p>
            <w:pPr>
              <w:spacing w:after="0"/>
              <w:rPr>
                <w:sz w:val="21"/>
                <w:szCs w:val="21"/>
                <w:color w:val="auto"/>
              </w:rPr>
            </w:pPr>
          </w:p>
        </w:tc>
        <w:tc>
          <w:tcPr>
            <w:tcW w:w="5520" w:type="dxa"/>
            <w:vAlign w:val="bottom"/>
            <w:gridSpan w:val="2"/>
            <w:shd w:val="clear" w:color="auto" w:fill="ECF1EE"/>
          </w:tcPr>
          <w:p>
            <w:pPr>
              <w:ind w:left="140"/>
              <w:spacing w:after="0"/>
              <w:rPr>
                <w:sz w:val="20"/>
                <w:szCs w:val="20"/>
                <w:color w:val="auto"/>
              </w:rPr>
            </w:pPr>
            <w:r>
              <w:rPr>
                <w:rFonts w:ascii="Arial" w:cs="Arial" w:eastAsia="Arial" w:hAnsi="Arial"/>
                <w:sz w:val="18"/>
                <w:szCs w:val="18"/>
                <w:b w:val="1"/>
                <w:bCs w:val="1"/>
                <w:color w:val="auto"/>
              </w:rPr>
              <w:t>​ ​ Independent Registered Public Accounting Firm for</w:t>
            </w:r>
          </w:p>
        </w:tc>
        <w:tc>
          <w:tcPr>
            <w:tcW w:w="2180" w:type="dxa"/>
            <w:vAlign w:val="bottom"/>
            <w:vMerge w:val="continue"/>
            <w:shd w:val="clear" w:color="auto" w:fill="ECF1EE"/>
          </w:tcPr>
          <w:p>
            <w:pPr>
              <w:spacing w:after="0"/>
              <w:rPr>
                <w:sz w:val="21"/>
                <w:szCs w:val="21"/>
                <w:color w:val="auto"/>
              </w:rPr>
            </w:pPr>
          </w:p>
        </w:tc>
        <w:tc>
          <w:tcPr>
            <w:tcW w:w="160" w:type="dxa"/>
            <w:vAlign w:val="bottom"/>
            <w:shd w:val="clear" w:color="auto" w:fill="ECF1EE"/>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8"/>
        </w:trPr>
        <w:tc>
          <w:tcPr>
            <w:tcW w:w="180" w:type="dxa"/>
            <w:vAlign w:val="bottom"/>
            <w:shd w:val="clear" w:color="auto" w:fill="ECF1EE"/>
          </w:tcPr>
          <w:p>
            <w:pPr>
              <w:spacing w:after="0"/>
              <w:rPr>
                <w:sz w:val="24"/>
                <w:szCs w:val="24"/>
                <w:color w:val="auto"/>
              </w:rPr>
            </w:pPr>
          </w:p>
        </w:tc>
        <w:tc>
          <w:tcPr>
            <w:tcW w:w="1020" w:type="dxa"/>
            <w:vAlign w:val="bottom"/>
            <w:vMerge w:val="continue"/>
            <w:shd w:val="clear" w:color="auto" w:fill="ECF1EE"/>
          </w:tcPr>
          <w:p>
            <w:pPr>
              <w:spacing w:after="0"/>
              <w:rPr>
                <w:sz w:val="24"/>
                <w:szCs w:val="24"/>
                <w:color w:val="auto"/>
              </w:rPr>
            </w:pPr>
          </w:p>
        </w:tc>
        <w:tc>
          <w:tcPr>
            <w:tcW w:w="340" w:type="dxa"/>
            <w:vAlign w:val="bottom"/>
            <w:shd w:val="clear" w:color="auto" w:fill="ECF1EE"/>
          </w:tcPr>
          <w:p>
            <w:pPr>
              <w:spacing w:after="0"/>
              <w:rPr>
                <w:sz w:val="24"/>
                <w:szCs w:val="24"/>
                <w:color w:val="auto"/>
              </w:rPr>
            </w:pP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fiscal year 2024</w:t>
            </w:r>
          </w:p>
        </w:tc>
        <w:tc>
          <w:tcPr>
            <w:tcW w:w="2180" w:type="dxa"/>
            <w:vAlign w:val="bottom"/>
            <w:shd w:val="clear" w:color="auto" w:fill="ECF1EE"/>
          </w:tcPr>
          <w:p>
            <w:pPr>
              <w:spacing w:after="0"/>
              <w:rPr>
                <w:sz w:val="24"/>
                <w:szCs w:val="24"/>
                <w:color w:val="auto"/>
              </w:rPr>
            </w:pPr>
          </w:p>
        </w:tc>
        <w:tc>
          <w:tcPr>
            <w:tcW w:w="16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80" w:type="dxa"/>
            <w:vAlign w:val="bottom"/>
            <w:tcBorders>
              <w:bottom w:val="single" w:sz="8" w:color="457157"/>
            </w:tcBorders>
            <w:shd w:val="clear" w:color="auto" w:fill="ECF1EE"/>
          </w:tcPr>
          <w:p>
            <w:pPr>
              <w:spacing w:after="0"/>
              <w:rPr>
                <w:sz w:val="6"/>
                <w:szCs w:val="6"/>
                <w:color w:val="auto"/>
              </w:rPr>
            </w:pPr>
          </w:p>
        </w:tc>
        <w:tc>
          <w:tcPr>
            <w:tcW w:w="1020" w:type="dxa"/>
            <w:vAlign w:val="bottom"/>
            <w:tcBorders>
              <w:bottom w:val="single" w:sz="8" w:color="457157"/>
            </w:tcBorders>
            <w:shd w:val="clear" w:color="auto" w:fill="ECF1EE"/>
          </w:tcPr>
          <w:p>
            <w:pPr>
              <w:spacing w:after="0"/>
              <w:rPr>
                <w:sz w:val="6"/>
                <w:szCs w:val="6"/>
                <w:color w:val="auto"/>
              </w:rPr>
            </w:pPr>
          </w:p>
        </w:tc>
        <w:tc>
          <w:tcPr>
            <w:tcW w:w="5520" w:type="dxa"/>
            <w:vAlign w:val="bottom"/>
            <w:tcBorders>
              <w:bottom w:val="single" w:sz="8" w:color="457157"/>
            </w:tcBorders>
            <w:gridSpan w:val="2"/>
            <w:shd w:val="clear" w:color="auto" w:fill="ECF1EE"/>
          </w:tcPr>
          <w:p>
            <w:pPr>
              <w:spacing w:after="0"/>
              <w:rPr>
                <w:sz w:val="6"/>
                <w:szCs w:val="6"/>
                <w:color w:val="auto"/>
              </w:rPr>
            </w:pPr>
          </w:p>
        </w:tc>
        <w:tc>
          <w:tcPr>
            <w:tcW w:w="2180" w:type="dxa"/>
            <w:vAlign w:val="bottom"/>
            <w:tcBorders>
              <w:bottom w:val="single" w:sz="8" w:color="457157"/>
            </w:tcBorders>
            <w:shd w:val="clear" w:color="auto" w:fill="ECF1EE"/>
          </w:tcPr>
          <w:p>
            <w:pPr>
              <w:spacing w:after="0"/>
              <w:rPr>
                <w:sz w:val="6"/>
                <w:szCs w:val="6"/>
                <w:color w:val="auto"/>
              </w:rPr>
            </w:pPr>
          </w:p>
        </w:tc>
        <w:tc>
          <w:tcPr>
            <w:tcW w:w="160" w:type="dxa"/>
            <w:vAlign w:val="bottom"/>
            <w:tcBorders>
              <w:bottom w:val="single" w:sz="8" w:color="457157"/>
            </w:tcBorders>
            <w:shd w:val="clear" w:color="auto" w:fill="ECF1EE"/>
          </w:tcPr>
          <w:p>
            <w:pPr>
              <w:spacing w:after="0"/>
              <w:rPr>
                <w:sz w:val="6"/>
                <w:szCs w:val="6"/>
                <w:color w:val="auto"/>
              </w:rPr>
            </w:pPr>
          </w:p>
        </w:tc>
        <w:tc>
          <w:tcPr>
            <w:tcW w:w="0" w:type="dxa"/>
            <w:vAlign w:val="bottom"/>
          </w:tcPr>
          <w:p>
            <w:pPr>
              <w:spacing w:after="0"/>
              <w:rPr>
                <w:sz w:val="1"/>
                <w:szCs w:val="1"/>
                <w:color w:val="auto"/>
              </w:rPr>
            </w:pPr>
          </w:p>
        </w:tc>
      </w:tr>
      <w:tr>
        <w:trPr>
          <w:trHeight w:val="817"/>
        </w:trPr>
        <w:tc>
          <w:tcPr>
            <w:tcW w:w="1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457157"/>
            </w:tcBorders>
            <w:shd w:val="clear" w:color="auto" w:fill="D0DCD5"/>
          </w:tcPr>
          <w:p>
            <w:pPr>
              <w:ind w:left="320"/>
              <w:spacing w:after="0"/>
              <w:rPr>
                <w:sz w:val="20"/>
                <w:szCs w:val="20"/>
                <w:color w:val="auto"/>
              </w:rPr>
            </w:pPr>
            <w:r>
              <w:rPr>
                <w:rFonts w:ascii="Arial" w:cs="Arial" w:eastAsia="Arial" w:hAnsi="Arial"/>
                <w:sz w:val="65"/>
                <w:szCs w:val="65"/>
                <w:b w:val="1"/>
                <w:bCs w:val="1"/>
                <w:color w:val="457157"/>
              </w:rPr>
              <w:t>3</w:t>
            </w:r>
            <w:r>
              <w:rPr>
                <w:rFonts w:ascii="Arial" w:cs="Arial" w:eastAsia="Arial" w:hAnsi="Arial"/>
                <w:sz w:val="17"/>
                <w:szCs w:val="17"/>
                <w:color w:val="000000"/>
              </w:rPr>
              <w:t>​</w:t>
            </w:r>
          </w:p>
        </w:tc>
        <w:tc>
          <w:tcPr>
            <w:tcW w:w="5520" w:type="dxa"/>
            <w:vAlign w:val="bottom"/>
            <w:tcBorders>
              <w:bottom w:val="single" w:sz="8" w:color="457157"/>
            </w:tcBorders>
            <w:gridSpan w:val="2"/>
            <w:shd w:val="clear" w:color="auto" w:fill="D0DCD5"/>
          </w:tcPr>
          <w:p>
            <w:pPr>
              <w:ind w:left="140"/>
              <w:spacing w:after="0"/>
              <w:rPr>
                <w:sz w:val="20"/>
                <w:szCs w:val="20"/>
                <w:color w:val="auto"/>
              </w:rPr>
            </w:pPr>
            <w:r>
              <w:rPr>
                <w:rFonts w:ascii="Arial" w:cs="Arial" w:eastAsia="Arial" w:hAnsi="Arial"/>
                <w:sz w:val="18"/>
                <w:szCs w:val="18"/>
                <w:b w:val="1"/>
                <w:bCs w:val="1"/>
                <w:color w:val="auto"/>
              </w:rPr>
              <w:t>​ ​ Approval of the Company’s Executive Compensation</w:t>
            </w:r>
          </w:p>
        </w:tc>
        <w:tc>
          <w:tcPr>
            <w:tcW w:w="218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47"/>
        </w:trPr>
        <w:tc>
          <w:tcPr>
            <w:tcW w:w="180" w:type="dxa"/>
            <w:vAlign w:val="bottom"/>
            <w:vMerge w:val="restart"/>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ECF1EE"/>
          </w:tcPr>
          <w:p>
            <w:pPr>
              <w:ind w:left="320"/>
              <w:spacing w:after="0"/>
              <w:rPr>
                <w:sz w:val="20"/>
                <w:szCs w:val="20"/>
                <w:color w:val="auto"/>
              </w:rPr>
            </w:pPr>
            <w:r>
              <w:rPr>
                <w:rFonts w:ascii="Arial" w:cs="Arial" w:eastAsia="Arial" w:hAnsi="Arial"/>
                <w:sz w:val="65"/>
                <w:szCs w:val="65"/>
                <w:b w:val="1"/>
                <w:bCs w:val="1"/>
                <w:color w:val="457157"/>
              </w:rPr>
              <w:t>4</w:t>
            </w:r>
            <w:r>
              <w:rPr>
                <w:rFonts w:ascii="Arial" w:cs="Arial" w:eastAsia="Arial" w:hAnsi="Arial"/>
                <w:sz w:val="17"/>
                <w:szCs w:val="17"/>
                <w:color w:val="000000"/>
              </w:rPr>
              <w:t>​</w:t>
            </w:r>
          </w:p>
        </w:tc>
        <w:tc>
          <w:tcPr>
            <w:tcW w:w="340" w:type="dxa"/>
            <w:vAlign w:val="bottom"/>
            <w:vMerge w:val="restart"/>
            <w:shd w:val="clear" w:color="auto" w:fill="ECF1EE"/>
          </w:tcPr>
          <w:p>
            <w:pPr>
              <w:ind w:left="140"/>
              <w:spacing w:after="0"/>
              <w:rPr>
                <w:sz w:val="20"/>
                <w:szCs w:val="20"/>
                <w:color w:val="auto"/>
              </w:rPr>
            </w:pPr>
            <w:r>
              <w:rPr>
                <w:rFonts w:ascii="Arial" w:cs="Arial" w:eastAsia="Arial" w:hAnsi="Arial"/>
                <w:sz w:val="18"/>
                <w:szCs w:val="18"/>
                <w:b w:val="1"/>
                <w:bCs w:val="1"/>
                <w:color w:val="auto"/>
              </w:rPr>
              <w:t>​ ​</w:t>
            </w:r>
          </w:p>
        </w:tc>
        <w:tc>
          <w:tcPr>
            <w:tcW w:w="5180" w:type="dxa"/>
            <w:vAlign w:val="bottom"/>
            <w:shd w:val="clear" w:color="auto" w:fill="ECF1EE"/>
          </w:tcPr>
          <w:p>
            <w:pPr>
              <w:ind w:left="20"/>
              <w:spacing w:after="0"/>
              <w:rPr>
                <w:sz w:val="20"/>
                <w:szCs w:val="20"/>
                <w:color w:val="auto"/>
              </w:rPr>
            </w:pPr>
            <w:r>
              <w:rPr>
                <w:rFonts w:ascii="Arial" w:cs="Arial" w:eastAsia="Arial" w:hAnsi="Arial"/>
                <w:sz w:val="18"/>
                <w:szCs w:val="18"/>
                <w:b w:val="1"/>
                <w:bCs w:val="1"/>
                <w:color w:val="auto"/>
              </w:rPr>
              <w:t>Approval of an Amendment to the Certificate of</w:t>
            </w:r>
          </w:p>
        </w:tc>
        <w:tc>
          <w:tcPr>
            <w:tcW w:w="2180" w:type="dxa"/>
            <w:vAlign w:val="bottom"/>
            <w:vMerge w:val="restart"/>
            <w:shd w:val="clear" w:color="auto" w:fill="ECF1EE"/>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vMerge w:val="restart"/>
            <w:shd w:val="clear" w:color="auto" w:fill="ECF1EE"/>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58"/>
        </w:trPr>
        <w:tc>
          <w:tcPr>
            <w:tcW w:w="180" w:type="dxa"/>
            <w:vAlign w:val="bottom"/>
            <w:tcBorders>
              <w:bottom w:val="single" w:sz="8" w:color="ECF1EE"/>
            </w:tcBorders>
            <w:vMerge w:val="continue"/>
            <w:shd w:val="clear" w:color="auto" w:fill="ECF1EE"/>
          </w:tcPr>
          <w:p>
            <w:pPr>
              <w:spacing w:after="0"/>
              <w:rPr>
                <w:sz w:val="24"/>
                <w:szCs w:val="24"/>
                <w:color w:val="auto"/>
              </w:rPr>
            </w:pPr>
          </w:p>
        </w:tc>
        <w:tc>
          <w:tcPr>
            <w:tcW w:w="1020" w:type="dxa"/>
            <w:vAlign w:val="bottom"/>
            <w:tcBorders>
              <w:bottom w:val="single" w:sz="8" w:color="ECF1EE"/>
            </w:tcBorders>
            <w:vMerge w:val="continue"/>
            <w:shd w:val="clear" w:color="auto" w:fill="ECF1EE"/>
          </w:tcPr>
          <w:p>
            <w:pPr>
              <w:spacing w:after="0"/>
              <w:rPr>
                <w:sz w:val="24"/>
                <w:szCs w:val="24"/>
                <w:color w:val="auto"/>
              </w:rPr>
            </w:pPr>
          </w:p>
        </w:tc>
        <w:tc>
          <w:tcPr>
            <w:tcW w:w="340" w:type="dxa"/>
            <w:vAlign w:val="bottom"/>
            <w:tcBorders>
              <w:bottom w:val="single" w:sz="8" w:color="ECF1EE"/>
            </w:tcBorders>
            <w:vMerge w:val="continue"/>
            <w:shd w:val="clear" w:color="auto" w:fill="ECF1EE"/>
          </w:tcPr>
          <w:p>
            <w:pPr>
              <w:spacing w:after="0"/>
              <w:rPr>
                <w:sz w:val="24"/>
                <w:szCs w:val="24"/>
                <w:color w:val="auto"/>
              </w:rPr>
            </w:pPr>
          </w:p>
        </w:tc>
        <w:tc>
          <w:tcPr>
            <w:tcW w:w="5180" w:type="dxa"/>
            <w:vAlign w:val="bottom"/>
            <w:tcBorders>
              <w:bottom w:val="single" w:sz="8" w:color="ECF1EE"/>
            </w:tcBorders>
            <w:shd w:val="clear" w:color="auto" w:fill="ECF1EE"/>
          </w:tcPr>
          <w:p>
            <w:pPr>
              <w:ind w:left="20"/>
              <w:spacing w:after="0"/>
              <w:rPr>
                <w:sz w:val="20"/>
                <w:szCs w:val="20"/>
                <w:color w:val="auto"/>
              </w:rPr>
            </w:pPr>
            <w:r>
              <w:rPr>
                <w:rFonts w:ascii="Arial" w:cs="Arial" w:eastAsia="Arial" w:hAnsi="Arial"/>
                <w:sz w:val="18"/>
                <w:szCs w:val="18"/>
                <w:b w:val="1"/>
                <w:bCs w:val="1"/>
                <w:color w:val="auto"/>
              </w:rPr>
              <w:t>Incorporation to Provide for Officer Exculpation</w:t>
            </w:r>
          </w:p>
        </w:tc>
        <w:tc>
          <w:tcPr>
            <w:tcW w:w="2180" w:type="dxa"/>
            <w:vAlign w:val="bottom"/>
            <w:tcBorders>
              <w:bottom w:val="single" w:sz="8" w:color="ECF1EE"/>
            </w:tcBorders>
            <w:vMerge w:val="continue"/>
            <w:shd w:val="clear" w:color="auto" w:fill="ECF1EE"/>
          </w:tcPr>
          <w:p>
            <w:pPr>
              <w:spacing w:after="0"/>
              <w:rPr>
                <w:sz w:val="24"/>
                <w:szCs w:val="24"/>
                <w:color w:val="auto"/>
              </w:rPr>
            </w:pPr>
          </w:p>
        </w:tc>
        <w:tc>
          <w:tcPr>
            <w:tcW w:w="160" w:type="dxa"/>
            <w:vAlign w:val="bottom"/>
            <w:tcBorders>
              <w:bottom w:val="single" w:sz="8" w:color="ECF1EE"/>
            </w:tcBorders>
            <w:vMerge w:val="continue"/>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5180" w:type="dxa"/>
            <w:vAlign w:val="bottom"/>
            <w:shd w:val="clear" w:color="auto" w:fill="457157"/>
          </w:tcPr>
          <w:p>
            <w:pPr>
              <w:spacing w:after="0" w:line="20" w:lineRule="exact"/>
              <w:rPr>
                <w:sz w:val="1"/>
                <w:szCs w:val="1"/>
                <w:color w:val="auto"/>
              </w:rPr>
            </w:pPr>
          </w:p>
        </w:tc>
        <w:tc>
          <w:tcPr>
            <w:tcW w:w="21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b w:val="1"/>
          <w:bCs w:val="1"/>
          <w:color w:val="457157"/>
        </w:rPr>
        <w:t xml:space="preserve">Votes Required to Adopt the Proposals </w:t>
      </w:r>
      <w:r>
        <w:rPr>
          <w:rFonts w:ascii="Arial" w:cs="Arial" w:eastAsia="Arial" w:hAnsi="Arial"/>
          <w:sz w:val="18"/>
          <w:szCs w:val="18"/>
          <w:color w:val="000000"/>
        </w:rPr>
        <w:t>Each share of our Common Stock outstanding on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record date is entitled to one vote on each of the nine director nominees and one vote on each other proposal.</w:t>
      </w:r>
    </w:p>
    <w:p>
      <w:pPr>
        <w:spacing w:after="0" w:line="267"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To be elected, a director must receive a majority of the votes cast with respect to that director’s election at the meeting; this means that the number of shares voted “for” a director must exceed 50% of the votes cast with respect to that director.</w:t>
      </w:r>
    </w:p>
    <w:p>
      <w:pPr>
        <w:spacing w:after="0" w:line="54"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u w:val="single" w:color="auto"/>
          <w:color w:val="auto"/>
        </w:rPr>
        <w:t>Proposal 2 and 3</w:t>
      </w:r>
      <w:r>
        <w:rPr>
          <w:rFonts w:ascii="Arial" w:cs="Arial" w:eastAsia="Arial" w:hAnsi="Arial"/>
          <w:sz w:val="18"/>
          <w:szCs w:val="18"/>
          <w:color w:val="auto"/>
        </w:rPr>
        <w:t>: In order to be adopted, each of proposals 2 and 3 require the affirmative vote of the holders of a majority of the outstanding shares of Common Stock present, in person or by proxy, and entitled to vote on the matter.</w:t>
      </w:r>
    </w:p>
    <w:p>
      <w:pPr>
        <w:spacing w:after="0" w:line="54"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In order to be adopted, proposal 4 requires the affirmative vote of the holders of a majority of the outstanding shares of Common Stock entitled to vote on the matter.</w:t>
      </w:r>
    </w:p>
    <w:p>
      <w:pPr>
        <w:spacing w:after="0" w:line="31"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b w:val="1"/>
          <w:bCs w:val="1"/>
          <w:color w:val="457157"/>
        </w:rPr>
        <w:t xml:space="preserve">Effect of Abstentions </w:t>
      </w:r>
      <w:r>
        <w:rPr>
          <w:rFonts w:ascii="Arial" w:cs="Arial" w:eastAsia="Arial" w:hAnsi="Arial"/>
          <w:sz w:val="18"/>
          <w:szCs w:val="18"/>
          <w:color w:val="000000"/>
        </w:rPr>
        <w:t>Abstentions will have no effect on the election of directors. For each of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 xml:space="preserve">other proposals, abstentions will have the same effect as a vote </w:t>
      </w:r>
      <w:r>
        <w:rPr>
          <w:rFonts w:ascii="Arial" w:cs="Arial" w:eastAsia="Arial" w:hAnsi="Arial"/>
          <w:sz w:val="18"/>
          <w:szCs w:val="18"/>
          <w:i w:val="1"/>
          <w:iCs w:val="1"/>
          <w:color w:val="000000"/>
        </w:rPr>
        <w:t>against</w:t>
      </w:r>
      <w:r>
        <w:rPr>
          <w:rFonts w:ascii="Arial" w:cs="Arial" w:eastAsia="Arial" w:hAnsi="Arial"/>
          <w:sz w:val="18"/>
          <w:szCs w:val="18"/>
          <w:color w:val="000000"/>
        </w:rPr>
        <w:t xml:space="preserve"> these matters.</w:t>
      </w:r>
    </w:p>
    <w:p>
      <w:pPr>
        <w:spacing w:after="0" w:line="59"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color w:val="457157"/>
        </w:rPr>
        <w:t xml:space="preserve">Effect of Broker Non-Votes </w:t>
      </w:r>
      <w:r>
        <w:rPr>
          <w:rFonts w:ascii="Arial" w:cs="Arial" w:eastAsia="Arial" w:hAnsi="Arial"/>
          <w:sz w:val="18"/>
          <w:szCs w:val="18"/>
          <w:color w:val="000000"/>
        </w:rPr>
        <w:t>If your shares are held by a broker, you may submit your voting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instructions to the broker as to how you want your shares to be voted. If you give the broker instructions, your shares must be voted as you direct. If you do not instruct your broker how to vote your shares using the instructions your broker provides to you, your broker may vote your shares at its discretion on proposal 2 regarding ratification of the Company’s independent registered public accounting firm, but not for any other proposal. When this happens, it is called a “broker non-vote.” To be sure your shares are voted in the manner you desire, you should instruct your broker how to vote your shares.</w:t>
      </w:r>
    </w:p>
    <w:p>
      <w:pPr>
        <w:spacing w:after="0" w:line="282"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With respect to proposal 1 and proposal 3, broker non-votes will have no effect on the outcome. With respect to proposal 4, a broker non- vote is the same as a vote against the proposal because, as stated above, approval of proposal 4 requires the affirmative vote of the holders of a majority of the outstanding shares of Common Stock entitled to vote on the matter.</w:t>
      </w:r>
    </w:p>
    <w:p>
      <w:pPr>
        <w:spacing w:after="0" w:line="62"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b w:val="1"/>
          <w:bCs w:val="1"/>
          <w:color w:val="457157"/>
        </w:rPr>
        <w:t xml:space="preserve">Quorum </w:t>
      </w:r>
      <w:r>
        <w:rPr>
          <w:rFonts w:ascii="Arial" w:cs="Arial" w:eastAsia="Arial" w:hAnsi="Arial"/>
          <w:sz w:val="18"/>
          <w:szCs w:val="18"/>
          <w:color w:val="000000"/>
        </w:rPr>
        <w:t>The holders of a majority of the shares of Common Stock outstanding on the record date</w:t>
      </w:r>
      <w:r>
        <w:rPr>
          <w:rFonts w:ascii="Arial" w:cs="Arial" w:eastAsia="Arial" w:hAnsi="Arial"/>
          <w:sz w:val="18"/>
          <w:szCs w:val="18"/>
          <w:b w:val="1"/>
          <w:bCs w:val="1"/>
          <w:color w:val="457157"/>
        </w:rPr>
        <w:t xml:space="preserve"> </w:t>
      </w:r>
      <w:r>
        <w:rPr>
          <w:rFonts w:ascii="Arial" w:cs="Arial" w:eastAsia="Arial" w:hAnsi="Arial"/>
          <w:sz w:val="18"/>
          <w:szCs w:val="18"/>
          <w:color w:val="000000"/>
        </w:rPr>
        <w:t>must be present in person or by proxy to constitute a quorum necessary to conduct the Annual Meeting. Abstentions and broker non-votes are counted for purposes of determining a quorum.</w:t>
      </w:r>
    </w:p>
    <w:p>
      <w:pPr>
        <w:spacing w:after="0" w:line="54" w:lineRule="exact"/>
        <w:rPr>
          <w:sz w:val="20"/>
          <w:szCs w:val="20"/>
          <w:color w:val="auto"/>
        </w:rPr>
      </w:pPr>
    </w:p>
    <w:p>
      <w:pPr>
        <w:ind w:left="820"/>
        <w:spacing w:after="0"/>
        <w:tabs>
          <w:tab w:leader="none" w:pos="7800" w:val="left"/>
        </w:tabs>
        <w:rPr>
          <w:sz w:val="20"/>
          <w:szCs w:val="20"/>
          <w:color w:val="auto"/>
        </w:rPr>
      </w:pPr>
      <w:r>
        <w:rPr>
          <w:rFonts w:ascii="Arial" w:cs="Arial" w:eastAsia="Arial" w:hAnsi="Arial"/>
          <w:sz w:val="18"/>
          <w:szCs w:val="18"/>
          <w:b w:val="1"/>
          <w:bCs w:val="1"/>
          <w:color w:val="457157"/>
        </w:rPr>
        <w:t>Stockholder Proposals and Nominees for the 2025 Annual Meeting</w:t>
      </w:r>
      <w:r>
        <w:rPr>
          <w:sz w:val="20"/>
          <w:szCs w:val="20"/>
          <w:color w:val="auto"/>
        </w:rPr>
        <w:tab/>
      </w:r>
      <w:r>
        <w:rPr>
          <w:rFonts w:ascii="Arial" w:cs="Arial" w:eastAsia="Arial" w:hAnsi="Arial"/>
          <w:sz w:val="18"/>
          <w:szCs w:val="18"/>
          <w:color w:val="auto"/>
        </w:rPr>
        <w:t>The Company will not</w:t>
      </w:r>
    </w:p>
    <w:p>
      <w:pPr>
        <w:spacing w:after="0" w:line="27"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consider any proposal or nomination that is not timely or otherwise does not meet the Company’s By-law and Securities and Exchange Commission (“SEC”) requirements for submitting a proposal or nomination. We also ask that you email a courtesy copy of any notice</w:t>
      </w:r>
    </w:p>
    <w:p>
      <w:pPr>
        <w:spacing w:after="0" w:line="263"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3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GENERAL INFORMATION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0" w:lineRule="exact"/>
        <w:rPr>
          <w:sz w:val="20"/>
          <w:szCs w:val="20"/>
          <w:color w:val="auto"/>
        </w:rPr>
      </w:pPr>
    </w:p>
    <w:p>
      <w:pPr>
        <w:jc w:val="both"/>
        <w:ind w:left="820" w:right="80"/>
        <w:spacing w:after="0" w:line="268" w:lineRule="auto"/>
        <w:rPr>
          <w:sz w:val="20"/>
          <w:szCs w:val="20"/>
          <w:color w:val="auto"/>
        </w:rPr>
      </w:pPr>
      <w:r>
        <w:rPr>
          <w:rFonts w:ascii="Arial" w:cs="Arial" w:eastAsia="Arial" w:hAnsi="Arial"/>
          <w:sz w:val="18"/>
          <w:szCs w:val="18"/>
          <w:color w:val="auto"/>
        </w:rPr>
        <w:t>to GCLegal@wm.com. A copy of our By- laws may be obtained free of charge by writing to our Corporate Secretary at 800 Capitol Street, Suite 3000, Houston, Texas 77002 and is available in the “ESG — Corporate Governance” section of investors.wm.com.</w:t>
      </w:r>
    </w:p>
    <w:p>
      <w:pPr>
        <w:spacing w:after="0" w:line="6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Stockholder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stockholders who wish to submit a proposal for inclusion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Rule 14a-8 under the Securities Exchange Act of 1934, as amended (the “Exchange Act”), for our 2025 Annual Meeting must submit their proposal to our Corporate Secretary at Waste Management, Inc., 800 Capitol Street, Suite 3000, Houston, Texas 77002 for receipt on or before December 3, 2024. The proponent and the proposal must comply with the requirements set forth in the federal securities laws, including Rule 14a-8 of the Exchange Act, in order to be included in the Company’s proxy statement and proxy card for the 2025 Annual Meeting.</w:t>
      </w:r>
    </w:p>
    <w:p>
      <w:pPr>
        <w:spacing w:after="0" w:line="75"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Advance Notice Proposals and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the Company’s By-laws establish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that 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 -laws, for a proposal or nominee not included in our proxy materials to be properly brought before the 2025 Annual Meeting, a stockholder’s notice must be delivered to our Corporate Secretary at Waste Management, Inc., 800 Capitol Street, Suite 3000, Houston, Texas 77002 no earlier than December 15, 2024 and no later than January 14, 2025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14, 2025, and must also comply with all other requirements of Rule 14a-19 under the Exchange Act. The Company will disregard any proxies solicited for a stockholder’s director nominee(s) if such stockholder fails to comply with such requirements.</w:t>
      </w:r>
    </w:p>
    <w:p>
      <w:pPr>
        <w:spacing w:after="0" w:line="29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u w:val="single" w:color="auto"/>
          <w:color w:val="auto"/>
        </w:rPr>
        <w:t>Proxy Access Nominations:</w:t>
      </w:r>
      <w:r>
        <w:rPr>
          <w:rFonts w:ascii="Arial" w:cs="Arial" w:eastAsia="Arial" w:hAnsi="Arial"/>
          <w:sz w:val="18"/>
          <w:szCs w:val="18"/>
          <w:color w:val="auto"/>
        </w:rPr>
        <w:t xml:space="preserve"> The Company’s By-laws permit a stockholder or group of up to 20 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November 3, 2024, and no later than December 3, 2024, together with other information required by the Company’s By-laws.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b w:val="1"/>
          <w:bCs w:val="1"/>
          <w:color w:val="457157"/>
        </w:rPr>
        <w:t xml:space="preserve">Expenses of Solicitation </w:t>
      </w:r>
      <w:r>
        <w:rPr>
          <w:rFonts w:ascii="Arial" w:cs="Arial" w:eastAsia="Arial" w:hAnsi="Arial"/>
          <w:sz w:val="18"/>
          <w:szCs w:val="18"/>
          <w:color w:val="000000"/>
        </w:rPr>
        <w:t>We pay the cost of preparing, assembling and mailing this proxy-soliciting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 In addition to the use of the mail, proxies may be solicited personally, by Internet or telephone, or by the Company’s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2024 Annual Meeting for a fee of $17,500 plus associated costs and expenses.</w:t>
      </w:r>
    </w:p>
    <w:p>
      <w:pPr>
        <w:spacing w:after="0" w:line="290"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color w:val="457157"/>
        </w:rPr>
        <w:t xml:space="preserve">Annual Report </w:t>
      </w:r>
      <w:r>
        <w:rPr>
          <w:rFonts w:ascii="Arial" w:cs="Arial" w:eastAsia="Arial" w:hAnsi="Arial"/>
          <w:sz w:val="18"/>
          <w:szCs w:val="18"/>
          <w:color w:val="000000"/>
        </w:rPr>
        <w:t>A copy of our Annual Report on Form 10- K for the year ended December 31, 2023,</w:t>
      </w:r>
      <w:r>
        <w:rPr>
          <w:rFonts w:ascii="Arial" w:cs="Arial" w:eastAsia="Arial" w:hAnsi="Arial"/>
          <w:sz w:val="18"/>
          <w:szCs w:val="18"/>
          <w:b w:val="1"/>
          <w:bCs w:val="1"/>
          <w:color w:val="457157"/>
        </w:rPr>
        <w:t xml:space="preserve"> </w:t>
      </w:r>
      <w:r>
        <w:rPr>
          <w:rFonts w:ascii="Arial" w:cs="Arial" w:eastAsia="Arial" w:hAnsi="Arial"/>
          <w:sz w:val="18"/>
          <w:szCs w:val="18"/>
          <w:color w:val="000000"/>
        </w:rPr>
        <w:t>which includes our financial statements for fiscal year 2023, is included with this Proxy Statement. The Annual Report on Form 10-K is not incorporated by reference into this Proxy Statement or deemed to be a part of the materials for the solicitation of proxies.</w:t>
      </w:r>
    </w:p>
    <w:p>
      <w:pPr>
        <w:spacing w:after="0" w:line="68"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b w:val="1"/>
          <w:bCs w:val="1"/>
          <w:color w:val="457157"/>
        </w:rPr>
        <w:t xml:space="preserve">Householding Information </w:t>
      </w:r>
      <w:r>
        <w:rPr>
          <w:rFonts w:ascii="Arial" w:cs="Arial" w:eastAsia="Arial" w:hAnsi="Arial"/>
          <w:sz w:val="18"/>
          <w:szCs w:val="18"/>
          <w:color w:val="000000"/>
        </w:rPr>
        <w:t>We have adopted a procedure approved by the SEC called</w:t>
      </w:r>
      <w:r>
        <w:rPr>
          <w:rFonts w:ascii="Arial" w:cs="Arial" w:eastAsia="Arial" w:hAnsi="Arial"/>
          <w:sz w:val="18"/>
          <w:szCs w:val="18"/>
          <w:b w:val="1"/>
          <w:bCs w:val="1"/>
          <w:color w:val="457157"/>
        </w:rPr>
        <w:t xml:space="preserve"> </w:t>
      </w:r>
      <w:r>
        <w:rPr>
          <w:rFonts w:ascii="Arial" w:cs="Arial" w:eastAsia="Arial" w:hAnsi="Arial"/>
          <w:sz w:val="18"/>
          <w:szCs w:val="18"/>
          <w:color w:val="000000"/>
        </w:rPr>
        <w:t>“householding.” Under this 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71"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If you wish to receive a separate copy of this Proxy Statement and Annual Report, please contact: Waste Management, Inc., Corporate Secretary, 800 Capitol Street, Suite 3000, Houston, Texas 77002, telephone 713-512-6200.</w:t>
      </w:r>
    </w:p>
    <w:p>
      <w:pPr>
        <w:spacing w:after="0" w:line="63"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 Department, 51 Mercedes Way, Edgewood, NY 11717, telephone 1-866 -540 -7095. If you are currently receiving multiple copies of proxy materials and wish to receive only one copy for your household, please contact Broadridge.</w:t>
      </w: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041"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BOARD OF DIRECTORS</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40"/>
        <w:spacing w:after="0" w:line="254" w:lineRule="auto"/>
        <w:rPr>
          <w:sz w:val="20"/>
          <w:szCs w:val="20"/>
          <w:color w:val="auto"/>
        </w:rPr>
      </w:pPr>
      <w:r>
        <w:rPr>
          <w:rFonts w:ascii="Arial" w:cs="Arial" w:eastAsia="Arial" w:hAnsi="Arial"/>
          <w:sz w:val="18"/>
          <w:szCs w:val="18"/>
          <w:color w:val="auto"/>
        </w:rPr>
        <w:t>Our Board of Directors currently has 10 members. Each member of our Board is elected annually. Mr. John C. Pope has reached the retirement age set forth in the Company’s Corporate Governance Guidelines; therefore, he is not standing for re- election and his term as a director of the Company will expire at the 2024 Annual Meeting. The Board of Directors intends to reduce the size of the Board to nine members effective as of the expiration of Mr. Pope’s term at the 2024 Annual Meeting.</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Nominees for Director</w:t>
      </w:r>
    </w:p>
    <w:p>
      <w:pPr>
        <w:spacing w:after="0" w:line="185"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06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ind w:left="100"/>
              <w:spacing w:after="0"/>
              <w:rPr>
                <w:sz w:val="20"/>
                <w:szCs w:val="20"/>
                <w:color w:val="auto"/>
              </w:rPr>
            </w:pPr>
            <w:r>
              <w:rPr>
                <w:rFonts w:ascii="Arial" w:cs="Arial" w:eastAsia="Arial" w:hAnsi="Arial"/>
                <w:sz w:val="14"/>
                <w:szCs w:val="14"/>
                <w:b w:val="1"/>
                <w:bCs w:val="1"/>
                <w:color w:val="457157"/>
              </w:rPr>
              <w:t>​</w:t>
            </w:r>
          </w:p>
        </w:tc>
        <w:tc>
          <w:tcPr>
            <w:tcW w:w="42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0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457157"/>
              </w:rPr>
              <w:t>​</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4"/>
                <w:szCs w:val="14"/>
                <w:b w:val="1"/>
                <w:bCs w:val="1"/>
                <w:color w:val="457157"/>
              </w:rPr>
              <w:t>Committee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36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1200" w:type="dxa"/>
            <w:vAlign w:val="bottom"/>
            <w:tcBorders>
              <w:top w:val="single" w:sz="8" w:color="457157"/>
            </w:tcBorders>
          </w:tcPr>
          <w:p>
            <w:pPr>
              <w:ind w:left="100"/>
              <w:spacing w:after="0"/>
              <w:rPr>
                <w:sz w:val="20"/>
                <w:szCs w:val="20"/>
                <w:color w:val="auto"/>
              </w:rPr>
            </w:pPr>
            <w:r>
              <w:rPr>
                <w:rFonts w:ascii="Arial" w:cs="Arial" w:eastAsia="Arial" w:hAnsi="Arial"/>
                <w:sz w:val="14"/>
                <w:szCs w:val="14"/>
                <w:b w:val="1"/>
                <w:bCs w:val="1"/>
                <w:color w:val="457157"/>
              </w:rPr>
              <w:t>Management</w:t>
            </w:r>
          </w:p>
        </w:tc>
        <w:tc>
          <w:tcPr>
            <w:tcW w:w="18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1100" w:type="dxa"/>
            <w:vAlign w:val="bottom"/>
            <w:tcBorders>
              <w:top w:val="single" w:sz="8" w:color="457157"/>
            </w:tcBorders>
            <w:vMerge w:val="restart"/>
          </w:tcPr>
          <w:p>
            <w:pPr>
              <w:ind w:left="20"/>
              <w:spacing w:after="0"/>
              <w:rPr>
                <w:sz w:val="20"/>
                <w:szCs w:val="20"/>
                <w:color w:val="auto"/>
              </w:rPr>
            </w:pPr>
            <w:r>
              <w:rPr>
                <w:rFonts w:ascii="Arial" w:cs="Arial" w:eastAsia="Arial" w:hAnsi="Arial"/>
                <w:sz w:val="14"/>
                <w:szCs w:val="14"/>
                <w:b w:val="1"/>
                <w:bCs w:val="1"/>
                <w:color w:val="457157"/>
              </w:rPr>
              <w:t>Nominating &amp;</w:t>
            </w:r>
          </w:p>
        </w:tc>
        <w:tc>
          <w:tcPr>
            <w:tcW w:w="20" w:type="dxa"/>
            <w:vAlign w:val="bottom"/>
            <w:tcBorders>
              <w:top w:val="single" w:sz="8" w:color="457157"/>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2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Age </w:t>
            </w:r>
            <w:r>
              <w:rPr>
                <w:rFonts w:ascii="Arial" w:cs="Arial" w:eastAsia="Arial" w:hAnsi="Arial"/>
                <w:sz w:val="28"/>
                <w:szCs w:val="28"/>
                <w:b w:val="1"/>
                <w:bCs w:val="1"/>
                <w:color w:val="457157"/>
                <w:vertAlign w:val="subscript"/>
              </w:rPr>
              <w:t>​</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Independent</w:t>
            </w: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Audit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line="149" w:lineRule="exact"/>
              <w:rPr>
                <w:sz w:val="20"/>
                <w:szCs w:val="20"/>
                <w:color w:val="auto"/>
              </w:rPr>
            </w:pPr>
            <w:r>
              <w:rPr>
                <w:rFonts w:ascii="Arial" w:cs="Arial" w:eastAsia="Arial" w:hAnsi="Arial"/>
                <w:sz w:val="14"/>
                <w:szCs w:val="14"/>
                <w:b w:val="1"/>
                <w:bCs w:val="1"/>
                <w:color w:val="457157"/>
              </w:rPr>
              <w:t>Development &amp;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457157"/>
            </w:tcBorders>
            <w:vMerge w:val="continue"/>
          </w:tcPr>
          <w:p>
            <w:pPr>
              <w:spacing w:after="0"/>
              <w:rPr>
                <w:sz w:val="17"/>
                <w:szCs w:val="17"/>
                <w:color w:val="auto"/>
              </w:rPr>
            </w:pP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w:t>
            </w:r>
          </w:p>
        </w:tc>
        <w:tc>
          <w:tcPr>
            <w:tcW w:w="560" w:type="dxa"/>
            <w:vAlign w:val="bottom"/>
            <w:tcBorders>
              <w:bottom w:val="single" w:sz="8" w:color="457157"/>
            </w:tcBorders>
            <w:gridSpan w:val="2"/>
            <w:vMerge w:val="continue"/>
          </w:tcPr>
          <w:p>
            <w:pPr>
              <w:spacing w:after="0"/>
              <w:rPr>
                <w:sz w:val="17"/>
                <w:szCs w:val="17"/>
                <w:color w:val="auto"/>
              </w:rPr>
            </w:pPr>
          </w:p>
        </w:tc>
        <w:tc>
          <w:tcPr>
            <w:tcW w:w="30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Borders>
              <w:bottom w:val="single" w:sz="8" w:color="457157"/>
            </w:tcBorders>
          </w:tcPr>
          <w:p>
            <w:pPr>
              <w:jc w:val="center"/>
              <w:ind w:right="168"/>
              <w:spacing w:after="0"/>
              <w:rPr>
                <w:sz w:val="20"/>
                <w:szCs w:val="20"/>
                <w:color w:val="auto"/>
              </w:rPr>
            </w:pPr>
            <w:r>
              <w:rPr>
                <w:rFonts w:ascii="Arial" w:cs="Arial" w:eastAsia="Arial" w:hAnsi="Arial"/>
                <w:sz w:val="14"/>
                <w:szCs w:val="14"/>
                <w:b w:val="1"/>
                <w:bCs w:val="1"/>
                <w:color w:val="457157"/>
              </w:rPr>
              <w:t>Tenure</w:t>
            </w:r>
          </w:p>
        </w:tc>
        <w:tc>
          <w:tcPr>
            <w:tcW w:w="120" w:type="dxa"/>
            <w:vAlign w:val="bottom"/>
            <w:tcBorders>
              <w:bottom w:val="single" w:sz="8" w:color="457157"/>
            </w:tcBorders>
          </w:tcPr>
          <w:p>
            <w:pPr>
              <w:ind w:left="20"/>
              <w:spacing w:after="0"/>
              <w:rPr>
                <w:sz w:val="20"/>
                <w:szCs w:val="20"/>
                <w:color w:val="auto"/>
              </w:rPr>
            </w:pPr>
            <w:r>
              <w:rPr>
                <w:rFonts w:ascii="Arial" w:cs="Arial" w:eastAsia="Arial" w:hAnsi="Arial"/>
                <w:sz w:val="14"/>
                <w:szCs w:val="14"/>
                <w:b w:val="1"/>
                <w:bCs w:val="1"/>
                <w:color w:val="457157"/>
              </w:rPr>
              <w:t>​</w:t>
            </w:r>
          </w:p>
        </w:tc>
        <w:tc>
          <w:tcPr>
            <w:tcW w:w="1080" w:type="dxa"/>
            <w:vAlign w:val="bottom"/>
            <w:tcBorders>
              <w:bottom w:val="single" w:sz="8" w:color="457157"/>
            </w:tcBorders>
            <w:gridSpan w:val="2"/>
            <w:vMerge w:val="continue"/>
          </w:tcPr>
          <w:p>
            <w:pPr>
              <w:spacing w:after="0"/>
              <w:rPr>
                <w:sz w:val="17"/>
                <w:szCs w:val="17"/>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Borders>
              <w:bottom w:val="single" w:sz="8" w:color="457157"/>
            </w:tcBorders>
            <w:gridSpan w:val="2"/>
            <w:vMerge w:val="continue"/>
          </w:tcPr>
          <w:p>
            <w:pPr>
              <w:spacing w:after="0"/>
              <w:rPr>
                <w:sz w:val="17"/>
                <w:szCs w:val="17"/>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320" w:type="dxa"/>
            <w:vAlign w:val="bottom"/>
            <w:tcBorders>
              <w:bottom w:val="single" w:sz="8" w:color="457157"/>
            </w:tcBorders>
            <w:gridSpan w:val="2"/>
          </w:tcPr>
          <w:p>
            <w:pPr>
              <w:ind w:left="40"/>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Compensation</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1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Governance</w:t>
            </w: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398"/>
        </w:trPr>
        <w:tc>
          <w:tcPr>
            <w:tcW w:w="2060" w:type="dxa"/>
            <w:vAlign w:val="bottom"/>
            <w:tcBorders>
              <w:bottom w:val="single" w:sz="8" w:color="457157"/>
            </w:tcBorders>
          </w:tcPr>
          <w:p>
            <w:pPr>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Thomas L. Bené</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61</w:t>
            </w:r>
          </w:p>
        </w:tc>
        <w:tc>
          <w:tcPr>
            <w:tcW w:w="1620" w:type="dxa"/>
            <w:vAlign w:val="bottom"/>
            <w:tcBorders>
              <w:bottom w:val="single" w:sz="8" w:color="457157"/>
            </w:tcBorders>
            <w:gridSpan w:val="3"/>
          </w:tcPr>
          <w:p>
            <w:pPr>
              <w:ind w:left="60"/>
              <w:spacing w:after="0" w:line="39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2024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Bruce E. Chinn</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67</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2060" w:type="dxa"/>
            <w:vAlign w:val="bottom"/>
            <w:tcBorders>
              <w:bottom w:val="single" w:sz="8" w:color="457157"/>
            </w:tcBorders>
          </w:tcPr>
          <w:p>
            <w:pPr>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James C. Fish, Jr.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61</w:t>
            </w:r>
          </w:p>
        </w:tc>
        <w:tc>
          <w:tcPr>
            <w:tcW w:w="1620" w:type="dxa"/>
            <w:vAlign w:val="bottom"/>
            <w:tcBorders>
              <w:bottom w:val="single" w:sz="8" w:color="457157"/>
            </w:tcBorders>
            <w:gridSpan w:val="3"/>
          </w:tcPr>
          <w:p>
            <w:pPr>
              <w:ind w:left="60"/>
              <w:spacing w:after="0" w:line="371"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2016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Andrés R. Gluski</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66</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Victoria M. Holt</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66</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260" w:type="dxa"/>
            <w:vAlign w:val="bottom"/>
            <w:tcBorders>
              <w:bottom w:val="single" w:sz="8" w:color="457157"/>
            </w:tcBorders>
            <w:gridSpan w:val="2"/>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Kathleen M. Mazzarella </w:t>
            </w:r>
            <w:r>
              <w:rPr>
                <w:rFonts w:ascii="Arial" w:cs="Arial" w:eastAsia="Arial" w:hAnsi="Arial"/>
                <w:sz w:val="35"/>
                <w:szCs w:val="35"/>
                <w:color w:val="auto"/>
                <w:vertAlign w:val="subscript"/>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64</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Sean E. Menke</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55</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2060" w:type="dxa"/>
            <w:vAlign w:val="bottom"/>
            <w:tcBorders>
              <w:bottom w:val="single" w:sz="8" w:color="457157"/>
            </w:tcBorders>
          </w:tcPr>
          <w:p>
            <w:pPr>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William B. Plummer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65</w:t>
            </w:r>
          </w:p>
        </w:tc>
        <w:tc>
          <w:tcPr>
            <w:tcW w:w="1620" w:type="dxa"/>
            <w:vAlign w:val="bottom"/>
            <w:tcBorders>
              <w:bottom w:val="single" w:sz="8" w:color="457157"/>
            </w:tcBorders>
            <w:gridSpan w:val="3"/>
          </w:tcPr>
          <w:p>
            <w:pPr>
              <w:ind w:left="60"/>
              <w:spacing w:after="0" w:line="39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2019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Maryrose T. Sylvester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58</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76835</wp:posOffset>
            </wp:positionV>
            <wp:extent cx="1111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-2254250</wp:posOffset>
            </wp:positionV>
            <wp:extent cx="14605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-2279650</wp:posOffset>
            </wp:positionV>
            <wp:extent cx="1111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-1997075</wp:posOffset>
            </wp:positionV>
            <wp:extent cx="14605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-2022475</wp:posOffset>
            </wp:positionV>
            <wp:extent cx="1111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-1490980</wp:posOffset>
            </wp:positionV>
            <wp:extent cx="14605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-1517015</wp:posOffset>
            </wp:positionV>
            <wp:extent cx="11112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-1233805</wp:posOffset>
            </wp:positionV>
            <wp:extent cx="14605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-1259840</wp:posOffset>
            </wp:positionV>
            <wp:extent cx="1111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-976630</wp:posOffset>
            </wp:positionV>
            <wp:extent cx="14605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-1002665</wp:posOffset>
            </wp:positionV>
            <wp:extent cx="1111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-1002665</wp:posOffset>
            </wp:positionV>
            <wp:extent cx="11112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-1002665</wp:posOffset>
            </wp:positionV>
            <wp:extent cx="11112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-719455</wp:posOffset>
            </wp:positionV>
            <wp:extent cx="14605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-745490</wp:posOffset>
            </wp:positionV>
            <wp:extent cx="11112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-745490</wp:posOffset>
            </wp:positionV>
            <wp:extent cx="11112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-454025</wp:posOffset>
            </wp:positionV>
            <wp:extent cx="14605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-479425</wp:posOffset>
            </wp:positionV>
            <wp:extent cx="11112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-196850</wp:posOffset>
            </wp:positionV>
            <wp:extent cx="14605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-222250</wp:posOffset>
            </wp:positionV>
            <wp:extent cx="11112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-222250</wp:posOffset>
            </wp:positionV>
            <wp:extent cx="11112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191" w:lineRule="exact"/>
        <w:rPr>
          <w:sz w:val="20"/>
          <w:szCs w:val="20"/>
          <w:color w:val="auto"/>
        </w:rPr>
      </w:pPr>
    </w:p>
    <w:p>
      <w:pPr>
        <w:ind w:left="880"/>
        <w:spacing w:after="0"/>
        <w:tabs>
          <w:tab w:leader="none" w:pos="222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Member</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Leadership Structure</w:t>
      </w:r>
    </w:p>
    <w:p>
      <w:pPr>
        <w:spacing w:after="0" w:line="121" w:lineRule="exact"/>
        <w:rPr>
          <w:sz w:val="20"/>
          <w:szCs w:val="20"/>
          <w:color w:val="auto"/>
        </w:rPr>
      </w:pPr>
    </w:p>
    <w:p>
      <w:pPr>
        <w:jc w:val="both"/>
        <w:ind w:left="820" w:right="40"/>
        <w:spacing w:after="0" w:line="255" w:lineRule="auto"/>
        <w:rPr>
          <w:sz w:val="20"/>
          <w:szCs w:val="20"/>
          <w:color w:val="auto"/>
        </w:rPr>
      </w:pPr>
      <w:r>
        <w:rPr>
          <w:rFonts w:ascii="Arial" w:cs="Arial" w:eastAsia="Arial" w:hAnsi="Arial"/>
          <w:sz w:val="18"/>
          <w:szCs w:val="18"/>
          <w:color w:val="auto"/>
        </w:rPr>
        <w:t>Ms. Kathleen M. Mazzarella’s service as Non-Executive Chair of the Board began in May 2023, following the retirement of Mr. Thomas H. Weidemeyer. The Board elected Ms. Mazzarella to serve as Non-Executive Chair of the Board due to her extensive leadership experience, expertise in Board governance, and deep understanding of our Company and our strategic vision. Ms. Mazzarella presides over all meetings of the Board, including executive sessions that only non- employee directors attend. The Non- Executive Chair also serves on all three Board committees. Stockholders and interested parties wishing to communicate with the Board or the non-employee directors should address their communications to Non-Executive Chair of the Board, c/o Waste Management, Inc., P.O. Box 53569, Houston, Texas 77052-3569.</w:t>
      </w:r>
    </w:p>
    <w:p>
      <w:pPr>
        <w:spacing w:after="0" w:line="293" w:lineRule="exact"/>
        <w:rPr>
          <w:sz w:val="20"/>
          <w:szCs w:val="20"/>
          <w:color w:val="auto"/>
        </w:rPr>
      </w:pPr>
    </w:p>
    <w:p>
      <w:pPr>
        <w:jc w:val="both"/>
        <w:ind w:left="820" w:right="40"/>
        <w:spacing w:after="0" w:line="255" w:lineRule="auto"/>
        <w:rPr>
          <w:sz w:val="20"/>
          <w:szCs w:val="20"/>
          <w:color w:val="auto"/>
        </w:rPr>
      </w:pPr>
      <w:r>
        <w:rPr>
          <w:rFonts w:ascii="Arial" w:cs="Arial" w:eastAsia="Arial" w:hAnsi="Arial"/>
          <w:sz w:val="18"/>
          <w:szCs w:val="18"/>
          <w:color w:val="auto"/>
        </w:rPr>
        <w:t>We separated the roles of Chair of the Board and Chief Executive Officer at our Company in 2004. We believe that having a Non-Executive Chair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 of the Board.</w:t>
      </w:r>
    </w:p>
    <w:p>
      <w:pPr>
        <w:spacing w:after="0" w:line="250"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Independence of Board Members</w:t>
      </w:r>
    </w:p>
    <w:p>
      <w:pPr>
        <w:spacing w:after="0" w:line="12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The Board of Directors has determined that each of the following eight non- employee director nominees are independent in accordance with the New York Stock Exchange listing standards: Thomas L. Bené, Bruce E. Chinn, Andrés R. Gluski, Victoria M. Holt, Kathleen M. Mazzarella, Sean E. Menke, William B. Plummer and Maryrose T. Sylvester. James C. Fish, Jr., our President and Chief Executive Officer, is also a director of the Company. As an employee of the Company, Mr. Fish is not an “independent” director.</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“ESG — Corporate Governance” section of investors.wm.com. In addition to these categorical standards, our Board makes a subjective determination of independence considering relevant facts and circumstances.</w:t>
      </w:r>
    </w:p>
    <w:p>
      <w:pPr>
        <w:spacing w:after="0" w:line="295"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Chevron Phillips Chemical Company LLC and Sabre Corporation. Ms. Mazzarella, Mr. Gluski, Mr. Chinn and Mr. Menke served as chief executive officer of these entities, respectively, for all or a portion of calender year 2023. The Board concluded there are no transactions between the Company and any entity with which a non- employee director is affiliated that are prohibited by our categorical standards of independence or give rise to a material direct or indirect interest for that non-employee director. Accordingly, the Board has determined that each non -employee director candidate meets the categorical standards of independence and that there are no relationships that would affect independence.</w:t>
      </w:r>
    </w:p>
    <w:p>
      <w:pPr>
        <w:spacing w:after="0" w:line="200" w:lineRule="exact"/>
        <w:rPr>
          <w:sz w:val="20"/>
          <w:szCs w:val="20"/>
          <w:color w:val="auto"/>
        </w:rPr>
      </w:pP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Meetings and Board Committees</w:t>
      </w:r>
    </w:p>
    <w:p>
      <w:pPr>
        <w:spacing w:after="0" w:line="12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Last year the Board held seven regular meetings and two special meetings, and each committee of the Board met independently as set forth below. Each incumbent director attended at least 75% of the meetings of the Board and the committees on which he or she served. In addition, seven of the then-serving directors attended the 2023 Annual Meeting of Stockholders. Mr. Gluski and Mr. Pope did not attend the 2023 Annual Meeting of Stockholders, after notifying the Chair of the Board and the Company of unavoidable conflicts due to travel requirements. Our Corporate Governance Guidelines provide that directors are expected to attend the annual meeting of stockholders, and if an unavoidable conflict arises, the director must notify the Chair of the Board in advance.</w:t>
      </w:r>
    </w:p>
    <w:p>
      <w:pPr>
        <w:spacing w:after="0" w:line="7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Role in Risk Oversight</w:t>
      </w:r>
    </w:p>
    <w:p>
      <w:pPr>
        <w:spacing w:after="0" w:line="108"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71"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short-term, intermediate or long-term basis.</w:t>
      </w:r>
    </w:p>
    <w:p>
      <w:pPr>
        <w:spacing w:after="0" w:line="24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We also consult with a range of outside advisors and experts throughout the year, depending on the subject matter of the risk being evaluated. We believe that use of outside advisors and experts complement our ERM process by ensuring our 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 -looking action plans with measurable indicators and progress updates on action plans from previous assessments.</w:t>
      </w:r>
    </w:p>
    <w:p>
      <w:pPr>
        <w:spacing w:after="0" w:line="293"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At quarterly Audit Committee meetings, management provides an ERM report and regularly provides an in-depth update on specific risk topics. Additionally, risks related to our strategy, operations and financial results are also addressed in our Board meetings. Our President and Chief Executive Officer, Chief Operating Officer, Chief Financial Officer, Chief Legal Officer, Chief Human Resources and Diversity &amp; Inclusion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emissions and climate impact; industry disruption; revenue management; legal and regulatory; capital allocation; supply chain management; service to customers; cost discipline; physical infrastructure; brand management; environmental, health &amp; safety; human capital; information security and privacy;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200" w:lineRule="exact"/>
        <w:rPr>
          <w:sz w:val="20"/>
          <w:szCs w:val="20"/>
          <w:color w:val="auto"/>
        </w:rPr>
      </w:pPr>
    </w:p>
    <w:p>
      <w:pPr>
        <w:spacing w:after="0" w:line="31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 of the Board and our committee chairs. Our Non- Executive Chair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Oversight of Sustainability Risk and Performance</w:t>
      </w:r>
    </w:p>
    <w:p>
      <w:pPr>
        <w:spacing w:after="0" w:line="12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As North America’s leading provider of comprehensive environmental services, sustainability and environmental stewardship are embedded in all that we do. We have enabled a people-first, technology-led focus to drive our mission to maximize resource value, while minimizing environmental impact, and deliver on our brand promise ALWAYS WORKING FOR A SUSTAINABLE TOMORROW®. As a result, it would not be effective, or possible, to assign responsibility for oversight of sustainability, which includes environmental and human capital management risk and performance, to any one committee of our Board of Directors. Rather, various aspects of sustainability risk and performance, which are already organically a part of our Board and committees’ oversight of our performance, risk management and strategic vision, are addressed in different committees and with our full Board of Directors, as appropriate depending on the subject matter.</w:t>
      </w:r>
    </w:p>
    <w:p>
      <w:pPr>
        <w:spacing w:after="0" w:line="200" w:lineRule="exact"/>
        <w:rPr>
          <w:sz w:val="20"/>
          <w:szCs w:val="20"/>
          <w:color w:val="auto"/>
        </w:rPr>
      </w:pPr>
    </w:p>
    <w:p>
      <w:pPr>
        <w:spacing w:after="0" w:line="274"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Our Board has a dedicated annual strategic planning session with our Senior Leadership Team and receives focused strategic updates quarterly.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2023, the Board received several dedicated updates regarding sustainability topics, including our sustainability growth strategy, and the Board receives regular updates from our Chief Human Resources and Diversity &amp; Inclusion Officer with respect to our people-first strategy, including workforce evolution, labor market developments and employee retention. Reflective of the importance of diversity and inclusion and safety to our organization, the full Board of Directors receives annual in-depth reports on leadership, workforce and supplier diversity, as well as quarterly safety performance updates and a detailed annual health and safety report. Additionally, the Company’s Chief Sustainability Officer presents a quarterly Sustainability Scorecard to the entire Board to highlight critical focus areas. Through these reports, our Board directly oversees our sustainability-related performance, including progress toward our sustainability goals and our decarbonization plan for meeting a science-based climate target, detailed in our 2023 Sustainability Report.</w:t>
      </w:r>
    </w:p>
    <w:p>
      <w:pPr>
        <w:spacing w:after="0" w:line="200" w:lineRule="exact"/>
        <w:rPr>
          <w:sz w:val="20"/>
          <w:szCs w:val="20"/>
          <w:color w:val="auto"/>
        </w:rPr>
      </w:pPr>
    </w:p>
    <w:p>
      <w:pPr>
        <w:spacing w:after="0" w:line="309"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Company previously announced that, in response to the civil rights audit stockholder proposal that was approved at the 2022 Annual Meeting of Stockholders, it engaged a team led by former U.S. Attorney General Loretta Lynch, now a partner at Paul, Weiss, Rifkind, Wharton &amp; Garrison, to perform an independent assessment of the impact of the Company’s policies and practices on the civil rights of Company stakeholders, and to provide recommendations for further improvement. The assessment included a broad review and analysis in the areas of environmental justice and diversity and inclusion of employees and suppliers, with input from internal and external stakeholders. Our Board received several updates from our senior executives, including our Chief Legal Officer, Chief Human Resources and Diversity &amp; Inclusion Officer and Chief Sustainability Officer, on the structure and progress of the assessment, and the Board engaged directly with former U.S. Attorney General Loretta Lynch on the assessment findings and recommendations. The assessment was recently completed, and the report is available at sustainability.wm.com.</w:t>
      </w:r>
    </w:p>
    <w:p>
      <w:pPr>
        <w:spacing w:after="0" w:line="300"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Our Audit Committee also plays a significant role in oversight of sustainability risk and performance. As discussed above, our Audit Committee receives regular ERM updates with in-depth discussion on specific risk topics. At least annually, one of the in-depth discussions will look at an aspect of sustainability risk. Additionally, the Audit Committee receives quarterly reports on our compliance programs, including ethics and environmental and safety audit, with an annual in-depth review of our compliance programs with risk assessments. During 2023, our Audit Committee received updates on proposed regulatory disclosure requirements related to climate and cybersecurity and the Company’s preparations. Our Audit Committee also has responsibility for oversight of information and cybersecurity and assessment of cyber threats and defenses. Our Audit Committee receives reports from our most senior executives in the Digital organization, and the Company’s executive officers, at least twice a year. Topics historically covered in such reports include third-party evaluation of our technology infrastructure and information security against the industry- standard NIST (National Institute of Standards and Technology) cybersecurity framework; risk mitigation through the Company’s enterprise-wide cybersecurity training, including our Board of Directors, conducted at least annually, regular simulated phishing tests and third-party penetration testing; review of the Company’s cyber incident insurance coverage and external cyber incident resources; review of the Company’s incident response plan and consideration of applicable laws and regulations, including those related to privacy.</w:t>
      </w:r>
    </w:p>
    <w:p>
      <w:pPr>
        <w:spacing w:after="0" w:line="200" w:lineRule="exact"/>
        <w:rPr>
          <w:sz w:val="20"/>
          <w:szCs w:val="20"/>
          <w:color w:val="auto"/>
        </w:rPr>
      </w:pPr>
    </w:p>
    <w:p>
      <w:pPr>
        <w:spacing w:after="0" w:line="319"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annual cash incentive program sustainability scorecard performance modifier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below. The Committee also engages in quarterly sessions with our President and Chief Executive Officer and our Chief Human Resources and Diversity &amp; Inclusion Officer regarding talent development and succession planning at several levels of our organization. A critical component of these talent development and succession planning</w:t>
      </w:r>
    </w:p>
    <w:p>
      <w:pPr>
        <w:spacing w:after="0" w:line="6" w:lineRule="exact"/>
        <w:rPr>
          <w:sz w:val="20"/>
          <w:szCs w:val="20"/>
          <w:color w:val="auto"/>
        </w:rPr>
      </w:pPr>
    </w:p>
    <w:p>
      <w:pPr>
        <w:ind w:left="820"/>
        <w:spacing w:after="0" w:line="228" w:lineRule="auto"/>
        <w:rPr>
          <w:sz w:val="20"/>
          <w:szCs w:val="20"/>
          <w:color w:val="auto"/>
        </w:rPr>
      </w:pPr>
      <w:r>
        <w:rPr>
          <w:rFonts w:ascii="Arial" w:cs="Arial" w:eastAsia="Arial" w:hAnsi="Arial"/>
          <w:sz w:val="16"/>
          <w:szCs w:val="16"/>
          <w:color w:val="auto"/>
        </w:rPr>
        <w:t>efforts is the recognition that diversity and inclusion are fundamental Company2024ProxyvaluesStatement.Recognizing</w:t>
      </w:r>
      <w:r>
        <w:rPr>
          <w:rFonts w:ascii="Arial" w:cs="Arial" w:eastAsia="Arial" w:hAnsi="Arial"/>
          <w:sz w:val="28"/>
          <w:szCs w:val="28"/>
          <w:b w:val="1"/>
          <w:bCs w:val="1"/>
          <w:color w:val="457157"/>
        </w:rPr>
        <w:t>|</w:t>
      </w:r>
      <w:r>
        <w:rPr>
          <w:rFonts w:ascii="Arial" w:cs="Arial" w:eastAsia="Arial" w:hAnsi="Arial"/>
          <w:sz w:val="16"/>
          <w:szCs w:val="16"/>
          <w:color w:val="auto"/>
        </w:rPr>
        <w:t>7​ the importance of diversity, our Human Resources programs overseen by our MD&amp;C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-255270</wp:posOffset>
            </wp:positionV>
            <wp:extent cx="4718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embrace and cultivate respect, trust, open communication and diversity of thought and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224790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matters such as inclusion and diversity,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For additional information about the topics discussed above, including sustainability goals, metrics and progress, we encourage stockholders to review our 2023 Sustainability Report at sustainability.wm.com. The Sustainability Report conveys the strong linkage between the Company’s sustainability goals and our growth strategy, inclusive of the planned and ongoing expansion of the Company’s recycling and renewable energy businesses. Our 2023 Sustainability Report and the civil rights assessment report referenced above do not constitute a part of, and are not incorporated by reference into, this Proxy Statement or any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29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60720" cy="8229600"/>
                    </a:xfrm>
                    <a:prstGeom prst="rect">
                      <a:avLst/>
                    </a:prstGeom>
                    <a:noFill/>
                  </pic:spPr>
                </pic:pic>
              </a:graphicData>
            </a:graphic>
          </wp:anchor>
        </w:drawing>
      </w:r>
    </w:p>
    <w:p>
      <w:pPr>
        <w:spacing w:after="0" w:line="253" w:lineRule="exact"/>
        <w:rPr>
          <w:sz w:val="20"/>
          <w:szCs w:val="20"/>
          <w:color w:val="auto"/>
        </w:rPr>
      </w:pPr>
    </w:p>
    <w:tbl>
      <w:tblPr>
        <w:tblLayout w:type="fixed"/>
        <w:tblInd w:w="820" w:type="dxa"/>
        <w:tblCellMar>
          <w:top w:w="0" w:type="dxa"/>
          <w:left w:w="0" w:type="dxa"/>
          <w:bottom w:w="0" w:type="dxa"/>
          <w:right w:w="0" w:type="dxa"/>
        </w:tblCellMar>
      </w:tblPr>
      <w:tr>
        <w:trPr>
          <w:trHeight w:val="505"/>
        </w:trPr>
        <w:tc>
          <w:tcPr>
            <w:tcW w:w="3320" w:type="dxa"/>
            <w:vAlign w:val="bottom"/>
            <w:tcBorders>
              <w:top w:val="single" w:sz="8" w:color="457157"/>
            </w:tcBorders>
            <w:gridSpan w:val="2"/>
            <w:shd w:val="clear" w:color="auto" w:fill="ECF1EE"/>
          </w:tcPr>
          <w:p>
            <w:pPr>
              <w:spacing w:after="0"/>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25"/>
                <w:szCs w:val="25"/>
                <w:b w:val="1"/>
                <w:bCs w:val="1"/>
                <w:color w:val="auto"/>
              </w:rPr>
              <w:t>THE AUDIT COMMITTEE</w:t>
            </w:r>
            <w:r>
              <w:rPr>
                <w:rFonts w:ascii="Arial" w:cs="Arial" w:eastAsia="Arial" w:hAnsi="Arial"/>
                <w:sz w:val="17"/>
                <w:szCs w:val="17"/>
                <w:color w:val="auto"/>
              </w:rPr>
              <w:t>​</w:t>
            </w:r>
          </w:p>
        </w:tc>
        <w:tc>
          <w:tcPr>
            <w:tcW w:w="5440" w:type="dxa"/>
            <w:vAlign w:val="bottom"/>
            <w:tcBorders>
              <w:top w:val="single" w:sz="8" w:color="457157"/>
            </w:tcBorders>
            <w:shd w:val="clear" w:color="auto" w:fill="ECF1EE"/>
          </w:tcPr>
          <w:p>
            <w:pPr>
              <w:spacing w:after="0"/>
              <w:rPr>
                <w:sz w:val="24"/>
                <w:szCs w:val="24"/>
                <w:color w:val="auto"/>
              </w:rPr>
            </w:pPr>
          </w:p>
        </w:tc>
        <w:tc>
          <w:tcPr>
            <w:tcW w:w="300" w:type="dxa"/>
            <w:vAlign w:val="bottom"/>
            <w:tcBorders>
              <w:top w:val="single" w:sz="8" w:color="457157"/>
            </w:tcBorders>
            <w:shd w:val="clear" w:color="auto" w:fill="ECF1EE"/>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r>
      <w:tr>
        <w:trPr>
          <w:trHeight w:val="278"/>
        </w:trPr>
        <w:tc>
          <w:tcPr>
            <w:tcW w:w="2860" w:type="dxa"/>
            <w:vAlign w:val="bottom"/>
            <w:shd w:val="clear" w:color="auto" w:fill="ECF1EE"/>
          </w:tcPr>
          <w:p>
            <w:pPr>
              <w:ind w:left="100"/>
              <w:spacing w:after="0"/>
              <w:rPr>
                <w:sz w:val="20"/>
                <w:szCs w:val="20"/>
                <w:color w:val="auto"/>
              </w:rPr>
            </w:pPr>
            <w:r>
              <w:rPr>
                <w:rFonts w:ascii="Arial" w:cs="Arial" w:eastAsia="Arial" w:hAnsi="Arial"/>
                <w:sz w:val="18"/>
                <w:szCs w:val="18"/>
                <w:b w:val="1"/>
                <w:bCs w:val="1"/>
                <w:color w:val="auto"/>
              </w:rPr>
              <w:t>Members:</w:t>
            </w:r>
          </w:p>
        </w:tc>
        <w:tc>
          <w:tcPr>
            <w:tcW w:w="460" w:type="dxa"/>
            <w:vAlign w:val="bottom"/>
            <w:shd w:val="clear" w:color="auto" w:fill="ECF1EE"/>
          </w:tcPr>
          <w:p>
            <w:pPr>
              <w:spacing w:after="0"/>
              <w:rPr>
                <w:sz w:val="24"/>
                <w:szCs w:val="24"/>
                <w:color w:val="auto"/>
              </w:rPr>
            </w:pPr>
          </w:p>
        </w:tc>
        <w:tc>
          <w:tcPr>
            <w:tcW w:w="5440" w:type="dxa"/>
            <w:vAlign w:val="bottom"/>
            <w:shd w:val="clear" w:color="auto" w:fill="ECF1EE"/>
          </w:tcPr>
          <w:p>
            <w:pPr>
              <w:ind w:left="1840"/>
              <w:spacing w:after="0"/>
              <w:rPr>
                <w:sz w:val="20"/>
                <w:szCs w:val="20"/>
                <w:color w:val="auto"/>
              </w:rPr>
            </w:pPr>
            <w:r>
              <w:rPr>
                <w:rFonts w:ascii="Arial" w:cs="Arial" w:eastAsia="Arial" w:hAnsi="Arial"/>
                <w:sz w:val="18"/>
                <w:szCs w:val="18"/>
                <w:b w:val="1"/>
                <w:bCs w:val="1"/>
                <w:color w:val="auto"/>
              </w:rPr>
              <w:t>Number of Meetings Held in 2023: 9</w:t>
            </w:r>
          </w:p>
        </w:tc>
        <w:tc>
          <w:tcPr>
            <w:tcW w:w="300" w:type="dxa"/>
            <w:vAlign w:val="bottom"/>
            <w:shd w:val="clear" w:color="auto" w:fill="ECF1EE"/>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b w:val="1"/>
                <w:bCs w:val="1"/>
                <w:color w:val="auto"/>
              </w:rPr>
              <w:t xml:space="preserve">​ William B. Plummer, </w:t>
            </w:r>
            <w:r>
              <w:rPr>
                <w:rFonts w:ascii="Arial" w:cs="Arial" w:eastAsia="Arial" w:hAnsi="Arial"/>
                <w:sz w:val="18"/>
                <w:szCs w:val="18"/>
                <w:b w:val="1"/>
                <w:bCs w:val="1"/>
                <w:i w:val="1"/>
                <w:iCs w:val="1"/>
                <w:color w:val="auto"/>
              </w:rPr>
              <w:t>Chair</w:t>
            </w:r>
          </w:p>
        </w:tc>
        <w:tc>
          <w:tcPr>
            <w:tcW w:w="5900" w:type="dxa"/>
            <w:vAlign w:val="bottom"/>
            <w:gridSpan w:val="2"/>
          </w:tcPr>
          <w:p>
            <w:pPr>
              <w:ind w:left="320"/>
              <w:spacing w:after="0"/>
              <w:rPr>
                <w:sz w:val="20"/>
                <w:szCs w:val="20"/>
                <w:color w:val="auto"/>
              </w:rPr>
            </w:pPr>
            <w:r>
              <w:rPr>
                <w:rFonts w:ascii="Arial" w:cs="Arial" w:eastAsia="Arial" w:hAnsi="Arial"/>
                <w:sz w:val="18"/>
                <w:szCs w:val="18"/>
                <w:b w:val="1"/>
                <w:bCs w:val="1"/>
                <w:color w:val="auto"/>
              </w:rPr>
              <w:t>​ ​ Victoria M. Holt</w:t>
            </w:r>
          </w:p>
        </w:tc>
        <w:tc>
          <w:tcPr>
            <w:tcW w:w="30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03"/>
        </w:trPr>
        <w:tc>
          <w:tcPr>
            <w:tcW w:w="28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Bruce E. Chinn</w:t>
            </w:r>
          </w:p>
        </w:tc>
        <w:tc>
          <w:tcPr>
            <w:tcW w:w="460" w:type="dxa"/>
            <w:vAlign w:val="bottom"/>
          </w:tcPr>
          <w:p>
            <w:pPr>
              <w:spacing w:after="0"/>
              <w:rPr>
                <w:sz w:val="17"/>
                <w:szCs w:val="17"/>
                <w:color w:val="auto"/>
              </w:rPr>
            </w:pPr>
          </w:p>
        </w:tc>
        <w:tc>
          <w:tcPr>
            <w:tcW w:w="54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860" w:type="dxa"/>
            <w:vAlign w:val="bottom"/>
          </w:tcPr>
          <w:p>
            <w:pPr>
              <w:ind w:left="100"/>
              <w:spacing w:after="0"/>
              <w:rPr>
                <w:sz w:val="20"/>
                <w:szCs w:val="20"/>
                <w:color w:val="auto"/>
              </w:rPr>
            </w:pPr>
            <w:r>
              <w:rPr>
                <w:rFonts w:ascii="Arial" w:cs="Arial" w:eastAsia="Arial" w:hAnsi="Arial"/>
                <w:sz w:val="18"/>
                <w:szCs w:val="18"/>
                <w:b w:val="1"/>
                <w:bCs w:val="1"/>
                <w:color w:val="auto"/>
              </w:rPr>
              <w:t>Andrés R. Gluski</w:t>
            </w:r>
          </w:p>
        </w:tc>
        <w:tc>
          <w:tcPr>
            <w:tcW w:w="460" w:type="dxa"/>
            <w:vAlign w:val="bottom"/>
          </w:tcPr>
          <w:p>
            <w:pPr>
              <w:spacing w:after="0"/>
              <w:rPr>
                <w:sz w:val="19"/>
                <w:szCs w:val="19"/>
                <w:color w:val="auto"/>
              </w:rPr>
            </w:pPr>
          </w:p>
        </w:tc>
        <w:tc>
          <w:tcPr>
            <w:tcW w:w="5440" w:type="dxa"/>
            <w:vAlign w:val="bottom"/>
          </w:tcPr>
          <w:p>
            <w:pPr>
              <w:ind w:left="80"/>
              <w:spacing w:after="0"/>
              <w:rPr>
                <w:sz w:val="20"/>
                <w:szCs w:val="20"/>
                <w:color w:val="auto"/>
              </w:rPr>
            </w:pPr>
            <w:r>
              <w:rPr>
                <w:rFonts w:ascii="Arial" w:cs="Arial" w:eastAsia="Arial" w:hAnsi="Arial"/>
                <w:sz w:val="18"/>
                <w:szCs w:val="18"/>
                <w:b w:val="1"/>
                <w:bCs w:val="1"/>
                <w:color w:val="auto"/>
              </w:rPr>
              <w:t>Sean E. Menke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-401955</wp:posOffset>
            </wp:positionV>
            <wp:extent cx="5743575" cy="7406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3575" cy="7406640"/>
                    </a:xfrm>
                    <a:prstGeom prst="rect">
                      <a:avLst/>
                    </a:prstGeom>
                    <a:noFill/>
                  </pic:spPr>
                </pic:pic>
              </a:graphicData>
            </a:graphic>
          </wp:anchor>
        </w:drawing>
      </w:r>
    </w:p>
    <w:p>
      <w:pPr>
        <w:ind w:left="820"/>
        <w:spacing w:after="0" w:line="184"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Mr. Plummer has been the Chair of our Audit Committee since May 2020. Each member of our Audit</w:t>
      </w:r>
      <w:r>
        <w:rPr>
          <w:rFonts w:ascii="Arial" w:cs="Arial" w:eastAsia="Arial" w:hAnsi="Arial"/>
          <w:sz w:val="32"/>
          <w:szCs w:val="32"/>
          <w:color w:val="auto"/>
          <w:vertAlign w:val="superscript"/>
        </w:rPr>
        <w:t>​</w:t>
      </w:r>
    </w:p>
    <w:tbl>
      <w:tblPr>
        <w:tblLayout w:type="fixed"/>
        <w:tblInd w:w="820" w:type="dxa"/>
        <w:tblCellMar>
          <w:top w:w="0" w:type="dxa"/>
          <w:left w:w="0" w:type="dxa"/>
          <w:bottom w:w="0" w:type="dxa"/>
          <w:right w:w="0" w:type="dxa"/>
        </w:tblCellMar>
      </w:tblPr>
      <w:tr>
        <w:trPr>
          <w:trHeight w:val="186"/>
        </w:trPr>
        <w:tc>
          <w:tcPr>
            <w:tcW w:w="9020" w:type="dxa"/>
            <w:vAlign w:val="bottom"/>
          </w:tcPr>
          <w:p>
            <w:pPr>
              <w:ind w:left="20"/>
              <w:spacing w:after="0" w:line="186" w:lineRule="exact"/>
              <w:rPr>
                <w:sz w:val="20"/>
                <w:szCs w:val="20"/>
                <w:color w:val="auto"/>
              </w:rPr>
            </w:pPr>
            <w:r>
              <w:rPr>
                <w:rFonts w:ascii="Arial" w:cs="Arial" w:eastAsia="Arial" w:hAnsi="Arial"/>
                <w:sz w:val="18"/>
                <w:szCs w:val="18"/>
                <w:color w:val="auto"/>
              </w:rPr>
              <w:t>Committee  satisfies  the  additional  New  York  Stock  Exchange  independence  standards  for  audit</w:t>
            </w:r>
          </w:p>
        </w:tc>
        <w:tc>
          <w:tcPr>
            <w:tcW w:w="60" w:type="dxa"/>
            <w:vAlign w:val="bottom"/>
          </w:tcPr>
          <w:p>
            <w:pPr>
              <w:spacing w:after="0"/>
              <w:rPr>
                <w:sz w:val="16"/>
                <w:szCs w:val="16"/>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committees set forth in Section 10A of the Exchange Act. Our Board of Directors has determined that</w:t>
            </w:r>
          </w:p>
        </w:tc>
        <w:tc>
          <w:tcPr>
            <w:tcW w:w="60" w:type="dxa"/>
            <w:vAlign w:val="bottom"/>
          </w:tcPr>
          <w:p>
            <w:pPr>
              <w:spacing w:after="0"/>
              <w:rPr>
                <w:sz w:val="17"/>
                <w:szCs w:val="17"/>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Audit Committee Chair Mr. Plummer, Mr. Chinn, Mr. Gluski, Ms. Holt, Ms. Mazzarella and Mr. Menke</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are audit committee financial experts as defined by the SEC based on a thorough review of their</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education  and  financial  and  public  company  experience.  Additional  information  regarding  our</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directors’ expertise and qualifications is available under “Election of Directors” below.</w:t>
            </w:r>
          </w:p>
        </w:tc>
        <w:tc>
          <w:tcPr>
            <w:tcW w:w="60" w:type="dxa"/>
            <w:vAlign w:val="bottom"/>
          </w:tcPr>
          <w:p>
            <w:pPr>
              <w:spacing w:after="0"/>
              <w:rPr>
                <w:sz w:val="17"/>
                <w:szCs w:val="17"/>
                <w:color w:val="auto"/>
              </w:rPr>
            </w:pPr>
          </w:p>
        </w:tc>
      </w:tr>
      <w:tr>
        <w:trPr>
          <w:trHeight w:val="270"/>
        </w:trPr>
        <w:tc>
          <w:tcPr>
            <w:tcW w:w="9020" w:type="dxa"/>
            <w:vAlign w:val="bottom"/>
          </w:tcPr>
          <w:p>
            <w:pPr>
              <w:spacing w:after="0" w:line="269" w:lineRule="exact"/>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7"/>
                <w:szCs w:val="17"/>
                <w:b w:val="1"/>
                <w:bCs w:val="1"/>
                <w:color w:val="auto"/>
              </w:rPr>
              <w:t>Key Functions</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9080" w:type="dxa"/>
            <w:vAlign w:val="bottom"/>
            <w:gridSpan w:val="2"/>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The Audit Committee’s duties are set forth in a written charter that was approved by the Board of</w:t>
            </w:r>
            <w:r>
              <w:rPr>
                <w:rFonts w:ascii="Arial" w:cs="Arial" w:eastAsia="Arial" w:hAnsi="Arial"/>
                <w:sz w:val="32"/>
                <w:szCs w:val="32"/>
                <w:color w:val="auto"/>
                <w:vertAlign w:val="superscript"/>
              </w:rPr>
              <w:t>​</w:t>
            </w: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Directors. A copy of the charter can be found by accessing the “ESG — Corporate Governance”</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section of investors.wm.com. The Audit Committee generally is responsible for overseeing all matters</w:t>
            </w:r>
          </w:p>
        </w:tc>
        <w:tc>
          <w:tcPr>
            <w:tcW w:w="60" w:type="dxa"/>
            <w:vAlign w:val="bottom"/>
          </w:tcPr>
          <w:p>
            <w:pPr>
              <w:spacing w:after="0"/>
              <w:rPr>
                <w:sz w:val="17"/>
                <w:szCs w:val="17"/>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relating to our financial statements and reporting, independent auditors and internal audit function. As</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part of its function, the Audit Committee reports the results of all of its reviews to the full Board. In</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fulfilling its duties, the Audit Committee, has the following responsibilities:</w:t>
            </w:r>
          </w:p>
        </w:tc>
        <w:tc>
          <w:tcPr>
            <w:tcW w:w="60" w:type="dxa"/>
            <w:vAlign w:val="bottom"/>
          </w:tcPr>
          <w:p>
            <w:pPr>
              <w:spacing w:after="0"/>
              <w:rPr>
                <w:sz w:val="17"/>
                <w:szCs w:val="17"/>
                <w:color w:val="auto"/>
              </w:rPr>
            </w:pPr>
          </w:p>
        </w:tc>
      </w:tr>
      <w:tr>
        <w:trPr>
          <w:trHeight w:val="383"/>
        </w:trPr>
        <w:tc>
          <w:tcPr>
            <w:tcW w:w="9020" w:type="dxa"/>
            <w:vAlign w:val="bottom"/>
          </w:tcPr>
          <w:p>
            <w:pPr>
              <w:spacing w:after="0" w:line="383"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Administrative Responsibilities</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ind w:left="1020" w:right="120" w:hanging="177"/>
        <w:spacing w:after="0" w:line="250"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Report to the Board, at least annually, all public company audit committee memberships by members of the Audit Committee;</w:t>
      </w:r>
    </w:p>
    <w:p>
      <w:pPr>
        <w:spacing w:after="0" w:line="36" w:lineRule="exact"/>
        <w:rPr>
          <w:rFonts w:ascii="Arial" w:cs="Arial" w:eastAsia="Arial" w:hAnsi="Arial"/>
          <w:sz w:val="18"/>
          <w:szCs w:val="18"/>
          <w:color w:val="457157"/>
        </w:rPr>
      </w:pPr>
    </w:p>
    <w:p>
      <w:pPr>
        <w:ind w:left="1020" w:right="100" w:hanging="177"/>
        <w:spacing w:after="0" w:line="28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1" w:lineRule="exact"/>
        <w:rPr>
          <w:rFonts w:ascii="Arial" w:cs="Arial" w:eastAsia="Arial" w:hAnsi="Arial"/>
          <w:sz w:val="18"/>
          <w:szCs w:val="18"/>
          <w:color w:val="457157"/>
        </w:rPr>
      </w:pPr>
    </w:p>
    <w:p>
      <w:pPr>
        <w:ind w:left="1020" w:hanging="177"/>
        <w:spacing w:after="0"/>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Provide an orientation program for new Audit Committee members.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Financial Statements</w:t>
      </w:r>
      <w:r>
        <w:rPr>
          <w:sz w:val="20"/>
          <w:szCs w:val="20"/>
          <w:color w:val="auto"/>
        </w:rPr>
        <w:tab/>
      </w:r>
      <w:r>
        <w:rPr>
          <w:rFonts w:ascii="Arial" w:cs="Arial" w:eastAsia="Arial" w:hAnsi="Arial"/>
          <w:sz w:val="36"/>
          <w:szCs w:val="36"/>
          <w:color w:val="auto"/>
          <w:vertAlign w:val="superscript"/>
        </w:rPr>
        <w:t>​</w:t>
      </w:r>
    </w:p>
    <w:p>
      <w:pPr>
        <w:ind w:left="1020" w:right="620" w:hanging="177"/>
        <w:spacing w:after="0"/>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financial statements and Forms 10-K and 10-Q with management and the independent auditor;</w:t>
      </w:r>
    </w:p>
    <w:p>
      <w:pPr>
        <w:spacing w:after="0" w:line="220" w:lineRule="exact"/>
        <w:rPr>
          <w:rFonts w:ascii="Arial" w:cs="Arial" w:eastAsia="Arial" w:hAnsi="Arial"/>
          <w:sz w:val="18"/>
          <w:szCs w:val="18"/>
          <w:color w:val="457157"/>
        </w:rPr>
      </w:pPr>
    </w:p>
    <w:p>
      <w:pPr>
        <w:ind w:left="1020" w:right="120" w:hanging="177"/>
        <w:spacing w:after="0" w:line="287"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4" w:lineRule="exact"/>
        <w:rPr>
          <w:rFonts w:ascii="Arial" w:cs="Arial" w:eastAsia="Arial" w:hAnsi="Arial"/>
          <w:sz w:val="18"/>
          <w:szCs w:val="18"/>
          <w:color w:val="457157"/>
        </w:rPr>
      </w:pPr>
    </w:p>
    <w:p>
      <w:pPr>
        <w:jc w:val="both"/>
        <w:ind w:left="1020" w:right="100" w:hanging="177"/>
        <w:spacing w:after="0" w:line="261"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8"/>
          <w:szCs w:val="18"/>
          <w:i w:val="1"/>
          <w:iCs w:val="1"/>
          <w:color w:val="auto"/>
        </w:rPr>
        <w:t>Communications with Audit Committees;</w:t>
      </w:r>
    </w:p>
    <w:p>
      <w:pPr>
        <w:spacing w:after="0" w:line="26"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32"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5" w:lineRule="exact"/>
        <w:rPr>
          <w:rFonts w:ascii="Arial" w:cs="Arial" w:eastAsia="Arial" w:hAnsi="Arial"/>
          <w:sz w:val="18"/>
          <w:szCs w:val="18"/>
          <w:color w:val="457157"/>
        </w:rPr>
      </w:pPr>
    </w:p>
    <w:p>
      <w:pPr>
        <w:ind w:left="1020" w:hanging="177"/>
        <w:spacing w:after="0"/>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executive officer certifications related to our reports and filings.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Independent Auditor</w:t>
      </w:r>
      <w:r>
        <w:rPr>
          <w:sz w:val="20"/>
          <w:szCs w:val="20"/>
          <w:color w:val="auto"/>
        </w:rPr>
        <w:tab/>
      </w:r>
      <w:r>
        <w:rPr>
          <w:rFonts w:ascii="Arial" w:cs="Arial" w:eastAsia="Arial" w:hAnsi="Arial"/>
          <w:sz w:val="36"/>
          <w:szCs w:val="36"/>
          <w:color w:val="auto"/>
          <w:vertAlign w:val="superscript"/>
        </w:rPr>
        <w:t>​</w:t>
      </w:r>
    </w:p>
    <w:p>
      <w:pPr>
        <w:ind w:left="1020" w:right="440" w:hanging="177"/>
        <w:spacing w:after="0" w:line="229" w:lineRule="auto"/>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Engage an independent auditor, determine the auditor’s compensation and replace the auditor if necessary;</w:t>
      </w:r>
    </w:p>
    <w:p>
      <w:pPr>
        <w:spacing w:after="0" w:line="32" w:lineRule="exact"/>
        <w:rPr>
          <w:rFonts w:ascii="Arial" w:cs="Arial" w:eastAsia="Arial" w:hAnsi="Arial"/>
          <w:sz w:val="18"/>
          <w:szCs w:val="18"/>
          <w:color w:val="457157"/>
        </w:rPr>
      </w:pPr>
    </w:p>
    <w:p>
      <w:pPr>
        <w:ind w:left="1020" w:right="100" w:hanging="177"/>
        <w:spacing w:after="0" w:line="281" w:lineRule="auto"/>
        <w:tabs>
          <w:tab w:leader="none" w:pos="1020" w:val="left"/>
        </w:tabs>
        <w:numPr>
          <w:ilvl w:val="0"/>
          <w:numId w:val="8"/>
        </w:numPr>
        <w:rPr>
          <w:rFonts w:ascii="Arial" w:cs="Arial" w:eastAsia="Arial" w:hAnsi="Arial"/>
          <w:sz w:val="18"/>
          <w:szCs w:val="18"/>
          <w:b w:val="1"/>
          <w:bCs w:val="1"/>
          <w:color w:val="457157"/>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14" w:lineRule="exact"/>
        <w:rPr>
          <w:rFonts w:ascii="Arial" w:cs="Arial" w:eastAsia="Arial" w:hAnsi="Arial"/>
          <w:sz w:val="18"/>
          <w:szCs w:val="18"/>
          <w:b w:val="1"/>
          <w:bCs w:val="1"/>
          <w:color w:val="457157"/>
        </w:rPr>
      </w:pPr>
    </w:p>
    <w:p>
      <w:pPr>
        <w:ind w:left="1020" w:right="100" w:hanging="177"/>
        <w:spacing w:after="0" w:line="271" w:lineRule="auto"/>
        <w:tabs>
          <w:tab w:leader="none" w:pos="1020" w:val="left"/>
        </w:tabs>
        <w:numPr>
          <w:ilvl w:val="0"/>
          <w:numId w:val="8"/>
        </w:numPr>
        <w:rPr>
          <w:rFonts w:ascii="Arial" w:cs="Arial" w:eastAsia="Arial" w:hAnsi="Arial"/>
          <w:sz w:val="18"/>
          <w:szCs w:val="18"/>
          <w:b w:val="1"/>
          <w:bCs w:val="1"/>
          <w:color w:val="457157"/>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18" w:lineRule="exact"/>
        <w:rPr>
          <w:rFonts w:ascii="Arial" w:cs="Arial" w:eastAsia="Arial" w:hAnsi="Arial"/>
          <w:sz w:val="18"/>
          <w:szCs w:val="18"/>
          <w:b w:val="1"/>
          <w:bCs w:val="1"/>
          <w:color w:val="457157"/>
        </w:rPr>
      </w:pPr>
    </w:p>
    <w:p>
      <w:pPr>
        <w:ind w:left="1020" w:hanging="177"/>
        <w:spacing w:after="0"/>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Pre-approve all services, including non-audit engagements, provided by the independent auditor.</w:t>
      </w:r>
    </w:p>
    <w:p>
      <w:pPr>
        <w:ind w:left="820"/>
        <w:spacing w:after="0" w:line="203"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Internal Audit</w:t>
      </w:r>
      <w:r>
        <w:rPr>
          <w:sz w:val="20"/>
          <w:szCs w:val="20"/>
          <w:color w:val="auto"/>
        </w:rPr>
        <w:tab/>
      </w:r>
      <w:r>
        <w:rPr>
          <w:rFonts w:ascii="Arial" w:cs="Arial" w:eastAsia="Arial" w:hAnsi="Arial"/>
          <w:sz w:val="36"/>
          <w:szCs w:val="36"/>
          <w:color w:val="auto"/>
          <w:vertAlign w:val="superscript"/>
        </w:rPr>
        <w:t>​</w:t>
      </w:r>
    </w:p>
    <w:p>
      <w:pPr>
        <w:spacing w:after="0" w:line="1" w:lineRule="exact"/>
        <w:rPr>
          <w:sz w:val="20"/>
          <w:szCs w:val="20"/>
          <w:color w:val="auto"/>
        </w:rPr>
      </w:pPr>
    </w:p>
    <w:p>
      <w:pPr>
        <w:ind w:left="1020" w:hanging="177"/>
        <w:spacing w:after="0"/>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Review the plans, staffing, reports and activities of the internal auditors; and</w:t>
      </w:r>
    </w:p>
    <w:p>
      <w:pPr>
        <w:spacing w:after="0" w:line="45" w:lineRule="exact"/>
        <w:rPr>
          <w:rFonts w:ascii="Arial" w:cs="Arial" w:eastAsia="Arial" w:hAnsi="Arial"/>
          <w:sz w:val="18"/>
          <w:szCs w:val="18"/>
          <w:color w:val="457157"/>
        </w:rPr>
      </w:pPr>
    </w:p>
    <w:p>
      <w:pPr>
        <w:jc w:val="both"/>
        <w:ind w:left="1020" w:right="100" w:hanging="177"/>
        <w:spacing w:after="0" w:line="268"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155575</wp:posOffset>
            </wp:positionV>
            <wp:extent cx="57607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40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266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6"/>
                <w:szCs w:val="16"/>
                <w:b w:val="1"/>
                <w:bCs w:val="1"/>
                <w:color w:val="auto"/>
              </w:rPr>
              <w:t>​</w:t>
            </w:r>
          </w:p>
        </w:tc>
        <w:tc>
          <w:tcPr>
            <w:tcW w:w="26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400" w:type="dxa"/>
            <w:vAlign w:val="bottom"/>
            <w:tcBorders>
              <w:bottom w:val="single" w:sz="8" w:color="457157"/>
            </w:tcBorders>
          </w:tcPr>
          <w:p>
            <w:pPr>
              <w:spacing w:after="0"/>
              <w:rPr>
                <w:sz w:val="22"/>
                <w:szCs w:val="22"/>
                <w:color w:val="auto"/>
              </w:rPr>
            </w:pPr>
          </w:p>
        </w:tc>
        <w:tc>
          <w:tcPr>
            <w:tcW w:w="2660" w:type="dxa"/>
            <w:vAlign w:val="bottom"/>
            <w:tcBorders>
              <w:bottom w:val="single" w:sz="8" w:color="457157"/>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6"/>
        </w:trPr>
        <w:tc>
          <w:tcPr>
            <w:tcW w:w="6400" w:type="dxa"/>
            <w:vAlign w:val="bottom"/>
          </w:tcPr>
          <w:p>
            <w:pPr>
              <w:spacing w:after="0" w:line="406" w:lineRule="exact"/>
              <w:rPr>
                <w:sz w:val="20"/>
                <w:szCs w:val="20"/>
                <w:color w:val="auto"/>
              </w:rPr>
            </w:pPr>
            <w:r>
              <w:rPr>
                <w:rFonts w:ascii="Arial" w:cs="Arial" w:eastAsia="Arial" w:hAnsi="Arial"/>
                <w:sz w:val="47"/>
                <w:szCs w:val="47"/>
                <w:b w:val="1"/>
                <w:bCs w:val="1"/>
                <w:color w:val="auto"/>
                <w:vertAlign w:val="superscript"/>
              </w:rPr>
              <w:t>​</w:t>
            </w:r>
            <w:r>
              <w:rPr>
                <w:rFonts w:ascii="Arial" w:cs="Arial" w:eastAsia="Arial" w:hAnsi="Arial"/>
                <w:sz w:val="24"/>
                <w:szCs w:val="24"/>
                <w:b w:val="1"/>
                <w:bCs w:val="1"/>
                <w:color w:val="auto"/>
              </w:rPr>
              <w:t>AUDIT COMMITTEE REPORT</w:t>
            </w:r>
          </w:p>
        </w:tc>
        <w:tc>
          <w:tcPr>
            <w:tcW w:w="2720" w:type="dxa"/>
            <w:vAlign w:val="bottom"/>
            <w:gridSpan w:val="2"/>
          </w:tcPr>
          <w:p>
            <w:pPr>
              <w:ind w:left="2620"/>
              <w:spacing w:after="0"/>
              <w:rPr>
                <w:sz w:val="20"/>
                <w:szCs w:val="20"/>
                <w:color w:val="auto"/>
              </w:rPr>
            </w:pPr>
            <w:r>
              <w:rPr>
                <w:rFonts w:ascii="Arial" w:cs="Arial" w:eastAsia="Arial" w:hAnsi="Arial"/>
                <w:sz w:val="25"/>
                <w:szCs w:val="2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-269875</wp:posOffset>
            </wp:positionV>
            <wp:extent cx="5760720" cy="78263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782637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jc w:val="both"/>
        <w:ind w:left="840" w:hanging="26"/>
        <w:spacing w:after="0"/>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 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151" w:lineRule="exact"/>
        <w:rPr>
          <w:sz w:val="20"/>
          <w:szCs w:val="20"/>
          <w:color w:val="auto"/>
        </w:rPr>
      </w:pPr>
    </w:p>
    <w:p>
      <w:pPr>
        <w:jc w:val="both"/>
        <w:ind w:left="840" w:hanging="26"/>
        <w:spacing w:after="0" w:line="220" w:lineRule="auto"/>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The Audit Committee has reviewed and discussed the Company’s audited financial statements as of and for the year ended December 31, 2023 with management and the independent registered public accounting firm, and has taken the following steps in making its recommendation that the Company’s financial statements be included in its Annual Report on Form 10-K.</w:t>
      </w:r>
    </w:p>
    <w:p>
      <w:pPr>
        <w:spacing w:after="0" w:line="47" w:lineRule="exact"/>
        <w:rPr>
          <w:sz w:val="20"/>
          <w:szCs w:val="20"/>
          <w:color w:val="auto"/>
        </w:rPr>
      </w:pPr>
    </w:p>
    <w:p>
      <w:pPr>
        <w:jc w:val="both"/>
        <w:ind w:left="1020" w:hanging="177"/>
        <w:spacing w:after="0" w:line="261" w:lineRule="auto"/>
        <w:tabs>
          <w:tab w:leader="none" w:pos="1020" w:val="left"/>
        </w:tabs>
        <w:numPr>
          <w:ilvl w:val="0"/>
          <w:numId w:val="10"/>
        </w:numPr>
        <w:rPr>
          <w:rFonts w:ascii="Arial" w:cs="Arial" w:eastAsia="Arial" w:hAnsi="Arial"/>
          <w:sz w:val="17"/>
          <w:szCs w:val="17"/>
          <w:color w:val="457157"/>
        </w:rPr>
      </w:pPr>
      <w:r>
        <w:rPr>
          <w:rFonts w:ascii="Arial" w:cs="Arial" w:eastAsia="Arial" w:hAnsi="Arial"/>
          <w:sz w:val="17"/>
          <w:szCs w:val="17"/>
          <w:color w:val="auto"/>
        </w:rPr>
        <w:t>First, the Audit Committee discussed with Ernst &amp; Young LLP, the Company’s independent registered public accounting firm for fiscal year 2023,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44" w:lineRule="exact"/>
        <w:rPr>
          <w:rFonts w:ascii="Arial" w:cs="Arial" w:eastAsia="Arial" w:hAnsi="Arial"/>
          <w:sz w:val="17"/>
          <w:szCs w:val="17"/>
          <w:color w:val="457157"/>
        </w:rPr>
      </w:pPr>
    </w:p>
    <w:p>
      <w:pPr>
        <w:jc w:val="both"/>
        <w:ind w:left="1020" w:hanging="177"/>
        <w:spacing w:after="0" w:line="257" w:lineRule="auto"/>
        <w:tabs>
          <w:tab w:leader="none" w:pos="1020" w:val="left"/>
        </w:tabs>
        <w:numPr>
          <w:ilvl w:val="0"/>
          <w:numId w:val="10"/>
        </w:numPr>
        <w:rPr>
          <w:rFonts w:ascii="Arial" w:cs="Arial" w:eastAsia="Arial" w:hAnsi="Arial"/>
          <w:sz w:val="17"/>
          <w:szCs w:val="17"/>
          <w:color w:val="457157"/>
        </w:rPr>
      </w:pPr>
      <w:r>
        <w:rPr>
          <w:rFonts w:ascii="Arial" w:cs="Arial" w:eastAsia="Arial" w:hAnsi="Arial"/>
          <w:sz w:val="17"/>
          <w:szCs w:val="17"/>
          <w:color w:val="auto"/>
        </w:rPr>
        <w:t>Second, the Audit Committee discussed with Ernst &amp; Young LLP its independence and received from Ernst &amp; 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46" w:lineRule="exact"/>
        <w:rPr>
          <w:rFonts w:ascii="Arial" w:cs="Arial" w:eastAsia="Arial" w:hAnsi="Arial"/>
          <w:sz w:val="17"/>
          <w:szCs w:val="17"/>
          <w:color w:val="457157"/>
        </w:rPr>
      </w:pPr>
    </w:p>
    <w:p>
      <w:pPr>
        <w:jc w:val="both"/>
        <w:ind w:left="1020" w:hanging="177"/>
        <w:spacing w:after="0" w:line="263" w:lineRule="auto"/>
        <w:tabs>
          <w:tab w:leader="none" w:pos="1020" w:val="left"/>
        </w:tabs>
        <w:numPr>
          <w:ilvl w:val="0"/>
          <w:numId w:val="10"/>
        </w:numPr>
        <w:rPr>
          <w:rFonts w:ascii="Arial" w:cs="Arial" w:eastAsia="Arial" w:hAnsi="Arial"/>
          <w:sz w:val="17"/>
          <w:szCs w:val="17"/>
          <w:color w:val="457157"/>
        </w:rPr>
      </w:pPr>
      <w:r>
        <w:rPr>
          <w:rFonts w:ascii="Arial" w:cs="Arial" w:eastAsia="Arial" w:hAnsi="Arial"/>
          <w:sz w:val="17"/>
          <w:szCs w:val="17"/>
          <w:color w:val="auto"/>
        </w:rPr>
        <w:t>Third, the Audit Committee met periodically with members of management, the internal auditors and Ernst &amp; Young LLP to review and discuss internal controls over financial reporting. Further, the Audit Committee reviewed and discussed management’s report on internal control over financial reporting as of December 31, 2023, as well as Ernst &amp; Young LLP’s report regarding the effectiveness of internal control over financial reporting.</w:t>
      </w:r>
    </w:p>
    <w:p>
      <w:pPr>
        <w:spacing w:after="0" w:line="236" w:lineRule="exact"/>
        <w:rPr>
          <w:rFonts w:ascii="Arial" w:cs="Arial" w:eastAsia="Arial" w:hAnsi="Arial"/>
          <w:sz w:val="17"/>
          <w:szCs w:val="17"/>
          <w:color w:val="457157"/>
        </w:rPr>
      </w:pPr>
    </w:p>
    <w:p>
      <w:pPr>
        <w:jc w:val="both"/>
        <w:ind w:left="1020" w:hanging="177"/>
        <w:spacing w:after="0" w:line="261" w:lineRule="auto"/>
        <w:tabs>
          <w:tab w:leader="none" w:pos="1020" w:val="left"/>
        </w:tabs>
        <w:numPr>
          <w:ilvl w:val="0"/>
          <w:numId w:val="10"/>
        </w:numPr>
        <w:rPr>
          <w:rFonts w:ascii="Arial" w:cs="Arial" w:eastAsia="Arial" w:hAnsi="Arial"/>
          <w:sz w:val="17"/>
          <w:szCs w:val="17"/>
          <w:color w:val="457157"/>
        </w:rPr>
      </w:pPr>
      <w:r>
        <w:rPr>
          <w:rFonts w:ascii="Arial" w:cs="Arial" w:eastAsia="Arial" w:hAnsi="Arial"/>
          <w:sz w:val="17"/>
          <w:szCs w:val="17"/>
          <w:color w:val="auto"/>
        </w:rPr>
        <w:t>Finally, the Audit Committee reviewed and discussed, with the Company’s management and Ernst &amp; Young LLP, the Company’s audited consolidated balance sheet as of December 31, 2023, and consolidated statements of operations, comprehensive income, cash flows and changes in equity for the fiscal year ended December 31, 2023, including the quality, not just the acceptability, of the accounting principles, the reasonableness of significant judgments and the clarity of the disclosure.</w:t>
      </w:r>
    </w:p>
    <w:p>
      <w:pPr>
        <w:spacing w:after="0" w:line="44" w:lineRule="exact"/>
        <w:rPr>
          <w:rFonts w:ascii="Arial" w:cs="Arial" w:eastAsia="Arial" w:hAnsi="Arial"/>
          <w:sz w:val="17"/>
          <w:szCs w:val="17"/>
          <w:color w:val="457157"/>
        </w:rPr>
      </w:pPr>
    </w:p>
    <w:p>
      <w:pPr>
        <w:jc w:val="both"/>
        <w:ind w:left="1020" w:hanging="177"/>
        <w:spacing w:after="0" w:line="257" w:lineRule="auto"/>
        <w:tabs>
          <w:tab w:leader="none" w:pos="1020" w:val="left"/>
        </w:tabs>
        <w:numPr>
          <w:ilvl w:val="0"/>
          <w:numId w:val="10"/>
        </w:numPr>
        <w:rPr>
          <w:rFonts w:ascii="Arial" w:cs="Arial" w:eastAsia="Arial" w:hAnsi="Arial"/>
          <w:sz w:val="17"/>
          <w:szCs w:val="17"/>
          <w:color w:val="457157"/>
        </w:rPr>
      </w:pPr>
      <w:r>
        <w:rPr>
          <w:rFonts w:ascii="Arial" w:cs="Arial" w:eastAsia="Arial" w:hAnsi="Arial"/>
          <w:sz w:val="17"/>
          <w:szCs w:val="17"/>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46" w:lineRule="exact"/>
        <w:rPr>
          <w:rFonts w:ascii="Arial" w:cs="Arial" w:eastAsia="Arial" w:hAnsi="Arial"/>
          <w:sz w:val="17"/>
          <w:szCs w:val="17"/>
          <w:color w:val="457157"/>
        </w:rPr>
      </w:pPr>
    </w:p>
    <w:p>
      <w:pPr>
        <w:jc w:val="both"/>
        <w:ind w:left="1020" w:hanging="177"/>
        <w:spacing w:after="0" w:line="263" w:lineRule="auto"/>
        <w:tabs>
          <w:tab w:leader="none" w:pos="1020" w:val="left"/>
        </w:tabs>
        <w:numPr>
          <w:ilvl w:val="0"/>
          <w:numId w:val="10"/>
        </w:numPr>
        <w:rPr>
          <w:rFonts w:ascii="Arial" w:cs="Arial" w:eastAsia="Arial" w:hAnsi="Arial"/>
          <w:sz w:val="17"/>
          <w:szCs w:val="17"/>
          <w:color w:val="457157"/>
        </w:rPr>
      </w:pPr>
      <w:r>
        <w:rPr>
          <w:rFonts w:ascii="Arial" w:cs="Arial" w:eastAsia="Arial" w:hAnsi="Arial"/>
          <w:sz w:val="17"/>
          <w:szCs w:val="17"/>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236" w:lineRule="exact"/>
        <w:rPr>
          <w:rFonts w:ascii="Arial" w:cs="Arial" w:eastAsia="Arial" w:hAnsi="Arial"/>
          <w:sz w:val="17"/>
          <w:szCs w:val="17"/>
          <w:color w:val="457157"/>
        </w:rPr>
      </w:pPr>
    </w:p>
    <w:p>
      <w:pPr>
        <w:jc w:val="both"/>
        <w:ind w:left="1020" w:hanging="177"/>
        <w:spacing w:after="0" w:line="261" w:lineRule="auto"/>
        <w:tabs>
          <w:tab w:leader="none" w:pos="1020" w:val="left"/>
        </w:tabs>
        <w:numPr>
          <w:ilvl w:val="0"/>
          <w:numId w:val="10"/>
        </w:numPr>
        <w:rPr>
          <w:rFonts w:ascii="Arial" w:cs="Arial" w:eastAsia="Arial" w:hAnsi="Arial"/>
          <w:sz w:val="17"/>
          <w:szCs w:val="17"/>
          <w:color w:val="457157"/>
        </w:rPr>
      </w:pPr>
      <w:r>
        <w:rPr>
          <w:rFonts w:ascii="Arial" w:cs="Arial" w:eastAsia="Arial" w:hAnsi="Arial"/>
          <w:sz w:val="17"/>
          <w:szCs w:val="17"/>
          <w:color w:val="auto"/>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2023. The Committee has also approved the selection of Ernst &amp; Young LLP as the Company’s independent registered public accounting firm for fiscal year 2024.</w:t>
      </w:r>
    </w:p>
    <w:p>
      <w:pPr>
        <w:spacing w:after="0" w:line="31"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The Audit Committee of the Board of Directors</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William B. Plummer, </w:t>
      </w:r>
      <w:r>
        <w:rPr>
          <w:rFonts w:ascii="Arial" w:cs="Arial" w:eastAsia="Arial" w:hAnsi="Arial"/>
          <w:sz w:val="17"/>
          <w:szCs w:val="17"/>
          <w:i w:val="1"/>
          <w:iCs w:val="1"/>
          <w:color w:val="auto"/>
        </w:rPr>
        <w:t>Chair</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Bruce E. Chinn</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Andrés R. Gluski</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Victoria M. Holt</w:t>
      </w:r>
    </w:p>
    <w:p>
      <w:pPr>
        <w:ind w:left="840"/>
        <w:spacing w:after="0" w:line="198" w:lineRule="auto"/>
        <w:rPr>
          <w:sz w:val="20"/>
          <w:szCs w:val="20"/>
          <w:color w:val="auto"/>
        </w:rPr>
      </w:pPr>
      <w:r>
        <w:rPr>
          <w:rFonts w:ascii="Arial" w:cs="Arial" w:eastAsia="Arial" w:hAnsi="Arial"/>
          <w:sz w:val="17"/>
          <w:szCs w:val="17"/>
          <w:color w:val="auto"/>
        </w:rPr>
        <w:t>Kathleen M. Mazzarella</w:t>
      </w:r>
    </w:p>
    <w:p>
      <w:pPr>
        <w:ind w:left="820"/>
        <w:spacing w:after="0" w:line="184" w:lineRule="auto"/>
        <w:tabs>
          <w:tab w:leader="none" w:pos="1200" w:val="left"/>
          <w:tab w:leader="none" w:pos="2400" w:val="left"/>
        </w:tabs>
        <w:rPr>
          <w:sz w:val="20"/>
          <w:szCs w:val="20"/>
          <w:color w:val="auto"/>
        </w:rPr>
      </w:pPr>
      <w:r>
        <w:rPr>
          <w:rFonts w:ascii="Arial" w:cs="Arial" w:eastAsia="Arial" w:hAnsi="Arial"/>
          <w:sz w:val="7"/>
          <w:szCs w:val="7"/>
          <w:color w:val="auto"/>
        </w:rPr>
        <w:t>10</w:t>
      </w:r>
      <w:r>
        <w:rPr>
          <w:sz w:val="20"/>
          <w:szCs w:val="20"/>
          <w:color w:val="auto"/>
        </w:rPr>
        <w:tab/>
      </w:r>
      <w:r>
        <w:rPr>
          <w:rFonts w:ascii="Arial" w:cs="Arial" w:eastAsia="Arial" w:hAnsi="Arial"/>
          <w:sz w:val="7"/>
          <w:szCs w:val="7"/>
          <w:b w:val="1"/>
          <w:bCs w:val="1"/>
          <w:color w:val="457157"/>
          <w:vertAlign w:val="superscript"/>
        </w:rPr>
        <w:t>|</w:t>
      </w:r>
      <w:r>
        <w:rPr>
          <w:sz w:val="20"/>
          <w:szCs w:val="20"/>
          <w:color w:val="auto"/>
        </w:rPr>
        <w:tab/>
      </w:r>
      <w:r>
        <w:rPr>
          <w:rFonts w:ascii="Arial" w:cs="Arial" w:eastAsia="Arial" w:hAnsi="Arial"/>
          <w:sz w:val="7"/>
          <w:szCs w:val="7"/>
          <w:color w:val="auto"/>
        </w:rPr>
        <w:t>2024 Proxy Statement</w:t>
      </w:r>
    </w:p>
    <w:p>
      <w:pPr>
        <w:ind w:left="840"/>
        <w:spacing w:after="0"/>
        <w:rPr>
          <w:sz w:val="20"/>
          <w:szCs w:val="20"/>
          <w:color w:val="auto"/>
        </w:rPr>
      </w:pPr>
      <w:r>
        <w:rPr>
          <w:rFonts w:ascii="Arial" w:cs="Arial" w:eastAsia="Arial" w:hAnsi="Arial"/>
          <w:sz w:val="17"/>
          <w:szCs w:val="17"/>
          <w:color w:val="auto"/>
        </w:rPr>
        <w:t>Sean E.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42545</wp:posOffset>
            </wp:positionV>
            <wp:extent cx="57607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458470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2">
            <w:col w:w="9840" w:space="0"/>
            <w:col w:w="100"/>
          </w:cols>
          <w:pgMar w:left="580" w:top="97" w:right="137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274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6320" w:type="dxa"/>
            <w:vAlign w:val="bottom"/>
            <w:tcBorders>
              <w:top w:val="single" w:sz="8" w:color="457157"/>
            </w:tcBorders>
            <w:gridSpan w:val="2"/>
          </w:tcPr>
          <w:p>
            <w:pPr>
              <w:ind w:left="3900"/>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6"/>
        </w:trPr>
        <w:tc>
          <w:tcPr>
            <w:tcW w:w="2740" w:type="dxa"/>
            <w:vAlign w:val="bottom"/>
            <w:tcBorders>
              <w:bottom w:val="single" w:sz="8" w:color="457157"/>
            </w:tcBorders>
          </w:tcPr>
          <w:p>
            <w:pPr>
              <w:spacing w:after="0"/>
              <w:rPr>
                <w:sz w:val="19"/>
                <w:szCs w:val="19"/>
                <w:color w:val="auto"/>
              </w:rPr>
            </w:pPr>
          </w:p>
        </w:tc>
        <w:tc>
          <w:tcPr>
            <w:tcW w:w="6280" w:type="dxa"/>
            <w:vAlign w:val="bottom"/>
            <w:tcBorders>
              <w:bottom w:val="single" w:sz="8" w:color="457157"/>
            </w:tcBorders>
          </w:tcPr>
          <w:p>
            <w:pPr>
              <w:spacing w:after="0"/>
              <w:rPr>
                <w:sz w:val="19"/>
                <w:szCs w:val="19"/>
                <w:color w:val="auto"/>
              </w:rPr>
            </w:pPr>
          </w:p>
        </w:tc>
        <w:tc>
          <w:tcPr>
            <w:tcW w:w="40" w:type="dxa"/>
            <w:vAlign w:val="bottom"/>
            <w:tcBorders>
              <w:bottom w:val="single" w:sz="8" w:color="457157"/>
            </w:tcBorders>
          </w:tcPr>
          <w:p>
            <w:pPr>
              <w:spacing w:after="0"/>
              <w:rPr>
                <w:sz w:val="19"/>
                <w:szCs w:val="19"/>
                <w:color w:val="auto"/>
              </w:rPr>
            </w:pPr>
          </w:p>
        </w:tc>
        <w:tc>
          <w:tcPr>
            <w:tcW w:w="60" w:type="dxa"/>
            <w:vAlign w:val="bottom"/>
          </w:tcPr>
          <w:p>
            <w:pPr>
              <w:spacing w:after="0"/>
              <w:rPr>
                <w:sz w:val="19"/>
                <w:szCs w:val="19"/>
                <w:color w:val="auto"/>
              </w:rPr>
            </w:pPr>
          </w:p>
        </w:tc>
      </w:tr>
      <w:tr>
        <w:trPr>
          <w:trHeight w:val="158"/>
        </w:trPr>
        <w:tc>
          <w:tcPr>
            <w:tcW w:w="2740" w:type="dxa"/>
            <w:vAlign w:val="bottom"/>
            <w:shd w:val="clear" w:color="auto" w:fill="ECF1EE"/>
          </w:tcPr>
          <w:p>
            <w:pPr>
              <w:spacing w:after="0" w:line="158" w:lineRule="exact"/>
              <w:rPr>
                <w:sz w:val="20"/>
                <w:szCs w:val="20"/>
                <w:color w:val="auto"/>
              </w:rPr>
            </w:pPr>
            <w:r>
              <w:rPr>
                <w:rFonts w:ascii="Arial" w:cs="Arial" w:eastAsia="Arial" w:hAnsi="Arial"/>
                <w:sz w:val="18"/>
                <w:szCs w:val="18"/>
                <w:b w:val="1"/>
                <w:bCs w:val="1"/>
                <w:color w:val="auto"/>
              </w:rPr>
              <w:t>​</w:t>
            </w:r>
          </w:p>
        </w:tc>
        <w:tc>
          <w:tcPr>
            <w:tcW w:w="6280" w:type="dxa"/>
            <w:vAlign w:val="bottom"/>
            <w:shd w:val="clear" w:color="auto" w:fill="ECF1EE"/>
          </w:tcPr>
          <w:p>
            <w:pPr>
              <w:spacing w:after="0"/>
              <w:rPr>
                <w:sz w:val="13"/>
                <w:szCs w:val="13"/>
                <w:color w:val="auto"/>
              </w:rPr>
            </w:pPr>
          </w:p>
        </w:tc>
        <w:tc>
          <w:tcPr>
            <w:tcW w:w="40" w:type="dxa"/>
            <w:vAlign w:val="bottom"/>
            <w:shd w:val="clear" w:color="auto" w:fill="ECF1EE"/>
          </w:tcPr>
          <w:p>
            <w:pPr>
              <w:spacing w:after="0" w:line="158"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3"/>
                <w:szCs w:val="13"/>
                <w:color w:val="auto"/>
              </w:rPr>
            </w:pPr>
          </w:p>
        </w:tc>
      </w:tr>
      <w:tr>
        <w:trPr>
          <w:trHeight w:val="283"/>
        </w:trPr>
        <w:tc>
          <w:tcPr>
            <w:tcW w:w="9020" w:type="dxa"/>
            <w:vAlign w:val="bottom"/>
            <w:gridSpan w:val="2"/>
            <w:shd w:val="clear" w:color="auto" w:fill="ECF1EE"/>
          </w:tcPr>
          <w:p>
            <w:pPr>
              <w:ind w:left="20"/>
              <w:spacing w:after="0" w:line="283" w:lineRule="exact"/>
              <w:rPr>
                <w:sz w:val="20"/>
                <w:szCs w:val="20"/>
                <w:color w:val="auto"/>
              </w:rPr>
            </w:pPr>
            <w:r>
              <w:rPr>
                <w:rFonts w:ascii="Arial" w:cs="Arial" w:eastAsia="Arial" w:hAnsi="Arial"/>
                <w:sz w:val="25"/>
                <w:szCs w:val="25"/>
                <w:b w:val="1"/>
                <w:bCs w:val="1"/>
                <w:color w:val="auto"/>
              </w:rPr>
              <w:t>THE MANAGEMENT DEVELOPMENT AND COMPENSATION</w:t>
            </w: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r>
      <w:tr>
        <w:trPr>
          <w:trHeight w:val="348"/>
        </w:trPr>
        <w:tc>
          <w:tcPr>
            <w:tcW w:w="2740" w:type="dxa"/>
            <w:vAlign w:val="bottom"/>
            <w:shd w:val="clear" w:color="auto" w:fill="ECF1EE"/>
          </w:tcPr>
          <w:p>
            <w:pPr>
              <w:ind w:left="20"/>
              <w:spacing w:after="0"/>
              <w:rPr>
                <w:sz w:val="20"/>
                <w:szCs w:val="20"/>
                <w:color w:val="auto"/>
              </w:rPr>
            </w:pPr>
            <w:r>
              <w:rPr>
                <w:rFonts w:ascii="Arial" w:cs="Arial" w:eastAsia="Arial" w:hAnsi="Arial"/>
                <w:sz w:val="25"/>
                <w:szCs w:val="25"/>
                <w:b w:val="1"/>
                <w:bCs w:val="1"/>
                <w:color w:val="auto"/>
              </w:rPr>
              <w:t>COMMITTEE</w:t>
            </w:r>
            <w:r>
              <w:rPr>
                <w:rFonts w:ascii="Arial" w:cs="Arial" w:eastAsia="Arial" w:hAnsi="Arial"/>
                <w:sz w:val="17"/>
                <w:szCs w:val="17"/>
                <w:color w:val="auto"/>
              </w:rPr>
              <w:t>​</w:t>
            </w:r>
          </w:p>
        </w:tc>
        <w:tc>
          <w:tcPr>
            <w:tcW w:w="6280" w:type="dxa"/>
            <w:vAlign w:val="bottom"/>
            <w:shd w:val="clear" w:color="auto" w:fill="ECF1EE"/>
          </w:tcPr>
          <w:p>
            <w:pPr>
              <w:spacing w:after="0"/>
              <w:rPr>
                <w:sz w:val="24"/>
                <w:szCs w:val="24"/>
                <w:color w:val="auto"/>
              </w:rPr>
            </w:pP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2740" w:type="dxa"/>
            <w:vAlign w:val="bottom"/>
            <w:shd w:val="clear" w:color="auto" w:fill="ECF1EE"/>
          </w:tcPr>
          <w:p>
            <w:pPr>
              <w:ind w:left="80"/>
              <w:spacing w:after="0"/>
              <w:rPr>
                <w:sz w:val="20"/>
                <w:szCs w:val="20"/>
                <w:color w:val="auto"/>
              </w:rPr>
            </w:pPr>
            <w:r>
              <w:rPr>
                <w:rFonts w:ascii="Arial" w:cs="Arial" w:eastAsia="Arial" w:hAnsi="Arial"/>
                <w:sz w:val="18"/>
                <w:szCs w:val="18"/>
                <w:b w:val="1"/>
                <w:bCs w:val="1"/>
                <w:color w:val="auto"/>
              </w:rPr>
              <w:t>Members:</w:t>
            </w:r>
          </w:p>
        </w:tc>
        <w:tc>
          <w:tcPr>
            <w:tcW w:w="6280" w:type="dxa"/>
            <w:vAlign w:val="bottom"/>
            <w:shd w:val="clear" w:color="auto" w:fill="ECF1EE"/>
          </w:tcPr>
          <w:p>
            <w:pPr>
              <w:ind w:left="2420"/>
              <w:spacing w:after="0"/>
              <w:rPr>
                <w:sz w:val="20"/>
                <w:szCs w:val="20"/>
                <w:color w:val="auto"/>
              </w:rPr>
            </w:pPr>
            <w:r>
              <w:rPr>
                <w:rFonts w:ascii="Arial" w:cs="Arial" w:eastAsia="Arial" w:hAnsi="Arial"/>
                <w:sz w:val="18"/>
                <w:szCs w:val="18"/>
                <w:b w:val="1"/>
                <w:bCs w:val="1"/>
                <w:color w:val="auto"/>
              </w:rPr>
              <w:t>Number of Meetings Held in 2023: 5</w:t>
            </w: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2740" w:type="dxa"/>
            <w:vAlign w:val="bottom"/>
          </w:tcPr>
          <w:p>
            <w:pPr>
              <w:spacing w:after="0"/>
              <w:rPr>
                <w:sz w:val="20"/>
                <w:szCs w:val="20"/>
                <w:color w:val="auto"/>
              </w:rPr>
            </w:pPr>
            <w:r>
              <w:rPr>
                <w:rFonts w:ascii="Arial" w:cs="Arial" w:eastAsia="Arial" w:hAnsi="Arial"/>
                <w:sz w:val="18"/>
                <w:szCs w:val="18"/>
                <w:b w:val="1"/>
                <w:bCs w:val="1"/>
                <w:color w:val="auto"/>
              </w:rPr>
              <w:t xml:space="preserve">​ Andrés R. Gluski, </w:t>
            </w:r>
            <w:r>
              <w:rPr>
                <w:rFonts w:ascii="Arial" w:cs="Arial" w:eastAsia="Arial" w:hAnsi="Arial"/>
                <w:sz w:val="18"/>
                <w:szCs w:val="18"/>
                <w:b w:val="1"/>
                <w:bCs w:val="1"/>
                <w:i w:val="1"/>
                <w:iCs w:val="1"/>
                <w:color w:val="auto"/>
              </w:rPr>
              <w:t>Chair</w:t>
            </w:r>
          </w:p>
        </w:tc>
        <w:tc>
          <w:tcPr>
            <w:tcW w:w="6280" w:type="dxa"/>
            <w:vAlign w:val="bottom"/>
          </w:tcPr>
          <w:p>
            <w:pPr>
              <w:ind w:left="440"/>
              <w:spacing w:after="0"/>
              <w:rPr>
                <w:sz w:val="20"/>
                <w:szCs w:val="20"/>
                <w:color w:val="auto"/>
              </w:rPr>
            </w:pPr>
            <w:r>
              <w:rPr>
                <w:rFonts w:ascii="Arial" w:cs="Arial" w:eastAsia="Arial" w:hAnsi="Arial"/>
                <w:sz w:val="18"/>
                <w:szCs w:val="18"/>
                <w:b w:val="1"/>
                <w:bCs w:val="1"/>
                <w:color w:val="auto"/>
              </w:rPr>
              <w:t>​ ​ William B. Plummer</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Thomas L. Bené</w:t>
            </w:r>
          </w:p>
        </w:tc>
        <w:tc>
          <w:tcPr>
            <w:tcW w:w="6280" w:type="dxa"/>
            <w:vAlign w:val="bottom"/>
          </w:tcPr>
          <w:p>
            <w:pPr>
              <w:ind w:left="660"/>
              <w:spacing w:after="0" w:line="202" w:lineRule="exact"/>
              <w:rPr>
                <w:sz w:val="20"/>
                <w:szCs w:val="20"/>
                <w:color w:val="auto"/>
              </w:rPr>
            </w:pPr>
            <w:r>
              <w:rPr>
                <w:rFonts w:ascii="Arial" w:cs="Arial" w:eastAsia="Arial" w:hAnsi="Arial"/>
                <w:sz w:val="18"/>
                <w:szCs w:val="18"/>
                <w:b w:val="1"/>
                <w:bCs w:val="1"/>
                <w:color w:val="auto"/>
              </w:rPr>
              <w:t>John C. Pope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74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6280" w:type="dxa"/>
            <w:vAlign w:val="bottom"/>
          </w:tcPr>
          <w:p>
            <w:pPr>
              <w:ind w:left="660"/>
              <w:spacing w:after="0" w:line="202" w:lineRule="exact"/>
              <w:rPr>
                <w:sz w:val="20"/>
                <w:szCs w:val="20"/>
                <w:color w:val="auto"/>
              </w:rPr>
            </w:pPr>
            <w:r>
              <w:rPr>
                <w:rFonts w:ascii="Arial" w:cs="Arial" w:eastAsia="Arial" w:hAnsi="Arial"/>
                <w:sz w:val="18"/>
                <w:szCs w:val="18"/>
                <w:b w:val="1"/>
                <w:bCs w:val="1"/>
                <w:color w:val="auto"/>
              </w:rPr>
              <w:t>Maryrose T. Sylvester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0"/>
        </w:trPr>
        <w:tc>
          <w:tcPr>
            <w:tcW w:w="906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Mr. Gluski has served as the Chair of our MD&amp;C Committee since May 2021. Mr. Bené was appointed</w:t>
            </w:r>
            <w:r>
              <w:rPr>
                <w:rFonts w:ascii="Arial" w:cs="Arial" w:eastAsia="Arial" w:hAnsi="Arial"/>
                <w:sz w:val="31"/>
                <w:szCs w:val="31"/>
                <w:color w:val="auto"/>
                <w:vertAlign w:val="superscript"/>
              </w:rPr>
              <w:t>​</w:t>
            </w:r>
          </w:p>
        </w:tc>
        <w:tc>
          <w:tcPr>
            <w:tcW w:w="60" w:type="dxa"/>
            <w:vAlign w:val="bottom"/>
          </w:tcPr>
          <w:p>
            <w:pPr>
              <w:spacing w:after="0"/>
              <w:rPr>
                <w:sz w:val="23"/>
                <w:szCs w:val="23"/>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to the MD&amp;C Committee effective March 1, 2024, after the approval of the Compensation Committee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Report below. Each member of our MD&amp;C Committee is independent in accordance with the rules and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regulations of the New York Stock Exchange.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4"/>
        </w:trPr>
        <w:tc>
          <w:tcPr>
            <w:tcW w:w="27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Functions</w:t>
            </w:r>
          </w:p>
        </w:tc>
        <w:tc>
          <w:tcPr>
            <w:tcW w:w="6280" w:type="dxa"/>
            <w:vAlign w:val="bottom"/>
          </w:tcPr>
          <w:p>
            <w:pPr>
              <w:spacing w:after="0"/>
              <w:rPr>
                <w:sz w:val="23"/>
                <w:szCs w:val="23"/>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-1841500</wp:posOffset>
            </wp:positionV>
            <wp:extent cx="5760720" cy="74752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0720" cy="7475220"/>
                    </a:xfrm>
                    <a:prstGeom prst="rect">
                      <a:avLst/>
                    </a:prstGeom>
                    <a:noFill/>
                  </pic:spPr>
                </pic:pic>
              </a:graphicData>
            </a:graphic>
          </wp:anchor>
        </w:drawing>
      </w:r>
    </w:p>
    <w:p>
      <w:pPr>
        <w:spacing w:after="0" w:line="84" w:lineRule="exact"/>
        <w:rPr>
          <w:sz w:val="20"/>
          <w:szCs w:val="20"/>
          <w:color w:val="auto"/>
        </w:rPr>
      </w:pPr>
    </w:p>
    <w:p>
      <w:pPr>
        <w:jc w:val="both"/>
        <w:ind w:left="840" w:right="880"/>
        <w:spacing w:after="0" w:line="248" w:lineRule="auto"/>
        <w:rPr>
          <w:sz w:val="20"/>
          <w:szCs w:val="20"/>
          <w:color w:val="auto"/>
        </w:rPr>
      </w:pPr>
      <w:r>
        <w:rPr>
          <w:rFonts w:ascii="Arial" w:cs="Arial" w:eastAsia="Arial" w:hAnsi="Arial"/>
          <w:sz w:val="18"/>
          <w:szCs w:val="18"/>
          <w:color w:val="auto"/>
        </w:rPr>
        <w:t>Our MD&amp;C Committee is responsible for overseeing our executive officer compensation, as well as developing the Company’s compensation philosophy generally. The MD&amp;C Committee’s written charter, which was approved by the Board of Directors, can be found by accessing the “ESG —  Corporate Governance” section of investors.wm.com. In fulfilling its duties, the MD&amp;C Committee has the following responsibilities:</w:t>
      </w:r>
    </w:p>
    <w:p>
      <w:pPr>
        <w:spacing w:after="0" w:line="292" w:lineRule="exact"/>
        <w:rPr>
          <w:sz w:val="20"/>
          <w:szCs w:val="20"/>
          <w:color w:val="auto"/>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and establish policies governing the compensation and benefits of our executive officers;</w:t>
      </w:r>
    </w:p>
    <w:p>
      <w:pPr>
        <w:spacing w:after="0" w:line="117" w:lineRule="exact"/>
        <w:rPr>
          <w:rFonts w:ascii="Arial" w:cs="Arial" w:eastAsia="Arial" w:hAnsi="Arial"/>
          <w:sz w:val="18"/>
          <w:szCs w:val="18"/>
          <w:color w:val="457157"/>
        </w:rPr>
      </w:pPr>
    </w:p>
    <w:p>
      <w:pPr>
        <w:ind w:left="1020" w:right="146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Approve the compensation of our executive officers and set the incentive plan goals for those individuals;</w:t>
      </w:r>
    </w:p>
    <w:p>
      <w:pPr>
        <w:spacing w:after="0" w:line="72" w:lineRule="exact"/>
        <w:rPr>
          <w:rFonts w:ascii="Arial" w:cs="Arial" w:eastAsia="Arial" w:hAnsi="Arial"/>
          <w:sz w:val="18"/>
          <w:szCs w:val="18"/>
          <w:color w:val="457157"/>
        </w:rPr>
      </w:pPr>
    </w:p>
    <w:p>
      <w:pPr>
        <w:ind w:left="1020" w:right="1180" w:hanging="177"/>
        <w:spacing w:after="0" w:line="256"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Conduct an annual evaluation of our Chief Executive Officer by all independent directors and set his compensation;</w:t>
      </w:r>
    </w:p>
    <w:p>
      <w:pPr>
        <w:spacing w:after="0" w:line="57"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Oversee the administration of our equity-based incentive plans;</w:t>
      </w:r>
    </w:p>
    <w:p>
      <w:pPr>
        <w:spacing w:after="0" w:line="117" w:lineRule="exact"/>
        <w:rPr>
          <w:rFonts w:ascii="Arial" w:cs="Arial" w:eastAsia="Arial" w:hAnsi="Arial"/>
          <w:sz w:val="18"/>
          <w:szCs w:val="18"/>
          <w:color w:val="457157"/>
        </w:rPr>
      </w:pPr>
    </w:p>
    <w:p>
      <w:pPr>
        <w:ind w:left="1020" w:right="88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44" w:lineRule="exact"/>
        <w:rPr>
          <w:rFonts w:ascii="Arial" w:cs="Arial" w:eastAsia="Arial" w:hAnsi="Arial"/>
          <w:sz w:val="18"/>
          <w:szCs w:val="18"/>
          <w:color w:val="457157"/>
        </w:rPr>
      </w:pPr>
    </w:p>
    <w:p>
      <w:pPr>
        <w:ind w:left="1020" w:right="134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Recommend to the full Board new Company compensation and benefit plans or changes to our existing plans;</w:t>
      </w:r>
    </w:p>
    <w:p>
      <w:pPr>
        <w:spacing w:after="0" w:line="85"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Evaluate and recommend to the Board the compensation paid to our non-employee directors;</w:t>
      </w:r>
    </w:p>
    <w:p>
      <w:pPr>
        <w:spacing w:after="0" w:line="103"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the independence of the MD&amp;C Committee’s compensation consultant annually; and</w:t>
      </w:r>
    </w:p>
    <w:p>
      <w:pPr>
        <w:spacing w:after="0" w:line="117" w:lineRule="exact"/>
        <w:rPr>
          <w:rFonts w:ascii="Arial" w:cs="Arial" w:eastAsia="Arial" w:hAnsi="Arial"/>
          <w:sz w:val="18"/>
          <w:szCs w:val="18"/>
          <w:color w:val="457157"/>
        </w:rPr>
      </w:pPr>
    </w:p>
    <w:p>
      <w:pPr>
        <w:ind w:left="1020" w:right="88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9020" w:type="dxa"/>
            <w:vAlign w:val="bottom"/>
          </w:tcPr>
          <w:p>
            <w:pPr>
              <w:ind w:left="20"/>
              <w:spacing w:after="0"/>
              <w:rPr>
                <w:sz w:val="20"/>
                <w:szCs w:val="20"/>
                <w:color w:val="auto"/>
              </w:rPr>
            </w:pPr>
            <w:r>
              <w:rPr>
                <w:rFonts w:ascii="Arial" w:cs="Arial" w:eastAsia="Arial" w:hAnsi="Arial"/>
                <w:sz w:val="18"/>
                <w:szCs w:val="18"/>
                <w:color w:val="auto"/>
              </w:rPr>
              <w:t>In overseeing compensation matters, the MD&amp;C Committee may delegate authority for day-to-day</w:t>
            </w:r>
          </w:p>
        </w:tc>
        <w:tc>
          <w:tcPr>
            <w:tcW w:w="60" w:type="dxa"/>
            <w:vAlign w:val="bottom"/>
          </w:tcPr>
          <w:p>
            <w:pPr>
              <w:spacing w:after="0"/>
              <w:rPr>
                <w:sz w:val="18"/>
                <w:szCs w:val="18"/>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administration  and  interpretation  of  the  Company’s  plans,  including  selection  of  participants,</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determination of award levels within plan parameters, and approval of award documents, to Company</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employees. However, the MD&amp;C Committee may not delegate any authority to Company employees</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under those plans for matters affecting the compensation and benefits of the executive officers.</w:t>
            </w:r>
          </w:p>
        </w:tc>
        <w:tc>
          <w:tcPr>
            <w:tcW w:w="60" w:type="dxa"/>
            <w:vAlign w:val="bottom"/>
          </w:tcPr>
          <w:p>
            <w:pPr>
              <w:spacing w:after="0"/>
              <w:rPr>
                <w:sz w:val="17"/>
                <w:szCs w:val="17"/>
                <w:color w:val="auto"/>
              </w:rPr>
            </w:pPr>
          </w:p>
        </w:tc>
      </w:tr>
      <w:tr>
        <w:trPr>
          <w:trHeight w:val="483"/>
        </w:trPr>
        <w:tc>
          <w:tcPr>
            <w:tcW w:w="902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25"/>
                <w:szCs w:val="25"/>
                <w:b w:val="1"/>
                <w:bCs w:val="1"/>
                <w:color w:val="auto"/>
              </w:rPr>
              <w:t>COMPENSATION COMMITTEE REPORT</w:t>
            </w: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43" w:lineRule="exact"/>
        <w:rPr>
          <w:sz w:val="20"/>
          <w:szCs w:val="20"/>
          <w:color w:val="auto"/>
        </w:rPr>
      </w:pPr>
    </w:p>
    <w:p>
      <w:pPr>
        <w:ind w:left="840" w:right="880"/>
        <w:spacing w:after="0" w:line="253" w:lineRule="auto"/>
        <w:rPr>
          <w:sz w:val="20"/>
          <w:szCs w:val="20"/>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with management. Based on their review and discussions, the MD&amp;C</w:t>
      </w: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9900" w:type="dxa"/>
            <w:vAlign w:val="bottom"/>
            <w:gridSpan w:val="3"/>
          </w:tcPr>
          <w:p>
            <w:pPr>
              <w:ind w:left="20"/>
              <w:spacing w:after="0" w:line="185" w:lineRule="exact"/>
              <w:rPr>
                <w:sz w:val="20"/>
                <w:szCs w:val="20"/>
                <w:color w:val="auto"/>
              </w:rPr>
            </w:pPr>
            <w:r>
              <w:rPr>
                <w:rFonts w:ascii="Arial" w:cs="Arial" w:eastAsia="Arial" w:hAnsi="Arial"/>
                <w:sz w:val="18"/>
                <w:szCs w:val="18"/>
                <w:color w:val="auto"/>
              </w:rPr>
              <w:t xml:space="preserve">Committee recommended to the Board of Directors that the </w:t>
            </w:r>
            <w:r>
              <w:rPr>
                <w:rFonts w:ascii="Arial" w:cs="Arial" w:eastAsia="Arial" w:hAnsi="Arial"/>
                <w:sz w:val="18"/>
                <w:szCs w:val="18"/>
                <w:i w:val="1"/>
                <w:iCs w:val="1"/>
                <w:color w:val="auto"/>
              </w:rPr>
              <w:t>Compensation Discussion and Analysis</w:t>
            </w: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be included in the Company’s Proxy Statement.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8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b w:val="1"/>
                <w:bCs w:val="1"/>
                <w:color w:val="auto"/>
              </w:rPr>
              <w:t>​The Management Development and Compensation Committee of the Board of Directors</w:t>
            </w:r>
          </w:p>
        </w:tc>
        <w:tc>
          <w:tcPr>
            <w:tcW w:w="11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r>
      <w:tr>
        <w:trPr>
          <w:trHeight w:val="243"/>
        </w:trPr>
        <w:tc>
          <w:tcPr>
            <w:tcW w:w="820" w:type="dxa"/>
            <w:vAlign w:val="bottom"/>
          </w:tcPr>
          <w:p>
            <w:pPr>
              <w:spacing w:after="0"/>
              <w:rPr>
                <w:sz w:val="21"/>
                <w:szCs w:val="21"/>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 xml:space="preserve">​Andrés R. Gluski, </w:t>
            </w:r>
            <w:r>
              <w:rPr>
                <w:rFonts w:ascii="Arial" w:cs="Arial" w:eastAsia="Arial" w:hAnsi="Arial"/>
                <w:sz w:val="18"/>
                <w:szCs w:val="18"/>
                <w:i w:val="1"/>
                <w:iCs w:val="1"/>
                <w:color w:val="auto"/>
              </w:rPr>
              <w:t>Chair</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Kathleen M. Mazzarella</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William B. Plummer</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John C. Pope</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82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Maryrose T. Sylvester</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0"/>
        </w:trPr>
        <w:tc>
          <w:tcPr>
            <w:tcW w:w="820" w:type="dxa"/>
            <w:vAlign w:val="bottom"/>
          </w:tcPr>
          <w:p>
            <w:pPr>
              <w:spacing w:after="0"/>
              <w:rPr>
                <w:sz w:val="4"/>
                <w:szCs w:val="4"/>
                <w:color w:val="auto"/>
              </w:rPr>
            </w:pPr>
          </w:p>
        </w:tc>
        <w:tc>
          <w:tcPr>
            <w:tcW w:w="8760" w:type="dxa"/>
            <w:vAlign w:val="bottom"/>
            <w:tcBorders>
              <w:bottom w:val="single" w:sz="8" w:color="457157"/>
            </w:tcBorders>
          </w:tcPr>
          <w:p>
            <w:pPr>
              <w:spacing w:after="0"/>
              <w:rPr>
                <w:sz w:val="4"/>
                <w:szCs w:val="4"/>
                <w:color w:val="auto"/>
              </w:rPr>
            </w:pPr>
          </w:p>
        </w:tc>
        <w:tc>
          <w:tcPr>
            <w:tcW w:w="300" w:type="dxa"/>
            <w:vAlign w:val="bottom"/>
            <w:tcBorders>
              <w:bottom w:val="single" w:sz="8" w:color="457157"/>
            </w:tcBorders>
          </w:tcPr>
          <w:p>
            <w:pPr>
              <w:spacing w:after="0"/>
              <w:rPr>
                <w:sz w:val="4"/>
                <w:szCs w:val="4"/>
                <w:color w:val="auto"/>
              </w:rPr>
            </w:pPr>
          </w:p>
        </w:tc>
        <w:tc>
          <w:tcPr>
            <w:tcW w:w="840" w:type="dxa"/>
            <w:vAlign w:val="bottom"/>
          </w:tcPr>
          <w:p>
            <w:pPr>
              <w:spacing w:after="0"/>
              <w:rPr>
                <w:sz w:val="4"/>
                <w:szCs w:val="4"/>
                <w:color w:val="auto"/>
              </w:rPr>
            </w:pPr>
          </w:p>
        </w:tc>
      </w:tr>
      <w:tr>
        <w:trPr>
          <w:trHeight w:val="559"/>
        </w:trPr>
        <w:tc>
          <w:tcPr>
            <w:tcW w:w="820" w:type="dxa"/>
            <w:vAlign w:val="bottom"/>
          </w:tcPr>
          <w:p>
            <w:pPr>
              <w:spacing w:after="0"/>
              <w:rPr>
                <w:sz w:val="24"/>
                <w:szCs w:val="24"/>
                <w:color w:val="auto"/>
              </w:rPr>
            </w:pPr>
          </w:p>
        </w:tc>
        <w:tc>
          <w:tcPr>
            <w:tcW w:w="8760" w:type="dxa"/>
            <w:vAlign w:val="bottom"/>
          </w:tcPr>
          <w:p>
            <w:pPr>
              <w:ind w:left="6440"/>
              <w:spacing w:after="0"/>
              <w:rPr>
                <w:sz w:val="20"/>
                <w:szCs w:val="20"/>
                <w:color w:val="auto"/>
              </w:rPr>
            </w:pPr>
            <w:r>
              <w:rPr>
                <w:rFonts w:ascii="Arial" w:cs="Arial" w:eastAsia="Arial" w:hAnsi="Arial"/>
                <w:sz w:val="18"/>
                <w:szCs w:val="18"/>
                <w:color w:val="auto"/>
              </w:rPr>
              <w:t xml:space="preserve">2024 Proxy Statement  </w:t>
            </w:r>
            <w:r>
              <w:rPr>
                <w:rFonts w:ascii="Arial" w:cs="Arial" w:eastAsia="Arial" w:hAnsi="Arial"/>
                <w:sz w:val="32"/>
                <w:szCs w:val="32"/>
                <w:b w:val="1"/>
                <w:bCs w:val="1"/>
                <w:color w:val="457157"/>
              </w:rPr>
              <w:t>|</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11​</w:t>
            </w:r>
          </w:p>
        </w:tc>
      </w:tr>
      <w:tr>
        <w:trPr>
          <w:trHeight w:val="656"/>
        </w:trPr>
        <w:tc>
          <w:tcPr>
            <w:tcW w:w="82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-642620</wp:posOffset>
            </wp:positionV>
            <wp:extent cx="4718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832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74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320" w:type="dxa"/>
            <w:vAlign w:val="bottom"/>
            <w:tcBorders>
              <w:bottom w:val="single" w:sz="8" w:color="457157"/>
            </w:tcBorders>
          </w:tcPr>
          <w:p>
            <w:pPr>
              <w:spacing w:after="0"/>
              <w:rPr>
                <w:sz w:val="22"/>
                <w:szCs w:val="22"/>
                <w:color w:val="auto"/>
              </w:rPr>
            </w:pPr>
          </w:p>
        </w:tc>
        <w:tc>
          <w:tcPr>
            <w:tcW w:w="740" w:type="dxa"/>
            <w:vAlign w:val="bottom"/>
            <w:tcBorders>
              <w:bottom w:val="single" w:sz="8" w:color="457157"/>
            </w:tcBorders>
          </w:tcPr>
          <w:p>
            <w:pPr>
              <w:spacing w:after="0"/>
              <w:rPr>
                <w:sz w:val="22"/>
                <w:szCs w:val="22"/>
                <w:color w:val="auto"/>
              </w:rPr>
            </w:pPr>
          </w:p>
        </w:tc>
        <w:tc>
          <w:tcPr>
            <w:tcW w:w="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8320" w:type="dxa"/>
            <w:vAlign w:val="bottom"/>
          </w:tcPr>
          <w:p>
            <w:pPr>
              <w:spacing w:after="0" w:line="158" w:lineRule="exact"/>
              <w:rPr>
                <w:sz w:val="20"/>
                <w:szCs w:val="20"/>
                <w:color w:val="auto"/>
              </w:rPr>
            </w:pPr>
            <w:r>
              <w:rPr>
                <w:rFonts w:ascii="Arial" w:cs="Arial" w:eastAsia="Arial" w:hAnsi="Arial"/>
                <w:sz w:val="18"/>
                <w:szCs w:val="18"/>
                <w:color w:val="auto"/>
              </w:rPr>
              <w:t>​</w:t>
            </w:r>
          </w:p>
        </w:tc>
        <w:tc>
          <w:tcPr>
            <w:tcW w:w="740" w:type="dxa"/>
            <w:vAlign w:val="bottom"/>
          </w:tcPr>
          <w:p>
            <w:pPr>
              <w:ind w:left="700"/>
              <w:spacing w:after="0" w:line="158"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8320" w:type="dxa"/>
            <w:vAlign w:val="bottom"/>
          </w:tcPr>
          <w:p>
            <w:pPr>
              <w:ind w:left="20"/>
              <w:spacing w:after="0" w:line="283" w:lineRule="exact"/>
              <w:rPr>
                <w:sz w:val="20"/>
                <w:szCs w:val="20"/>
                <w:color w:val="auto"/>
              </w:rPr>
            </w:pPr>
            <w:r>
              <w:rPr>
                <w:rFonts w:ascii="Arial" w:cs="Arial" w:eastAsia="Arial" w:hAnsi="Arial"/>
                <w:sz w:val="25"/>
                <w:szCs w:val="25"/>
                <w:b w:val="1"/>
                <w:bCs w:val="1"/>
                <w:color w:val="auto"/>
              </w:rPr>
              <w:t>COMPENSATION COMMITTEE INTERLOCKS AND INSIDER</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320" w:type="dxa"/>
            <w:vAlign w:val="bottom"/>
          </w:tcPr>
          <w:p>
            <w:pPr>
              <w:ind w:left="20"/>
              <w:spacing w:after="0"/>
              <w:rPr>
                <w:sz w:val="20"/>
                <w:szCs w:val="20"/>
                <w:color w:val="auto"/>
              </w:rPr>
            </w:pPr>
            <w:r>
              <w:rPr>
                <w:rFonts w:ascii="Arial" w:cs="Arial" w:eastAsia="Arial" w:hAnsi="Arial"/>
                <w:sz w:val="25"/>
                <w:szCs w:val="25"/>
                <w:b w:val="1"/>
                <w:bCs w:val="1"/>
                <w:color w:val="auto"/>
              </w:rPr>
              <w:t>PARTICIPATION</w:t>
            </w:r>
            <w:r>
              <w:rPr>
                <w:rFonts w:ascii="Arial" w:cs="Arial" w:eastAsia="Arial" w:hAnsi="Arial"/>
                <w:sz w:val="17"/>
                <w:szCs w:val="17"/>
                <w:color w:val="auto"/>
              </w:rPr>
              <w: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-513080</wp:posOffset>
            </wp:positionV>
            <wp:extent cx="5760720" cy="80581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60720" cy="8058150"/>
                    </a:xfrm>
                    <a:prstGeom prst="rect">
                      <a:avLst/>
                    </a:prstGeom>
                    <a:noFill/>
                  </pic:spPr>
                </pic:pic>
              </a:graphicData>
            </a:graphic>
          </wp:anchor>
        </w:drawing>
      </w:r>
    </w:p>
    <w:p>
      <w:pPr>
        <w:spacing w:after="0" w:line="70" w:lineRule="exact"/>
        <w:rPr>
          <w:sz w:val="20"/>
          <w:szCs w:val="20"/>
          <w:color w:val="auto"/>
        </w:rPr>
      </w:pPr>
    </w:p>
    <w:p>
      <w:pPr>
        <w:jc w:val="both"/>
        <w:ind w:left="840" w:right="100"/>
        <w:spacing w:after="0" w:line="246" w:lineRule="auto"/>
        <w:rPr>
          <w:sz w:val="20"/>
          <w:szCs w:val="20"/>
          <w:color w:val="auto"/>
        </w:rPr>
      </w:pPr>
      <w:r>
        <w:rPr>
          <w:rFonts w:ascii="Arial" w:cs="Arial" w:eastAsia="Arial" w:hAnsi="Arial"/>
          <w:sz w:val="18"/>
          <w:szCs w:val="18"/>
          <w:color w:val="auto"/>
        </w:rPr>
        <w:t>During 2023, Ms. Mazzarella, Ms. Sylvester and Messrs. Gluski, Plummer and Pope served on the MD&amp;C Committee, as well as retired director Mr. Thomas H. Weidemeyer. No member of the MD&amp;C Committee was an officer or employee of the Company during 2023; no member of the MD&amp;C Committee is a former officer of the Company; and during 2023, none of our executive officers served as a member of a board of directors or compensation committee of any entity that has one or more executive officers who serve on our Board of Directors or MD&amp;C Committee.</w:t>
      </w:r>
    </w:p>
    <w:tbl>
      <w:tblPr>
        <w:tblLayout w:type="fixed"/>
        <w:tblInd w:w="820" w:type="dxa"/>
        <w:tblCellMar>
          <w:top w:w="0" w:type="dxa"/>
          <w:left w:w="0" w:type="dxa"/>
          <w:bottom w:w="0" w:type="dxa"/>
          <w:right w:w="0" w:type="dxa"/>
        </w:tblCellMar>
      </w:tblPr>
      <w:tr>
        <w:trPr>
          <w:trHeight w:val="442"/>
        </w:trPr>
        <w:tc>
          <w:tcPr>
            <w:tcW w:w="8940" w:type="dxa"/>
            <w:vAlign w:val="bottom"/>
            <w:gridSpan w:val="3"/>
          </w:tcPr>
          <w:p>
            <w:pPr>
              <w:spacing w:after="0" w:line="441" w:lineRule="exact"/>
              <w:rPr>
                <w:sz w:val="20"/>
                <w:szCs w:val="20"/>
                <w:color w:val="auto"/>
              </w:rPr>
            </w:pPr>
            <w:r>
              <w:rPr>
                <w:rFonts w:ascii="Arial" w:cs="Arial" w:eastAsia="Arial" w:hAnsi="Arial"/>
                <w:sz w:val="50"/>
                <w:szCs w:val="50"/>
                <w:b w:val="1"/>
                <w:bCs w:val="1"/>
                <w:color w:val="auto"/>
                <w:vertAlign w:val="superscript"/>
              </w:rPr>
              <w:t>​</w:t>
            </w:r>
            <w:r>
              <w:rPr>
                <w:rFonts w:ascii="Arial" w:cs="Arial" w:eastAsia="Arial" w:hAnsi="Arial"/>
                <w:sz w:val="25"/>
                <w:szCs w:val="25"/>
                <w:b w:val="1"/>
                <w:bCs w:val="1"/>
                <w:color w:val="auto"/>
              </w:rPr>
              <w:t>THE NOMINATING AND GOVERNANCE COMMITTEE</w:t>
            </w:r>
            <w:r>
              <w:rPr>
                <w:rFonts w:ascii="Arial" w:cs="Arial" w:eastAsia="Arial" w:hAnsi="Arial"/>
                <w:sz w:val="17"/>
                <w:szCs w:val="17"/>
                <w:color w:val="auto"/>
              </w:rPr>
              <w:t>​</w:t>
            </w:r>
          </w:p>
        </w:tc>
        <w:tc>
          <w:tcPr>
            <w:tcW w:w="160" w:type="dxa"/>
            <w:vAlign w:val="bottom"/>
          </w:tcPr>
          <w:p>
            <w:pPr>
              <w:ind w:left="80"/>
              <w:spacing w:after="0"/>
              <w:rPr>
                <w:sz w:val="20"/>
                <w:szCs w:val="20"/>
                <w:color w:val="auto"/>
              </w:rPr>
            </w:pPr>
            <w:r>
              <w:rPr>
                <w:rFonts w:ascii="Arial" w:cs="Arial" w:eastAsia="Arial" w:hAnsi="Arial"/>
                <w:sz w:val="25"/>
                <w:szCs w:val="25"/>
                <w:b w:val="1"/>
                <w:bCs w:val="1"/>
                <w:color w:val="auto"/>
              </w:rPr>
              <w:t>​</w:t>
            </w:r>
          </w:p>
        </w:tc>
      </w:tr>
      <w:tr>
        <w:trPr>
          <w:trHeight w:val="365"/>
        </w:trPr>
        <w:tc>
          <w:tcPr>
            <w:tcW w:w="2720" w:type="dxa"/>
            <w:vAlign w:val="bottom"/>
          </w:tcPr>
          <w:p>
            <w:pPr>
              <w:spacing w:after="0" w:line="36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Members:</w:t>
            </w: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Number of Meetings Held in 2023:</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16"/>
        </w:trPr>
        <w:tc>
          <w:tcPr>
            <w:tcW w:w="2720" w:type="dxa"/>
            <w:vAlign w:val="bottom"/>
          </w:tcPr>
          <w:p>
            <w:pPr>
              <w:spacing w:after="0"/>
              <w:rPr>
                <w:sz w:val="18"/>
                <w:szCs w:val="18"/>
                <w:color w:val="auto"/>
              </w:rPr>
            </w:pPr>
          </w:p>
        </w:tc>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6</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720" w:type="dxa"/>
            <w:vAlign w:val="bottom"/>
          </w:tcPr>
          <w:p>
            <w:pPr>
              <w:spacing w:after="0" w:line="256" w:lineRule="exact"/>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6"/>
                <w:szCs w:val="16"/>
                <w:b w:val="1"/>
                <w:bCs w:val="1"/>
                <w:color w:val="auto"/>
              </w:rPr>
              <w:t xml:space="preserve"> Victoria M. Holt, </w:t>
            </w:r>
            <w:r>
              <w:rPr>
                <w:rFonts w:ascii="Arial" w:cs="Arial" w:eastAsia="Arial" w:hAnsi="Arial"/>
                <w:sz w:val="16"/>
                <w:szCs w:val="16"/>
                <w:b w:val="1"/>
                <w:bCs w:val="1"/>
                <w:i w:val="1"/>
                <w:iCs w:val="1"/>
                <w:color w:val="auto"/>
              </w:rPr>
              <w:t>Chair</w:t>
            </w:r>
          </w:p>
        </w:tc>
        <w:tc>
          <w:tcPr>
            <w:tcW w:w="2840" w:type="dxa"/>
            <w:vAlign w:val="bottom"/>
          </w:tcPr>
          <w:p>
            <w:pPr>
              <w:ind w:left="460"/>
              <w:spacing w:after="0" w:line="256" w:lineRule="exact"/>
              <w:rPr>
                <w:sz w:val="20"/>
                <w:szCs w:val="20"/>
                <w:color w:val="auto"/>
              </w:rPr>
            </w:pPr>
            <w:r>
              <w:rPr>
                <w:rFonts w:ascii="Arial" w:cs="Arial" w:eastAsia="Arial" w:hAnsi="Arial"/>
                <w:sz w:val="29"/>
                <w:szCs w:val="29"/>
                <w:b w:val="1"/>
                <w:bCs w:val="1"/>
                <w:color w:val="auto"/>
                <w:vertAlign w:val="superscript"/>
              </w:rPr>
              <w:t>​ ​</w:t>
            </w:r>
            <w:r>
              <w:rPr>
                <w:rFonts w:ascii="Arial" w:cs="Arial" w:eastAsia="Arial" w:hAnsi="Arial"/>
                <w:sz w:val="16"/>
                <w:szCs w:val="16"/>
                <w:b w:val="1"/>
                <w:bCs w:val="1"/>
                <w:color w:val="auto"/>
              </w:rPr>
              <w:t xml:space="preserve"> John C. Pope</w:t>
            </w:r>
          </w:p>
        </w:tc>
        <w:tc>
          <w:tcPr>
            <w:tcW w:w="338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03"/>
        </w:trPr>
        <w:tc>
          <w:tcPr>
            <w:tcW w:w="27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2840" w:type="dxa"/>
            <w:vAlign w:val="bottom"/>
          </w:tcPr>
          <w:p>
            <w:pPr>
              <w:ind w:left="680"/>
              <w:spacing w:after="0" w:line="202" w:lineRule="exact"/>
              <w:rPr>
                <w:sz w:val="20"/>
                <w:szCs w:val="20"/>
                <w:color w:val="auto"/>
              </w:rPr>
            </w:pPr>
            <w:r>
              <w:rPr>
                <w:rFonts w:ascii="Arial" w:cs="Arial" w:eastAsia="Arial" w:hAnsi="Arial"/>
                <w:sz w:val="18"/>
                <w:szCs w:val="18"/>
                <w:b w:val="1"/>
                <w:bCs w:val="1"/>
                <w:color w:val="auto"/>
              </w:rPr>
              <w:t>Maryrose T. Sylvester</w:t>
            </w:r>
          </w:p>
        </w:tc>
        <w:tc>
          <w:tcPr>
            <w:tcW w:w="33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7"/>
        </w:trPr>
        <w:tc>
          <w:tcPr>
            <w:tcW w:w="2720" w:type="dxa"/>
            <w:vAlign w:val="bottom"/>
          </w:tcPr>
          <w:p>
            <w:pPr>
              <w:ind w:left="100"/>
              <w:spacing w:after="0"/>
              <w:rPr>
                <w:sz w:val="20"/>
                <w:szCs w:val="20"/>
                <w:color w:val="auto"/>
              </w:rPr>
            </w:pPr>
            <w:r>
              <w:rPr>
                <w:rFonts w:ascii="Arial" w:cs="Arial" w:eastAsia="Arial" w:hAnsi="Arial"/>
                <w:sz w:val="18"/>
                <w:szCs w:val="18"/>
                <w:b w:val="1"/>
                <w:bCs w:val="1"/>
                <w:color w:val="auto"/>
              </w:rPr>
              <w:t>Sean E. Menke</w:t>
            </w:r>
          </w:p>
        </w:tc>
        <w:tc>
          <w:tcPr>
            <w:tcW w:w="28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jc w:val="both"/>
        <w:ind w:left="840" w:right="40" w:hanging="26"/>
        <w:spacing w:after="0" w:line="200"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Ms. Holt was named Chair of our Nominating and Governance Committee in May 2023. Each member</w:t>
      </w:r>
      <w:r>
        <w:rPr>
          <w:rFonts w:ascii="Arial" w:cs="Arial" w:eastAsia="Arial" w:hAnsi="Arial"/>
          <w:sz w:val="35"/>
          <w:szCs w:val="35"/>
          <w:color w:val="auto"/>
          <w:vertAlign w:val="superscript"/>
        </w:rPr>
        <w:t>​</w:t>
      </w:r>
      <w:r>
        <w:rPr>
          <w:rFonts w:ascii="Arial" w:cs="Arial" w:eastAsia="Arial" w:hAnsi="Arial"/>
          <w:sz w:val="18"/>
          <w:szCs w:val="18"/>
          <w:color w:val="auto"/>
        </w:rPr>
        <w:t xml:space="preserve"> of our Nominating and Governance Committee is independent in accordance with the rules and regulations of the New York Stock Exchange.</w:t>
      </w:r>
    </w:p>
    <w:p>
      <w:pPr>
        <w:ind w:left="820"/>
        <w:spacing w:after="0" w:line="232"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Key Functions</w:t>
      </w:r>
      <w:r>
        <w:rPr>
          <w:sz w:val="20"/>
          <w:szCs w:val="20"/>
          <w:color w:val="auto"/>
        </w:rPr>
        <w:tab/>
      </w:r>
      <w:r>
        <w:rPr>
          <w:rFonts w:ascii="Arial" w:cs="Arial" w:eastAsia="Arial" w:hAnsi="Arial"/>
          <w:sz w:val="36"/>
          <w:szCs w:val="36"/>
          <w:color w:val="auto"/>
          <w:vertAlign w:val="superscript"/>
        </w:rPr>
        <w:t>​</w:t>
      </w:r>
    </w:p>
    <w:p>
      <w:pPr>
        <w:jc w:val="both"/>
        <w:ind w:left="840" w:right="100"/>
        <w:spacing w:after="0" w:line="247"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by accessing the “ESG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304" w:lineRule="exact"/>
        <w:rPr>
          <w:sz w:val="20"/>
          <w:szCs w:val="20"/>
          <w:color w:val="auto"/>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and recommend the composition of our Board, and the nature and duties of each of our committees, in accordance with our Corporate Governance Guidelines;</w:t>
      </w:r>
    </w:p>
    <w:p>
      <w:pPr>
        <w:spacing w:after="0" w:line="44" w:lineRule="exact"/>
        <w:rPr>
          <w:rFonts w:ascii="Arial" w:cs="Arial" w:eastAsia="Arial" w:hAnsi="Arial"/>
          <w:sz w:val="18"/>
          <w:szCs w:val="18"/>
          <w:color w:val="457157"/>
        </w:rPr>
      </w:pPr>
    </w:p>
    <w:p>
      <w:pPr>
        <w:ind w:left="1020" w:right="380" w:hanging="177"/>
        <w:spacing w:after="0" w:line="248"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Evaluate the charters of each of the committees and recommend directors to serve as committee chairs;</w:t>
      </w:r>
    </w:p>
    <w:p>
      <w:pPr>
        <w:spacing w:after="0" w:line="299"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b w:val="1"/>
          <w:bCs w:val="1"/>
          <w:color w:val="457157"/>
        </w:rPr>
      </w:pPr>
      <w:r>
        <w:rPr>
          <w:rFonts w:ascii="Arial" w:cs="Arial" w:eastAsia="Arial" w:hAnsi="Arial"/>
          <w:sz w:val="18"/>
          <w:szCs w:val="18"/>
          <w:color w:val="auto"/>
        </w:rPr>
        <w:t>Review individual director’s performance in consultation with the Chair of the Board and review the overall effectiveness of the Board;</w:t>
      </w:r>
    </w:p>
    <w:p>
      <w:pPr>
        <w:spacing w:after="0" w:line="58" w:lineRule="exact"/>
        <w:rPr>
          <w:rFonts w:ascii="Arial" w:cs="Arial" w:eastAsia="Arial" w:hAnsi="Arial"/>
          <w:sz w:val="18"/>
          <w:szCs w:val="18"/>
          <w:b w:val="1"/>
          <w:bCs w:val="1"/>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Recommend retirement policies for the Board, the terms for directors and the proper ratio of employee directors to non-employee directors;</w:t>
      </w:r>
    </w:p>
    <w:p>
      <w:pPr>
        <w:spacing w:after="0" w:line="58"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b w:val="1"/>
          <w:bCs w:val="1"/>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8" w:lineRule="exact"/>
        <w:rPr>
          <w:rFonts w:ascii="Arial" w:cs="Arial" w:eastAsia="Arial" w:hAnsi="Arial"/>
          <w:sz w:val="18"/>
          <w:szCs w:val="18"/>
          <w:b w:val="1"/>
          <w:bCs w:val="1"/>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b w:val="1"/>
          <w:bCs w:val="1"/>
          <w:color w:val="457157"/>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44" w:lineRule="exact"/>
        <w:rPr>
          <w:rFonts w:ascii="Arial" w:cs="Arial" w:eastAsia="Arial" w:hAnsi="Arial"/>
          <w:sz w:val="18"/>
          <w:szCs w:val="18"/>
          <w:b w:val="1"/>
          <w:bCs w:val="1"/>
          <w:color w:val="457157"/>
        </w:rPr>
      </w:pPr>
    </w:p>
    <w:p>
      <w:pPr>
        <w:ind w:left="1020" w:hanging="177"/>
        <w:spacing w:after="0"/>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Identify and recommend to the Board candidates to fill director vacancies.</w:t>
      </w:r>
    </w:p>
    <w:p>
      <w:pPr>
        <w:spacing w:after="0" w:line="131" w:lineRule="exact"/>
        <w:rPr>
          <w:sz w:val="20"/>
          <w:szCs w:val="20"/>
          <w:color w:val="auto"/>
        </w:rPr>
      </w:pPr>
    </w:p>
    <w:p>
      <w:pPr>
        <w:jc w:val="both"/>
        <w:ind w:left="840" w:right="100"/>
        <w:spacing w:after="0" w:line="248" w:lineRule="auto"/>
        <w:rPr>
          <w:sz w:val="20"/>
          <w:szCs w:val="20"/>
          <w:color w:val="auto"/>
        </w:rPr>
      </w:pPr>
      <w:r>
        <w:rPr>
          <w:rFonts w:ascii="Arial" w:cs="Arial" w:eastAsia="Arial" w:hAnsi="Arial"/>
          <w:sz w:val="18"/>
          <w:szCs w:val="18"/>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321" w:lineRule="exact"/>
        <w:rPr>
          <w:sz w:val="20"/>
          <w:szCs w:val="20"/>
          <w:color w:val="auto"/>
        </w:rPr>
      </w:pPr>
    </w:p>
    <w:p>
      <w:pPr>
        <w:jc w:val="both"/>
        <w:ind w:left="840" w:right="100"/>
        <w:spacing w:after="0" w:line="237" w:lineRule="auto"/>
        <w:rPr>
          <w:sz w:val="20"/>
          <w:szCs w:val="20"/>
          <w:color w:val="auto"/>
        </w:rPr>
      </w:pPr>
      <w:r>
        <w:rPr>
          <w:rFonts w:ascii="Arial" w:cs="Arial" w:eastAsia="Arial" w:hAnsi="Arial"/>
          <w:sz w:val="18"/>
          <w:szCs w:val="18"/>
          <w:color w:val="auto"/>
        </w:rPr>
        <w:t>With the assistance of an external consultant, the Nominating and Governance Committee identified Mr. Thomas L. Bené as a potential director candidate. Following a robust consideration process summarized below and recommendation by the Nominating and Governance Committee, the Board increased its size to 10 members and elected Mr. Bené to serve as a member of our Board, effective</w:t>
      </w:r>
    </w:p>
    <w:p>
      <w:pPr>
        <w:ind w:left="840"/>
        <w:spacing w:after="0" w:line="180" w:lineRule="auto"/>
        <w:rPr>
          <w:sz w:val="20"/>
          <w:szCs w:val="20"/>
          <w:color w:val="auto"/>
        </w:rPr>
      </w:pPr>
      <w:r>
        <w:rPr>
          <w:rFonts w:ascii="Arial" w:cs="Arial" w:eastAsia="Arial" w:hAnsi="Arial"/>
          <w:sz w:val="3"/>
          <w:szCs w:val="3"/>
          <w:color w:val="auto"/>
        </w:rPr>
        <w:t>March</w:t>
      </w:r>
      <w:r>
        <w:rPr>
          <w:rFonts w:ascii="Arial" w:cs="Arial" w:eastAsia="Arial" w:hAnsi="Arial"/>
          <w:sz w:val="9"/>
          <w:szCs w:val="9"/>
          <w:b w:val="1"/>
          <w:bCs w:val="1"/>
          <w:color w:val="457157"/>
          <w:vertAlign w:val="superscript"/>
        </w:rPr>
        <w:t>|</w:t>
      </w:r>
      <w:r>
        <w:rPr>
          <w:rFonts w:ascii="Arial" w:cs="Arial" w:eastAsia="Arial" w:hAnsi="Arial"/>
          <w:sz w:val="3"/>
          <w:szCs w:val="3"/>
          <w:color w:val="auto"/>
        </w:rPr>
        <w:t xml:space="preserve"> 1, 2024. The Nominating and Governance Committee also recommended, and the Board</w:t>
      </w:r>
    </w:p>
    <w:p>
      <w:pPr>
        <w:ind w:left="820"/>
        <w:spacing w:after="0" w:line="188" w:lineRule="auto"/>
        <w:tabs>
          <w:tab w:leader="none" w:pos="2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2024 Proxy Statement</w:t>
      </w:r>
    </w:p>
    <w:p>
      <w:pPr>
        <w:jc w:val="both"/>
        <w:ind w:left="840" w:right="120"/>
        <w:spacing w:after="0" w:line="250" w:lineRule="auto"/>
        <w:rPr>
          <w:sz w:val="20"/>
          <w:szCs w:val="20"/>
          <w:color w:val="auto"/>
        </w:rPr>
      </w:pPr>
      <w:r>
        <w:rPr>
          <w:rFonts w:ascii="Arial" w:cs="Arial" w:eastAsia="Arial" w:hAnsi="Arial"/>
          <w:sz w:val="18"/>
          <w:szCs w:val="18"/>
          <w:color w:val="auto"/>
        </w:rPr>
        <w:t>approved, appointment of Mr. Bené to the MD&amp;C Committee. Mr. Bené is a nominee for re-election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52705</wp:posOffset>
            </wp:positionV>
            <wp:extent cx="57607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236855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68" w:lineRule="exact"/>
        <w:rPr>
          <w:sz w:val="20"/>
          <w:szCs w:val="20"/>
          <w:color w:val="auto"/>
        </w:rPr>
      </w:pPr>
    </w:p>
    <w:p>
      <w:pPr>
        <w:jc w:val="both"/>
        <w:ind w:left="840" w:right="2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The Nominating and Governance Committee considers current and future needs of the Board as a</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-1697355</wp:posOffset>
            </wp:positionV>
            <wp:extent cx="5760720" cy="5246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60720" cy="5246370"/>
                    </a:xfrm>
                    <a:prstGeom prst="rect">
                      <a:avLst/>
                    </a:prstGeom>
                    <a:noFill/>
                  </pic:spPr>
                </pic:pic>
              </a:graphicData>
            </a:graphic>
          </wp:anchor>
        </w:drawing>
      </w:r>
    </w:p>
    <w:p>
      <w:pPr>
        <w:spacing w:after="0" w:line="140" w:lineRule="exact"/>
        <w:rPr>
          <w:sz w:val="20"/>
          <w:szCs w:val="20"/>
          <w:color w:val="auto"/>
        </w:rPr>
      </w:pPr>
    </w:p>
    <w:p>
      <w:pPr>
        <w:jc w:val="both"/>
        <w:ind w:left="840" w:right="2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When nominating or re-nominating individuals to serve as directors of the Company, the Nominating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376" w:lineRule="exact"/>
        <w:rPr>
          <w:sz w:val="20"/>
          <w:szCs w:val="20"/>
          <w:color w:val="auto"/>
        </w:rPr>
      </w:pPr>
    </w:p>
    <w:p>
      <w:pPr>
        <w:jc w:val="both"/>
        <w:ind w:left="840" w:right="80"/>
        <w:spacing w:after="0" w:line="245" w:lineRule="auto"/>
        <w:rPr>
          <w:sz w:val="20"/>
          <w:szCs w:val="20"/>
          <w:color w:val="auto"/>
        </w:rPr>
      </w:pPr>
      <w:r>
        <w:rPr>
          <w:rFonts w:ascii="Arial" w:cs="Arial" w:eastAsia="Arial" w:hAnsi="Arial"/>
          <w:sz w:val="18"/>
          <w:szCs w:val="18"/>
          <w:color w:val="auto"/>
        </w:rPr>
        <w:t>The Nominating and Governance Committee will consider all potential nominees on their merits and welcomes suggestions from directors, members of management, and stockholders. Before being recommended for nomination by the Committee, director candidates are interviewed by the Chief Executive Officer, the Chair of the Nominating and Governance Committee, and the Non-Executive Chair of the Board, as well as additional members of the Board and an external consultant. To suggest a nominee for consideration by the Nominating and Governance Committee, you should submit your candidate’s name, together with biographical information and his or her written consent to nomination to the Chair of the Nominating and Governance Committee, Waste Management, Inc., 800 Capitol Street, Suite 3000, Houston, Texas 77002, between November 3, 2024 and December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167640</wp:posOffset>
            </wp:positionV>
            <wp:extent cx="57607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Related Party Transactions</w:t>
      </w:r>
    </w:p>
    <w:p>
      <w:pPr>
        <w:spacing w:after="0" w:line="99"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5%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w:t>
      </w:r>
    </w:p>
    <w:p>
      <w:pPr>
        <w:spacing w:after="0" w:line="210" w:lineRule="exact"/>
        <w:rPr>
          <w:sz w:val="20"/>
          <w:szCs w:val="20"/>
          <w:color w:val="auto"/>
        </w:rPr>
      </w:pPr>
    </w:p>
    <w:p>
      <w:pPr>
        <w:jc w:val="both"/>
        <w:ind w:left="820" w:right="60" w:hanging="4"/>
        <w:spacing w:after="0" w:line="253" w:lineRule="auto"/>
        <w:tabs>
          <w:tab w:leader="none" w:pos="11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indemnification payments and advancement of expenses, and payments under directors’ and officers’ indemnification insurance policies; (e) any transaction between the Company and any entity in which a related party has a relationship solely as a director; a less than 5%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264"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w:t>
      </w:r>
    </w:p>
    <w:p>
      <w:pPr>
        <w:spacing w:after="0" w:line="25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69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49"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Nominating and Governance Committee will review a detailed description of the transaction, including the terms of the transaction; the business purpose of the transaction; the benefits to the Company and to the relevant related party; and whether the transaction would require a waiver of the Company’s Code of Conduct.</w:t>
      </w:r>
    </w:p>
    <w:p>
      <w:pPr>
        <w:spacing w:after="0" w:line="273"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45" w:lineRule="exact"/>
        <w:rPr>
          <w:sz w:val="20"/>
          <w:szCs w:val="20"/>
          <w:color w:val="auto"/>
        </w:rPr>
      </w:pPr>
    </w:p>
    <w:p>
      <w:pPr>
        <w:ind w:left="1360" w:right="80" w:hanging="184"/>
        <w:spacing w:after="0" w:line="287"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terms of the related party transaction are fair to the Company and such terms would be reasonable in an arms-length transaction;</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there are business reasons for the Company to enter into the related party transaction;</w:t>
      </w:r>
    </w:p>
    <w:p>
      <w:pPr>
        <w:spacing w:after="0" w:line="117" w:lineRule="exact"/>
        <w:rPr>
          <w:rFonts w:ascii="Arial" w:cs="Arial" w:eastAsia="Arial" w:hAnsi="Arial"/>
          <w:sz w:val="18"/>
          <w:szCs w:val="18"/>
          <w:color w:val="457157"/>
        </w:rPr>
      </w:pPr>
    </w:p>
    <w:p>
      <w:pPr>
        <w:ind w:left="1360" w:right="620" w:hanging="184"/>
        <w:spacing w:after="0" w:line="263"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would impair the independence of any non-employee director;</w:t>
      </w:r>
    </w:p>
    <w:p>
      <w:pPr>
        <w:spacing w:after="0" w:line="313" w:lineRule="exact"/>
        <w:rPr>
          <w:rFonts w:ascii="Arial" w:cs="Arial" w:eastAsia="Arial" w:hAnsi="Arial"/>
          <w:sz w:val="18"/>
          <w:szCs w:val="18"/>
          <w:color w:val="457157"/>
        </w:rPr>
      </w:pPr>
    </w:p>
    <w:p>
      <w:pPr>
        <w:ind w:left="1360" w:right="80" w:hanging="184"/>
        <w:spacing w:after="0" w:line="287"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would present an improper conflict of interest for any director or executive officer of the Company; and</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is material to the Company or the individual.</w:t>
      </w:r>
    </w:p>
    <w:p>
      <w:pPr>
        <w:spacing w:after="0" w:line="77" w:lineRule="exact"/>
        <w:rPr>
          <w:sz w:val="20"/>
          <w:szCs w:val="20"/>
          <w:color w:val="auto"/>
        </w:rPr>
      </w:pPr>
    </w:p>
    <w:p>
      <w:pPr>
        <w:ind w:left="820" w:right="60"/>
        <w:spacing w:after="0" w:line="245"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w:t>
      </w:r>
    </w:p>
    <w:p>
      <w:pPr>
        <w:ind w:left="820" w:right="80"/>
        <w:spacing w:after="0" w:line="226" w:lineRule="auto"/>
        <w:rPr>
          <w:sz w:val="20"/>
          <w:szCs w:val="20"/>
          <w:color w:val="auto"/>
        </w:rPr>
      </w:pPr>
      <w:r>
        <w:rPr>
          <w:rFonts w:ascii="Arial" w:cs="Arial" w:eastAsia="Arial" w:hAnsi="Arial"/>
          <w:sz w:val="18"/>
          <w:szCs w:val="18"/>
          <w:color w:val="auto"/>
        </w:rPr>
        <w:t>and Governance Committee’s meetings. Based on its review processes for potential related party transactions in 2023, the Company identified certain continuing transactions involving employment of</w:t>
      </w:r>
    </w:p>
    <w:p>
      <w:pPr>
        <w:ind w:left="820"/>
        <w:spacing w:after="0" w:line="236" w:lineRule="auto"/>
        <w:rPr>
          <w:sz w:val="20"/>
          <w:szCs w:val="20"/>
          <w:color w:val="auto"/>
        </w:rPr>
      </w:pPr>
      <w:r>
        <w:rPr>
          <w:rFonts w:ascii="Arial" w:cs="Arial" w:eastAsia="Arial" w:hAnsi="Arial"/>
          <w:sz w:val="18"/>
          <w:szCs w:val="18"/>
          <w:color w:val="auto"/>
        </w:rPr>
        <w:t>immediate family members of executive officers that the Nominating and Governance Committee had</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previously considered and approved. The Nominating and Governance Committee re-reviewed the employment relationships set forth below and again concluded that such transactions are not</w:t>
      </w:r>
    </w:p>
    <w:p>
      <w:pPr>
        <w:spacing w:after="0" w:line="2" w:lineRule="exact"/>
        <w:rPr>
          <w:sz w:val="20"/>
          <w:szCs w:val="20"/>
          <w:color w:val="auto"/>
        </w:rPr>
      </w:pPr>
    </w:p>
    <w:p>
      <w:pPr>
        <w:ind w:left="820" w:right="60"/>
        <w:spacing w:after="0" w:line="250" w:lineRule="auto"/>
        <w:rPr>
          <w:sz w:val="20"/>
          <w:szCs w:val="20"/>
          <w:color w:val="auto"/>
        </w:rPr>
      </w:pPr>
      <w:r>
        <w:rPr>
          <w:rFonts w:ascii="Arial" w:cs="Arial" w:eastAsia="Arial" w:hAnsi="Arial"/>
          <w:sz w:val="18"/>
          <w:szCs w:val="18"/>
          <w:color w:val="auto"/>
        </w:rPr>
        <w:t>inconsistent with the interests of the Company and its stockholders. Other than as reported below, we are not aware of any other transactions in 2023 that are required to be disclosed.</w:t>
      </w:r>
    </w:p>
    <w:p>
      <w:pPr>
        <w:spacing w:after="0" w:line="50" w:lineRule="exact"/>
        <w:rPr>
          <w:sz w:val="20"/>
          <w:szCs w:val="20"/>
          <w:color w:val="auto"/>
        </w:rPr>
      </w:pPr>
    </w:p>
    <w:p>
      <w:pPr>
        <w:jc w:val="both"/>
        <w:ind w:left="1180" w:right="60"/>
        <w:spacing w:after="0" w:line="255" w:lineRule="auto"/>
        <w:rPr>
          <w:sz w:val="20"/>
          <w:szCs w:val="20"/>
          <w:color w:val="auto"/>
        </w:rPr>
      </w:pPr>
      <w:r>
        <w:rPr>
          <w:rFonts w:ascii="Arial" w:cs="Arial" w:eastAsia="Arial" w:hAnsi="Arial"/>
          <w:sz w:val="18"/>
          <w:szCs w:val="18"/>
          <w:color w:val="auto"/>
        </w:rPr>
        <w:t>Two brothers of Kelly Rooney, our Senior Vice President and Chief Human Resources and Diversity &amp; Inclusion Officer, continue to be employed by subsidiaries of Waste Management, Inc. as Senior District Managers. Each received total cash compensation in 2023 in excess of $120,000 but less than $260,000, and an equity incentive grant with a target value of less than $15,000. The compensation of Ms. Rooney’s brothers is determined in accordance with the compensation practices generally applicable to employees of Company subsidiaries with comparable qualifications and responsibilities and holding similar positions, and without the involvement, input or approval of Ms. Rooney. In addition, Ms. Rooney is not directly or indirectly responsible for managing or overseeing the work of her brothers.</w:t>
      </w:r>
    </w:p>
    <w:p>
      <w:pPr>
        <w:spacing w:after="0" w:line="279" w:lineRule="exact"/>
        <w:rPr>
          <w:sz w:val="20"/>
          <w:szCs w:val="20"/>
          <w:color w:val="auto"/>
        </w:rPr>
      </w:pPr>
    </w:p>
    <w:p>
      <w:pPr>
        <w:jc w:val="both"/>
        <w:ind w:left="1180" w:right="60"/>
        <w:spacing w:after="0" w:line="255" w:lineRule="auto"/>
        <w:rPr>
          <w:sz w:val="20"/>
          <w:szCs w:val="20"/>
          <w:color w:val="auto"/>
        </w:rPr>
      </w:pPr>
      <w:r>
        <w:rPr>
          <w:rFonts w:ascii="Arial" w:cs="Arial" w:eastAsia="Arial" w:hAnsi="Arial"/>
          <w:sz w:val="18"/>
          <w:szCs w:val="18"/>
          <w:color w:val="auto"/>
        </w:rPr>
        <w:t>The brother- in-law of John Morris, our Executive Vice President and Chief Operating Officer, continues to be employed by a subsidiary of Waste Management, Inc. as a Senior Manager of Talent Management &amp; Learning Optimization. In 2023, he received total cash compensation in excess of $120,000, but less than $200,000.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In addition, Mr. Morris is not directly or indirectly responsible for managing or overseeing the work of his brother-in-law.</w:t>
      </w:r>
    </w:p>
    <w:p>
      <w:pPr>
        <w:spacing w:after="0" w:line="18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Board of Directors Governing Documents</w:t>
      </w:r>
    </w:p>
    <w:p>
      <w:pPr>
        <w:spacing w:after="0" w:line="85"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Stockholders may obtain copies of our Corporate Governance Guidelines, the charters of the Audit Committee, the MD&amp;C Committee, and the Nominating and Governance Committee, and our Code of Conduct free of charge by contacting the Corporate Secretary, Waste Management, Inc., 800 Capitol Street, Suite 3000, Houston, Texas 77002 or by accessing the “ESG — Corporate Governance” section of investors.wm.com.</w:t>
      </w:r>
    </w:p>
    <w:p>
      <w:pPr>
        <w:spacing w:after="0" w:line="37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Non-Employee Director Compensation</w:t>
      </w:r>
    </w:p>
    <w:p>
      <w:pPr>
        <w:spacing w:after="0" w:line="99"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Our non-employee director compensation program consists of equity awards and cash consideration. Director compensation is reviewed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 Following its annual review, the MD&amp;C Committee did not recommend any changes to director compensation for 2023. As a result, the 2023 non-employee director compensation levels are consistent with the levels established in 2022.</w:t>
      </w:r>
    </w:p>
    <w:p>
      <w:pPr>
        <w:spacing w:after="0" w:line="200" w:lineRule="exact"/>
        <w:rPr>
          <w:sz w:val="20"/>
          <w:szCs w:val="20"/>
          <w:color w:val="auto"/>
        </w:r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88"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Non-employee directors receive an annual grant of shares of Common Stock under the Company’s current stock incentive plan. The shares are fully vested at the time of grant; however, non -employee directors are required to hold all net shares throughout their tenure on the Board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$90,000 in January 2023 and July 2023. Additionally, any director serving as Non-Executive Chair of the Board receives an additional grant of Common Stock valued at approximately $50,000 in January and July of each year.</w:t>
      </w:r>
    </w:p>
    <w:p>
      <w:pPr>
        <w:spacing w:after="0" w:line="200" w:lineRule="exact"/>
        <w:rPr>
          <w:sz w:val="20"/>
          <w:szCs w:val="20"/>
          <w:color w:val="auto"/>
        </w:rPr>
      </w:pPr>
    </w:p>
    <w:p>
      <w:pPr>
        <w:spacing w:after="0" w:line="216"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88" w:lineRule="exact"/>
        <w:rPr>
          <w:sz w:val="20"/>
          <w:szCs w:val="20"/>
          <w:color w:val="auto"/>
        </w:rPr>
      </w:pPr>
    </w:p>
    <w:p>
      <w:pPr>
        <w:jc w:val="both"/>
        <w:ind w:left="820" w:right="60"/>
        <w:spacing w:after="0" w:line="273" w:lineRule="auto"/>
        <w:rPr>
          <w:sz w:val="20"/>
          <w:szCs w:val="20"/>
          <w:color w:val="auto"/>
        </w:rPr>
      </w:pPr>
      <w:r>
        <w:rPr>
          <w:rFonts w:ascii="Arial" w:cs="Arial" w:eastAsia="Arial" w:hAnsi="Arial"/>
          <w:sz w:val="18"/>
          <w:szCs w:val="18"/>
          <w:color w:val="auto"/>
        </w:rPr>
        <w:t>Non-employee directors received an annual cash retainer of $120,000 for Board service in 2023. Committee chairs received the additional annual retainer payments set forth below. Directors do not receive meeting fees in addition to the retainers. The annual cash retainer is generally paid in advance in two equal installments in January and July of each year.</w:t>
      </w:r>
    </w:p>
    <w:p>
      <w:pPr>
        <w:spacing w:after="0" w:line="71" w:lineRule="exact"/>
        <w:rPr>
          <w:sz w:val="20"/>
          <w:szCs w:val="20"/>
          <w:color w:val="auto"/>
        </w:rPr>
      </w:pPr>
    </w:p>
    <w:p>
      <w:pPr>
        <w:ind w:left="3600" w:right="2200" w:hanging="2069"/>
        <w:spacing w:after="0" w:line="260" w:lineRule="auto"/>
        <w:rPr>
          <w:sz w:val="20"/>
          <w:szCs w:val="20"/>
          <w:color w:val="auto"/>
        </w:rPr>
      </w:pPr>
      <w:r>
        <w:rPr>
          <w:rFonts w:ascii="Arial" w:cs="Arial" w:eastAsia="Arial" w:hAnsi="Arial"/>
          <w:sz w:val="18"/>
          <w:szCs w:val="18"/>
          <w:b w:val="1"/>
          <w:bCs w:val="1"/>
          <w:color w:val="auto"/>
        </w:rPr>
        <w:t>Annual Chair Retainers:</w:t>
      </w:r>
      <w:r>
        <w:rPr>
          <w:rFonts w:ascii="Arial" w:cs="Arial" w:eastAsia="Arial" w:hAnsi="Arial"/>
          <w:sz w:val="18"/>
          <w:szCs w:val="18"/>
          <w:color w:val="auto"/>
        </w:rPr>
        <w:t>$100,000 for Non -Executive Chair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$25,000 for Audit Committee Chair</w:t>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MD&amp;C Committee Chair</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Nominating and Governance Committee Chair</w:t>
      </w:r>
    </w:p>
    <w:p>
      <w:pPr>
        <w:spacing w:after="0" w:line="209"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102"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five times the non-employee directors’ annualized cash retainer. As of December 31, 2023, this amount was $600,000. There is no deadline for non-employee directors to reach their ownership guideline; however, the MD&amp;C Committee performs regular reviews to confirm that all non-employee directors are in compliance or are showing sustained progress toward achievement of their ownership guideline. Based on the closing price of our Common Stock on March 5, 2024, all non-employee directors have reached the ownership guideline with the exception of our two newest directors, Mr. Bené and Mr. Chinn, who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5"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2023 Director Compensation Table</w:t>
      </w:r>
    </w:p>
    <w:p>
      <w:pPr>
        <w:spacing w:after="0" w:line="102" w:lineRule="exact"/>
        <w:rPr>
          <w:sz w:val="20"/>
          <w:szCs w:val="20"/>
          <w:color w:val="auto"/>
        </w:rPr>
      </w:pPr>
    </w:p>
    <w:p>
      <w:pPr>
        <w:ind w:left="820" w:right="80"/>
        <w:spacing w:after="0" w:line="28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2023 in accordance with the descriptions set forth above:</w:t>
      </w:r>
    </w:p>
    <w:p>
      <w:pPr>
        <w:spacing w:after="0" w:line="4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4"/>
                <w:szCs w:val="14"/>
                <w:b w:val="1"/>
                <w:bCs w:val="1"/>
                <w:color w:val="457157"/>
              </w:rPr>
              <w:t>Fees Earned</w:t>
            </w:r>
          </w:p>
        </w:tc>
        <w:tc>
          <w:tcPr>
            <w:tcW w:w="880" w:type="dxa"/>
            <w:vAlign w:val="bottom"/>
            <w:gridSpan w:val="2"/>
          </w:tcPr>
          <w:p>
            <w:pPr>
              <w:jc w:val="right"/>
              <w:ind w:right="55"/>
              <w:spacing w:after="0"/>
              <w:rPr>
                <w:sz w:val="20"/>
                <w:szCs w:val="20"/>
                <w:color w:val="auto"/>
              </w:rPr>
            </w:pPr>
            <w:r>
              <w:rPr>
                <w:rFonts w:ascii="Arial" w:cs="Arial" w:eastAsia="Arial" w:hAnsi="Arial"/>
                <w:sz w:val="14"/>
                <w:szCs w:val="14"/>
                <w:b w:val="1"/>
                <w:bCs w:val="1"/>
                <w:color w:val="457157"/>
              </w:rPr>
              <w:t>Stock</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w:t>
            </w:r>
          </w:p>
        </w:tc>
        <w:tc>
          <w:tcPr>
            <w:tcW w:w="1320" w:type="dxa"/>
            <w:vAlign w:val="bottom"/>
          </w:tcPr>
          <w:p>
            <w:pPr>
              <w:spacing w:after="0"/>
              <w:rPr>
                <w:sz w:val="12"/>
                <w:szCs w:val="12"/>
                <w:color w:val="auto"/>
              </w:rPr>
            </w:pPr>
          </w:p>
        </w:tc>
        <w:tc>
          <w:tcPr>
            <w:tcW w:w="106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457157"/>
              </w:rPr>
              <w:t>or Paid in</w:t>
            </w:r>
          </w:p>
        </w:tc>
        <w:tc>
          <w:tcPr>
            <w:tcW w:w="880" w:type="dxa"/>
            <w:vAlign w:val="bottom"/>
            <w:gridSpan w:val="2"/>
          </w:tcPr>
          <w:p>
            <w:pPr>
              <w:jc w:val="right"/>
              <w:ind w:right="55"/>
              <w:spacing w:after="0" w:line="149" w:lineRule="exact"/>
              <w:rPr>
                <w:sz w:val="20"/>
                <w:szCs w:val="20"/>
                <w:color w:val="auto"/>
              </w:rPr>
            </w:pPr>
            <w:r>
              <w:rPr>
                <w:rFonts w:ascii="Arial" w:cs="Arial" w:eastAsia="Arial" w:hAnsi="Arial"/>
                <w:sz w:val="14"/>
                <w:szCs w:val="14"/>
                <w:b w:val="1"/>
                <w:bCs w:val="1"/>
                <w:color w:val="457157"/>
              </w:rPr>
              <w:t>Awards</w:t>
            </w:r>
          </w:p>
        </w:tc>
        <w:tc>
          <w:tcPr>
            <w:tcW w:w="2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457157"/>
              </w:rPr>
              <w:t>Total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80" w:type="dxa"/>
            <w:vAlign w:val="bottom"/>
            <w:vMerge w:val="continue"/>
          </w:tcPr>
          <w:p>
            <w:pPr>
              <w:spacing w:after="0"/>
              <w:rPr>
                <w:sz w:val="11"/>
                <w:szCs w:val="11"/>
                <w:color w:val="auto"/>
              </w:rPr>
            </w:pPr>
          </w:p>
        </w:tc>
        <w:tc>
          <w:tcPr>
            <w:tcW w:w="1320" w:type="dxa"/>
            <w:vAlign w:val="bottom"/>
            <w:vMerge w:val="restart"/>
          </w:tcPr>
          <w:p>
            <w:pPr>
              <w:jc w:val="center"/>
              <w:ind w:left="1072"/>
              <w:spacing w:after="0"/>
              <w:rPr>
                <w:sz w:val="20"/>
                <w:szCs w:val="20"/>
                <w:color w:val="auto"/>
              </w:rPr>
            </w:pPr>
            <w:r>
              <w:rPr>
                <w:rFonts w:ascii="Arial" w:cs="Arial" w:eastAsia="Arial" w:hAnsi="Arial"/>
                <w:sz w:val="14"/>
                <w:szCs w:val="14"/>
                <w:b w:val="1"/>
                <w:bCs w:val="1"/>
                <w:color w:val="457157"/>
              </w:rPr>
              <w:t>​</w:t>
            </w: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Cash ($)</w:t>
            </w: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jc w:val="right"/>
              <w:ind w:right="15"/>
              <w:spacing w:after="0"/>
              <w:rPr>
                <w:sz w:val="20"/>
                <w:szCs w:val="20"/>
                <w:color w:val="auto"/>
              </w:rPr>
            </w:pPr>
            <w:r>
              <w:rPr>
                <w:rFonts w:ascii="Arial" w:cs="Arial" w:eastAsia="Arial" w:hAnsi="Arial"/>
                <w:sz w:val="9"/>
                <w:szCs w:val="9"/>
                <w:b w:val="1"/>
                <w:bCs w:val="1"/>
                <w:color w:val="457157"/>
                <w:w w:val="90"/>
              </w:rPr>
              <w:t>(1)</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680" w:type="dxa"/>
            <w:vAlign w:val="bottom"/>
            <w:vMerge w:val="continue"/>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3480" w:type="dxa"/>
            <w:vAlign w:val="bottom"/>
            <w:tcBorders>
              <w:bottom w:val="single" w:sz="8" w:color="457157"/>
            </w:tcBorders>
          </w:tcPr>
          <w:p>
            <w:pPr>
              <w:ind w:left="60"/>
              <w:spacing w:after="0" w:line="54" w:lineRule="exact"/>
              <w:rPr>
                <w:sz w:val="20"/>
                <w:szCs w:val="20"/>
                <w:color w:val="auto"/>
              </w:rPr>
            </w:pPr>
            <w:r>
              <w:rPr>
                <w:rFonts w:ascii="Arial" w:cs="Arial" w:eastAsia="Arial" w:hAnsi="Arial"/>
                <w:sz w:val="6"/>
                <w:szCs w:val="6"/>
                <w:b w:val="1"/>
                <w:bCs w:val="1"/>
                <w:color w:val="457157"/>
              </w:rPr>
              <w:t>​</w:t>
            </w:r>
          </w:p>
        </w:tc>
        <w:tc>
          <w:tcPr>
            <w:tcW w:w="1320" w:type="dxa"/>
            <w:vAlign w:val="bottom"/>
            <w:tcBorders>
              <w:bottom w:val="single" w:sz="8" w:color="457157"/>
            </w:tcBorders>
            <w:vMerge w:val="continue"/>
          </w:tcPr>
          <w:p>
            <w:pPr>
              <w:spacing w:after="0"/>
              <w:rPr>
                <w:sz w:val="4"/>
                <w:szCs w:val="4"/>
                <w:color w:val="auto"/>
              </w:rPr>
            </w:pPr>
          </w:p>
        </w:tc>
        <w:tc>
          <w:tcPr>
            <w:tcW w:w="320" w:type="dxa"/>
            <w:vAlign w:val="bottom"/>
            <w:tcBorders>
              <w:bottom w:val="single" w:sz="8" w:color="457157"/>
            </w:tcBorders>
            <w:vMerge w:val="continue"/>
          </w:tcPr>
          <w:p>
            <w:pPr>
              <w:spacing w:after="0"/>
              <w:rPr>
                <w:sz w:val="4"/>
                <w:szCs w:val="4"/>
                <w:color w:val="auto"/>
              </w:rPr>
            </w:pPr>
          </w:p>
        </w:tc>
        <w:tc>
          <w:tcPr>
            <w:tcW w:w="740" w:type="dxa"/>
            <w:vAlign w:val="bottom"/>
            <w:tcBorders>
              <w:bottom w:val="single" w:sz="8" w:color="457157"/>
            </w:tcBorders>
            <w:vMerge w:val="continue"/>
          </w:tcPr>
          <w:p>
            <w:pPr>
              <w:spacing w:after="0"/>
              <w:rPr>
                <w:sz w:val="4"/>
                <w:szCs w:val="4"/>
                <w:color w:val="auto"/>
              </w:rPr>
            </w:pPr>
          </w:p>
        </w:tc>
        <w:tc>
          <w:tcPr>
            <w:tcW w:w="700" w:type="dxa"/>
            <w:vAlign w:val="bottom"/>
            <w:tcBorders>
              <w:bottom w:val="single" w:sz="8" w:color="457157"/>
            </w:tcBorders>
            <w:vMerge w:val="continue"/>
          </w:tcPr>
          <w:p>
            <w:pPr>
              <w:spacing w:after="0"/>
              <w:rPr>
                <w:sz w:val="4"/>
                <w:szCs w:val="4"/>
                <w:color w:val="auto"/>
              </w:rPr>
            </w:pPr>
          </w:p>
        </w:tc>
        <w:tc>
          <w:tcPr>
            <w:tcW w:w="18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60"/>
              <w:spacing w:after="0" w:line="183" w:lineRule="exact"/>
              <w:rPr>
                <w:sz w:val="20"/>
                <w:szCs w:val="20"/>
                <w:color w:val="auto"/>
              </w:rPr>
            </w:pPr>
            <w:r>
              <w:rPr>
                <w:rFonts w:ascii="Arial" w:cs="Arial" w:eastAsia="Arial" w:hAnsi="Arial"/>
                <w:sz w:val="17"/>
                <w:szCs w:val="17"/>
                <w:color w:val="auto"/>
              </w:rPr>
              <w:t>Bruce E. Chinn</w:t>
            </w:r>
            <w:r>
              <w:rPr>
                <w:rFonts w:ascii="Arial" w:cs="Arial" w:eastAsia="Arial" w:hAnsi="Arial"/>
                <w:sz w:val="21"/>
                <w:szCs w:val="21"/>
                <w:color w:val="auto"/>
                <w:vertAlign w:val="superscript"/>
              </w:rPr>
              <w:t>(2)</w:t>
            </w:r>
          </w:p>
        </w:tc>
        <w:tc>
          <w:tcPr>
            <w:tcW w:w="1320" w:type="dxa"/>
            <w:vAlign w:val="bottom"/>
            <w:vMerge w:val="restart"/>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vMerge w:val="restart"/>
          </w:tcPr>
          <w:p>
            <w:pPr>
              <w:jc w:val="right"/>
              <w:spacing w:after="0"/>
              <w:rPr>
                <w:sz w:val="20"/>
                <w:szCs w:val="20"/>
                <w:color w:val="auto"/>
              </w:rPr>
            </w:pPr>
            <w:r>
              <w:rPr>
                <w:rFonts w:ascii="Arial" w:cs="Arial" w:eastAsia="Arial" w:hAnsi="Arial"/>
                <w:sz w:val="18"/>
                <w:szCs w:val="18"/>
                <w:color w:val="auto"/>
              </w:rPr>
              <w:t>​​ 106,800​​ ​</w:t>
            </w:r>
            <w:r>
              <w:rPr>
                <w:rFonts w:ascii="Arial" w:cs="Arial" w:eastAsia="Arial" w:hAnsi="Arial"/>
                <w:sz w:val="18"/>
                <w:szCs w:val="18"/>
                <w:b w:val="1"/>
                <w:bCs w:val="1"/>
                <w:color w:val="auto"/>
              </w:rPr>
              <w:t>​</w:t>
            </w:r>
            <w:r>
              <w:rPr>
                <w:rFonts w:ascii="Arial" w:cs="Arial" w:eastAsia="Arial" w:hAnsi="Arial"/>
                <w:sz w:val="18"/>
                <w:szCs w:val="18"/>
                <w:color w:val="auto"/>
              </w:rPr>
              <w:t>160,125​​ ​</w:t>
            </w:r>
            <w:r>
              <w:rPr>
                <w:rFonts w:ascii="Arial" w:cs="Arial" w:eastAsia="Arial" w:hAnsi="Arial"/>
                <w:sz w:val="18"/>
                <w:szCs w:val="18"/>
                <w:b w:val="1"/>
                <w:bCs w:val="1"/>
                <w:color w:val="auto"/>
              </w:rPr>
              <w:t>​</w:t>
            </w:r>
            <w:r>
              <w:rPr>
                <w:rFonts w:ascii="Arial" w:cs="Arial" w:eastAsia="Arial" w:hAnsi="Arial"/>
                <w:sz w:val="18"/>
                <w:szCs w:val="18"/>
                <w:color w:val="auto"/>
              </w:rPr>
              <w:t>266,925​​</w:t>
            </w:r>
          </w:p>
        </w:tc>
        <w:tc>
          <w:tcPr>
            <w:tcW w:w="0" w:type="dxa"/>
            <w:vAlign w:val="bottom"/>
          </w:tcPr>
          <w:p>
            <w:pPr>
              <w:spacing w:after="0"/>
              <w:rPr>
                <w:sz w:val="1"/>
                <w:szCs w:val="1"/>
                <w:color w:val="auto"/>
              </w:rPr>
            </w:pPr>
          </w:p>
        </w:tc>
      </w:tr>
      <w:tr>
        <w:trPr>
          <w:trHeight w:val="68"/>
        </w:trPr>
        <w:tc>
          <w:tcPr>
            <w:tcW w:w="34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320" w:type="dxa"/>
            <w:vAlign w:val="bottom"/>
            <w:vMerge w:val="continue"/>
          </w:tcPr>
          <w:p>
            <w:pPr>
              <w:spacing w:after="0"/>
              <w:rPr>
                <w:sz w:val="5"/>
                <w:szCs w:val="5"/>
                <w:color w:val="auto"/>
              </w:rPr>
            </w:pPr>
          </w:p>
        </w:tc>
        <w:tc>
          <w:tcPr>
            <w:tcW w:w="2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ind w:left="40"/>
              <w:spacing w:after="0"/>
              <w:rPr>
                <w:sz w:val="20"/>
                <w:szCs w:val="20"/>
                <w:color w:val="auto"/>
              </w:rPr>
            </w:pPr>
            <w:r>
              <w:rPr>
                <w:rFonts w:ascii="Arial" w:cs="Arial" w:eastAsia="Arial" w:hAnsi="Arial"/>
                <w:sz w:val="18"/>
                <w:szCs w:val="18"/>
                <w:color w:val="auto"/>
              </w:rPr>
              <w:t>​Andrés R. Gluski</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140,000​​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319,992​​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80" w:type="dxa"/>
            <w:vAlign w:val="bottom"/>
          </w:tcPr>
          <w:p>
            <w:pPr>
              <w:ind w:left="60"/>
              <w:spacing w:after="0" w:line="169" w:lineRule="exact"/>
              <w:rPr>
                <w:sz w:val="20"/>
                <w:szCs w:val="20"/>
                <w:color w:val="auto"/>
              </w:rPr>
            </w:pPr>
            <w:r>
              <w:rPr>
                <w:rFonts w:ascii="Arial" w:cs="Arial" w:eastAsia="Arial" w:hAnsi="Arial"/>
                <w:sz w:val="15"/>
                <w:szCs w:val="15"/>
                <w:color w:val="auto"/>
              </w:rPr>
              <w:t>Victoria M. Holt</w:t>
            </w:r>
            <w:r>
              <w:rPr>
                <w:rFonts w:ascii="Arial" w:cs="Arial" w:eastAsia="Arial" w:hAnsi="Arial"/>
                <w:sz w:val="19"/>
                <w:szCs w:val="19"/>
                <w:color w:val="auto"/>
                <w:vertAlign w:val="superscript"/>
              </w:rPr>
              <w:t>(3)</w:t>
            </w:r>
          </w:p>
        </w:tc>
        <w:tc>
          <w:tcPr>
            <w:tcW w:w="1320" w:type="dxa"/>
            <w:vAlign w:val="bottom"/>
            <w:vMerge w:val="restart"/>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vMerge w:val="restart"/>
          </w:tcPr>
          <w:p>
            <w:pPr>
              <w:jc w:val="right"/>
              <w:spacing w:after="0"/>
              <w:rPr>
                <w:sz w:val="20"/>
                <w:szCs w:val="20"/>
                <w:color w:val="auto"/>
              </w:rPr>
            </w:pPr>
            <w:r>
              <w:rPr>
                <w:rFonts w:ascii="Arial" w:cs="Arial" w:eastAsia="Arial" w:hAnsi="Arial"/>
                <w:sz w:val="18"/>
                <w:szCs w:val="18"/>
                <w:color w:val="auto"/>
              </w:rPr>
              <w:t>​​ 133,775​​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313,767​​</w:t>
            </w:r>
          </w:p>
        </w:tc>
        <w:tc>
          <w:tcPr>
            <w:tcW w:w="0" w:type="dxa"/>
            <w:vAlign w:val="bottom"/>
          </w:tcPr>
          <w:p>
            <w:pPr>
              <w:spacing w:after="0"/>
              <w:rPr>
                <w:sz w:val="1"/>
                <w:szCs w:val="1"/>
                <w:color w:val="auto"/>
              </w:rPr>
            </w:pPr>
          </w:p>
        </w:tc>
      </w:tr>
      <w:tr>
        <w:trPr>
          <w:trHeight w:val="68"/>
        </w:trPr>
        <w:tc>
          <w:tcPr>
            <w:tcW w:w="34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320" w:type="dxa"/>
            <w:vAlign w:val="bottom"/>
            <w:vMerge w:val="continue"/>
          </w:tcPr>
          <w:p>
            <w:pPr>
              <w:spacing w:after="0"/>
              <w:rPr>
                <w:sz w:val="5"/>
                <w:szCs w:val="5"/>
                <w:color w:val="auto"/>
              </w:rPr>
            </w:pPr>
          </w:p>
        </w:tc>
        <w:tc>
          <w:tcPr>
            <w:tcW w:w="2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80" w:type="dxa"/>
            <w:vAlign w:val="bottom"/>
          </w:tcPr>
          <w:p>
            <w:pPr>
              <w:ind w:left="60"/>
              <w:spacing w:after="0" w:line="169" w:lineRule="exact"/>
              <w:rPr>
                <w:sz w:val="20"/>
                <w:szCs w:val="20"/>
                <w:color w:val="auto"/>
              </w:rPr>
            </w:pPr>
            <w:r>
              <w:rPr>
                <w:rFonts w:ascii="Arial" w:cs="Arial" w:eastAsia="Arial" w:hAnsi="Arial"/>
                <w:sz w:val="15"/>
                <w:szCs w:val="15"/>
                <w:color w:val="auto"/>
              </w:rPr>
              <w:t>Kathleen M. Mazzarella</w:t>
            </w:r>
            <w:r>
              <w:rPr>
                <w:rFonts w:ascii="Arial" w:cs="Arial" w:eastAsia="Arial" w:hAnsi="Arial"/>
                <w:sz w:val="19"/>
                <w:szCs w:val="19"/>
                <w:color w:val="auto"/>
                <w:vertAlign w:val="superscript"/>
              </w:rPr>
              <w:t>(4)</w:t>
            </w:r>
          </w:p>
        </w:tc>
        <w:tc>
          <w:tcPr>
            <w:tcW w:w="1320" w:type="dxa"/>
            <w:vAlign w:val="bottom"/>
            <w:vMerge w:val="restart"/>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vMerge w:val="restart"/>
          </w:tcPr>
          <w:p>
            <w:pPr>
              <w:jc w:val="right"/>
              <w:spacing w:after="0"/>
              <w:rPr>
                <w:sz w:val="20"/>
                <w:szCs w:val="20"/>
                <w:color w:val="auto"/>
              </w:rPr>
            </w:pPr>
            <w:r>
              <w:rPr>
                <w:rFonts w:ascii="Arial" w:cs="Arial" w:eastAsia="Arial" w:hAnsi="Arial"/>
                <w:sz w:val="18"/>
                <w:szCs w:val="18"/>
                <w:color w:val="auto"/>
              </w:rPr>
              <w:t>​​ 198,785​​ ​</w:t>
            </w:r>
            <w:r>
              <w:rPr>
                <w:rFonts w:ascii="Arial" w:cs="Arial" w:eastAsia="Arial" w:hAnsi="Arial"/>
                <w:sz w:val="18"/>
                <w:szCs w:val="18"/>
                <w:b w:val="1"/>
                <w:bCs w:val="1"/>
                <w:color w:val="auto"/>
              </w:rPr>
              <w:t>​</w:t>
            </w:r>
            <w:r>
              <w:rPr>
                <w:rFonts w:ascii="Arial" w:cs="Arial" w:eastAsia="Arial" w:hAnsi="Arial"/>
                <w:sz w:val="18"/>
                <w:szCs w:val="18"/>
                <w:color w:val="auto"/>
              </w:rPr>
              <w:t>248,798​​ ​</w:t>
            </w:r>
            <w:r>
              <w:rPr>
                <w:rFonts w:ascii="Arial" w:cs="Arial" w:eastAsia="Arial" w:hAnsi="Arial"/>
                <w:sz w:val="18"/>
                <w:szCs w:val="18"/>
                <w:b w:val="1"/>
                <w:bCs w:val="1"/>
                <w:color w:val="auto"/>
              </w:rPr>
              <w:t>​</w:t>
            </w:r>
            <w:r>
              <w:rPr>
                <w:rFonts w:ascii="Arial" w:cs="Arial" w:eastAsia="Arial" w:hAnsi="Arial"/>
                <w:sz w:val="18"/>
                <w:szCs w:val="18"/>
                <w:color w:val="auto"/>
              </w:rPr>
              <w:t>447,583​​</w:t>
            </w:r>
          </w:p>
        </w:tc>
        <w:tc>
          <w:tcPr>
            <w:tcW w:w="0" w:type="dxa"/>
            <w:vAlign w:val="bottom"/>
          </w:tcPr>
          <w:p>
            <w:pPr>
              <w:spacing w:after="0"/>
              <w:rPr>
                <w:sz w:val="1"/>
                <w:szCs w:val="1"/>
                <w:color w:val="auto"/>
              </w:rPr>
            </w:pPr>
          </w:p>
        </w:tc>
      </w:tr>
      <w:tr>
        <w:trPr>
          <w:trHeight w:val="68"/>
        </w:trPr>
        <w:tc>
          <w:tcPr>
            <w:tcW w:w="34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320" w:type="dxa"/>
            <w:vAlign w:val="bottom"/>
            <w:vMerge w:val="continue"/>
          </w:tcPr>
          <w:p>
            <w:pPr>
              <w:spacing w:after="0"/>
              <w:rPr>
                <w:sz w:val="5"/>
                <w:szCs w:val="5"/>
                <w:color w:val="auto"/>
              </w:rPr>
            </w:pPr>
          </w:p>
        </w:tc>
        <w:tc>
          <w:tcPr>
            <w:tcW w:w="28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ind w:left="40"/>
              <w:spacing w:after="0"/>
              <w:rPr>
                <w:sz w:val="20"/>
                <w:szCs w:val="20"/>
                <w:color w:val="auto"/>
              </w:rPr>
            </w:pPr>
            <w:r>
              <w:rPr>
                <w:rFonts w:ascii="Arial" w:cs="Arial" w:eastAsia="Arial" w:hAnsi="Arial"/>
                <w:sz w:val="18"/>
                <w:szCs w:val="18"/>
                <w:color w:val="auto"/>
              </w:rPr>
              <w:t>​Sean E. Menke</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299,992​​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ind w:left="40"/>
              <w:spacing w:after="0"/>
              <w:rPr>
                <w:sz w:val="20"/>
                <w:szCs w:val="20"/>
                <w:color w:val="auto"/>
              </w:rPr>
            </w:pPr>
            <w:r>
              <w:rPr>
                <w:rFonts w:ascii="Arial" w:cs="Arial" w:eastAsia="Arial" w:hAnsi="Arial"/>
                <w:sz w:val="18"/>
                <w:szCs w:val="18"/>
                <w:color w:val="auto"/>
              </w:rPr>
              <w:t>​William B. Plummer</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145,000​​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324,992​​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Pr>
          <w:p>
            <w:pPr>
              <w:ind w:left="40"/>
              <w:spacing w:after="0"/>
              <w:rPr>
                <w:sz w:val="20"/>
                <w:szCs w:val="20"/>
                <w:color w:val="auto"/>
              </w:rPr>
            </w:pPr>
            <w:r>
              <w:rPr>
                <w:rFonts w:ascii="Arial" w:cs="Arial" w:eastAsia="Arial" w:hAnsi="Arial"/>
                <w:sz w:val="18"/>
                <w:szCs w:val="18"/>
                <w:color w:val="auto"/>
              </w:rPr>
              <w:t>​John C. Pope</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299,992​​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2840" w:type="dxa"/>
            <w:vAlign w:val="bottom"/>
            <w:gridSpan w:val="6"/>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tcPr>
          <w:p>
            <w:pPr>
              <w:ind w:left="40"/>
              <w:spacing w:after="0"/>
              <w:rPr>
                <w:sz w:val="20"/>
                <w:szCs w:val="20"/>
                <w:color w:val="auto"/>
              </w:rPr>
            </w:pPr>
            <w:r>
              <w:rPr>
                <w:rFonts w:ascii="Arial" w:cs="Arial" w:eastAsia="Arial" w:hAnsi="Arial"/>
                <w:sz w:val="18"/>
                <w:szCs w:val="18"/>
                <w:color w:val="auto"/>
              </w:rPr>
              <w:t>​Maryrose T. Sylvester</w:t>
            </w:r>
          </w:p>
        </w:tc>
        <w:tc>
          <w:tcPr>
            <w:tcW w:w="1320" w:type="dxa"/>
            <w:vAlign w:val="bottom"/>
          </w:tcPr>
          <w:p>
            <w:pPr>
              <w:jc w:val="center"/>
              <w:ind w:left="1072"/>
              <w:spacing w:after="0"/>
              <w:rPr>
                <w:sz w:val="20"/>
                <w:szCs w:val="20"/>
                <w:color w:val="auto"/>
              </w:rPr>
            </w:pPr>
            <w:r>
              <w:rPr>
                <w:rFonts w:ascii="Arial" w:cs="Arial" w:eastAsia="Arial" w:hAnsi="Arial"/>
                <w:sz w:val="18"/>
                <w:szCs w:val="18"/>
                <w:color w:val="auto"/>
              </w:rPr>
              <w:t>​ ​</w:t>
            </w:r>
          </w:p>
        </w:tc>
        <w:tc>
          <w:tcPr>
            <w:tcW w:w="2880" w:type="dxa"/>
            <w:vAlign w:val="bottom"/>
            <w:gridSpan w:val="7"/>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179,992​​ ​</w:t>
            </w:r>
            <w:r>
              <w:rPr>
                <w:rFonts w:ascii="Arial" w:cs="Arial" w:eastAsia="Arial" w:hAnsi="Arial"/>
                <w:sz w:val="18"/>
                <w:szCs w:val="18"/>
                <w:b w:val="1"/>
                <w:bCs w:val="1"/>
                <w:color w:val="auto"/>
              </w:rPr>
              <w:t>​</w:t>
            </w:r>
            <w:r>
              <w:rPr>
                <w:rFonts w:ascii="Arial" w:cs="Arial" w:eastAsia="Arial" w:hAnsi="Arial"/>
                <w:sz w:val="18"/>
                <w:szCs w:val="18"/>
                <w:color w:val="auto"/>
              </w:rPr>
              <w:t>299,992​​</w:t>
            </w: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80" w:type="dxa"/>
            <w:vAlign w:val="bottom"/>
          </w:tcPr>
          <w:p>
            <w:pPr>
              <w:ind w:left="60"/>
              <w:spacing w:after="0" w:line="169" w:lineRule="exact"/>
              <w:rPr>
                <w:sz w:val="20"/>
                <w:szCs w:val="20"/>
                <w:color w:val="auto"/>
              </w:rPr>
            </w:pPr>
            <w:r>
              <w:rPr>
                <w:rFonts w:ascii="Arial" w:cs="Arial" w:eastAsia="Arial" w:hAnsi="Arial"/>
                <w:sz w:val="15"/>
                <w:szCs w:val="15"/>
                <w:color w:val="auto"/>
              </w:rPr>
              <w:t>Thomas H. Weidemeyer</w:t>
            </w:r>
            <w:r>
              <w:rPr>
                <w:rFonts w:ascii="Arial" w:cs="Arial" w:eastAsia="Arial" w:hAnsi="Arial"/>
                <w:sz w:val="19"/>
                <w:szCs w:val="19"/>
                <w:color w:val="auto"/>
                <w:vertAlign w:val="superscript"/>
              </w:rPr>
              <w:t>(5)</w:t>
            </w:r>
          </w:p>
        </w:tc>
        <w:tc>
          <w:tcPr>
            <w:tcW w:w="1320" w:type="dxa"/>
            <w:vAlign w:val="bottom"/>
            <w:vMerge w:val="restart"/>
          </w:tcPr>
          <w:p>
            <w:pPr>
              <w:jc w:val="center"/>
              <w:ind w:left="1072"/>
              <w:spacing w:after="0"/>
              <w:rPr>
                <w:sz w:val="20"/>
                <w:szCs w:val="20"/>
                <w:color w:val="auto"/>
              </w:rPr>
            </w:pPr>
            <w:r>
              <w:rPr>
                <w:rFonts w:ascii="Arial" w:cs="Arial" w:eastAsia="Arial" w:hAnsi="Arial"/>
                <w:sz w:val="18"/>
                <w:szCs w:val="18"/>
                <w:color w:val="auto"/>
              </w:rPr>
              <w:t>​ ​</w:t>
            </w: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560" w:type="dxa"/>
            <w:vAlign w:val="bottom"/>
            <w:gridSpan w:val="6"/>
            <w:vMerge w:val="restart"/>
          </w:tcPr>
          <w:p>
            <w:pPr>
              <w:jc w:val="right"/>
              <w:spacing w:after="0"/>
              <w:rPr>
                <w:sz w:val="20"/>
                <w:szCs w:val="20"/>
                <w:color w:val="auto"/>
              </w:rPr>
            </w:pPr>
            <w:r>
              <w:rPr>
                <w:rFonts w:ascii="Arial" w:cs="Arial" w:eastAsia="Arial" w:hAnsi="Arial"/>
                <w:sz w:val="18"/>
                <w:szCs w:val="18"/>
                <w:color w:val="auto"/>
              </w:rPr>
              <w:t>110,000​​ ​</w:t>
            </w:r>
            <w:r>
              <w:rPr>
                <w:rFonts w:ascii="Arial" w:cs="Arial" w:eastAsia="Arial" w:hAnsi="Arial"/>
                <w:sz w:val="18"/>
                <w:szCs w:val="18"/>
                <w:b w:val="1"/>
                <w:bCs w:val="1"/>
                <w:color w:val="auto"/>
              </w:rPr>
              <w:t>​</w:t>
            </w:r>
            <w:r>
              <w:rPr>
                <w:rFonts w:ascii="Arial" w:cs="Arial" w:eastAsia="Arial" w:hAnsi="Arial"/>
                <w:sz w:val="18"/>
                <w:szCs w:val="18"/>
                <w:color w:val="auto"/>
              </w:rPr>
              <w:t>140,045​​ ​</w:t>
            </w:r>
            <w:r>
              <w:rPr>
                <w:rFonts w:ascii="Arial" w:cs="Arial" w:eastAsia="Arial" w:hAnsi="Arial"/>
                <w:sz w:val="18"/>
                <w:szCs w:val="18"/>
                <w:b w:val="1"/>
                <w:bCs w:val="1"/>
                <w:color w:val="auto"/>
              </w:rPr>
              <w:t>​</w:t>
            </w:r>
            <w:r>
              <w:rPr>
                <w:rFonts w:ascii="Arial" w:cs="Arial" w:eastAsia="Arial" w:hAnsi="Arial"/>
                <w:sz w:val="18"/>
                <w:szCs w:val="18"/>
                <w:color w:val="auto"/>
              </w:rPr>
              <w:t>250,045​​</w:t>
            </w:r>
          </w:p>
        </w:tc>
        <w:tc>
          <w:tcPr>
            <w:tcW w:w="0" w:type="dxa"/>
            <w:vAlign w:val="bottom"/>
          </w:tcPr>
          <w:p>
            <w:pPr>
              <w:spacing w:after="0"/>
              <w:rPr>
                <w:sz w:val="1"/>
                <w:szCs w:val="1"/>
                <w:color w:val="auto"/>
              </w:rPr>
            </w:pPr>
          </w:p>
        </w:tc>
      </w:tr>
      <w:tr>
        <w:trPr>
          <w:trHeight w:val="68"/>
        </w:trPr>
        <w:tc>
          <w:tcPr>
            <w:tcW w:w="34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32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25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457157"/>
          </w:tcPr>
          <w:p>
            <w:pPr>
              <w:spacing w:after="0" w:line="20" w:lineRule="exact"/>
              <w:rPr>
                <w:sz w:val="1"/>
                <w:szCs w:val="1"/>
                <w:color w:val="auto"/>
              </w:rPr>
            </w:pPr>
          </w:p>
        </w:tc>
        <w:tc>
          <w:tcPr>
            <w:tcW w:w="132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-1397000</wp:posOffset>
            </wp:positionV>
            <wp:extent cx="4843145"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43145" cy="1714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-1079500</wp:posOffset>
            </wp:positionV>
            <wp:extent cx="4843145"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43145" cy="16256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-753745</wp:posOffset>
            </wp:positionV>
            <wp:extent cx="484314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43145" cy="1460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-462280</wp:posOffset>
            </wp:positionV>
            <wp:extent cx="484314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43145" cy="14541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-170815</wp:posOffset>
            </wp:positionV>
            <wp:extent cx="4843145"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43145" cy="162560"/>
                    </a:xfrm>
                    <a:prstGeom prst="rect">
                      <a:avLst/>
                    </a:prstGeom>
                    <a:noFill/>
                  </pic:spPr>
                </pic:pic>
              </a:graphicData>
            </a:graphic>
          </wp:anchor>
        </w:drawing>
      </w:r>
    </w:p>
    <w:p>
      <w:pPr>
        <w:spacing w:after="0" w:line="29" w:lineRule="exact"/>
        <w:rPr>
          <w:sz w:val="20"/>
          <w:szCs w:val="20"/>
          <w:color w:val="auto"/>
        </w:rPr>
      </w:pPr>
    </w:p>
    <w:p>
      <w:pPr>
        <w:jc w:val="both"/>
        <w:ind w:left="1900" w:right="60" w:hanging="364"/>
        <w:spacing w:after="0" w:line="259"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2023,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71"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Chinn was elected to our Board effective February 10, 2023 and received prorated equity and cash compensation for service as a director from the date of election until the next regular installment of compensation payments in July 2023.</w:t>
      </w:r>
    </w:p>
    <w:p>
      <w:pPr>
        <w:spacing w:after="0" w:line="62"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Holt received prorated cash compensation for service as Chair of the Nominating and Governance Committee from May 9, 2023 until the next regular installment of compensation payments in July 2023.</w:t>
      </w:r>
    </w:p>
    <w:p>
      <w:pPr>
        <w:spacing w:after="0" w:line="62"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Ms. Mazzarella received prorated equity and cash compensation for service as Non-Executive Chair of the Board from May 9, 2023 until the next regular installment of compensation payments in July 2023.</w:t>
      </w:r>
    </w:p>
    <w:p>
      <w:pPr>
        <w:spacing w:after="0" w:line="62" w:lineRule="exact"/>
        <w:rPr>
          <w:rFonts w:ascii="Arial" w:cs="Arial" w:eastAsia="Arial" w:hAnsi="Arial"/>
          <w:sz w:val="18"/>
          <w:szCs w:val="18"/>
          <w:color w:val="auto"/>
        </w:rPr>
      </w:pPr>
    </w:p>
    <w:p>
      <w:pPr>
        <w:jc w:val="both"/>
        <w:ind w:left="1900" w:right="60" w:hanging="364"/>
        <w:spacing w:after="0" w:line="262"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2023 Annual Meeting, Mr. Weidemeyer had reached the retirement age set forth in the Company’s Corporate Governance Guidelines; therefore, he did not stand for re-election. His term as a director of the Company expired, and his service as Non-Executive Chair of the Board ended, on May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ELECTION OF DIRECTORS</w:t>
      </w:r>
      <w:r>
        <w:rPr>
          <w:rFonts w:ascii="Times New Roman" w:cs="Times New Roman" w:eastAsia="Times New Roman" w:hAnsi="Times New Roman"/>
          <w:sz w:val="64"/>
          <w:szCs w:val="64"/>
          <w:color w:val="000000"/>
        </w:rPr>
        <w:t>​</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457157"/>
        </w:rPr>
        <w:t>(Item 1 on the Proxy Card — Director Nominees)</w:t>
      </w:r>
    </w:p>
    <w:p>
      <w:pPr>
        <w:spacing w:after="0" w:line="106"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first item on the proxy card is the election of nine directors to serve until the 2025 Annual Meeting of Stockholders or until their respective successors have been duly elected and qualified. The Board has nominated the nine director candidates named below and recommends that you vote FOR their election. Each of the director nominees currently serves on our Board of Directors.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200" w:lineRule="exact"/>
        <w:rPr>
          <w:sz w:val="20"/>
          <w:szCs w:val="20"/>
          <w:color w:val="auto"/>
        </w:rPr>
      </w:pPr>
    </w:p>
    <w:p>
      <w:pPr>
        <w:spacing w:after="0" w:line="321" w:lineRule="exact"/>
        <w:rPr>
          <w:sz w:val="20"/>
          <w:szCs w:val="20"/>
          <w:color w:val="auto"/>
        </w:rPr>
      </w:pPr>
    </w:p>
    <w:p>
      <w:pPr>
        <w:jc w:val="both"/>
        <w:ind w:left="820" w:right="60"/>
        <w:spacing w:after="0" w:line="270" w:lineRule="auto"/>
        <w:rPr>
          <w:sz w:val="20"/>
          <w:szCs w:val="20"/>
          <w:color w:val="auto"/>
        </w:rPr>
      </w:pPr>
      <w:r>
        <w:rPr>
          <w:rFonts w:ascii="Arial" w:cs="Arial" w:eastAsia="Arial" w:hAnsi="Arial"/>
          <w:sz w:val="18"/>
          <w:szCs w:val="18"/>
          <w:color w:val="auto"/>
        </w:rPr>
        <w:t>Below we present biographical information of each director nominee, as well as information about the qualifications, skills and areas of expertise that make each of these individuals a valuable member of our Board and that were considered by the Board when nominating them for re-election. Definitions of the categories of skill and expertise presented in the following chart are provided below. This is intended as a high-level summary to support an understanding of director qualifications and is not an exhaustive list of the areas of skill and expertise that our director nominees contribute to the Board.</w:t>
      </w:r>
    </w:p>
    <w:p>
      <w:pPr>
        <w:spacing w:after="0" w:line="39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457157"/>
        </w:rPr>
        <w:t>BOARD COMPOSITION,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114935</wp:posOffset>
            </wp:positionV>
            <wp:extent cx="5734685" cy="27946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3468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680" w:type="dxa"/>
            <w:vAlign w:val="bottom"/>
            <w:tcBorders>
              <w:top w:val="single" w:sz="8" w:color="457157"/>
            </w:tcBorders>
            <w:gridSpan w:val="2"/>
          </w:tcPr>
          <w:p>
            <w:pPr>
              <w:spacing w:after="0" w:line="162" w:lineRule="exact"/>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457157"/>
            </w:tcBorders>
          </w:tcPr>
          <w:p>
            <w:pPr>
              <w:spacing w:after="0"/>
              <w:rPr>
                <w:sz w:val="14"/>
                <w:szCs w:val="14"/>
                <w:color w:val="auto"/>
              </w:rPr>
            </w:pPr>
          </w:p>
        </w:tc>
        <w:tc>
          <w:tcPr>
            <w:tcW w:w="78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76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56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78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240" w:type="dxa"/>
            <w:vAlign w:val="bottom"/>
            <w:tcBorders>
              <w:top w:val="single" w:sz="8" w:color="457157"/>
            </w:tcBorders>
          </w:tcPr>
          <w:p>
            <w:pPr>
              <w:spacing w:after="0"/>
              <w:rPr>
                <w:sz w:val="14"/>
                <w:szCs w:val="14"/>
                <w:color w:val="auto"/>
              </w:rPr>
            </w:pPr>
          </w:p>
        </w:tc>
        <w:tc>
          <w:tcPr>
            <w:tcW w:w="520" w:type="dxa"/>
            <w:vAlign w:val="bottom"/>
          </w:tcPr>
          <w:p>
            <w:pPr>
              <w:jc w:val="center"/>
              <w:ind w:right="379"/>
              <w:spacing w:after="0" w:line="162"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740" w:type="dxa"/>
            <w:vAlign w:val="bottom"/>
            <w:gridSpan w:val="5"/>
          </w:tcPr>
          <w:p>
            <w:pPr>
              <w:spacing w:after="0"/>
              <w:rPr>
                <w:sz w:val="20"/>
                <w:szCs w:val="20"/>
                <w:color w:val="auto"/>
              </w:rPr>
            </w:pPr>
            <w:r>
              <w:rPr>
                <w:rFonts w:ascii="Arial" w:cs="Arial" w:eastAsia="Arial" w:hAnsi="Arial"/>
                <w:sz w:val="20"/>
                <w:szCs w:val="20"/>
                <w:b w:val="1"/>
                <w:bCs w:val="1"/>
                <w:color w:val="auto"/>
              </w:rPr>
              <w:t>ELECTION OF DIRECTORS</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
        </w:trPr>
        <w:tc>
          <w:tcPr>
            <w:tcW w:w="100" w:type="dxa"/>
            <w:vAlign w:val="bottom"/>
            <w:tcBorders>
              <w:bottom w:val="single" w:sz="8" w:color="457157"/>
            </w:tcBorders>
          </w:tcPr>
          <w:p>
            <w:pPr>
              <w:spacing w:after="0"/>
              <w:rPr>
                <w:sz w:val="7"/>
                <w:szCs w:val="7"/>
                <w:color w:val="auto"/>
              </w:rPr>
            </w:pPr>
          </w:p>
        </w:tc>
        <w:tc>
          <w:tcPr>
            <w:tcW w:w="1580" w:type="dxa"/>
            <w:vAlign w:val="bottom"/>
            <w:tcBorders>
              <w:bottom w:val="single" w:sz="8" w:color="457157"/>
            </w:tcBorders>
          </w:tcPr>
          <w:p>
            <w:pPr>
              <w:spacing w:after="0"/>
              <w:rPr>
                <w:sz w:val="7"/>
                <w:szCs w:val="7"/>
                <w:color w:val="auto"/>
              </w:rPr>
            </w:pPr>
          </w:p>
        </w:tc>
        <w:tc>
          <w:tcPr>
            <w:tcW w:w="200" w:type="dxa"/>
            <w:vAlign w:val="bottom"/>
            <w:tcBorders>
              <w:bottom w:val="single" w:sz="8" w:color="457157"/>
            </w:tcBorders>
          </w:tcPr>
          <w:p>
            <w:pPr>
              <w:spacing w:after="0"/>
              <w:rPr>
                <w:sz w:val="7"/>
                <w:szCs w:val="7"/>
                <w:color w:val="auto"/>
              </w:rPr>
            </w:pPr>
          </w:p>
        </w:tc>
        <w:tc>
          <w:tcPr>
            <w:tcW w:w="780" w:type="dxa"/>
            <w:vAlign w:val="bottom"/>
            <w:tcBorders>
              <w:bottom w:val="single" w:sz="8" w:color="457157"/>
            </w:tcBorders>
          </w:tcPr>
          <w:p>
            <w:pPr>
              <w:spacing w:after="0"/>
              <w:rPr>
                <w:sz w:val="7"/>
                <w:szCs w:val="7"/>
                <w:color w:val="auto"/>
              </w:rPr>
            </w:pPr>
          </w:p>
        </w:tc>
        <w:tc>
          <w:tcPr>
            <w:tcW w:w="80" w:type="dxa"/>
            <w:vAlign w:val="bottom"/>
            <w:tcBorders>
              <w:bottom w:val="single" w:sz="8" w:color="457157"/>
            </w:tcBorders>
          </w:tcPr>
          <w:p>
            <w:pPr>
              <w:spacing w:after="0"/>
              <w:rPr>
                <w:sz w:val="7"/>
                <w:szCs w:val="7"/>
                <w:color w:val="auto"/>
              </w:rPr>
            </w:pPr>
          </w:p>
        </w:tc>
        <w:tc>
          <w:tcPr>
            <w:tcW w:w="700" w:type="dxa"/>
            <w:vAlign w:val="bottom"/>
            <w:tcBorders>
              <w:bottom w:val="single" w:sz="8" w:color="457157"/>
            </w:tcBorders>
          </w:tcPr>
          <w:p>
            <w:pPr>
              <w:spacing w:after="0"/>
              <w:rPr>
                <w:sz w:val="7"/>
                <w:szCs w:val="7"/>
                <w:color w:val="auto"/>
              </w:rPr>
            </w:pPr>
          </w:p>
        </w:tc>
        <w:tc>
          <w:tcPr>
            <w:tcW w:w="20" w:type="dxa"/>
            <w:vAlign w:val="bottom"/>
            <w:tcBorders>
              <w:bottom w:val="single" w:sz="8" w:color="457157"/>
            </w:tcBorders>
          </w:tcPr>
          <w:p>
            <w:pPr>
              <w:spacing w:after="0"/>
              <w:rPr>
                <w:sz w:val="7"/>
                <w:szCs w:val="7"/>
                <w:color w:val="auto"/>
              </w:rPr>
            </w:pPr>
          </w:p>
        </w:tc>
        <w:tc>
          <w:tcPr>
            <w:tcW w:w="140" w:type="dxa"/>
            <w:vAlign w:val="bottom"/>
            <w:tcBorders>
              <w:bottom w:val="single" w:sz="8" w:color="457157"/>
            </w:tcBorders>
          </w:tcPr>
          <w:p>
            <w:pPr>
              <w:spacing w:after="0"/>
              <w:rPr>
                <w:sz w:val="7"/>
                <w:szCs w:val="7"/>
                <w:color w:val="auto"/>
              </w:rPr>
            </w:pPr>
          </w:p>
        </w:tc>
        <w:tc>
          <w:tcPr>
            <w:tcW w:w="760" w:type="dxa"/>
            <w:vAlign w:val="bottom"/>
            <w:tcBorders>
              <w:bottom w:val="single" w:sz="8" w:color="457157"/>
            </w:tcBorders>
          </w:tcPr>
          <w:p>
            <w:pPr>
              <w:spacing w:after="0"/>
              <w:rPr>
                <w:sz w:val="7"/>
                <w:szCs w:val="7"/>
                <w:color w:val="auto"/>
              </w:rPr>
            </w:pPr>
          </w:p>
        </w:tc>
        <w:tc>
          <w:tcPr>
            <w:tcW w:w="140" w:type="dxa"/>
            <w:vAlign w:val="bottom"/>
            <w:tcBorders>
              <w:bottom w:val="single" w:sz="8" w:color="457157"/>
            </w:tcBorders>
          </w:tcPr>
          <w:p>
            <w:pPr>
              <w:spacing w:after="0"/>
              <w:rPr>
                <w:sz w:val="7"/>
                <w:szCs w:val="7"/>
                <w:color w:val="auto"/>
              </w:rPr>
            </w:pPr>
          </w:p>
        </w:tc>
        <w:tc>
          <w:tcPr>
            <w:tcW w:w="560" w:type="dxa"/>
            <w:vAlign w:val="bottom"/>
            <w:tcBorders>
              <w:bottom w:val="single" w:sz="8" w:color="457157"/>
            </w:tcBorders>
          </w:tcPr>
          <w:p>
            <w:pPr>
              <w:spacing w:after="0"/>
              <w:rPr>
                <w:sz w:val="7"/>
                <w:szCs w:val="7"/>
                <w:color w:val="auto"/>
              </w:rPr>
            </w:pPr>
          </w:p>
        </w:tc>
        <w:tc>
          <w:tcPr>
            <w:tcW w:w="120" w:type="dxa"/>
            <w:vAlign w:val="bottom"/>
            <w:tcBorders>
              <w:bottom w:val="single" w:sz="8" w:color="457157"/>
            </w:tcBorders>
          </w:tcPr>
          <w:p>
            <w:pPr>
              <w:spacing w:after="0"/>
              <w:rPr>
                <w:sz w:val="7"/>
                <w:szCs w:val="7"/>
                <w:color w:val="auto"/>
              </w:rPr>
            </w:pPr>
          </w:p>
        </w:tc>
        <w:tc>
          <w:tcPr>
            <w:tcW w:w="100" w:type="dxa"/>
            <w:vAlign w:val="bottom"/>
            <w:tcBorders>
              <w:bottom w:val="single" w:sz="8" w:color="457157"/>
            </w:tcBorders>
          </w:tcPr>
          <w:p>
            <w:pPr>
              <w:spacing w:after="0"/>
              <w:rPr>
                <w:sz w:val="7"/>
                <w:szCs w:val="7"/>
                <w:color w:val="auto"/>
              </w:rPr>
            </w:pPr>
          </w:p>
        </w:tc>
        <w:tc>
          <w:tcPr>
            <w:tcW w:w="800" w:type="dxa"/>
            <w:vAlign w:val="bottom"/>
            <w:tcBorders>
              <w:bottom w:val="single" w:sz="8" w:color="457157"/>
            </w:tcBorders>
          </w:tcPr>
          <w:p>
            <w:pPr>
              <w:spacing w:after="0"/>
              <w:rPr>
                <w:sz w:val="7"/>
                <w:szCs w:val="7"/>
                <w:color w:val="auto"/>
              </w:rPr>
            </w:pPr>
          </w:p>
        </w:tc>
        <w:tc>
          <w:tcPr>
            <w:tcW w:w="120" w:type="dxa"/>
            <w:vAlign w:val="bottom"/>
            <w:tcBorders>
              <w:bottom w:val="single" w:sz="8" w:color="457157"/>
            </w:tcBorders>
          </w:tcPr>
          <w:p>
            <w:pPr>
              <w:spacing w:after="0"/>
              <w:rPr>
                <w:sz w:val="7"/>
                <w:szCs w:val="7"/>
                <w:color w:val="auto"/>
              </w:rPr>
            </w:pPr>
          </w:p>
        </w:tc>
        <w:tc>
          <w:tcPr>
            <w:tcW w:w="700" w:type="dxa"/>
            <w:vAlign w:val="bottom"/>
            <w:tcBorders>
              <w:bottom w:val="single" w:sz="8" w:color="457157"/>
            </w:tcBorders>
          </w:tcPr>
          <w:p>
            <w:pPr>
              <w:spacing w:after="0"/>
              <w:rPr>
                <w:sz w:val="7"/>
                <w:szCs w:val="7"/>
                <w:color w:val="auto"/>
              </w:rPr>
            </w:pPr>
          </w:p>
        </w:tc>
        <w:tc>
          <w:tcPr>
            <w:tcW w:w="80" w:type="dxa"/>
            <w:vAlign w:val="bottom"/>
            <w:tcBorders>
              <w:bottom w:val="single" w:sz="8" w:color="457157"/>
            </w:tcBorders>
          </w:tcPr>
          <w:p>
            <w:pPr>
              <w:spacing w:after="0"/>
              <w:rPr>
                <w:sz w:val="7"/>
                <w:szCs w:val="7"/>
                <w:color w:val="auto"/>
              </w:rPr>
            </w:pPr>
          </w:p>
        </w:tc>
        <w:tc>
          <w:tcPr>
            <w:tcW w:w="140" w:type="dxa"/>
            <w:vAlign w:val="bottom"/>
            <w:tcBorders>
              <w:bottom w:val="single" w:sz="8" w:color="457157"/>
            </w:tcBorders>
          </w:tcPr>
          <w:p>
            <w:pPr>
              <w:spacing w:after="0"/>
              <w:rPr>
                <w:sz w:val="7"/>
                <w:szCs w:val="7"/>
                <w:color w:val="auto"/>
              </w:rPr>
            </w:pPr>
          </w:p>
        </w:tc>
        <w:tc>
          <w:tcPr>
            <w:tcW w:w="780" w:type="dxa"/>
            <w:vAlign w:val="bottom"/>
            <w:tcBorders>
              <w:bottom w:val="single" w:sz="8" w:color="457157"/>
            </w:tcBorders>
          </w:tcPr>
          <w:p>
            <w:pPr>
              <w:spacing w:after="0"/>
              <w:rPr>
                <w:sz w:val="7"/>
                <w:szCs w:val="7"/>
                <w:color w:val="auto"/>
              </w:rPr>
            </w:pPr>
          </w:p>
        </w:tc>
        <w:tc>
          <w:tcPr>
            <w:tcW w:w="80" w:type="dxa"/>
            <w:vAlign w:val="bottom"/>
            <w:tcBorders>
              <w:bottom w:val="single" w:sz="8" w:color="457157"/>
            </w:tcBorders>
          </w:tcPr>
          <w:p>
            <w:pPr>
              <w:spacing w:after="0"/>
              <w:rPr>
                <w:sz w:val="7"/>
                <w:szCs w:val="7"/>
                <w:color w:val="auto"/>
              </w:rPr>
            </w:pPr>
          </w:p>
        </w:tc>
        <w:tc>
          <w:tcPr>
            <w:tcW w:w="700" w:type="dxa"/>
            <w:vAlign w:val="bottom"/>
            <w:tcBorders>
              <w:bottom w:val="single" w:sz="8" w:color="457157"/>
            </w:tcBorders>
          </w:tcPr>
          <w:p>
            <w:pPr>
              <w:spacing w:after="0"/>
              <w:rPr>
                <w:sz w:val="7"/>
                <w:szCs w:val="7"/>
                <w:color w:val="auto"/>
              </w:rPr>
            </w:pPr>
          </w:p>
        </w:tc>
        <w:tc>
          <w:tcPr>
            <w:tcW w:w="20" w:type="dxa"/>
            <w:vAlign w:val="bottom"/>
            <w:tcBorders>
              <w:bottom w:val="single" w:sz="8" w:color="457157"/>
            </w:tcBorders>
          </w:tcPr>
          <w:p>
            <w:pPr>
              <w:spacing w:after="0"/>
              <w:rPr>
                <w:sz w:val="7"/>
                <w:szCs w:val="7"/>
                <w:color w:val="auto"/>
              </w:rPr>
            </w:pPr>
          </w:p>
        </w:tc>
        <w:tc>
          <w:tcPr>
            <w:tcW w:w="120" w:type="dxa"/>
            <w:vAlign w:val="bottom"/>
            <w:tcBorders>
              <w:bottom w:val="single" w:sz="8" w:color="457157"/>
            </w:tcBorders>
          </w:tcPr>
          <w:p>
            <w:pPr>
              <w:spacing w:after="0"/>
              <w:rPr>
                <w:sz w:val="7"/>
                <w:szCs w:val="7"/>
                <w:color w:val="auto"/>
              </w:rPr>
            </w:pPr>
          </w:p>
        </w:tc>
        <w:tc>
          <w:tcPr>
            <w:tcW w:w="760" w:type="dxa"/>
            <w:vAlign w:val="bottom"/>
            <w:tcBorders>
              <w:bottom w:val="single" w:sz="8" w:color="457157"/>
            </w:tcBorders>
            <w:gridSpan w:val="2"/>
          </w:tcPr>
          <w:p>
            <w:pPr>
              <w:spacing w:after="0"/>
              <w:rPr>
                <w:sz w:val="7"/>
                <w:szCs w:val="7"/>
                <w:color w:val="auto"/>
              </w:rPr>
            </w:pPr>
          </w:p>
        </w:tc>
        <w:tc>
          <w:tcPr>
            <w:tcW w:w="100" w:type="dxa"/>
            <w:vAlign w:val="bottom"/>
            <w:tcBorders>
              <w:bottom w:val="single" w:sz="8" w:color="457157"/>
            </w:tcBorders>
          </w:tcPr>
          <w:p>
            <w:pPr>
              <w:spacing w:after="0"/>
              <w:rPr>
                <w:sz w:val="7"/>
                <w:szCs w:val="7"/>
                <w:color w:val="auto"/>
              </w:rPr>
            </w:pPr>
          </w:p>
        </w:tc>
        <w:tc>
          <w:tcPr>
            <w:tcW w:w="0" w:type="dxa"/>
            <w:vAlign w:val="bottom"/>
          </w:tcPr>
          <w:p>
            <w:pPr>
              <w:spacing w:after="0"/>
              <w:rPr>
                <w:sz w:val="1"/>
                <w:szCs w:val="1"/>
                <w:color w:val="auto"/>
              </w:rPr>
            </w:pPr>
          </w:p>
        </w:tc>
      </w:tr>
      <w:tr>
        <w:trPr>
          <w:trHeight w:val="1316"/>
        </w:trPr>
        <w:tc>
          <w:tcPr>
            <w:tcW w:w="1680" w:type="dxa"/>
            <w:vAlign w:val="bottom"/>
            <w:gridSpan w:val="2"/>
            <w:vMerge w:val="restart"/>
          </w:tcPr>
          <w:p>
            <w:pPr>
              <w:spacing w:after="0"/>
              <w:rPr>
                <w:sz w:val="20"/>
                <w:szCs w:val="20"/>
                <w:color w:val="auto"/>
              </w:rPr>
            </w:pPr>
            <w:r>
              <w:rPr>
                <w:rFonts w:ascii="Arial" w:cs="Arial" w:eastAsia="Arial" w:hAnsi="Arial"/>
                <w:sz w:val="20"/>
                <w:szCs w:val="20"/>
                <w:b w:val="1"/>
                <w:bCs w:val="1"/>
                <w:color w:val="457157"/>
              </w:rPr>
              <w:t>​ ​</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80" w:type="dxa"/>
            <w:vAlign w:val="bottom"/>
            <w:textDirection w:val="btLr"/>
          </w:tcPr>
          <w:p>
            <w:pPr>
              <w:ind w:left="186"/>
              <w:spacing w:after="0"/>
              <w:rPr>
                <w:sz w:val="20"/>
                <w:szCs w:val="20"/>
                <w:color w:val="auto"/>
              </w:rPr>
            </w:pPr>
            <w:r>
              <w:rPr>
                <w:rFonts w:ascii="Arial" w:cs="Arial" w:eastAsia="Arial" w:hAnsi="Arial"/>
                <w:sz w:val="20"/>
                <w:szCs w:val="20"/>
                <w:b w:val="1"/>
                <w:bCs w:val="1"/>
                <w:color w:val="457157"/>
              </w:rPr>
              <w:t>Bené</w:t>
            </w:r>
          </w:p>
        </w:tc>
        <w:tc>
          <w:tcPr>
            <w:tcW w:w="8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spacing w:after="0"/>
              <w:rPr>
                <w:sz w:val="20"/>
                <w:szCs w:val="20"/>
                <w:color w:val="auto"/>
              </w:rPr>
            </w:pPr>
            <w:r>
              <w:rPr>
                <w:rFonts w:ascii="Arial" w:cs="Arial" w:eastAsia="Arial" w:hAnsi="Arial"/>
                <w:sz w:val="20"/>
                <w:szCs w:val="20"/>
                <w:b w:val="1"/>
                <w:bCs w:val="1"/>
                <w:color w:val="457157"/>
              </w:rPr>
              <w:t>Chinn</w:t>
            </w: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60" w:type="dxa"/>
            <w:vAlign w:val="bottom"/>
            <w:textDirection w:val="btLr"/>
          </w:tcPr>
          <w:p>
            <w:pPr>
              <w:ind w:left="180"/>
              <w:spacing w:after="0"/>
              <w:rPr>
                <w:sz w:val="20"/>
                <w:szCs w:val="20"/>
                <w:color w:val="auto"/>
              </w:rPr>
            </w:pPr>
            <w:r>
              <w:rPr>
                <w:rFonts w:ascii="Arial" w:cs="Arial" w:eastAsia="Arial" w:hAnsi="Arial"/>
                <w:sz w:val="20"/>
                <w:szCs w:val="20"/>
                <w:b w:val="1"/>
                <w:bCs w:val="1"/>
                <w:color w:val="457157"/>
              </w:rPr>
              <w:t>Fish</w:t>
            </w:r>
          </w:p>
        </w:tc>
        <w:tc>
          <w:tcPr>
            <w:tcW w:w="14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560" w:type="dxa"/>
            <w:vAlign w:val="bottom"/>
            <w:textDirection w:val="btLr"/>
          </w:tcPr>
          <w:p>
            <w:pPr>
              <w:spacing w:after="0"/>
              <w:rPr>
                <w:sz w:val="20"/>
                <w:szCs w:val="20"/>
                <w:color w:val="auto"/>
              </w:rPr>
            </w:pPr>
            <w:r>
              <w:rPr>
                <w:rFonts w:ascii="Arial" w:cs="Arial" w:eastAsia="Arial" w:hAnsi="Arial"/>
                <w:sz w:val="20"/>
                <w:szCs w:val="20"/>
                <w:b w:val="1"/>
                <w:bCs w:val="1"/>
                <w:color w:val="457157"/>
              </w:rPr>
              <w:t>Gluski</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800" w:type="dxa"/>
            <w:vAlign w:val="bottom"/>
            <w:textDirection w:val="btLr"/>
          </w:tcPr>
          <w:p>
            <w:pPr>
              <w:ind w:left="215"/>
              <w:spacing w:after="0"/>
              <w:rPr>
                <w:sz w:val="20"/>
                <w:szCs w:val="20"/>
                <w:color w:val="auto"/>
              </w:rPr>
            </w:pPr>
            <w:r>
              <w:rPr>
                <w:rFonts w:ascii="Arial" w:cs="Arial" w:eastAsia="Arial" w:hAnsi="Arial"/>
                <w:sz w:val="20"/>
                <w:szCs w:val="20"/>
                <w:b w:val="1"/>
                <w:bCs w:val="1"/>
                <w:color w:val="457157"/>
              </w:rPr>
              <w:t>Holt</w:t>
            </w:r>
          </w:p>
        </w:tc>
        <w:tc>
          <w:tcPr>
            <w:tcW w:w="12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ind w:left="199"/>
              <w:spacing w:after="0"/>
              <w:rPr>
                <w:sz w:val="20"/>
                <w:szCs w:val="20"/>
                <w:color w:val="auto"/>
              </w:rPr>
            </w:pPr>
            <w:r>
              <w:rPr>
                <w:rFonts w:ascii="Arial" w:cs="Arial" w:eastAsia="Arial" w:hAnsi="Arial"/>
                <w:sz w:val="20"/>
                <w:szCs w:val="20"/>
                <w:b w:val="1"/>
                <w:bCs w:val="1"/>
                <w:color w:val="457157"/>
              </w:rPr>
              <w:t>Mazzarella</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80" w:type="dxa"/>
            <w:vAlign w:val="bottom"/>
            <w:textDirection w:val="btLr"/>
          </w:tcPr>
          <w:p>
            <w:pPr>
              <w:ind w:left="184"/>
              <w:spacing w:after="0"/>
              <w:rPr>
                <w:sz w:val="20"/>
                <w:szCs w:val="20"/>
                <w:color w:val="auto"/>
              </w:rPr>
            </w:pPr>
            <w:r>
              <w:rPr>
                <w:rFonts w:ascii="Arial" w:cs="Arial" w:eastAsia="Arial" w:hAnsi="Arial"/>
                <w:sz w:val="20"/>
                <w:szCs w:val="20"/>
                <w:b w:val="1"/>
                <w:bCs w:val="1"/>
                <w:color w:val="457157"/>
              </w:rPr>
              <w:t>Menke</w:t>
            </w:r>
          </w:p>
        </w:tc>
        <w:tc>
          <w:tcPr>
            <w:tcW w:w="8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spacing w:after="0"/>
              <w:rPr>
                <w:sz w:val="20"/>
                <w:szCs w:val="20"/>
                <w:color w:val="auto"/>
              </w:rPr>
            </w:pPr>
            <w:r>
              <w:rPr>
                <w:rFonts w:ascii="Arial" w:cs="Arial" w:eastAsia="Arial" w:hAnsi="Arial"/>
                <w:sz w:val="20"/>
                <w:szCs w:val="20"/>
                <w:b w:val="1"/>
                <w:bCs w:val="1"/>
                <w:color w:val="457157"/>
              </w:rPr>
              <w:t>Plummer</w:t>
            </w:r>
          </w:p>
        </w:tc>
        <w:tc>
          <w:tcPr>
            <w:tcW w:w="1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60" w:type="dxa"/>
            <w:vAlign w:val="bottom"/>
            <w:gridSpan w:val="2"/>
            <w:textDirection w:val="btLr"/>
          </w:tcPr>
          <w:p>
            <w:pPr>
              <w:ind w:right="52"/>
              <w:spacing w:after="0"/>
              <w:rPr>
                <w:sz w:val="20"/>
                <w:szCs w:val="20"/>
                <w:color w:val="auto"/>
              </w:rPr>
            </w:pPr>
            <w:r>
              <w:rPr>
                <w:rFonts w:ascii="Arial" w:cs="Arial" w:eastAsia="Arial" w:hAnsi="Arial"/>
                <w:sz w:val="20"/>
                <w:szCs w:val="20"/>
                <w:b w:val="1"/>
                <w:bCs w:val="1"/>
                <w:color w:val="457157"/>
              </w:rPr>
              <w:t>Sylvester</w:t>
            </w:r>
          </w:p>
        </w:tc>
        <w:tc>
          <w:tcPr>
            <w:tcW w:w="100" w:type="dxa"/>
            <w:vAlign w:val="bottom"/>
            <w:vMerge w:val="restart"/>
          </w:tcPr>
          <w:p>
            <w:pPr>
              <w:spacing w:after="0"/>
              <w:rPr>
                <w:sz w:val="20"/>
                <w:szCs w:val="20"/>
                <w:color w:val="auto"/>
              </w:rPr>
            </w:pPr>
            <w:r>
              <w:rPr>
                <w:rFonts w:ascii="Arial" w:cs="Arial" w:eastAsia="Arial" w:hAnsi="Arial"/>
                <w:sz w:val="20"/>
                <w:szCs w:val="20"/>
                <w:b w:val="1"/>
                <w:bCs w:val="1"/>
                <w:color w:val="457157"/>
              </w:rPr>
              <w:t>​</w:t>
            </w:r>
          </w:p>
        </w:tc>
        <w:tc>
          <w:tcPr>
            <w:tcW w:w="0" w:type="dxa"/>
            <w:vAlign w:val="bottom"/>
          </w:tcPr>
          <w:p>
            <w:pPr>
              <w:spacing w:after="0"/>
              <w:rPr>
                <w:sz w:val="1"/>
                <w:szCs w:val="1"/>
                <w:color w:val="auto"/>
              </w:rPr>
            </w:pPr>
          </w:p>
        </w:tc>
      </w:tr>
      <w:tr>
        <w:trPr>
          <w:trHeight w:val="122"/>
        </w:trPr>
        <w:tc>
          <w:tcPr>
            <w:tcW w:w="168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2560" w:type="dxa"/>
            <w:vAlign w:val="bottom"/>
            <w:tcBorders>
              <w:right w:val="single" w:sz="8" w:color="457157"/>
            </w:tcBorders>
            <w:gridSpan w:val="3"/>
            <w:shd w:val="clear" w:color="auto" w:fill="457157"/>
          </w:tcPr>
          <w:p>
            <w:pPr>
              <w:spacing w:after="0"/>
              <w:rPr>
                <w:sz w:val="20"/>
                <w:szCs w:val="20"/>
                <w:color w:val="auto"/>
              </w:rPr>
            </w:pPr>
            <w:r>
              <w:rPr>
                <w:rFonts w:ascii="Arial" w:cs="Arial" w:eastAsia="Arial" w:hAnsi="Arial"/>
                <w:sz w:val="14"/>
                <w:szCs w:val="14"/>
                <w:b w:val="1"/>
                <w:bCs w:val="1"/>
                <w:color w:val="FFFFFF"/>
              </w:rPr>
              <w:t>SKILLS AND EXPERIENCE</w:t>
            </w:r>
            <w:r>
              <w:rPr>
                <w:rFonts w:ascii="Arial" w:cs="Arial" w:eastAsia="Arial" w:hAnsi="Arial"/>
                <w:sz w:val="16"/>
                <w:szCs w:val="16"/>
                <w:color w:val="000000"/>
              </w:rPr>
              <w:t>​</w:t>
            </w: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60" w:type="dxa"/>
            <w:vAlign w:val="bottom"/>
            <w:tcBorders>
              <w:right w:val="single" w:sz="8" w:color="457157"/>
            </w:tcBorders>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56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3"/>
                <w:szCs w:val="23"/>
                <w:color w:val="auto"/>
              </w:rPr>
            </w:pPr>
          </w:p>
        </w:tc>
        <w:tc>
          <w:tcPr>
            <w:tcW w:w="800" w:type="dxa"/>
            <w:vAlign w:val="bottom"/>
            <w:tcBorders>
              <w:right w:val="single" w:sz="8" w:color="457157"/>
            </w:tcBorders>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240" w:type="dxa"/>
            <w:vAlign w:val="bottom"/>
            <w:shd w:val="clear" w:color="auto" w:fill="457157"/>
          </w:tcPr>
          <w:p>
            <w:pPr>
              <w:spacing w:after="0"/>
              <w:rPr>
                <w:sz w:val="23"/>
                <w:szCs w:val="23"/>
                <w:color w:val="auto"/>
              </w:rPr>
            </w:pPr>
          </w:p>
        </w:tc>
        <w:tc>
          <w:tcPr>
            <w:tcW w:w="5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3"/>
        </w:trPr>
        <w:tc>
          <w:tcPr>
            <w:tcW w:w="100" w:type="dxa"/>
            <w:vAlign w:val="bottom"/>
            <w:shd w:val="clear" w:color="auto" w:fill="457157"/>
          </w:tcPr>
          <w:p>
            <w:pPr>
              <w:spacing w:after="0"/>
              <w:rPr>
                <w:sz w:val="7"/>
                <w:szCs w:val="7"/>
                <w:color w:val="auto"/>
              </w:rPr>
            </w:pPr>
          </w:p>
        </w:tc>
        <w:tc>
          <w:tcPr>
            <w:tcW w:w="1580" w:type="dxa"/>
            <w:vAlign w:val="bottom"/>
            <w:shd w:val="clear" w:color="auto" w:fill="457157"/>
          </w:tcPr>
          <w:p>
            <w:pPr>
              <w:spacing w:after="0"/>
              <w:rPr>
                <w:sz w:val="7"/>
                <w:szCs w:val="7"/>
                <w:color w:val="auto"/>
              </w:rPr>
            </w:pPr>
          </w:p>
        </w:tc>
        <w:tc>
          <w:tcPr>
            <w:tcW w:w="200" w:type="dxa"/>
            <w:vAlign w:val="bottom"/>
            <w:shd w:val="clear" w:color="auto" w:fill="457157"/>
          </w:tcPr>
          <w:p>
            <w:pPr>
              <w:spacing w:after="0"/>
              <w:rPr>
                <w:sz w:val="7"/>
                <w:szCs w:val="7"/>
                <w:color w:val="auto"/>
              </w:rPr>
            </w:pPr>
          </w:p>
        </w:tc>
        <w:tc>
          <w:tcPr>
            <w:tcW w:w="780" w:type="dxa"/>
            <w:vAlign w:val="bottom"/>
            <w:tcBorders>
              <w:right w:val="single" w:sz="8" w:color="457157"/>
            </w:tcBorders>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20" w:type="dxa"/>
            <w:vAlign w:val="bottom"/>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760" w:type="dxa"/>
            <w:vAlign w:val="bottom"/>
            <w:tcBorders>
              <w:right w:val="single" w:sz="8" w:color="457157"/>
            </w:tcBorders>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560" w:type="dxa"/>
            <w:vAlign w:val="bottom"/>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800" w:type="dxa"/>
            <w:vAlign w:val="bottom"/>
            <w:tcBorders>
              <w:right w:val="single" w:sz="8" w:color="457157"/>
            </w:tcBorders>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780" w:type="dxa"/>
            <w:vAlign w:val="bottom"/>
            <w:tcBorders>
              <w:right w:val="single" w:sz="8" w:color="457157"/>
            </w:tcBorders>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20" w:type="dxa"/>
            <w:vAlign w:val="bottom"/>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240" w:type="dxa"/>
            <w:vAlign w:val="bottom"/>
            <w:shd w:val="clear" w:color="auto" w:fill="457157"/>
          </w:tcPr>
          <w:p>
            <w:pPr>
              <w:spacing w:after="0"/>
              <w:rPr>
                <w:sz w:val="7"/>
                <w:szCs w:val="7"/>
                <w:color w:val="auto"/>
              </w:rPr>
            </w:pPr>
          </w:p>
        </w:tc>
        <w:tc>
          <w:tcPr>
            <w:tcW w:w="520" w:type="dxa"/>
            <w:vAlign w:val="bottom"/>
            <w:shd w:val="clear" w:color="auto" w:fill="457157"/>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20"/>
                <w:szCs w:val="20"/>
                <w:color w:val="auto"/>
              </w:rPr>
            </w:pPr>
            <w:r>
              <w:rPr>
                <w:rFonts w:ascii="Arial" w:cs="Arial" w:eastAsia="Arial" w:hAnsi="Arial"/>
                <w:sz w:val="16"/>
                <w:szCs w:val="16"/>
                <w:b w:val="1"/>
                <w:bCs w:val="1"/>
                <w:color w:val="404040"/>
              </w:rPr>
              <w:t>Executive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shd w:val="clear" w:color="auto" w:fill="F2F2F2"/>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shd w:val="clear" w:color="auto" w:fill="F2F2F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shd w:val="clear" w:color="auto" w:fill="F2F2F2"/>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2F2F2"/>
          </w:tcPr>
          <w:p>
            <w:pPr>
              <w:spacing w:after="0"/>
              <w:rPr>
                <w:sz w:val="22"/>
                <w:szCs w:val="22"/>
                <w:color w:val="auto"/>
              </w:rPr>
            </w:pPr>
          </w:p>
        </w:tc>
        <w:tc>
          <w:tcPr>
            <w:tcW w:w="520" w:type="dxa"/>
            <w:vAlign w:val="bottom"/>
            <w:shd w:val="clear" w:color="auto" w:fill="F2F2F2"/>
          </w:tcPr>
          <w:p>
            <w:pPr>
              <w:spacing w:after="0"/>
              <w:rPr>
                <w:sz w:val="22"/>
                <w:szCs w:val="22"/>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00" w:type="dxa"/>
            <w:vAlign w:val="bottom"/>
            <w:tcBorders>
              <w:bottom w:val="single" w:sz="8" w:color="457157"/>
            </w:tcBorders>
          </w:tcPr>
          <w:p>
            <w:pPr>
              <w:spacing w:after="0"/>
              <w:rPr>
                <w:sz w:val="14"/>
                <w:szCs w:val="14"/>
                <w:color w:val="auto"/>
              </w:rPr>
            </w:pPr>
          </w:p>
        </w:tc>
        <w:tc>
          <w:tcPr>
            <w:tcW w:w="1580" w:type="dxa"/>
            <w:vAlign w:val="bottom"/>
            <w:tcBorders>
              <w:bottom w:val="single" w:sz="8" w:color="457157"/>
            </w:tcBorders>
          </w:tcPr>
          <w:p>
            <w:pPr>
              <w:spacing w:after="0" w:line="162" w:lineRule="exact"/>
              <w:rPr>
                <w:sz w:val="20"/>
                <w:szCs w:val="20"/>
                <w:color w:val="auto"/>
              </w:rPr>
            </w:pPr>
            <w:r>
              <w:rPr>
                <w:rFonts w:ascii="Arial" w:cs="Arial" w:eastAsia="Arial" w:hAnsi="Arial"/>
                <w:sz w:val="16"/>
                <w:szCs w:val="16"/>
                <w:b w:val="1"/>
                <w:bCs w:val="1"/>
                <w:color w:val="404040"/>
              </w:rPr>
              <w:t>Leadership</w:t>
            </w:r>
          </w:p>
        </w:tc>
        <w:tc>
          <w:tcPr>
            <w:tcW w:w="200" w:type="dxa"/>
            <w:vAlign w:val="bottom"/>
            <w:tcBorders>
              <w:bottom w:val="single" w:sz="8" w:color="457157"/>
            </w:tcBorders>
          </w:tcPr>
          <w:p>
            <w:pPr>
              <w:spacing w:after="0"/>
              <w:rPr>
                <w:sz w:val="14"/>
                <w:szCs w:val="14"/>
                <w:color w:val="auto"/>
              </w:rPr>
            </w:pPr>
          </w:p>
        </w:tc>
        <w:tc>
          <w:tcPr>
            <w:tcW w:w="780" w:type="dxa"/>
            <w:vAlign w:val="bottom"/>
            <w:tcBorders>
              <w:bottom w:val="single" w:sz="8" w:color="457157"/>
            </w:tcBorders>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20" w:type="dxa"/>
            <w:vAlign w:val="bottom"/>
            <w:tcBorders>
              <w:bottom w:val="single" w:sz="8" w:color="457157"/>
            </w:tcBorders>
          </w:tcPr>
          <w:p>
            <w:pPr>
              <w:spacing w:after="0"/>
              <w:rPr>
                <w:sz w:val="14"/>
                <w:szCs w:val="14"/>
                <w:color w:val="auto"/>
              </w:rPr>
            </w:pPr>
          </w:p>
        </w:tc>
        <w:tc>
          <w:tcPr>
            <w:tcW w:w="140" w:type="dxa"/>
            <w:vAlign w:val="bottom"/>
            <w:tcBorders>
              <w:bottom w:val="single" w:sz="8" w:color="457157"/>
            </w:tcBorders>
            <w:shd w:val="clear" w:color="auto" w:fill="F2F2F2"/>
          </w:tcPr>
          <w:p>
            <w:pPr>
              <w:spacing w:after="0"/>
              <w:rPr>
                <w:sz w:val="14"/>
                <w:szCs w:val="14"/>
                <w:color w:val="auto"/>
              </w:rPr>
            </w:pPr>
          </w:p>
        </w:tc>
        <w:tc>
          <w:tcPr>
            <w:tcW w:w="760" w:type="dxa"/>
            <w:vAlign w:val="bottom"/>
            <w:tcBorders>
              <w:bottom w:val="single" w:sz="8" w:color="457157"/>
              <w:right w:val="single" w:sz="8" w:color="F2F2F2"/>
            </w:tcBorders>
            <w:shd w:val="clear" w:color="auto" w:fill="F2F2F2"/>
          </w:tcPr>
          <w:p>
            <w:pPr>
              <w:spacing w:after="0"/>
              <w:rPr>
                <w:sz w:val="14"/>
                <w:szCs w:val="14"/>
                <w:color w:val="auto"/>
              </w:rPr>
            </w:pPr>
          </w:p>
        </w:tc>
        <w:tc>
          <w:tcPr>
            <w:tcW w:w="140" w:type="dxa"/>
            <w:vAlign w:val="bottom"/>
            <w:tcBorders>
              <w:bottom w:val="single" w:sz="8" w:color="457157"/>
            </w:tcBorders>
          </w:tcPr>
          <w:p>
            <w:pPr>
              <w:spacing w:after="0"/>
              <w:rPr>
                <w:sz w:val="14"/>
                <w:szCs w:val="14"/>
                <w:color w:val="auto"/>
              </w:rPr>
            </w:pPr>
          </w:p>
        </w:tc>
        <w:tc>
          <w:tcPr>
            <w:tcW w:w="56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tcPr>
          <w:p>
            <w:pPr>
              <w:spacing w:after="0"/>
              <w:rPr>
                <w:sz w:val="14"/>
                <w:szCs w:val="14"/>
                <w:color w:val="auto"/>
              </w:rPr>
            </w:pPr>
          </w:p>
        </w:tc>
        <w:tc>
          <w:tcPr>
            <w:tcW w:w="100" w:type="dxa"/>
            <w:vAlign w:val="bottom"/>
            <w:tcBorders>
              <w:bottom w:val="single" w:sz="8" w:color="457157"/>
            </w:tcBorders>
            <w:shd w:val="clear" w:color="auto" w:fill="F2F2F2"/>
          </w:tcPr>
          <w:p>
            <w:pPr>
              <w:spacing w:after="0"/>
              <w:rPr>
                <w:sz w:val="14"/>
                <w:szCs w:val="14"/>
                <w:color w:val="auto"/>
              </w:rPr>
            </w:pPr>
          </w:p>
        </w:tc>
        <w:tc>
          <w:tcPr>
            <w:tcW w:w="800" w:type="dxa"/>
            <w:vAlign w:val="bottom"/>
            <w:tcBorders>
              <w:bottom w:val="single" w:sz="8" w:color="457157"/>
              <w:right w:val="single" w:sz="8" w:color="F2F2F2"/>
            </w:tcBorders>
            <w:shd w:val="clear" w:color="auto" w:fill="F2F2F2"/>
          </w:tcPr>
          <w:p>
            <w:pPr>
              <w:spacing w:after="0"/>
              <w:rPr>
                <w:sz w:val="14"/>
                <w:szCs w:val="14"/>
                <w:color w:val="auto"/>
              </w:rPr>
            </w:pPr>
          </w:p>
        </w:tc>
        <w:tc>
          <w:tcPr>
            <w:tcW w:w="12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140" w:type="dxa"/>
            <w:vAlign w:val="bottom"/>
            <w:tcBorders>
              <w:bottom w:val="single" w:sz="8" w:color="457157"/>
            </w:tcBorders>
            <w:shd w:val="clear" w:color="auto" w:fill="F2F2F2"/>
          </w:tcPr>
          <w:p>
            <w:pPr>
              <w:spacing w:after="0"/>
              <w:rPr>
                <w:sz w:val="14"/>
                <w:szCs w:val="14"/>
                <w:color w:val="auto"/>
              </w:rPr>
            </w:pPr>
          </w:p>
        </w:tc>
        <w:tc>
          <w:tcPr>
            <w:tcW w:w="780" w:type="dxa"/>
            <w:vAlign w:val="bottom"/>
            <w:tcBorders>
              <w:bottom w:val="single" w:sz="8" w:color="457157"/>
              <w:right w:val="single" w:sz="8" w:color="F2F2F2"/>
            </w:tcBorders>
            <w:shd w:val="clear" w:color="auto" w:fill="F2F2F2"/>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2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shd w:val="clear" w:color="auto" w:fill="F2F2F2"/>
          </w:tcPr>
          <w:p>
            <w:pPr>
              <w:spacing w:after="0"/>
              <w:rPr>
                <w:sz w:val="14"/>
                <w:szCs w:val="14"/>
                <w:color w:val="auto"/>
              </w:rPr>
            </w:pPr>
          </w:p>
        </w:tc>
        <w:tc>
          <w:tcPr>
            <w:tcW w:w="240" w:type="dxa"/>
            <w:vAlign w:val="bottom"/>
            <w:tcBorders>
              <w:bottom w:val="single" w:sz="8" w:color="457157"/>
            </w:tcBorders>
            <w:shd w:val="clear" w:color="auto" w:fill="F2F2F2"/>
          </w:tcPr>
          <w:p>
            <w:pPr>
              <w:spacing w:after="0"/>
              <w:rPr>
                <w:sz w:val="14"/>
                <w:szCs w:val="14"/>
                <w:color w:val="auto"/>
              </w:rPr>
            </w:pPr>
          </w:p>
        </w:tc>
        <w:tc>
          <w:tcPr>
            <w:tcW w:w="520" w:type="dxa"/>
            <w:vAlign w:val="bottom"/>
            <w:tcBorders>
              <w:bottom w:val="single" w:sz="8" w:color="457157"/>
            </w:tcBorders>
            <w:shd w:val="clear" w:color="auto" w:fill="F2F2F2"/>
          </w:tcPr>
          <w:p>
            <w:pPr>
              <w:spacing w:after="0"/>
              <w:rPr>
                <w:sz w:val="14"/>
                <w:szCs w:val="14"/>
                <w:color w:val="auto"/>
              </w:rPr>
            </w:pPr>
          </w:p>
        </w:tc>
        <w:tc>
          <w:tcPr>
            <w:tcW w:w="100" w:type="dxa"/>
            <w:vAlign w:val="bottom"/>
            <w:tcBorders>
              <w:bottom w:val="single" w:sz="8" w:color="457157"/>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Public Company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Board and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Governance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457157"/>
            </w:tcBorders>
          </w:tcPr>
          <w:p>
            <w:pPr>
              <w:spacing w:after="0"/>
              <w:rPr>
                <w:sz w:val="4"/>
                <w:szCs w:val="4"/>
                <w:color w:val="auto"/>
              </w:rPr>
            </w:pPr>
          </w:p>
        </w:tc>
        <w:tc>
          <w:tcPr>
            <w:tcW w:w="1780" w:type="dxa"/>
            <w:vAlign w:val="bottom"/>
            <w:tcBorders>
              <w:bottom w:val="single" w:sz="8" w:color="457157"/>
            </w:tcBorders>
            <w:gridSpan w:val="2"/>
          </w:tcPr>
          <w:p>
            <w:pPr>
              <w:spacing w:after="0"/>
              <w:rPr>
                <w:sz w:val="4"/>
                <w:szCs w:val="4"/>
                <w:color w:val="auto"/>
              </w:rPr>
            </w:pPr>
          </w:p>
        </w:tc>
        <w:tc>
          <w:tcPr>
            <w:tcW w:w="78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56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78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tcPr>
          <w:p>
            <w:pPr>
              <w:spacing w:after="0"/>
              <w:rPr>
                <w:sz w:val="4"/>
                <w:szCs w:val="4"/>
                <w:color w:val="auto"/>
              </w:rPr>
            </w:pPr>
          </w:p>
        </w:tc>
        <w:tc>
          <w:tcPr>
            <w:tcW w:w="52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880" w:type="dxa"/>
            <w:vAlign w:val="bottom"/>
            <w:gridSpan w:val="3"/>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Strategic Planning</w:t>
            </w:r>
            <w:r>
              <w:rPr>
                <w:rFonts w:ascii="Arial" w:cs="Arial" w:eastAsia="Arial" w:hAnsi="Arial"/>
                <w:sz w:val="16"/>
                <w:szCs w:val="16"/>
                <w:color w:val="auto"/>
              </w:rPr>
              <w:t xml:space="preserve"> ​​</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2"/>
        </w:trPr>
        <w:tc>
          <w:tcPr>
            <w:tcW w:w="100" w:type="dxa"/>
            <w:vAlign w:val="bottom"/>
            <w:tcBorders>
              <w:bottom w:val="single" w:sz="8" w:color="457157"/>
            </w:tcBorders>
          </w:tcPr>
          <w:p>
            <w:pPr>
              <w:spacing w:after="0"/>
              <w:rPr>
                <w:sz w:val="5"/>
                <w:szCs w:val="5"/>
                <w:color w:val="auto"/>
              </w:rPr>
            </w:pPr>
          </w:p>
        </w:tc>
        <w:tc>
          <w:tcPr>
            <w:tcW w:w="15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tcPr>
          <w:p>
            <w:pPr>
              <w:spacing w:after="0"/>
              <w:rPr>
                <w:sz w:val="5"/>
                <w:szCs w:val="5"/>
                <w:color w:val="auto"/>
              </w:rPr>
            </w:pPr>
          </w:p>
        </w:tc>
        <w:tc>
          <w:tcPr>
            <w:tcW w:w="780" w:type="dxa"/>
            <w:vAlign w:val="bottom"/>
            <w:tcBorders>
              <w:bottom w:val="single" w:sz="8" w:color="457157"/>
              <w:right w:val="single" w:sz="8" w:color="F2F2F2"/>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760" w:type="dxa"/>
            <w:vAlign w:val="bottom"/>
            <w:tcBorders>
              <w:bottom w:val="single" w:sz="8" w:color="457157"/>
              <w:right w:val="single" w:sz="8" w:color="F2F2F2"/>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56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800" w:type="dxa"/>
            <w:vAlign w:val="bottom"/>
            <w:tcBorders>
              <w:bottom w:val="single" w:sz="8" w:color="457157"/>
              <w:right w:val="single" w:sz="8" w:color="F2F2F2"/>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780" w:type="dxa"/>
            <w:vAlign w:val="bottom"/>
            <w:tcBorders>
              <w:bottom w:val="single" w:sz="8" w:color="457157"/>
              <w:right w:val="single" w:sz="8" w:color="F2F2F2"/>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240" w:type="dxa"/>
            <w:vAlign w:val="bottom"/>
            <w:tcBorders>
              <w:bottom w:val="single" w:sz="8" w:color="457157"/>
            </w:tcBorders>
          </w:tcPr>
          <w:p>
            <w:pPr>
              <w:spacing w:after="0"/>
              <w:rPr>
                <w:sz w:val="5"/>
                <w:szCs w:val="5"/>
                <w:color w:val="auto"/>
              </w:rPr>
            </w:pPr>
          </w:p>
        </w:tc>
        <w:tc>
          <w:tcPr>
            <w:tcW w:w="52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Operational</w:t>
            </w:r>
          </w:p>
        </w:tc>
        <w:tc>
          <w:tcPr>
            <w:tcW w:w="20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F2F2F2"/>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680" w:type="dxa"/>
            <w:vAlign w:val="bottom"/>
            <w:tcBorders>
              <w:bottom w:val="single" w:sz="8" w:color="457157"/>
            </w:tcBorders>
            <w:gridSpan w:val="2"/>
          </w:tcPr>
          <w:p>
            <w:pPr>
              <w:ind w:left="60"/>
              <w:spacing w:after="0" w:line="310"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404040"/>
              </w:rPr>
              <w:t>Excellence</w:t>
            </w: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457157"/>
              <w:right w:val="single" w:sz="8" w:color="F2F2F2"/>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457157"/>
              <w:right w:val="single" w:sz="8" w:color="F2F2F2"/>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57157"/>
            </w:tcBorders>
          </w:tcPr>
          <w:p>
            <w:pPr>
              <w:spacing w:after="0"/>
              <w:rPr>
                <w:sz w:val="24"/>
                <w:szCs w:val="24"/>
                <w:color w:val="auto"/>
              </w:rPr>
            </w:pPr>
          </w:p>
        </w:tc>
        <w:tc>
          <w:tcPr>
            <w:tcW w:w="5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580" w:type="dxa"/>
            <w:vAlign w:val="bottom"/>
          </w:tcPr>
          <w:p>
            <w:pPr>
              <w:spacing w:after="0" w:line="182" w:lineRule="exact"/>
              <w:rPr>
                <w:sz w:val="20"/>
                <w:szCs w:val="20"/>
                <w:color w:val="auto"/>
              </w:rPr>
            </w:pPr>
            <w:r>
              <w:rPr>
                <w:rFonts w:ascii="Arial" w:cs="Arial" w:eastAsia="Arial" w:hAnsi="Arial"/>
                <w:sz w:val="16"/>
                <w:szCs w:val="16"/>
                <w:b w:val="1"/>
                <w:bCs w:val="1"/>
                <w:color w:val="404040"/>
              </w:rPr>
              <w:t>Financial</w:t>
            </w:r>
          </w:p>
        </w:tc>
        <w:tc>
          <w:tcPr>
            <w:tcW w:w="200" w:type="dxa"/>
            <w:vAlign w:val="bottom"/>
          </w:tcPr>
          <w:p>
            <w:pPr>
              <w:spacing w:after="0"/>
              <w:rPr>
                <w:sz w:val="15"/>
                <w:szCs w:val="15"/>
                <w:color w:val="auto"/>
              </w:rPr>
            </w:pPr>
          </w:p>
        </w:tc>
        <w:tc>
          <w:tcPr>
            <w:tcW w:w="780" w:type="dxa"/>
            <w:vAlign w:val="bottom"/>
            <w:tcBorders>
              <w:right w:val="single" w:sz="8" w:color="F2F2F2"/>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F2F2F2"/>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right w:val="single" w:sz="8" w:color="F2F2F2"/>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right w:val="single" w:sz="8" w:color="F2F2F2"/>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Expertise and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20" w:type="dxa"/>
            <w:vAlign w:val="bottom"/>
          </w:tcPr>
          <w:p>
            <w:pPr>
              <w:jc w:val="center"/>
              <w:ind w:right="199"/>
              <w:spacing w:after="0"/>
              <w:rPr>
                <w:sz w:val="20"/>
                <w:szCs w:val="20"/>
                <w:color w:val="auto"/>
              </w:rPr>
            </w:pPr>
            <w:r>
              <w:rPr>
                <w:rFonts w:ascii="Arial" w:cs="Arial" w:eastAsia="Arial" w:hAnsi="Arial"/>
                <w:sz w:val="16"/>
                <w:szCs w:val="16"/>
                <w:color w:val="auto"/>
              </w:rPr>
              <w:t>​</w:t>
            </w: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tcBorders>
              <w:bottom w:val="single" w:sz="8" w:color="457157"/>
            </w:tcBorders>
          </w:tcPr>
          <w:p>
            <w:pPr>
              <w:spacing w:after="0"/>
              <w:rPr>
                <w:sz w:val="18"/>
                <w:szCs w:val="18"/>
                <w:color w:val="auto"/>
              </w:rPr>
            </w:pPr>
          </w:p>
        </w:tc>
        <w:tc>
          <w:tcPr>
            <w:tcW w:w="15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04040"/>
              </w:rPr>
              <w:t>Capital Allocation</w:t>
            </w:r>
          </w:p>
        </w:tc>
        <w:tc>
          <w:tcPr>
            <w:tcW w:w="20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60" w:type="dxa"/>
            <w:vAlign w:val="bottom"/>
            <w:tcBorders>
              <w:bottom w:val="single" w:sz="8" w:color="457157"/>
              <w:right w:val="single" w:sz="8" w:color="F2F2F2"/>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56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800" w:type="dxa"/>
            <w:vAlign w:val="bottom"/>
            <w:tcBorders>
              <w:bottom w:val="single" w:sz="8" w:color="457157"/>
              <w:right w:val="single" w:sz="8" w:color="F2F2F2"/>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240" w:type="dxa"/>
            <w:vAlign w:val="bottom"/>
            <w:tcBorders>
              <w:bottom w:val="single" w:sz="8" w:color="457157"/>
            </w:tcBorders>
          </w:tcPr>
          <w:p>
            <w:pPr>
              <w:spacing w:after="0"/>
              <w:rPr>
                <w:sz w:val="18"/>
                <w:szCs w:val="18"/>
                <w:color w:val="auto"/>
              </w:rPr>
            </w:pPr>
          </w:p>
        </w:tc>
        <w:tc>
          <w:tcPr>
            <w:tcW w:w="5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Human Capital</w:t>
            </w:r>
          </w:p>
        </w:tc>
        <w:tc>
          <w:tcPr>
            <w:tcW w:w="20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F2F2F2"/>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680" w:type="dxa"/>
            <w:vAlign w:val="bottom"/>
            <w:tcBorders>
              <w:bottom w:val="single" w:sz="8" w:color="457157"/>
            </w:tcBorders>
            <w:gridSpan w:val="2"/>
          </w:tcPr>
          <w:p>
            <w:pPr>
              <w:ind w:left="60"/>
              <w:spacing w:after="0" w:line="310"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404040"/>
              </w:rPr>
              <w:t>Management</w:t>
            </w: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457157"/>
              <w:right w:val="single" w:sz="8" w:color="F2F2F2"/>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457157"/>
              <w:right w:val="single" w:sz="8" w:color="F2F2F2"/>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57157"/>
            </w:tcBorders>
          </w:tcPr>
          <w:p>
            <w:pPr>
              <w:jc w:val="cente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57157"/>
            </w:tcBorders>
          </w:tcPr>
          <w:p>
            <w:pPr>
              <w:spacing w:after="0"/>
              <w:rPr>
                <w:sz w:val="24"/>
                <w:szCs w:val="24"/>
                <w:color w:val="auto"/>
              </w:rPr>
            </w:pPr>
          </w:p>
        </w:tc>
        <w:tc>
          <w:tcPr>
            <w:tcW w:w="5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Sustainability/</w:t>
            </w:r>
          </w:p>
        </w:tc>
        <w:tc>
          <w:tcPr>
            <w:tcW w:w="200" w:type="dxa"/>
            <w:vAlign w:val="bottom"/>
          </w:tcPr>
          <w:p>
            <w:pPr>
              <w:spacing w:after="0"/>
              <w:rPr>
                <w:sz w:val="20"/>
                <w:szCs w:val="20"/>
                <w:color w:val="auto"/>
              </w:rPr>
            </w:pPr>
          </w:p>
        </w:tc>
        <w:tc>
          <w:tcPr>
            <w:tcW w:w="780" w:type="dxa"/>
            <w:vAlign w:val="bottom"/>
            <w:tcBorders>
              <w:right w:val="single" w:sz="8" w:color="F2F2F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right w:val="single" w:sz="8" w:color="F2F2F2"/>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F2F2F2"/>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F2F2F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Environmental/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Renewable Energy</w:t>
            </w:r>
          </w:p>
        </w:tc>
        <w:tc>
          <w:tcPr>
            <w:tcW w:w="200" w:type="dxa"/>
            <w:vAlign w:val="bottom"/>
          </w:tcPr>
          <w:p>
            <w:pPr>
              <w:spacing w:after="0"/>
              <w:rPr>
                <w:sz w:val="23"/>
                <w:szCs w:val="23"/>
                <w:color w:val="auto"/>
              </w:rPr>
            </w:pPr>
          </w:p>
        </w:tc>
        <w:tc>
          <w:tcPr>
            <w:tcW w:w="780" w:type="dxa"/>
            <w:vAlign w:val="bottom"/>
            <w:tcBorders>
              <w:right w:val="single" w:sz="8" w:color="F2F2F2"/>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Borders>
              <w:right w:val="single" w:sz="8" w:color="F2F2F2"/>
            </w:tcBorders>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F2F2F2"/>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F2F2F2"/>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00" w:type="dxa"/>
            <w:vAlign w:val="bottom"/>
            <w:tcBorders>
              <w:top w:val="single" w:sz="8" w:color="457157"/>
            </w:tcBorders>
          </w:tcPr>
          <w:p>
            <w:pPr>
              <w:spacing w:after="0"/>
              <w:rPr>
                <w:sz w:val="16"/>
                <w:szCs w:val="16"/>
                <w:color w:val="auto"/>
              </w:rPr>
            </w:pPr>
          </w:p>
        </w:tc>
        <w:tc>
          <w:tcPr>
            <w:tcW w:w="158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404040"/>
              </w:rPr>
              <w:t>Digital /</w:t>
            </w:r>
          </w:p>
        </w:tc>
        <w:tc>
          <w:tcPr>
            <w:tcW w:w="200" w:type="dxa"/>
            <w:vAlign w:val="bottom"/>
            <w:tcBorders>
              <w:top w:val="single" w:sz="8" w:color="457157"/>
            </w:tcBorders>
          </w:tcPr>
          <w:p>
            <w:pPr>
              <w:spacing w:after="0"/>
              <w:rPr>
                <w:sz w:val="16"/>
                <w:szCs w:val="16"/>
                <w:color w:val="auto"/>
              </w:rPr>
            </w:pPr>
          </w:p>
        </w:tc>
        <w:tc>
          <w:tcPr>
            <w:tcW w:w="780" w:type="dxa"/>
            <w:vAlign w:val="bottom"/>
            <w:tcBorders>
              <w:top w:val="single" w:sz="8" w:color="457157"/>
              <w:right w:val="single" w:sz="8" w:color="F2F2F2"/>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20" w:type="dxa"/>
            <w:vAlign w:val="bottom"/>
            <w:tcBorders>
              <w:top w:val="single" w:sz="8" w:color="457157"/>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760" w:type="dxa"/>
            <w:vAlign w:val="bottom"/>
            <w:tcBorders>
              <w:top w:val="single" w:sz="8" w:color="457157"/>
              <w:right w:val="single" w:sz="8" w:color="F2F2F2"/>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56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tcPr>
          <w:p>
            <w:pPr>
              <w:spacing w:after="0"/>
              <w:rPr>
                <w:sz w:val="16"/>
                <w:szCs w:val="16"/>
                <w:color w:val="auto"/>
              </w:rPr>
            </w:pPr>
          </w:p>
        </w:tc>
        <w:tc>
          <w:tcPr>
            <w:tcW w:w="800" w:type="dxa"/>
            <w:vAlign w:val="bottom"/>
            <w:tcBorders>
              <w:top w:val="single" w:sz="8" w:color="457157"/>
              <w:right w:val="single" w:sz="8" w:color="F2F2F2"/>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780" w:type="dxa"/>
            <w:vAlign w:val="bottom"/>
            <w:tcBorders>
              <w:top w:val="single" w:sz="8" w:color="457157"/>
              <w:right w:val="single" w:sz="8" w:color="F2F2F2"/>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2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240" w:type="dxa"/>
            <w:vAlign w:val="bottom"/>
            <w:tcBorders>
              <w:top w:val="single" w:sz="8" w:color="457157"/>
            </w:tcBorders>
          </w:tcPr>
          <w:p>
            <w:pPr>
              <w:spacing w:after="0"/>
              <w:rPr>
                <w:sz w:val="16"/>
                <w:szCs w:val="16"/>
                <w:color w:val="auto"/>
              </w:rPr>
            </w:pPr>
          </w:p>
        </w:tc>
        <w:tc>
          <w:tcPr>
            <w:tcW w:w="5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680" w:type="dxa"/>
            <w:vAlign w:val="bottom"/>
            <w:gridSpan w:val="2"/>
          </w:tcPr>
          <w:p>
            <w:pPr>
              <w:ind w:left="60"/>
              <w:spacing w:after="0" w:line="243" w:lineRule="exact"/>
              <w:rPr>
                <w:sz w:val="20"/>
                <w:szCs w:val="20"/>
                <w:color w:val="auto"/>
              </w:rPr>
            </w:pPr>
            <w:r>
              <w:rPr>
                <w:rFonts w:ascii="Arial" w:cs="Arial" w:eastAsia="Arial" w:hAnsi="Arial"/>
                <w:sz w:val="28"/>
                <w:szCs w:val="28"/>
                <w:color w:val="000000"/>
                <w:vertAlign w:val="subscript"/>
              </w:rPr>
              <w:t>​</w:t>
            </w:r>
            <w:r>
              <w:rPr>
                <w:rFonts w:ascii="Arial" w:cs="Arial" w:eastAsia="Arial" w:hAnsi="Arial"/>
                <w:sz w:val="15"/>
                <w:szCs w:val="15"/>
                <w:b w:val="1"/>
                <w:bCs w:val="1"/>
                <w:color w:val="404040"/>
              </w:rPr>
              <w:t>Information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1580" w:type="dxa"/>
            <w:vAlign w:val="bottom"/>
          </w:tcPr>
          <w:p>
            <w:pPr>
              <w:spacing w:after="0" w:line="134" w:lineRule="exact"/>
              <w:rPr>
                <w:sz w:val="20"/>
                <w:szCs w:val="20"/>
                <w:color w:val="auto"/>
              </w:rPr>
            </w:pPr>
            <w:r>
              <w:rPr>
                <w:rFonts w:ascii="Arial" w:cs="Arial" w:eastAsia="Arial" w:hAnsi="Arial"/>
                <w:sz w:val="15"/>
                <w:szCs w:val="15"/>
                <w:b w:val="1"/>
                <w:bCs w:val="1"/>
                <w:color w:val="404040"/>
              </w:rPr>
              <w:t>Technology /</w:t>
            </w:r>
          </w:p>
        </w:tc>
        <w:tc>
          <w:tcPr>
            <w:tcW w:w="200" w:type="dxa"/>
            <w:vAlign w:val="bottom"/>
          </w:tcPr>
          <w:p>
            <w:pPr>
              <w:spacing w:after="0"/>
              <w:rPr>
                <w:sz w:val="11"/>
                <w:szCs w:val="11"/>
                <w:color w:val="auto"/>
              </w:rPr>
            </w:pPr>
          </w:p>
        </w:tc>
        <w:tc>
          <w:tcPr>
            <w:tcW w:w="780" w:type="dxa"/>
            <w:vAlign w:val="bottom"/>
            <w:tcBorders>
              <w:right w:val="single" w:sz="8" w:color="F2F2F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F2F2F2"/>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F2F2F2"/>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F2F2F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00" w:type="dxa"/>
            <w:vAlign w:val="bottom"/>
            <w:tcBorders>
              <w:bottom w:val="single" w:sz="8" w:color="457157"/>
            </w:tcBorders>
          </w:tcPr>
          <w:p>
            <w:pPr>
              <w:spacing w:after="0"/>
              <w:rPr>
                <w:sz w:val="18"/>
                <w:szCs w:val="18"/>
                <w:color w:val="auto"/>
              </w:rPr>
            </w:pPr>
          </w:p>
        </w:tc>
        <w:tc>
          <w:tcPr>
            <w:tcW w:w="15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04040"/>
              </w:rPr>
              <w:t>Cybersecurity</w:t>
            </w:r>
          </w:p>
        </w:tc>
        <w:tc>
          <w:tcPr>
            <w:tcW w:w="20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60" w:type="dxa"/>
            <w:vAlign w:val="bottom"/>
            <w:tcBorders>
              <w:bottom w:val="single" w:sz="8" w:color="457157"/>
              <w:right w:val="single" w:sz="8" w:color="F2F2F2"/>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56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800" w:type="dxa"/>
            <w:vAlign w:val="bottom"/>
            <w:tcBorders>
              <w:bottom w:val="single" w:sz="8" w:color="457157"/>
              <w:right w:val="single" w:sz="8" w:color="F2F2F2"/>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240" w:type="dxa"/>
            <w:vAlign w:val="bottom"/>
            <w:tcBorders>
              <w:bottom w:val="single" w:sz="8" w:color="457157"/>
            </w:tcBorders>
          </w:tcPr>
          <w:p>
            <w:pPr>
              <w:spacing w:after="0"/>
              <w:rPr>
                <w:sz w:val="18"/>
                <w:szCs w:val="18"/>
                <w:color w:val="auto"/>
              </w:rPr>
            </w:pPr>
          </w:p>
        </w:tc>
        <w:tc>
          <w:tcPr>
            <w:tcW w:w="5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Risk Management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tcPr>
          <w:p>
            <w:pPr>
              <w:ind w:left="3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right w:val="single" w:sz="8" w:color="F2F2F2"/>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F2F2F2"/>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DEMOGRAPHICS</w:t>
            </w:r>
            <w:r>
              <w:rPr>
                <w:rFonts w:ascii="Arial" w:cs="Arial" w:eastAsia="Arial" w:hAnsi="Arial"/>
                <w:sz w:val="16"/>
                <w:szCs w:val="16"/>
                <w:color w:val="000000"/>
              </w:rPr>
              <w:t>​</w:t>
            </w:r>
          </w:p>
        </w:tc>
        <w:tc>
          <w:tcPr>
            <w:tcW w:w="20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60" w:type="dxa"/>
            <w:vAlign w:val="bottom"/>
            <w:tcBorders>
              <w:right w:val="single" w:sz="8" w:color="457157"/>
            </w:tcBorders>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56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3"/>
                <w:szCs w:val="23"/>
                <w:color w:val="auto"/>
              </w:rPr>
            </w:pPr>
          </w:p>
        </w:tc>
        <w:tc>
          <w:tcPr>
            <w:tcW w:w="800" w:type="dxa"/>
            <w:vAlign w:val="bottom"/>
            <w:tcBorders>
              <w:right w:val="single" w:sz="8" w:color="457157"/>
            </w:tcBorders>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240" w:type="dxa"/>
            <w:vAlign w:val="bottom"/>
            <w:shd w:val="clear" w:color="auto" w:fill="457157"/>
          </w:tcPr>
          <w:p>
            <w:pPr>
              <w:spacing w:after="0"/>
              <w:rPr>
                <w:sz w:val="23"/>
                <w:szCs w:val="23"/>
                <w:color w:val="auto"/>
              </w:rPr>
            </w:pPr>
          </w:p>
        </w:tc>
        <w:tc>
          <w:tcPr>
            <w:tcW w:w="5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9"/>
        </w:trPr>
        <w:tc>
          <w:tcPr>
            <w:tcW w:w="100" w:type="dxa"/>
            <w:vAlign w:val="bottom"/>
            <w:shd w:val="clear" w:color="auto" w:fill="457157"/>
          </w:tcPr>
          <w:p>
            <w:pPr>
              <w:spacing w:after="0"/>
              <w:rPr>
                <w:sz w:val="6"/>
                <w:szCs w:val="6"/>
                <w:color w:val="auto"/>
              </w:rPr>
            </w:pPr>
          </w:p>
        </w:tc>
        <w:tc>
          <w:tcPr>
            <w:tcW w:w="1580" w:type="dxa"/>
            <w:vAlign w:val="bottom"/>
            <w:shd w:val="clear" w:color="auto" w:fill="457157"/>
          </w:tcPr>
          <w:p>
            <w:pPr>
              <w:spacing w:after="0"/>
              <w:rPr>
                <w:sz w:val="6"/>
                <w:szCs w:val="6"/>
                <w:color w:val="auto"/>
              </w:rPr>
            </w:pPr>
          </w:p>
        </w:tc>
        <w:tc>
          <w:tcPr>
            <w:tcW w:w="200" w:type="dxa"/>
            <w:vAlign w:val="bottom"/>
            <w:shd w:val="clear" w:color="auto" w:fill="457157"/>
          </w:tcPr>
          <w:p>
            <w:pPr>
              <w:spacing w:after="0"/>
              <w:rPr>
                <w:sz w:val="6"/>
                <w:szCs w:val="6"/>
                <w:color w:val="auto"/>
              </w:rPr>
            </w:pPr>
          </w:p>
        </w:tc>
        <w:tc>
          <w:tcPr>
            <w:tcW w:w="780" w:type="dxa"/>
            <w:vAlign w:val="bottom"/>
            <w:tcBorders>
              <w:right w:val="single" w:sz="8" w:color="457157"/>
            </w:tcBorders>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20" w:type="dxa"/>
            <w:vAlign w:val="bottom"/>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760" w:type="dxa"/>
            <w:vAlign w:val="bottom"/>
            <w:tcBorders>
              <w:right w:val="single" w:sz="8" w:color="457157"/>
            </w:tcBorders>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560" w:type="dxa"/>
            <w:vAlign w:val="bottom"/>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800" w:type="dxa"/>
            <w:vAlign w:val="bottom"/>
            <w:tcBorders>
              <w:right w:val="single" w:sz="8" w:color="457157"/>
            </w:tcBorders>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780" w:type="dxa"/>
            <w:vAlign w:val="bottom"/>
            <w:tcBorders>
              <w:right w:val="single" w:sz="8" w:color="457157"/>
            </w:tcBorders>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20" w:type="dxa"/>
            <w:vAlign w:val="bottom"/>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760" w:type="dxa"/>
            <w:vAlign w:val="bottom"/>
            <w:gridSpan w:val="2"/>
            <w:shd w:val="clear" w:color="auto" w:fill="457157"/>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Gender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Male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Male</w:t>
            </w:r>
          </w:p>
        </w:tc>
        <w:tc>
          <w:tcPr>
            <w:tcW w:w="20" w:type="dxa"/>
            <w:vAlign w:val="bottom"/>
          </w:tcPr>
          <w:p>
            <w:pPr>
              <w:spacing w:after="0"/>
              <w:rPr>
                <w:sz w:val="21"/>
                <w:szCs w:val="21"/>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Male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rPr>
              <w:t>Male</w:t>
            </w:r>
          </w:p>
        </w:tc>
        <w:tc>
          <w:tcPr>
            <w:tcW w:w="120" w:type="dxa"/>
            <w:vAlign w:val="bottom"/>
          </w:tcPr>
          <w:p>
            <w:pPr>
              <w:spacing w:after="0"/>
              <w:rPr>
                <w:sz w:val="21"/>
                <w:szCs w:val="21"/>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Female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Female</w:t>
            </w:r>
          </w:p>
        </w:tc>
        <w:tc>
          <w:tcPr>
            <w:tcW w:w="80" w:type="dxa"/>
            <w:vAlign w:val="bottom"/>
          </w:tcPr>
          <w:p>
            <w:pPr>
              <w:spacing w:after="0"/>
              <w:rPr>
                <w:sz w:val="21"/>
                <w:szCs w:val="21"/>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Male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Male</w:t>
            </w:r>
          </w:p>
        </w:tc>
        <w:tc>
          <w:tcPr>
            <w:tcW w:w="20" w:type="dxa"/>
            <w:vAlign w:val="bottom"/>
          </w:tcPr>
          <w:p>
            <w:pPr>
              <w:spacing w:after="0"/>
              <w:rPr>
                <w:sz w:val="21"/>
                <w:szCs w:val="21"/>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2F2F2"/>
          </w:tcPr>
          <w:p>
            <w:pPr>
              <w:jc w:val="center"/>
              <w:ind w:right="19"/>
              <w:spacing w:after="0"/>
              <w:rPr>
                <w:sz w:val="20"/>
                <w:szCs w:val="20"/>
                <w:color w:val="auto"/>
              </w:rPr>
            </w:pPr>
            <w:r>
              <w:rPr>
                <w:rFonts w:ascii="Arial" w:cs="Arial" w:eastAsia="Arial" w:hAnsi="Arial"/>
                <w:sz w:val="16"/>
                <w:szCs w:val="16"/>
                <w:color w:val="auto"/>
              </w:rPr>
              <w:t>Female</w:t>
            </w: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100" w:type="dxa"/>
            <w:vAlign w:val="bottom"/>
            <w:tcBorders>
              <w:bottom w:val="single" w:sz="8" w:color="457157"/>
            </w:tcBorders>
          </w:tcPr>
          <w:p>
            <w:pPr>
              <w:spacing w:after="0"/>
              <w:rPr>
                <w:sz w:val="5"/>
                <w:szCs w:val="5"/>
                <w:color w:val="auto"/>
              </w:rPr>
            </w:pPr>
          </w:p>
        </w:tc>
        <w:tc>
          <w:tcPr>
            <w:tcW w:w="15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tcPr>
          <w:p>
            <w:pPr>
              <w:spacing w:after="0"/>
              <w:rPr>
                <w:sz w:val="5"/>
                <w:szCs w:val="5"/>
                <w:color w:val="auto"/>
              </w:rPr>
            </w:pPr>
          </w:p>
        </w:tc>
        <w:tc>
          <w:tcPr>
            <w:tcW w:w="78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shd w:val="clear" w:color="auto" w:fill="F2F2F2"/>
          </w:tcPr>
          <w:p>
            <w:pPr>
              <w:spacing w:after="0"/>
              <w:rPr>
                <w:sz w:val="5"/>
                <w:szCs w:val="5"/>
                <w:color w:val="auto"/>
              </w:rPr>
            </w:pPr>
          </w:p>
        </w:tc>
        <w:tc>
          <w:tcPr>
            <w:tcW w:w="760" w:type="dxa"/>
            <w:vAlign w:val="bottom"/>
            <w:tcBorders>
              <w:bottom w:val="single" w:sz="8" w:color="457157"/>
              <w:right w:val="single" w:sz="8" w:color="F2F2F2"/>
            </w:tcBorders>
            <w:shd w:val="clear" w:color="auto" w:fill="F2F2F2"/>
          </w:tcPr>
          <w:p>
            <w:pPr>
              <w:spacing w:after="0"/>
              <w:rPr>
                <w:sz w:val="5"/>
                <w:szCs w:val="5"/>
                <w:color w:val="auto"/>
              </w:rPr>
            </w:pPr>
          </w:p>
        </w:tc>
        <w:tc>
          <w:tcPr>
            <w:tcW w:w="820" w:type="dxa"/>
            <w:vAlign w:val="bottom"/>
            <w:tcBorders>
              <w:bottom w:val="single" w:sz="8" w:color="457157"/>
            </w:tcBorders>
            <w:gridSpan w:val="3"/>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800" w:type="dxa"/>
            <w:vAlign w:val="bottom"/>
            <w:tcBorders>
              <w:bottom w:val="single" w:sz="8" w:color="457157"/>
              <w:right w:val="single" w:sz="8" w:color="F2F2F2"/>
            </w:tcBorders>
            <w:shd w:val="clear" w:color="auto" w:fill="F2F2F2"/>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shd w:val="clear" w:color="auto" w:fill="F2F2F2"/>
          </w:tcPr>
          <w:p>
            <w:pPr>
              <w:spacing w:after="0"/>
              <w:rPr>
                <w:sz w:val="5"/>
                <w:szCs w:val="5"/>
                <w:color w:val="auto"/>
              </w:rPr>
            </w:pPr>
          </w:p>
        </w:tc>
        <w:tc>
          <w:tcPr>
            <w:tcW w:w="780" w:type="dxa"/>
            <w:vAlign w:val="bottom"/>
            <w:tcBorders>
              <w:bottom w:val="single" w:sz="8" w:color="457157"/>
              <w:right w:val="single" w:sz="8" w:color="F2F2F2"/>
            </w:tcBorders>
            <w:shd w:val="clear" w:color="auto" w:fill="F2F2F2"/>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shd w:val="clear" w:color="auto" w:fill="F2F2F2"/>
          </w:tcPr>
          <w:p>
            <w:pPr>
              <w:spacing w:after="0"/>
              <w:rPr>
                <w:sz w:val="5"/>
                <w:szCs w:val="5"/>
                <w:color w:val="auto"/>
              </w:rPr>
            </w:pPr>
          </w:p>
        </w:tc>
        <w:tc>
          <w:tcPr>
            <w:tcW w:w="760" w:type="dxa"/>
            <w:vAlign w:val="bottom"/>
            <w:tcBorders>
              <w:bottom w:val="single" w:sz="8" w:color="457157"/>
            </w:tcBorders>
            <w:gridSpan w:val="2"/>
            <w:shd w:val="clear" w:color="auto" w:fill="F2F2F2"/>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680" w:type="dxa"/>
            <w:vAlign w:val="bottom"/>
            <w:gridSpan w:val="2"/>
          </w:tcPr>
          <w:p>
            <w:pPr>
              <w:ind w:left="60"/>
              <w:spacing w:after="0" w:line="236" w:lineRule="exact"/>
              <w:rPr>
                <w:sz w:val="20"/>
                <w:szCs w:val="20"/>
                <w:color w:val="auto"/>
              </w:rPr>
            </w:pPr>
            <w:r>
              <w:rPr>
                <w:rFonts w:ascii="Arial" w:cs="Arial" w:eastAsia="Arial" w:hAnsi="Arial"/>
                <w:sz w:val="27"/>
                <w:szCs w:val="27"/>
                <w:color w:val="000000"/>
                <w:vertAlign w:val="superscript"/>
              </w:rPr>
              <w:t>​</w:t>
            </w:r>
            <w:r>
              <w:rPr>
                <w:rFonts w:ascii="Arial" w:cs="Arial" w:eastAsia="Arial" w:hAnsi="Arial"/>
                <w:sz w:val="14"/>
                <w:szCs w:val="14"/>
                <w:b w:val="1"/>
                <w:bCs w:val="1"/>
                <w:color w:val="404040"/>
              </w:rPr>
              <w:t>Race/Ethnicity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right="15"/>
              <w:spacing w:after="0"/>
              <w:rPr>
                <w:sz w:val="20"/>
                <w:szCs w:val="20"/>
                <w:color w:val="auto"/>
              </w:rPr>
            </w:pPr>
            <w:r>
              <w:rPr>
                <w:rFonts w:ascii="Arial" w:cs="Arial" w:eastAsia="Arial" w:hAnsi="Arial"/>
                <w:sz w:val="16"/>
                <w:szCs w:val="16"/>
                <w:color w:val="auto"/>
              </w:rPr>
              <w:t>White/​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Black/​</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White/​</w:t>
            </w:r>
          </w:p>
        </w:tc>
        <w:tc>
          <w:tcPr>
            <w:tcW w:w="820" w:type="dxa"/>
            <w:vAlign w:val="bottom"/>
            <w:gridSpan w:val="3"/>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Hispanic</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80"/>
              <w:spacing w:after="0"/>
              <w:rPr>
                <w:sz w:val="20"/>
                <w:szCs w:val="20"/>
                <w:color w:val="auto"/>
              </w:rPr>
            </w:pPr>
            <w:r>
              <w:rPr>
                <w:rFonts w:ascii="Arial" w:cs="Arial" w:eastAsia="Arial" w:hAnsi="Arial"/>
                <w:sz w:val="16"/>
                <w:szCs w:val="16"/>
                <w:color w:val="auto"/>
              </w:rPr>
              <w:t>White/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White/​</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right="15"/>
              <w:spacing w:after="0"/>
              <w:rPr>
                <w:sz w:val="20"/>
                <w:szCs w:val="20"/>
                <w:color w:val="auto"/>
              </w:rPr>
            </w:pPr>
            <w:r>
              <w:rPr>
                <w:rFonts w:ascii="Arial" w:cs="Arial" w:eastAsia="Arial" w:hAnsi="Arial"/>
                <w:sz w:val="16"/>
                <w:szCs w:val="16"/>
                <w:color w:val="auto"/>
              </w:rPr>
              <w:t>White/​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Black/​</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rPr>
              <w:t>White/​</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Caucasian</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African</w:t>
            </w:r>
          </w:p>
        </w:tc>
        <w:tc>
          <w:tcPr>
            <w:tcW w:w="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rPr>
              <w:t>Caucasian</w:t>
            </w: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African</w:t>
            </w:r>
          </w:p>
        </w:tc>
        <w:tc>
          <w:tcPr>
            <w:tcW w:w="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auto"/>
              </w:rPr>
              <w:t>Caucasian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00" w:type="dxa"/>
            <w:vAlign w:val="bottom"/>
            <w:tcBorders>
              <w:bottom w:val="single" w:sz="8" w:color="457157"/>
            </w:tcBorders>
          </w:tcPr>
          <w:p>
            <w:pPr>
              <w:spacing w:after="0"/>
              <w:rPr>
                <w:sz w:val="8"/>
                <w:szCs w:val="8"/>
                <w:color w:val="auto"/>
              </w:rPr>
            </w:pPr>
          </w:p>
        </w:tc>
        <w:tc>
          <w:tcPr>
            <w:tcW w:w="1580" w:type="dxa"/>
            <w:vAlign w:val="bottom"/>
            <w:tcBorders>
              <w:bottom w:val="single" w:sz="8" w:color="457157"/>
            </w:tcBorders>
          </w:tcPr>
          <w:p>
            <w:pPr>
              <w:spacing w:after="0"/>
              <w:rPr>
                <w:sz w:val="8"/>
                <w:szCs w:val="8"/>
                <w:color w:val="auto"/>
              </w:rPr>
            </w:pPr>
          </w:p>
        </w:tc>
        <w:tc>
          <w:tcPr>
            <w:tcW w:w="200" w:type="dxa"/>
            <w:vAlign w:val="bottom"/>
            <w:tcBorders>
              <w:bottom w:val="single" w:sz="8" w:color="457157"/>
            </w:tcBorders>
          </w:tcPr>
          <w:p>
            <w:pPr>
              <w:spacing w:after="0"/>
              <w:rPr>
                <w:sz w:val="8"/>
                <w:szCs w:val="8"/>
                <w:color w:val="auto"/>
              </w:rPr>
            </w:pPr>
          </w:p>
        </w:tc>
        <w:tc>
          <w:tcPr>
            <w:tcW w:w="78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2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76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56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80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78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2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240" w:type="dxa"/>
            <w:vAlign w:val="bottom"/>
            <w:tcBorders>
              <w:bottom w:val="single" w:sz="8" w:color="457157"/>
            </w:tcBorders>
          </w:tcPr>
          <w:p>
            <w:pPr>
              <w:spacing w:after="0"/>
              <w:rPr>
                <w:sz w:val="8"/>
                <w:szCs w:val="8"/>
                <w:color w:val="auto"/>
              </w:rPr>
            </w:pPr>
          </w:p>
        </w:tc>
        <w:tc>
          <w:tcPr>
            <w:tcW w:w="520" w:type="dxa"/>
            <w:vAlign w:val="bottom"/>
            <w:tcBorders>
              <w:bottom w:val="single" w:sz="8" w:color="457157"/>
            </w:tcBorders>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-5262880</wp:posOffset>
            </wp:positionV>
            <wp:extent cx="5040630" cy="52546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40630" cy="5254625"/>
                    </a:xfrm>
                    <a:prstGeom prst="rect">
                      <a:avLst/>
                    </a:prstGeom>
                    <a:noFill/>
                  </pic:spPr>
                </pic:pic>
              </a:graphicData>
            </a:graphic>
          </wp:anchor>
        </w:drawing>
      </w:r>
    </w:p>
    <w:p>
      <w:pPr>
        <w:sectPr>
          <w:pgSz w:w="11900" w:h="16838" w:orient="portrait"/>
          <w:cols w:equalWidth="0" w:num="1">
            <w:col w:w="10500"/>
          </w:cols>
          <w:pgMar w:left="580" w:top="97" w:right="819" w:bottom="1440" w:gutter="0" w:footer="0" w:header="0"/>
        </w:sectPr>
      </w:pPr>
    </w:p>
    <w:p>
      <w:pPr>
        <w:spacing w:after="0" w:line="184" w:lineRule="exact"/>
        <w:rPr>
          <w:sz w:val="20"/>
          <w:szCs w:val="20"/>
          <w:color w:val="auto"/>
        </w:rPr>
      </w:pPr>
    </w:p>
    <w:p>
      <w:pPr>
        <w:jc w:val="both"/>
        <w:ind w:left="1180"/>
        <w:spacing w:after="0" w:line="254" w:lineRule="auto"/>
        <w:rPr>
          <w:sz w:val="20"/>
          <w:szCs w:val="20"/>
          <w:color w:val="auto"/>
        </w:rPr>
      </w:pPr>
      <w:r>
        <w:rPr>
          <w:rFonts w:ascii="Arial" w:cs="Arial" w:eastAsia="Arial" w:hAnsi="Arial"/>
          <w:sz w:val="18"/>
          <w:szCs w:val="18"/>
          <w:color w:val="auto"/>
        </w:rPr>
        <w:t>Each director nominee’s identification of the top four categories of skill and expertise through which they contribute to the Board. This is not an indication that any director nominee does not possess any particular category of skill or expertise, but rather, a targeted reflection of the key areas through which each director nominee supports the effectiveness of the Board and furthers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-1230630</wp:posOffset>
            </wp:positionV>
            <wp:extent cx="10287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-1230630</wp:posOffset>
            </wp:positionV>
            <wp:extent cx="77470" cy="85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right="620"/>
        <w:spacing w:after="0" w:line="265" w:lineRule="auto"/>
        <w:rPr>
          <w:sz w:val="20"/>
          <w:szCs w:val="20"/>
          <w:color w:val="auto"/>
        </w:rPr>
      </w:pPr>
      <w:r>
        <w:rPr>
          <w:rFonts w:ascii="Arial" w:cs="Arial" w:eastAsia="Arial" w:hAnsi="Arial"/>
          <w:sz w:val="18"/>
          <w:szCs w:val="18"/>
          <w:color w:val="auto"/>
        </w:rPr>
        <w:t>Each director nominee’s identification of additional categories of skill and expertise in which they have substantial experience and in-depth knowledge</w:t>
      </w:r>
    </w:p>
    <w:p>
      <w:pPr>
        <w:spacing w:after="0" w:line="1512" w:lineRule="exact"/>
        <w:rPr>
          <w:sz w:val="20"/>
          <w:szCs w:val="20"/>
          <w:color w:val="auto"/>
        </w:rPr>
      </w:pPr>
    </w:p>
    <w:p>
      <w:pPr>
        <w:sectPr>
          <w:pgSz w:w="11900" w:h="16838" w:orient="portrait"/>
          <w:cols w:equalWidth="0" w:num="2">
            <w:col w:w="5240" w:space="580"/>
            <w:col w:w="4680"/>
          </w:cols>
          <w:pgMar w:left="580" w:top="97"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00"/>
          </w:cols>
          <w:pgMar w:left="580" w:top="97" w:right="8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140" w:type="dxa"/>
            <w:vAlign w:val="bottom"/>
            <w:shd w:val="clear" w:color="auto" w:fill="457157"/>
          </w:tcPr>
          <w:p>
            <w:pPr>
              <w:spacing w:after="0" w:line="20" w:lineRule="exact"/>
              <w:rPr>
                <w:sz w:val="1"/>
                <w:szCs w:val="1"/>
                <w:color w:val="auto"/>
              </w:rPr>
            </w:pPr>
          </w:p>
        </w:tc>
        <w:tc>
          <w:tcPr>
            <w:tcW w:w="31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580" w:type="dxa"/>
            <w:vAlign w:val="bottom"/>
            <w:tcBorders>
              <w:right w:val="single" w:sz="8" w:color="457157"/>
            </w:tcBorders>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6"/>
        </w:trPr>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10"/>
          </w:tcPr>
          <w:p>
            <w:pPr>
              <w:ind w:left="20"/>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tc>
      </w:tr>
      <w:tr>
        <w:trPr>
          <w:trHeight w:val="70"/>
        </w:trPr>
        <w:tc>
          <w:tcPr>
            <w:tcW w:w="14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80" w:type="dxa"/>
            <w:vAlign w:val="bottom"/>
            <w:gridSpan w:val="7"/>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gridSpan w:val="4"/>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gridSpan w:val="2"/>
          </w:tcPr>
          <w:p>
            <w:pPr>
              <w:spacing w:after="0"/>
              <w:rPr>
                <w:sz w:val="6"/>
                <w:szCs w:val="6"/>
                <w:color w:val="auto"/>
              </w:rPr>
            </w:pPr>
          </w:p>
        </w:tc>
      </w:tr>
      <w:tr>
        <w:trPr>
          <w:trHeight w:val="364"/>
        </w:trPr>
        <w:tc>
          <w:tcPr>
            <w:tcW w:w="140" w:type="dxa"/>
            <w:vAlign w:val="bottom"/>
          </w:tcPr>
          <w:p>
            <w:pPr>
              <w:ind w:left="40"/>
              <w:spacing w:after="0"/>
              <w:rPr>
                <w:sz w:val="20"/>
                <w:szCs w:val="20"/>
                <w:color w:val="auto"/>
              </w:rPr>
            </w:pPr>
            <w:r>
              <w:rPr>
                <w:rFonts w:ascii="Arial" w:cs="Arial" w:eastAsia="Arial" w:hAnsi="Arial"/>
                <w:sz w:val="14"/>
                <w:szCs w:val="14"/>
                <w:color w:val="457157"/>
              </w:rPr>
              <w:t>​</w:t>
            </w:r>
          </w:p>
        </w:tc>
        <w:tc>
          <w:tcPr>
            <w:tcW w:w="3120" w:type="dxa"/>
            <w:vAlign w:val="bottom"/>
          </w:tcPr>
          <w:p>
            <w:pPr>
              <w:ind w:left="500"/>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Executive</w:t>
            </w:r>
          </w:p>
        </w:tc>
        <w:tc>
          <w:tcPr>
            <w:tcW w:w="180" w:type="dxa"/>
            <w:vAlign w:val="bottom"/>
            <w:gridSpan w:val="2"/>
          </w:tcPr>
          <w:p>
            <w:pPr>
              <w:ind w:left="100"/>
              <w:spacing w:after="0"/>
              <w:rPr>
                <w:sz w:val="20"/>
                <w:szCs w:val="20"/>
                <w:color w:val="auto"/>
              </w:rPr>
            </w:pPr>
            <w:r>
              <w:rPr>
                <w:rFonts w:ascii="Arial" w:cs="Arial" w:eastAsia="Arial" w:hAnsi="Arial"/>
                <w:sz w:val="14"/>
                <w:szCs w:val="14"/>
                <w:color w:val="457157"/>
              </w:rPr>
              <w:t>​</w:t>
            </w:r>
          </w:p>
        </w:tc>
        <w:tc>
          <w:tcPr>
            <w:tcW w:w="380" w:type="dxa"/>
            <w:vAlign w:val="bottom"/>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260" w:type="dxa"/>
            <w:vAlign w:val="bottom"/>
            <w:shd w:val="clear" w:color="auto" w:fill="457157"/>
          </w:tcPr>
          <w:p>
            <w:pPr>
              <w:ind w:left="240"/>
              <w:spacing w:after="0"/>
              <w:rPr>
                <w:sz w:val="20"/>
                <w:szCs w:val="20"/>
                <w:color w:val="auto"/>
              </w:rPr>
            </w:pPr>
            <w:r>
              <w:rPr>
                <w:rFonts w:ascii="Arial" w:cs="Arial" w:eastAsia="Arial" w:hAnsi="Arial"/>
                <w:sz w:val="1"/>
                <w:szCs w:val="1"/>
                <w:color w:val="457157"/>
                <w:w w:val="4294942296"/>
              </w:rPr>
              <w:t>​</w:t>
            </w:r>
          </w:p>
        </w:tc>
        <w:tc>
          <w:tcPr>
            <w:tcW w:w="2080" w:type="dxa"/>
            <w:vAlign w:val="bottom"/>
            <w:gridSpan w:val="7"/>
          </w:tcPr>
          <w:p>
            <w:pPr>
              <w:jc w:val="right"/>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Public Company Board</w:t>
            </w:r>
          </w:p>
        </w:tc>
        <w:tc>
          <w:tcPr>
            <w:tcW w:w="160" w:type="dxa"/>
            <w:vAlign w:val="bottom"/>
            <w:gridSpan w:val="2"/>
          </w:tcPr>
          <w:p>
            <w:pPr>
              <w:ind w:left="80"/>
              <w:spacing w:after="0"/>
              <w:rPr>
                <w:sz w:val="20"/>
                <w:szCs w:val="20"/>
                <w:color w:val="auto"/>
              </w:rPr>
            </w:pPr>
            <w:r>
              <w:rPr>
                <w:rFonts w:ascii="Arial" w:cs="Arial" w:eastAsia="Arial" w:hAnsi="Arial"/>
                <w:sz w:val="14"/>
                <w:szCs w:val="14"/>
                <w:color w:val="457157"/>
              </w:rPr>
              <w:t>​</w:t>
            </w:r>
          </w:p>
        </w:tc>
        <w:tc>
          <w:tcPr>
            <w:tcW w:w="120" w:type="dxa"/>
            <w:vAlign w:val="bottom"/>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580" w:type="dxa"/>
            <w:vAlign w:val="bottom"/>
            <w:tcBorders>
              <w:right w:val="single" w:sz="8" w:color="E5E5E5"/>
            </w:tcBorders>
            <w:shd w:val="clear" w:color="auto" w:fill="457157"/>
          </w:tcPr>
          <w:p>
            <w:pPr>
              <w:ind w:left="500"/>
              <w:spacing w:after="0"/>
              <w:rPr>
                <w:sz w:val="20"/>
                <w:szCs w:val="20"/>
                <w:color w:val="auto"/>
              </w:rPr>
            </w:pPr>
            <w:r>
              <w:rPr>
                <w:rFonts w:ascii="Arial" w:cs="Arial" w:eastAsia="Arial" w:hAnsi="Arial"/>
                <w:sz w:val="14"/>
                <w:szCs w:val="14"/>
                <w:color w:val="457157"/>
              </w:rPr>
              <w:t>​</w:t>
            </w:r>
          </w:p>
        </w:tc>
        <w:tc>
          <w:tcPr>
            <w:tcW w:w="900" w:type="dxa"/>
            <w:vAlign w:val="bottom"/>
            <w:gridSpan w:val="4"/>
            <w:shd w:val="clear" w:color="auto" w:fill="E5E5E5"/>
          </w:tcPr>
          <w:p>
            <w:pPr>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Strategic</w:t>
            </w:r>
          </w:p>
        </w:tc>
        <w:tc>
          <w:tcPr>
            <w:tcW w:w="120" w:type="dxa"/>
            <w:vAlign w:val="bottom"/>
            <w:shd w:val="clear" w:color="auto" w:fill="E5E5E5"/>
          </w:tcPr>
          <w:p>
            <w:pPr>
              <w:spacing w:after="0"/>
              <w:rPr>
                <w:sz w:val="24"/>
                <w:szCs w:val="24"/>
                <w:color w:val="auto"/>
              </w:rPr>
            </w:pPr>
          </w:p>
        </w:tc>
        <w:tc>
          <w:tcPr>
            <w:tcW w:w="420" w:type="dxa"/>
            <w:vAlign w:val="bottom"/>
            <w:shd w:val="clear" w:color="auto" w:fill="E5E5E5"/>
          </w:tcPr>
          <w:p>
            <w:pPr>
              <w:spacing w:after="0"/>
              <w:rPr>
                <w:sz w:val="24"/>
                <w:szCs w:val="24"/>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457157"/>
              </w:rPr>
              <w:t>​</w:t>
            </w:r>
          </w:p>
        </w:tc>
        <w:tc>
          <w:tcPr>
            <w:tcW w:w="6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3120" w:type="dxa"/>
            <w:vAlign w:val="bottom"/>
          </w:tcPr>
          <w:p>
            <w:pPr>
              <w:ind w:left="580"/>
              <w:spacing w:after="0"/>
              <w:rPr>
                <w:sz w:val="20"/>
                <w:szCs w:val="20"/>
                <w:color w:val="auto"/>
              </w:rPr>
            </w:pPr>
            <w:r>
              <w:rPr>
                <w:rFonts w:ascii="Arial" w:cs="Arial" w:eastAsia="Arial" w:hAnsi="Arial"/>
                <w:sz w:val="16"/>
                <w:szCs w:val="16"/>
                <w:b w:val="1"/>
                <w:bCs w:val="1"/>
                <w:color w:val="457157"/>
              </w:rPr>
              <w:t>Leadership</w:t>
            </w:r>
            <w:r>
              <w:rPr>
                <w:rFonts w:ascii="Arial" w:cs="Arial" w:eastAsia="Arial" w:hAnsi="Arial"/>
                <w:sz w:val="14"/>
                <w:szCs w:val="14"/>
                <w:color w:val="000000"/>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457157"/>
            </w:tcBorders>
            <w:shd w:val="clear" w:color="auto" w:fill="457157"/>
          </w:tcPr>
          <w:p>
            <w:pPr>
              <w:spacing w:after="0"/>
              <w:rPr>
                <w:sz w:val="21"/>
                <w:szCs w:val="21"/>
                <w:color w:val="auto"/>
              </w:rPr>
            </w:pPr>
          </w:p>
        </w:tc>
        <w:tc>
          <w:tcPr>
            <w:tcW w:w="260" w:type="dxa"/>
            <w:vAlign w:val="bottom"/>
            <w:tcBorders>
              <w:bottom w:val="single" w:sz="8" w:color="457157"/>
            </w:tcBorders>
            <w:shd w:val="clear" w:color="auto" w:fill="457157"/>
          </w:tcPr>
          <w:p>
            <w:pPr>
              <w:spacing w:after="0"/>
              <w:rPr>
                <w:sz w:val="21"/>
                <w:szCs w:val="21"/>
                <w:color w:val="auto"/>
              </w:rPr>
            </w:pPr>
          </w:p>
        </w:tc>
        <w:tc>
          <w:tcPr>
            <w:tcW w:w="1540" w:type="dxa"/>
            <w:vAlign w:val="bottom"/>
            <w:gridSpan w:val="6"/>
          </w:tcPr>
          <w:p>
            <w:pPr>
              <w:ind w:left="80"/>
              <w:spacing w:after="0"/>
              <w:rPr>
                <w:sz w:val="20"/>
                <w:szCs w:val="20"/>
                <w:color w:val="auto"/>
              </w:rPr>
            </w:pPr>
            <w:r>
              <w:rPr>
                <w:rFonts w:ascii="Arial" w:cs="Arial" w:eastAsia="Arial" w:hAnsi="Arial"/>
                <w:sz w:val="16"/>
                <w:szCs w:val="16"/>
                <w:b w:val="1"/>
                <w:bCs w:val="1"/>
                <w:color w:val="457157"/>
              </w:rPr>
              <w:t>and Governance</w:t>
            </w:r>
            <w:r>
              <w:rPr>
                <w:rFonts w:ascii="Arial" w:cs="Arial" w:eastAsia="Arial" w:hAnsi="Arial"/>
                <w:sz w:val="14"/>
                <w:szCs w:val="14"/>
                <w:color w:val="000000"/>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457157"/>
            </w:tcBorders>
            <w:shd w:val="clear" w:color="auto" w:fill="457157"/>
          </w:tcPr>
          <w:p>
            <w:pPr>
              <w:spacing w:after="0"/>
              <w:rPr>
                <w:sz w:val="21"/>
                <w:szCs w:val="21"/>
                <w:color w:val="auto"/>
              </w:rPr>
            </w:pPr>
          </w:p>
        </w:tc>
        <w:tc>
          <w:tcPr>
            <w:tcW w:w="580" w:type="dxa"/>
            <w:vAlign w:val="bottom"/>
            <w:tcBorders>
              <w:bottom w:val="single" w:sz="8" w:color="457157"/>
              <w:right w:val="single" w:sz="8" w:color="E5E5E5"/>
            </w:tcBorders>
            <w:shd w:val="clear" w:color="auto" w:fill="457157"/>
          </w:tcPr>
          <w:p>
            <w:pPr>
              <w:spacing w:after="0"/>
              <w:rPr>
                <w:sz w:val="21"/>
                <w:szCs w:val="21"/>
                <w:color w:val="auto"/>
              </w:rPr>
            </w:pPr>
          </w:p>
        </w:tc>
        <w:tc>
          <w:tcPr>
            <w:tcW w:w="900" w:type="dxa"/>
            <w:vAlign w:val="bottom"/>
            <w:tcBorders>
              <w:bottom w:val="single" w:sz="8" w:color="E5E5E5"/>
            </w:tcBorders>
            <w:gridSpan w:val="4"/>
            <w:shd w:val="clear" w:color="auto" w:fill="E5E5E5"/>
          </w:tcPr>
          <w:p>
            <w:pPr>
              <w:ind w:left="20"/>
              <w:spacing w:after="0"/>
              <w:rPr>
                <w:sz w:val="20"/>
                <w:szCs w:val="20"/>
                <w:color w:val="auto"/>
              </w:rPr>
            </w:pPr>
            <w:r>
              <w:rPr>
                <w:rFonts w:ascii="Arial" w:cs="Arial" w:eastAsia="Arial" w:hAnsi="Arial"/>
                <w:sz w:val="16"/>
                <w:szCs w:val="16"/>
                <w:b w:val="1"/>
                <w:bCs w:val="1"/>
                <w:color w:val="457157"/>
              </w:rPr>
              <w:t>Planning</w:t>
            </w:r>
            <w:r>
              <w:rPr>
                <w:rFonts w:ascii="Arial" w:cs="Arial" w:eastAsia="Arial" w:hAnsi="Arial"/>
                <w:sz w:val="14"/>
                <w:szCs w:val="14"/>
                <w:color w:val="000000"/>
              </w:rPr>
              <w:t>​</w:t>
            </w:r>
          </w:p>
        </w:tc>
        <w:tc>
          <w:tcPr>
            <w:tcW w:w="120" w:type="dxa"/>
            <w:vAlign w:val="bottom"/>
            <w:tcBorders>
              <w:bottom w:val="single" w:sz="8" w:color="E5E5E5"/>
            </w:tcBorders>
            <w:shd w:val="clear" w:color="auto" w:fill="E5E5E5"/>
          </w:tcPr>
          <w:p>
            <w:pPr>
              <w:spacing w:after="0"/>
              <w:rPr>
                <w:sz w:val="21"/>
                <w:szCs w:val="21"/>
                <w:color w:val="auto"/>
              </w:rPr>
            </w:pPr>
          </w:p>
        </w:tc>
        <w:tc>
          <w:tcPr>
            <w:tcW w:w="420" w:type="dxa"/>
            <w:vAlign w:val="bottom"/>
            <w:tcBorders>
              <w:bottom w:val="single" w:sz="8" w:color="E5E5E5"/>
            </w:tcBorders>
            <w:shd w:val="clear" w:color="auto" w:fill="E5E5E5"/>
          </w:tcPr>
          <w:p>
            <w:pPr>
              <w:spacing w:after="0"/>
              <w:rPr>
                <w:sz w:val="21"/>
                <w:szCs w:val="21"/>
                <w:color w:val="auto"/>
              </w:rPr>
            </w:pPr>
          </w:p>
        </w:tc>
        <w:tc>
          <w:tcPr>
            <w:tcW w:w="600" w:type="dxa"/>
            <w:vAlign w:val="bottom"/>
            <w:tcBorders>
              <w:bottom w:val="single" w:sz="8" w:color="E5E5E5"/>
            </w:tcBorders>
            <w:shd w:val="clear" w:color="auto" w:fill="E5E5E5"/>
          </w:tcPr>
          <w:p>
            <w:pPr>
              <w:spacing w:after="0"/>
              <w:rPr>
                <w:sz w:val="21"/>
                <w:szCs w:val="21"/>
                <w:color w:val="auto"/>
              </w:rPr>
            </w:pPr>
          </w:p>
        </w:tc>
        <w:tc>
          <w:tcPr>
            <w:tcW w:w="60" w:type="dxa"/>
            <w:vAlign w:val="bottom"/>
          </w:tcPr>
          <w:p>
            <w:pPr>
              <w:spacing w:after="0"/>
              <w:rPr>
                <w:sz w:val="21"/>
                <w:szCs w:val="21"/>
                <w:color w:val="auto"/>
              </w:rPr>
            </w:pPr>
          </w:p>
        </w:tc>
      </w:tr>
      <w:tr>
        <w:trPr>
          <w:trHeight w:val="274"/>
        </w:trPr>
        <w:tc>
          <w:tcPr>
            <w:tcW w:w="14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Directors   who   hold   or   have   held</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2720" w:type="dxa"/>
            <w:vAlign w:val="bottom"/>
            <w:gridSpan w:val="9"/>
            <w:shd w:val="clear" w:color="auto" w:fill="F6F8F7"/>
          </w:tcPr>
          <w:p>
            <w:pPr>
              <w:jc w:val="right"/>
              <w:ind w:right="28"/>
              <w:spacing w:after="0" w:line="27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 with a history of service</w:t>
            </w:r>
          </w:p>
        </w:tc>
        <w:tc>
          <w:tcPr>
            <w:tcW w:w="100" w:type="dxa"/>
            <w:vAlign w:val="bottom"/>
            <w:shd w:val="clear" w:color="auto" w:fill="F6F8F7"/>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Directors</w:t>
            </w:r>
          </w:p>
        </w:tc>
        <w:tc>
          <w:tcPr>
            <w:tcW w:w="140" w:type="dxa"/>
            <w:vAlign w:val="bottom"/>
            <w:shd w:val="clear" w:color="auto" w:fill="F2F2F2"/>
          </w:tcPr>
          <w:p>
            <w:pPr>
              <w:spacing w:after="0"/>
              <w:rPr>
                <w:sz w:val="23"/>
                <w:szCs w:val="23"/>
                <w:color w:val="auto"/>
              </w:rPr>
            </w:pPr>
          </w:p>
        </w:tc>
        <w:tc>
          <w:tcPr>
            <w:tcW w:w="4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with</w:t>
            </w:r>
          </w:p>
        </w:tc>
        <w:tc>
          <w:tcPr>
            <w:tcW w:w="120" w:type="dxa"/>
            <w:vAlign w:val="bottom"/>
            <w:shd w:val="clear" w:color="auto" w:fill="F2F2F2"/>
          </w:tcPr>
          <w:p>
            <w:pPr>
              <w:spacing w:after="0"/>
              <w:rPr>
                <w:sz w:val="23"/>
                <w:szCs w:val="23"/>
                <w:color w:val="auto"/>
              </w:rPr>
            </w:pPr>
          </w:p>
        </w:tc>
        <w:tc>
          <w:tcPr>
            <w:tcW w:w="1020" w:type="dxa"/>
            <w:vAlign w:val="bottom"/>
            <w:gridSpan w:val="2"/>
            <w:shd w:val="clear" w:color="auto" w:fill="F2F2F2"/>
          </w:tcPr>
          <w:p>
            <w:pPr>
              <w:jc w:val="right"/>
              <w:spacing w:after="0" w:line="274" w:lineRule="exact"/>
              <w:rPr>
                <w:sz w:val="20"/>
                <w:szCs w:val="20"/>
                <w:color w:val="auto"/>
              </w:rPr>
            </w:pPr>
            <w:r>
              <w:rPr>
                <w:rFonts w:ascii="Arial" w:cs="Arial" w:eastAsia="Arial" w:hAnsi="Arial"/>
                <w:sz w:val="14"/>
                <w:szCs w:val="14"/>
                <w:color w:val="auto"/>
              </w:rPr>
              <w:t xml:space="preserve">experience  </w:t>
            </w:r>
            <w:r>
              <w:rPr>
                <w:rFonts w:ascii="Arial" w:cs="Arial" w:eastAsia="Arial" w:hAnsi="Arial"/>
                <w:sz w:val="28"/>
                <w:szCs w:val="28"/>
                <w:color w:val="auto"/>
                <w:vertAlign w:val="superscript"/>
              </w:rPr>
              <w:t>​</w:t>
            </w:r>
          </w:p>
        </w:tc>
        <w:tc>
          <w:tcPr>
            <w:tcW w:w="60" w:type="dxa"/>
            <w:vAlign w:val="bottom"/>
          </w:tcPr>
          <w:p>
            <w:pPr>
              <w:spacing w:after="0"/>
              <w:rPr>
                <w:sz w:val="23"/>
                <w:szCs w:val="23"/>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significant executive leadership positions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on  other  public  company  boards</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developing</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and</w:t>
            </w:r>
          </w:p>
        </w:tc>
        <w:tc>
          <w:tcPr>
            <w:tcW w:w="54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driving</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the</w:t>
            </w:r>
          </w:p>
        </w:tc>
        <w:tc>
          <w:tcPr>
            <w:tcW w:w="60" w:type="dxa"/>
            <w:vAlign w:val="bottom"/>
          </w:tcPr>
          <w:p>
            <w:pPr>
              <w:spacing w:after="0"/>
              <w:rPr>
                <w:sz w:val="15"/>
                <w:szCs w:val="15"/>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with  large  organizations  provide  unique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help our Board function effectively</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2620" w:type="dxa"/>
            <w:vAlign w:val="bottom"/>
            <w:gridSpan w:val="8"/>
            <w:shd w:val="clear" w:color="auto" w:fill="F2F2F2"/>
          </w:tcPr>
          <w:p>
            <w:pPr>
              <w:ind w:left="60"/>
              <w:spacing w:after="0"/>
              <w:rPr>
                <w:sz w:val="20"/>
                <w:szCs w:val="20"/>
                <w:color w:val="auto"/>
              </w:rPr>
            </w:pPr>
            <w:r>
              <w:rPr>
                <w:rFonts w:ascii="Arial" w:cs="Arial" w:eastAsia="Arial" w:hAnsi="Arial"/>
                <w:sz w:val="14"/>
                <w:szCs w:val="14"/>
                <w:color w:val="auto"/>
              </w:rPr>
              <w:t>strategic direction and growth of</w:t>
            </w:r>
          </w:p>
        </w:tc>
        <w:tc>
          <w:tcPr>
            <w:tcW w:w="60" w:type="dxa"/>
            <w:vAlign w:val="bottom"/>
          </w:tcPr>
          <w:p>
            <w:pPr>
              <w:spacing w:after="0"/>
              <w:rPr>
                <w:sz w:val="15"/>
                <w:szCs w:val="15"/>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insights. These individuals have valuable</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by   drawing   on   knowledge   of</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large</w:t>
            </w:r>
          </w:p>
        </w:tc>
        <w:tc>
          <w:tcPr>
            <w:tcW w:w="1020" w:type="dxa"/>
            <w:vAlign w:val="bottom"/>
            <w:gridSpan w:val="5"/>
            <w:shd w:val="clear" w:color="auto" w:fill="F2F2F2"/>
          </w:tcPr>
          <w:p>
            <w:pPr>
              <w:jc w:val="right"/>
              <w:spacing w:after="0"/>
              <w:rPr>
                <w:sz w:val="20"/>
                <w:szCs w:val="20"/>
                <w:color w:val="auto"/>
              </w:rPr>
            </w:pPr>
            <w:r>
              <w:rPr>
                <w:rFonts w:ascii="Arial" w:cs="Arial" w:eastAsia="Arial" w:hAnsi="Arial"/>
                <w:sz w:val="14"/>
                <w:szCs w:val="14"/>
                <w:color w:val="auto"/>
              </w:rPr>
              <w:t>organizations</w:t>
            </w:r>
          </w:p>
        </w:tc>
        <w:tc>
          <w:tcPr>
            <w:tcW w:w="102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provide</w:t>
            </w:r>
          </w:p>
        </w:tc>
        <w:tc>
          <w:tcPr>
            <w:tcW w:w="60" w:type="dxa"/>
            <w:vAlign w:val="bottom"/>
          </w:tcPr>
          <w:p>
            <w:pPr>
              <w:spacing w:after="0"/>
              <w:rPr>
                <w:sz w:val="14"/>
                <w:szCs w:val="14"/>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experience developing talent and solving</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governance best practices. These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valuable</w:t>
            </w:r>
          </w:p>
        </w:tc>
        <w:tc>
          <w:tcPr>
            <w:tcW w:w="740" w:type="dxa"/>
            <w:vAlign w:val="bottom"/>
            <w:gridSpan w:val="4"/>
            <w:shd w:val="clear" w:color="auto" w:fill="F2F2F2"/>
          </w:tcPr>
          <w:p>
            <w:pPr>
              <w:ind w:left="40"/>
              <w:spacing w:after="0"/>
              <w:rPr>
                <w:sz w:val="20"/>
                <w:szCs w:val="20"/>
                <w:color w:val="auto"/>
              </w:rPr>
            </w:pPr>
            <w:r>
              <w:rPr>
                <w:rFonts w:ascii="Arial" w:cs="Arial" w:eastAsia="Arial" w:hAnsi="Arial"/>
                <w:sz w:val="14"/>
                <w:szCs w:val="14"/>
                <w:color w:val="auto"/>
              </w:rPr>
              <w:t>guidance</w:t>
            </w:r>
          </w:p>
        </w:tc>
        <w:tc>
          <w:tcPr>
            <w:tcW w:w="4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the</w:t>
            </w:r>
          </w:p>
        </w:tc>
        <w:tc>
          <w:tcPr>
            <w:tcW w:w="60" w:type="dxa"/>
            <w:vAlign w:val="bottom"/>
          </w:tcPr>
          <w:p>
            <w:pPr>
              <w:spacing w:after="0"/>
              <w:rPr>
                <w:sz w:val="15"/>
                <w:szCs w:val="15"/>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problems in large, complex organizations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individuals</w:t>
            </w:r>
          </w:p>
        </w:tc>
        <w:tc>
          <w:tcPr>
            <w:tcW w:w="80" w:type="dxa"/>
            <w:vAlign w:val="bottom"/>
            <w:shd w:val="clear" w:color="auto" w:fill="F6F8F7"/>
          </w:tcPr>
          <w:p>
            <w:pPr>
              <w:spacing w:after="0"/>
              <w:rPr>
                <w:sz w:val="15"/>
                <w:szCs w:val="15"/>
                <w:color w:val="auto"/>
              </w:rPr>
            </w:pPr>
          </w:p>
        </w:tc>
        <w:tc>
          <w:tcPr>
            <w:tcW w:w="420" w:type="dxa"/>
            <w:vAlign w:val="bottom"/>
            <w:gridSpan w:val="2"/>
            <w:shd w:val="clear" w:color="auto" w:fill="F6F8F7"/>
          </w:tcPr>
          <w:p>
            <w:pPr>
              <w:jc w:val="right"/>
              <w:spacing w:after="0"/>
              <w:rPr>
                <w:sz w:val="20"/>
                <w:szCs w:val="20"/>
                <w:color w:val="auto"/>
              </w:rPr>
            </w:pPr>
            <w:r>
              <w:rPr>
                <w:rFonts w:ascii="Arial" w:cs="Arial" w:eastAsia="Arial" w:hAnsi="Arial"/>
                <w:sz w:val="14"/>
                <w:szCs w:val="14"/>
                <w:color w:val="auto"/>
              </w:rPr>
              <w:t>bring</w:t>
            </w:r>
          </w:p>
        </w:tc>
        <w:tc>
          <w:tcPr>
            <w:tcW w:w="320" w:type="dxa"/>
            <w:vAlign w:val="bottom"/>
            <w:shd w:val="clear" w:color="auto" w:fill="F6F8F7"/>
          </w:tcPr>
          <w:p>
            <w:pPr>
              <w:ind w:left="160"/>
              <w:spacing w:after="0"/>
              <w:rPr>
                <w:sz w:val="20"/>
                <w:szCs w:val="20"/>
                <w:color w:val="auto"/>
              </w:rPr>
            </w:pPr>
            <w:r>
              <w:rPr>
                <w:rFonts w:ascii="Arial" w:cs="Arial" w:eastAsia="Arial" w:hAnsi="Arial"/>
                <w:sz w:val="14"/>
                <w:szCs w:val="14"/>
                <w:color w:val="auto"/>
              </w:rPr>
              <w:t>a</w:t>
            </w:r>
          </w:p>
        </w:tc>
        <w:tc>
          <w:tcPr>
            <w:tcW w:w="840" w:type="dxa"/>
            <w:vAlign w:val="bottom"/>
            <w:gridSpan w:val="2"/>
            <w:shd w:val="clear" w:color="auto" w:fill="F6F8F7"/>
          </w:tcPr>
          <w:p>
            <w:pPr>
              <w:jc w:val="right"/>
              <w:ind w:right="28"/>
              <w:spacing w:after="0"/>
              <w:rPr>
                <w:sz w:val="20"/>
                <w:szCs w:val="20"/>
                <w:color w:val="auto"/>
              </w:rPr>
            </w:pPr>
            <w:r>
              <w:rPr>
                <w:rFonts w:ascii="Arial" w:cs="Arial" w:eastAsia="Arial" w:hAnsi="Arial"/>
                <w:sz w:val="14"/>
                <w:szCs w:val="14"/>
                <w:color w:val="auto"/>
              </w:rPr>
              <w:t>practical</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Company’s</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senior</w:t>
            </w:r>
          </w:p>
        </w:tc>
        <w:tc>
          <w:tcPr>
            <w:tcW w:w="120" w:type="dxa"/>
            <w:vAlign w:val="bottom"/>
            <w:shd w:val="clear" w:color="auto" w:fill="F2F2F2"/>
          </w:tcPr>
          <w:p>
            <w:pPr>
              <w:spacing w:after="0"/>
              <w:rPr>
                <w:sz w:val="15"/>
                <w:szCs w:val="15"/>
                <w:color w:val="auto"/>
              </w:rPr>
            </w:pPr>
          </w:p>
        </w:tc>
        <w:tc>
          <w:tcPr>
            <w:tcW w:w="102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leadership</w:t>
            </w:r>
          </w:p>
        </w:tc>
        <w:tc>
          <w:tcPr>
            <w:tcW w:w="60" w:type="dxa"/>
            <w:vAlign w:val="bottom"/>
          </w:tcPr>
          <w:p>
            <w:pPr>
              <w:spacing w:after="0"/>
              <w:rPr>
                <w:sz w:val="15"/>
                <w:szCs w:val="15"/>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can capably and confidently advise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5"/>
            <w:shd w:val="clear" w:color="auto" w:fill="F6F8F7"/>
          </w:tcPr>
          <w:p>
            <w:pPr>
              <w:ind w:left="180"/>
              <w:spacing w:after="0"/>
              <w:rPr>
                <w:sz w:val="20"/>
                <w:szCs w:val="20"/>
                <w:color w:val="auto"/>
              </w:rPr>
            </w:pPr>
            <w:r>
              <w:rPr>
                <w:rFonts w:ascii="Arial" w:cs="Arial" w:eastAsia="Arial" w:hAnsi="Arial"/>
                <w:sz w:val="14"/>
                <w:szCs w:val="14"/>
                <w:color w:val="auto"/>
              </w:rPr>
              <w:t>understanding</w:t>
            </w:r>
          </w:p>
        </w:tc>
        <w:tc>
          <w:tcPr>
            <w:tcW w:w="200" w:type="dxa"/>
            <w:vAlign w:val="bottom"/>
            <w:shd w:val="clear" w:color="auto" w:fill="F6F8F7"/>
          </w:tcPr>
          <w:p>
            <w:pPr>
              <w:jc w:val="right"/>
              <w:spacing w:after="0"/>
              <w:rPr>
                <w:sz w:val="20"/>
                <w:szCs w:val="20"/>
                <w:color w:val="auto"/>
              </w:rPr>
            </w:pPr>
            <w:r>
              <w:rPr>
                <w:rFonts w:ascii="Arial" w:cs="Arial" w:eastAsia="Arial" w:hAnsi="Arial"/>
                <w:sz w:val="14"/>
                <w:szCs w:val="14"/>
                <w:color w:val="auto"/>
              </w:rPr>
              <w:t>of</w:t>
            </w:r>
          </w:p>
        </w:tc>
        <w:tc>
          <w:tcPr>
            <w:tcW w:w="1160" w:type="dxa"/>
            <w:vAlign w:val="bottom"/>
            <w:gridSpan w:val="3"/>
            <w:shd w:val="clear" w:color="auto" w:fill="F6F8F7"/>
          </w:tcPr>
          <w:p>
            <w:pPr>
              <w:jc w:val="right"/>
              <w:ind w:right="28"/>
              <w:spacing w:after="0"/>
              <w:rPr>
                <w:sz w:val="20"/>
                <w:szCs w:val="20"/>
                <w:color w:val="auto"/>
              </w:rPr>
            </w:pPr>
            <w:r>
              <w:rPr>
                <w:rFonts w:ascii="Arial" w:cs="Arial" w:eastAsia="Arial" w:hAnsi="Arial"/>
                <w:sz w:val="14"/>
                <w:szCs w:val="14"/>
                <w:color w:val="auto"/>
              </w:rPr>
              <w:t>organizations</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team.</w:t>
            </w:r>
          </w:p>
        </w:tc>
        <w:tc>
          <w:tcPr>
            <w:tcW w:w="58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These</w:t>
            </w:r>
          </w:p>
        </w:tc>
        <w:tc>
          <w:tcPr>
            <w:tcW w:w="86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individuals</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have</w:t>
            </w:r>
          </w:p>
        </w:tc>
        <w:tc>
          <w:tcPr>
            <w:tcW w:w="60" w:type="dxa"/>
            <w:vAlign w:val="bottom"/>
          </w:tcPr>
          <w:p>
            <w:pPr>
              <w:spacing w:after="0"/>
              <w:rPr>
                <w:sz w:val="15"/>
                <w:szCs w:val="15"/>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the Company’s senior leadership team on</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and processes and the importance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140" w:type="dxa"/>
            <w:vAlign w:val="bottom"/>
            <w:shd w:val="clear" w:color="auto" w:fill="F2F2F2"/>
          </w:tcPr>
          <w:p>
            <w:pPr>
              <w:ind w:left="20"/>
              <w:spacing w:after="0"/>
              <w:rPr>
                <w:sz w:val="20"/>
                <w:szCs w:val="20"/>
                <w:color w:val="auto"/>
              </w:rPr>
            </w:pPr>
            <w:r>
              <w:rPr>
                <w:rFonts w:ascii="Arial" w:cs="Arial" w:eastAsia="Arial" w:hAnsi="Arial"/>
                <w:sz w:val="14"/>
                <w:szCs w:val="14"/>
                <w:color w:val="auto"/>
                <w:w w:val="91"/>
              </w:rPr>
              <w:t>in</w:t>
            </w:r>
          </w:p>
        </w:tc>
        <w:tc>
          <w:tcPr>
            <w:tcW w:w="160" w:type="dxa"/>
            <w:vAlign w:val="bottom"/>
            <w:shd w:val="clear" w:color="auto" w:fill="F2F2F2"/>
          </w:tcPr>
          <w:p>
            <w:pPr>
              <w:spacing w:after="0"/>
              <w:rPr>
                <w:sz w:val="15"/>
                <w:szCs w:val="15"/>
                <w:color w:val="auto"/>
              </w:rPr>
            </w:pP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areas</w:t>
            </w:r>
          </w:p>
        </w:tc>
        <w:tc>
          <w:tcPr>
            <w:tcW w:w="102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including</w:t>
            </w:r>
          </w:p>
        </w:tc>
        <w:tc>
          <w:tcPr>
            <w:tcW w:w="60" w:type="dxa"/>
            <w:vAlign w:val="bottom"/>
          </w:tcPr>
          <w:p>
            <w:pPr>
              <w:spacing w:after="0"/>
              <w:rPr>
                <w:sz w:val="15"/>
                <w:szCs w:val="15"/>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 wide range of issues. These individuals</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shd w:val="clear" w:color="auto" w:fill="F6F8F7"/>
          </w:tcPr>
          <w:p>
            <w:pPr>
              <w:ind w:left="180"/>
              <w:spacing w:after="0"/>
              <w:rPr>
                <w:sz w:val="20"/>
                <w:szCs w:val="20"/>
                <w:color w:val="auto"/>
              </w:rPr>
            </w:pPr>
            <w:r>
              <w:rPr>
                <w:rFonts w:ascii="Arial" w:cs="Arial" w:eastAsia="Arial" w:hAnsi="Arial"/>
                <w:sz w:val="14"/>
                <w:szCs w:val="14"/>
                <w:color w:val="auto"/>
              </w:rPr>
              <w:t>of</w:t>
            </w:r>
          </w:p>
        </w:tc>
        <w:tc>
          <w:tcPr>
            <w:tcW w:w="1180" w:type="dxa"/>
            <w:vAlign w:val="bottom"/>
            <w:gridSpan w:val="5"/>
            <w:shd w:val="clear" w:color="auto" w:fill="F6F8F7"/>
          </w:tcPr>
          <w:p>
            <w:pPr>
              <w:jc w:val="right"/>
              <w:ind w:right="68"/>
              <w:spacing w:after="0"/>
              <w:rPr>
                <w:sz w:val="20"/>
                <w:szCs w:val="20"/>
                <w:color w:val="auto"/>
              </w:rPr>
            </w:pPr>
            <w:r>
              <w:rPr>
                <w:rFonts w:ascii="Arial" w:cs="Arial" w:eastAsia="Arial" w:hAnsi="Arial"/>
                <w:sz w:val="14"/>
                <w:szCs w:val="14"/>
                <w:color w:val="auto"/>
              </w:rPr>
              <w:t>management</w:t>
            </w:r>
          </w:p>
        </w:tc>
        <w:tc>
          <w:tcPr>
            <w:tcW w:w="1160" w:type="dxa"/>
            <w:vAlign w:val="bottom"/>
            <w:gridSpan w:val="3"/>
            <w:shd w:val="clear" w:color="auto" w:fill="F6F8F7"/>
          </w:tcPr>
          <w:p>
            <w:pPr>
              <w:jc w:val="right"/>
              <w:ind w:right="28"/>
              <w:spacing w:after="0"/>
              <w:rPr>
                <w:sz w:val="20"/>
                <w:szCs w:val="20"/>
                <w:color w:val="auto"/>
              </w:rPr>
            </w:pPr>
            <w:r>
              <w:rPr>
                <w:rFonts w:ascii="Arial" w:cs="Arial" w:eastAsia="Arial" w:hAnsi="Arial"/>
                <w:sz w:val="14"/>
                <w:szCs w:val="14"/>
                <w:color w:val="auto"/>
              </w:rPr>
              <w:t>accountability,</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16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transformation,</w:t>
            </w:r>
          </w:p>
        </w:tc>
        <w:tc>
          <w:tcPr>
            <w:tcW w:w="86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innovation</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and</w:t>
            </w:r>
          </w:p>
        </w:tc>
        <w:tc>
          <w:tcPr>
            <w:tcW w:w="60" w:type="dxa"/>
            <w:vAlign w:val="bottom"/>
          </w:tcPr>
          <w:p>
            <w:pPr>
              <w:spacing w:after="0"/>
              <w:rPr>
                <w:sz w:val="14"/>
                <w:szCs w:val="14"/>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often  possess  extraordinary  leadership</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shd w:val="clear" w:color="auto" w:fill="F6F8F7"/>
          </w:tcPr>
          <w:p>
            <w:pPr>
              <w:ind w:left="180"/>
              <w:spacing w:after="0"/>
              <w:rPr>
                <w:sz w:val="20"/>
                <w:szCs w:val="20"/>
                <w:color w:val="auto"/>
              </w:rPr>
            </w:pPr>
            <w:r>
              <w:rPr>
                <w:rFonts w:ascii="Arial" w:cs="Arial" w:eastAsia="Arial" w:hAnsi="Arial"/>
                <w:sz w:val="14"/>
                <w:szCs w:val="14"/>
                <w:color w:val="auto"/>
              </w:rPr>
              <w:t>transparency,</w:t>
            </w:r>
          </w:p>
        </w:tc>
        <w:tc>
          <w:tcPr>
            <w:tcW w:w="420" w:type="dxa"/>
            <w:vAlign w:val="bottom"/>
            <w:gridSpan w:val="2"/>
            <w:shd w:val="clear" w:color="auto" w:fill="F6F8F7"/>
          </w:tcPr>
          <w:p>
            <w:pPr>
              <w:jc w:val="right"/>
              <w:spacing w:after="0"/>
              <w:rPr>
                <w:sz w:val="20"/>
                <w:szCs w:val="20"/>
                <w:color w:val="auto"/>
              </w:rPr>
            </w:pPr>
            <w:r>
              <w:rPr>
                <w:rFonts w:ascii="Arial" w:cs="Arial" w:eastAsia="Arial" w:hAnsi="Arial"/>
                <w:sz w:val="14"/>
                <w:szCs w:val="14"/>
                <w:color w:val="auto"/>
              </w:rPr>
              <w:t>and</w:t>
            </w:r>
          </w:p>
        </w:tc>
        <w:tc>
          <w:tcPr>
            <w:tcW w:w="320" w:type="dxa"/>
            <w:vAlign w:val="bottom"/>
            <w:shd w:val="clear" w:color="auto" w:fill="F6F8F7"/>
          </w:tcPr>
          <w:p>
            <w:pPr>
              <w:jc w:val="center"/>
              <w:spacing w:after="0"/>
              <w:rPr>
                <w:sz w:val="20"/>
                <w:szCs w:val="20"/>
                <w:color w:val="auto"/>
              </w:rPr>
            </w:pPr>
            <w:r>
              <w:rPr>
                <w:rFonts w:ascii="Arial" w:cs="Arial" w:eastAsia="Arial" w:hAnsi="Arial"/>
                <w:sz w:val="14"/>
                <w:szCs w:val="14"/>
                <w:color w:val="auto"/>
              </w:rPr>
              <w:t>the</w:t>
            </w:r>
          </w:p>
        </w:tc>
        <w:tc>
          <w:tcPr>
            <w:tcW w:w="840" w:type="dxa"/>
            <w:vAlign w:val="bottom"/>
            <w:gridSpan w:val="2"/>
            <w:shd w:val="clear" w:color="auto" w:fill="F6F8F7"/>
          </w:tcPr>
          <w:p>
            <w:pPr>
              <w:jc w:val="right"/>
              <w:ind w:right="28"/>
              <w:spacing w:after="0"/>
              <w:rPr>
                <w:sz w:val="20"/>
                <w:szCs w:val="20"/>
                <w:color w:val="auto"/>
              </w:rPr>
            </w:pPr>
            <w:r>
              <w:rPr>
                <w:rFonts w:ascii="Arial" w:cs="Arial" w:eastAsia="Arial" w:hAnsi="Arial"/>
                <w:sz w:val="14"/>
                <w:szCs w:val="14"/>
                <w:color w:val="auto"/>
              </w:rPr>
              <w:t>protection</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change</w:t>
            </w:r>
          </w:p>
        </w:tc>
        <w:tc>
          <w:tcPr>
            <w:tcW w:w="2040" w:type="dxa"/>
            <w:vAlign w:val="bottom"/>
            <w:gridSpan w:val="7"/>
            <w:shd w:val="clear" w:color="auto" w:fill="F2F2F2"/>
          </w:tcPr>
          <w:p>
            <w:pPr>
              <w:jc w:val="right"/>
              <w:ind w:right="168"/>
              <w:spacing w:after="0"/>
              <w:rPr>
                <w:sz w:val="20"/>
                <w:szCs w:val="20"/>
                <w:color w:val="auto"/>
              </w:rPr>
            </w:pPr>
            <w:r>
              <w:rPr>
                <w:rFonts w:ascii="Arial" w:cs="Arial" w:eastAsia="Arial" w:hAnsi="Arial"/>
                <w:sz w:val="14"/>
                <w:szCs w:val="14"/>
                <w:color w:val="auto"/>
              </w:rPr>
              <w:t>management.   These</w:t>
            </w:r>
          </w:p>
        </w:tc>
        <w:tc>
          <w:tcPr>
            <w:tcW w:w="60" w:type="dxa"/>
            <w:vAlign w:val="bottom"/>
          </w:tcPr>
          <w:p>
            <w:pPr>
              <w:spacing w:after="0"/>
              <w:rPr>
                <w:sz w:val="15"/>
                <w:szCs w:val="15"/>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qualities and have the ability to identify</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shd w:val="clear" w:color="auto" w:fill="F6F8F7"/>
          </w:tcPr>
          <w:p>
            <w:pPr>
              <w:ind w:left="180"/>
              <w:spacing w:after="0"/>
              <w:rPr>
                <w:sz w:val="20"/>
                <w:szCs w:val="20"/>
                <w:color w:val="auto"/>
              </w:rPr>
            </w:pPr>
            <w:r>
              <w:rPr>
                <w:rFonts w:ascii="Arial" w:cs="Arial" w:eastAsia="Arial" w:hAnsi="Arial"/>
                <w:sz w:val="14"/>
                <w:szCs w:val="14"/>
                <w:color w:val="auto"/>
              </w:rPr>
              <w:t>of</w:t>
            </w:r>
          </w:p>
        </w:tc>
        <w:tc>
          <w:tcPr>
            <w:tcW w:w="980" w:type="dxa"/>
            <w:vAlign w:val="bottom"/>
            <w:gridSpan w:val="4"/>
            <w:shd w:val="clear" w:color="auto" w:fill="F6F8F7"/>
          </w:tcPr>
          <w:p>
            <w:pPr>
              <w:ind w:left="80"/>
              <w:spacing w:after="0"/>
              <w:rPr>
                <w:sz w:val="20"/>
                <w:szCs w:val="20"/>
                <w:color w:val="auto"/>
              </w:rPr>
            </w:pPr>
            <w:r>
              <w:rPr>
                <w:rFonts w:ascii="Arial" w:cs="Arial" w:eastAsia="Arial" w:hAnsi="Arial"/>
                <w:sz w:val="14"/>
                <w:szCs w:val="14"/>
                <w:color w:val="auto"/>
              </w:rPr>
              <w:t>stockholder</w:t>
            </w:r>
          </w:p>
        </w:tc>
        <w:tc>
          <w:tcPr>
            <w:tcW w:w="820" w:type="dxa"/>
            <w:vAlign w:val="bottom"/>
            <w:gridSpan w:val="3"/>
            <w:shd w:val="clear" w:color="auto" w:fill="F6F8F7"/>
          </w:tcPr>
          <w:p>
            <w:pPr>
              <w:jc w:val="center"/>
              <w:ind w:right="8"/>
              <w:spacing w:after="0"/>
              <w:rPr>
                <w:sz w:val="20"/>
                <w:szCs w:val="20"/>
                <w:color w:val="auto"/>
              </w:rPr>
            </w:pPr>
            <w:r>
              <w:rPr>
                <w:rFonts w:ascii="Arial" w:cs="Arial" w:eastAsia="Arial" w:hAnsi="Arial"/>
                <w:sz w:val="14"/>
                <w:szCs w:val="14"/>
                <w:color w:val="auto"/>
              </w:rPr>
              <w:t>interests.</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These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individuals</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often</w:t>
            </w:r>
          </w:p>
        </w:tc>
        <w:tc>
          <w:tcPr>
            <w:tcW w:w="540" w:type="dxa"/>
            <w:vAlign w:val="bottom"/>
            <w:gridSpan w:val="2"/>
            <w:shd w:val="clear" w:color="auto" w:fill="F2F2F2"/>
          </w:tcPr>
          <w:p>
            <w:pPr>
              <w:ind w:left="80"/>
              <w:spacing w:after="0"/>
              <w:rPr>
                <w:sz w:val="20"/>
                <w:szCs w:val="20"/>
                <w:color w:val="auto"/>
              </w:rPr>
            </w:pPr>
            <w:r>
              <w:rPr>
                <w:rFonts w:ascii="Arial" w:cs="Arial" w:eastAsia="Arial" w:hAnsi="Arial"/>
                <w:sz w:val="14"/>
                <w:szCs w:val="14"/>
                <w:color w:val="auto"/>
              </w:rPr>
              <w:t>also</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have</w:t>
            </w:r>
          </w:p>
        </w:tc>
        <w:tc>
          <w:tcPr>
            <w:tcW w:w="60" w:type="dxa"/>
            <w:vAlign w:val="bottom"/>
          </w:tcPr>
          <w:p>
            <w:pPr>
              <w:spacing w:after="0"/>
              <w:rPr>
                <w:sz w:val="15"/>
                <w:szCs w:val="15"/>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develop these qualities in others.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individuals</w:t>
            </w:r>
          </w:p>
        </w:tc>
        <w:tc>
          <w:tcPr>
            <w:tcW w:w="80" w:type="dxa"/>
            <w:vAlign w:val="bottom"/>
            <w:shd w:val="clear" w:color="auto" w:fill="F6F8F7"/>
          </w:tcPr>
          <w:p>
            <w:pPr>
              <w:spacing w:after="0"/>
              <w:rPr>
                <w:sz w:val="15"/>
                <w:szCs w:val="15"/>
                <w:color w:val="auto"/>
              </w:rPr>
            </w:pPr>
          </w:p>
        </w:tc>
        <w:tc>
          <w:tcPr>
            <w:tcW w:w="420" w:type="dxa"/>
            <w:vAlign w:val="bottom"/>
            <w:gridSpan w:val="2"/>
            <w:shd w:val="clear" w:color="auto" w:fill="F6F8F7"/>
          </w:tcPr>
          <w:p>
            <w:pPr>
              <w:jc w:val="right"/>
              <w:ind w:right="8"/>
              <w:spacing w:after="0"/>
              <w:rPr>
                <w:sz w:val="20"/>
                <w:szCs w:val="20"/>
                <w:color w:val="auto"/>
              </w:rPr>
            </w:pPr>
            <w:r>
              <w:rPr>
                <w:rFonts w:ascii="Arial" w:cs="Arial" w:eastAsia="Arial" w:hAnsi="Arial"/>
                <w:sz w:val="14"/>
                <w:szCs w:val="14"/>
                <w:color w:val="auto"/>
              </w:rPr>
              <w:t>help</w:t>
            </w:r>
          </w:p>
        </w:tc>
        <w:tc>
          <w:tcPr>
            <w:tcW w:w="620" w:type="dxa"/>
            <w:vAlign w:val="bottom"/>
            <w:gridSpan w:val="2"/>
            <w:shd w:val="clear" w:color="auto" w:fill="F6F8F7"/>
          </w:tcPr>
          <w:p>
            <w:pPr>
              <w:ind w:left="180"/>
              <w:spacing w:after="0"/>
              <w:rPr>
                <w:sz w:val="20"/>
                <w:szCs w:val="20"/>
                <w:color w:val="auto"/>
              </w:rPr>
            </w:pPr>
            <w:r>
              <w:rPr>
                <w:rFonts w:ascii="Arial" w:cs="Arial" w:eastAsia="Arial" w:hAnsi="Arial"/>
                <w:sz w:val="14"/>
                <w:szCs w:val="14"/>
                <w:color w:val="auto"/>
              </w:rPr>
              <w:t>our</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Board</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0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sophisticated</w:t>
            </w:r>
          </w:p>
        </w:tc>
        <w:tc>
          <w:tcPr>
            <w:tcW w:w="160" w:type="dxa"/>
            <w:vAlign w:val="bottom"/>
            <w:shd w:val="clear" w:color="auto" w:fill="F2F2F2"/>
          </w:tcPr>
          <w:p>
            <w:pPr>
              <w:spacing w:after="0"/>
              <w:rPr>
                <w:sz w:val="15"/>
                <w:szCs w:val="15"/>
                <w:color w:val="auto"/>
              </w:rPr>
            </w:pPr>
          </w:p>
        </w:tc>
        <w:tc>
          <w:tcPr>
            <w:tcW w:w="860" w:type="dxa"/>
            <w:vAlign w:val="bottom"/>
            <w:gridSpan w:val="3"/>
            <w:shd w:val="clear" w:color="auto" w:fill="F2F2F2"/>
          </w:tcPr>
          <w:p>
            <w:pPr>
              <w:jc w:val="center"/>
              <w:spacing w:after="0"/>
              <w:rPr>
                <w:sz w:val="20"/>
                <w:szCs w:val="20"/>
                <w:color w:val="auto"/>
              </w:rPr>
            </w:pPr>
            <w:r>
              <w:rPr>
                <w:rFonts w:ascii="Arial" w:cs="Arial" w:eastAsia="Arial" w:hAnsi="Arial"/>
                <w:sz w:val="14"/>
                <w:szCs w:val="14"/>
                <w:color w:val="auto"/>
              </w:rPr>
              <w:t>experience</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in</w:t>
            </w:r>
          </w:p>
        </w:tc>
        <w:tc>
          <w:tcPr>
            <w:tcW w:w="60" w:type="dxa"/>
            <w:vAlign w:val="bottom"/>
          </w:tcPr>
          <w:p>
            <w:pPr>
              <w:spacing w:after="0"/>
              <w:rPr>
                <w:sz w:val="15"/>
                <w:szCs w:val="15"/>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structure</w:t>
            </w:r>
          </w:p>
        </w:tc>
        <w:tc>
          <w:tcPr>
            <w:tcW w:w="300" w:type="dxa"/>
            <w:vAlign w:val="bottom"/>
            <w:gridSpan w:val="2"/>
            <w:shd w:val="clear" w:color="auto" w:fill="F6F8F7"/>
          </w:tcPr>
          <w:p>
            <w:pPr>
              <w:ind w:left="20"/>
              <w:spacing w:after="0"/>
              <w:rPr>
                <w:sz w:val="20"/>
                <w:szCs w:val="20"/>
                <w:color w:val="auto"/>
              </w:rPr>
            </w:pPr>
            <w:r>
              <w:rPr>
                <w:rFonts w:ascii="Arial" w:cs="Arial" w:eastAsia="Arial" w:hAnsi="Arial"/>
                <w:sz w:val="14"/>
                <w:szCs w:val="14"/>
                <w:color w:val="auto"/>
              </w:rPr>
              <w:t>and</w:t>
            </w:r>
          </w:p>
        </w:tc>
        <w:tc>
          <w:tcPr>
            <w:tcW w:w="200" w:type="dxa"/>
            <w:vAlign w:val="bottom"/>
            <w:shd w:val="clear" w:color="auto" w:fill="F6F8F7"/>
          </w:tcPr>
          <w:p>
            <w:pPr>
              <w:spacing w:after="0"/>
              <w:rPr>
                <w:sz w:val="14"/>
                <w:szCs w:val="14"/>
                <w:color w:val="auto"/>
              </w:rPr>
            </w:pPr>
          </w:p>
        </w:tc>
        <w:tc>
          <w:tcPr>
            <w:tcW w:w="620" w:type="dxa"/>
            <w:vAlign w:val="bottom"/>
            <w:gridSpan w:val="2"/>
            <w:shd w:val="clear" w:color="auto" w:fill="F6F8F7"/>
          </w:tcPr>
          <w:p>
            <w:pPr>
              <w:ind w:left="60"/>
              <w:spacing w:after="0"/>
              <w:rPr>
                <w:sz w:val="20"/>
                <w:szCs w:val="20"/>
                <w:color w:val="auto"/>
              </w:rPr>
            </w:pPr>
            <w:r>
              <w:rPr>
                <w:rFonts w:ascii="Arial" w:cs="Arial" w:eastAsia="Arial" w:hAnsi="Arial"/>
                <w:sz w:val="14"/>
                <w:szCs w:val="14"/>
                <w:color w:val="auto"/>
              </w:rPr>
              <w:t>execute</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its</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growth</w:t>
            </w:r>
          </w:p>
        </w:tc>
        <w:tc>
          <w:tcPr>
            <w:tcW w:w="580" w:type="dxa"/>
            <w:vAlign w:val="bottom"/>
            <w:gridSpan w:val="3"/>
            <w:shd w:val="clear" w:color="auto" w:fill="F2F2F2"/>
          </w:tcPr>
          <w:p>
            <w:pPr>
              <w:ind w:left="40"/>
              <w:spacing w:after="0"/>
              <w:rPr>
                <w:sz w:val="20"/>
                <w:szCs w:val="20"/>
                <w:color w:val="auto"/>
              </w:rPr>
            </w:pPr>
            <w:r>
              <w:rPr>
                <w:rFonts w:ascii="Arial" w:cs="Arial" w:eastAsia="Arial" w:hAnsi="Arial"/>
                <w:sz w:val="14"/>
                <w:szCs w:val="14"/>
                <w:color w:val="auto"/>
              </w:rPr>
              <w:t>through</w:t>
            </w: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large</w:t>
            </w:r>
          </w:p>
        </w:tc>
        <w:tc>
          <w:tcPr>
            <w:tcW w:w="102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corporate</w:t>
            </w:r>
          </w:p>
        </w:tc>
        <w:tc>
          <w:tcPr>
            <w:tcW w:w="60" w:type="dxa"/>
            <w:vAlign w:val="bottom"/>
          </w:tcPr>
          <w:p>
            <w:pPr>
              <w:spacing w:after="0"/>
              <w:rPr>
                <w:sz w:val="14"/>
                <w:szCs w:val="14"/>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independent</w:t>
            </w:r>
          </w:p>
        </w:tc>
        <w:tc>
          <w:tcPr>
            <w:tcW w:w="80" w:type="dxa"/>
            <w:vAlign w:val="bottom"/>
            <w:shd w:val="clear" w:color="auto" w:fill="F6F8F7"/>
          </w:tcPr>
          <w:p>
            <w:pPr>
              <w:spacing w:after="0"/>
              <w:rPr>
                <w:sz w:val="15"/>
                <w:szCs w:val="15"/>
                <w:color w:val="auto"/>
              </w:rPr>
            </w:pPr>
          </w:p>
        </w:tc>
        <w:tc>
          <w:tcPr>
            <w:tcW w:w="220" w:type="dxa"/>
            <w:vAlign w:val="bottom"/>
            <w:shd w:val="clear" w:color="auto" w:fill="F6F8F7"/>
          </w:tcPr>
          <w:p>
            <w:pPr>
              <w:spacing w:after="0"/>
              <w:rPr>
                <w:sz w:val="15"/>
                <w:szCs w:val="15"/>
                <w:color w:val="auto"/>
              </w:rPr>
            </w:pPr>
          </w:p>
        </w:tc>
        <w:tc>
          <w:tcPr>
            <w:tcW w:w="820" w:type="dxa"/>
            <w:vAlign w:val="bottom"/>
            <w:gridSpan w:val="3"/>
            <w:shd w:val="clear" w:color="auto" w:fill="F6F8F7"/>
          </w:tcPr>
          <w:p>
            <w:pPr>
              <w:ind w:left="100"/>
              <w:spacing w:after="0"/>
              <w:rPr>
                <w:sz w:val="20"/>
                <w:szCs w:val="20"/>
                <w:color w:val="auto"/>
              </w:rPr>
            </w:pPr>
            <w:r>
              <w:rPr>
                <w:rFonts w:ascii="Arial" w:cs="Arial" w:eastAsia="Arial" w:hAnsi="Arial"/>
                <w:sz w:val="14"/>
                <w:szCs w:val="14"/>
                <w:color w:val="auto"/>
              </w:rPr>
              <w:t>oversight</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of</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0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transactions,</w:t>
            </w:r>
          </w:p>
        </w:tc>
        <w:tc>
          <w:tcPr>
            <w:tcW w:w="160" w:type="dxa"/>
            <w:vAlign w:val="bottom"/>
            <w:shd w:val="clear" w:color="auto" w:fill="F2F2F2"/>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20" w:type="dxa"/>
            <w:vAlign w:val="bottom"/>
            <w:gridSpan w:val="2"/>
            <w:shd w:val="clear" w:color="auto" w:fill="F2F2F2"/>
          </w:tcPr>
          <w:p>
            <w:pPr>
              <w:jc w:val="right"/>
              <w:ind w:right="188"/>
              <w:spacing w:after="0"/>
              <w:rPr>
                <w:sz w:val="20"/>
                <w:szCs w:val="20"/>
                <w:color w:val="auto"/>
              </w:rPr>
            </w:pPr>
            <w:r>
              <w:rPr>
                <w:rFonts w:ascii="Arial" w:cs="Arial" w:eastAsia="Arial" w:hAnsi="Arial"/>
                <w:sz w:val="14"/>
                <w:szCs w:val="14"/>
                <w:color w:val="auto"/>
              </w:rPr>
              <w:t>including</w:t>
            </w:r>
          </w:p>
        </w:tc>
        <w:tc>
          <w:tcPr>
            <w:tcW w:w="60" w:type="dxa"/>
            <w:vAlign w:val="bottom"/>
          </w:tcPr>
          <w:p>
            <w:pPr>
              <w:spacing w:after="0"/>
              <w:rPr>
                <w:sz w:val="15"/>
                <w:szCs w:val="15"/>
                <w:color w:val="auto"/>
              </w:rPr>
            </w:pPr>
          </w:p>
        </w:tc>
      </w:tr>
      <w:tr>
        <w:trPr>
          <w:trHeight w:val="190"/>
        </w:trPr>
        <w:tc>
          <w:tcPr>
            <w:tcW w:w="140" w:type="dxa"/>
            <w:vAlign w:val="bottom"/>
            <w:shd w:val="clear" w:color="auto" w:fill="F2F2F2"/>
          </w:tcPr>
          <w:p>
            <w:pPr>
              <w:spacing w:after="0"/>
              <w:rPr>
                <w:sz w:val="16"/>
                <w:szCs w:val="16"/>
                <w:color w:val="auto"/>
              </w:rPr>
            </w:pPr>
          </w:p>
        </w:tc>
        <w:tc>
          <w:tcPr>
            <w:tcW w:w="31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4"/>
            <w:shd w:val="clear" w:color="auto" w:fill="F6F8F7"/>
          </w:tcPr>
          <w:p>
            <w:pPr>
              <w:ind w:left="180"/>
              <w:spacing w:after="0"/>
              <w:rPr>
                <w:sz w:val="20"/>
                <w:szCs w:val="20"/>
                <w:color w:val="auto"/>
              </w:rPr>
            </w:pPr>
            <w:r>
              <w:rPr>
                <w:rFonts w:ascii="Arial" w:cs="Arial" w:eastAsia="Arial" w:hAnsi="Arial"/>
                <w:sz w:val="14"/>
                <w:szCs w:val="14"/>
                <w:color w:val="auto"/>
              </w:rPr>
              <w:t>management.</w:t>
            </w:r>
          </w:p>
        </w:tc>
        <w:tc>
          <w:tcPr>
            <w:tcW w:w="220" w:type="dxa"/>
            <w:vAlign w:val="bottom"/>
            <w:shd w:val="clear" w:color="auto" w:fill="F6F8F7"/>
          </w:tcPr>
          <w:p>
            <w:pPr>
              <w:spacing w:after="0"/>
              <w:rPr>
                <w:sz w:val="16"/>
                <w:szCs w:val="16"/>
                <w:color w:val="auto"/>
              </w:rPr>
            </w:pPr>
          </w:p>
        </w:tc>
        <w:tc>
          <w:tcPr>
            <w:tcW w:w="200" w:type="dxa"/>
            <w:vAlign w:val="bottom"/>
            <w:shd w:val="clear" w:color="auto" w:fill="F6F8F7"/>
          </w:tcPr>
          <w:p>
            <w:pPr>
              <w:spacing w:after="0"/>
              <w:rPr>
                <w:sz w:val="16"/>
                <w:szCs w:val="16"/>
                <w:color w:val="auto"/>
              </w:rPr>
            </w:pPr>
          </w:p>
        </w:tc>
        <w:tc>
          <w:tcPr>
            <w:tcW w:w="320" w:type="dxa"/>
            <w:vAlign w:val="bottom"/>
            <w:shd w:val="clear" w:color="auto" w:fill="F6F8F7"/>
          </w:tcPr>
          <w:p>
            <w:pPr>
              <w:spacing w:after="0"/>
              <w:rPr>
                <w:sz w:val="16"/>
                <w:szCs w:val="16"/>
                <w:color w:val="auto"/>
              </w:rPr>
            </w:pPr>
          </w:p>
        </w:tc>
        <w:tc>
          <w:tcPr>
            <w:tcW w:w="300" w:type="dxa"/>
            <w:vAlign w:val="bottom"/>
            <w:shd w:val="clear" w:color="auto" w:fill="F6F8F7"/>
          </w:tcPr>
          <w:p>
            <w:pPr>
              <w:spacing w:after="0"/>
              <w:rPr>
                <w:sz w:val="16"/>
                <w:szCs w:val="16"/>
                <w:color w:val="auto"/>
              </w:rPr>
            </w:pPr>
          </w:p>
        </w:tc>
        <w:tc>
          <w:tcPr>
            <w:tcW w:w="540" w:type="dxa"/>
            <w:vAlign w:val="bottom"/>
            <w:shd w:val="clear" w:color="auto" w:fill="F6F8F7"/>
          </w:tcPr>
          <w:p>
            <w:pPr>
              <w:spacing w:after="0"/>
              <w:rPr>
                <w:sz w:val="16"/>
                <w:szCs w:val="16"/>
                <w:color w:val="auto"/>
              </w:rPr>
            </w:pPr>
          </w:p>
        </w:tc>
        <w:tc>
          <w:tcPr>
            <w:tcW w:w="100" w:type="dxa"/>
            <w:vAlign w:val="bottom"/>
            <w:shd w:val="clear" w:color="auto" w:fill="F6F8F7"/>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2020" w:type="dxa"/>
            <w:vAlign w:val="bottom"/>
            <w:gridSpan w:val="7"/>
            <w:shd w:val="clear" w:color="auto" w:fill="F2F2F2"/>
          </w:tcPr>
          <w:p>
            <w:pPr>
              <w:ind w:left="60"/>
              <w:spacing w:after="0"/>
              <w:rPr>
                <w:sz w:val="20"/>
                <w:szCs w:val="20"/>
                <w:color w:val="auto"/>
              </w:rPr>
            </w:pPr>
            <w:r>
              <w:rPr>
                <w:rFonts w:ascii="Arial" w:cs="Arial" w:eastAsia="Arial" w:hAnsi="Arial"/>
                <w:sz w:val="14"/>
                <w:szCs w:val="14"/>
                <w:color w:val="auto"/>
              </w:rPr>
              <w:t>mergers &amp; acquisitions.</w:t>
            </w:r>
          </w:p>
        </w:tc>
        <w:tc>
          <w:tcPr>
            <w:tcW w:w="60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r>
      <w:tr>
        <w:trPr>
          <w:trHeight w:val="318"/>
        </w:trPr>
        <w:tc>
          <w:tcPr>
            <w:tcW w:w="140" w:type="dxa"/>
            <w:vAlign w:val="bottom"/>
            <w:shd w:val="clear" w:color="auto" w:fill="F2F2F2"/>
          </w:tcPr>
          <w:p>
            <w:pPr>
              <w:spacing w:after="0"/>
              <w:rPr>
                <w:sz w:val="24"/>
                <w:szCs w:val="24"/>
                <w:color w:val="auto"/>
              </w:rPr>
            </w:pPr>
          </w:p>
        </w:tc>
        <w:tc>
          <w:tcPr>
            <w:tcW w:w="31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shd w:val="clear" w:color="auto" w:fill="F6F8F7"/>
          </w:tcPr>
          <w:p>
            <w:pPr>
              <w:spacing w:after="0"/>
              <w:rPr>
                <w:sz w:val="24"/>
                <w:szCs w:val="24"/>
                <w:color w:val="auto"/>
              </w:rPr>
            </w:pPr>
          </w:p>
        </w:tc>
        <w:tc>
          <w:tcPr>
            <w:tcW w:w="260" w:type="dxa"/>
            <w:vAlign w:val="bottom"/>
            <w:shd w:val="clear" w:color="auto" w:fill="F6F8F7"/>
          </w:tcPr>
          <w:p>
            <w:pPr>
              <w:spacing w:after="0"/>
              <w:rPr>
                <w:sz w:val="24"/>
                <w:szCs w:val="24"/>
                <w:color w:val="auto"/>
              </w:rPr>
            </w:pPr>
          </w:p>
        </w:tc>
        <w:tc>
          <w:tcPr>
            <w:tcW w:w="420" w:type="dxa"/>
            <w:vAlign w:val="bottom"/>
            <w:shd w:val="clear" w:color="auto" w:fill="F6F8F7"/>
          </w:tcPr>
          <w:p>
            <w:pPr>
              <w:spacing w:after="0"/>
              <w:rPr>
                <w:sz w:val="24"/>
                <w:szCs w:val="24"/>
                <w:color w:val="auto"/>
              </w:rPr>
            </w:pPr>
          </w:p>
        </w:tc>
        <w:tc>
          <w:tcPr>
            <w:tcW w:w="80" w:type="dxa"/>
            <w:vAlign w:val="bottom"/>
            <w:shd w:val="clear" w:color="auto" w:fill="F6F8F7"/>
          </w:tcPr>
          <w:p>
            <w:pPr>
              <w:spacing w:after="0"/>
              <w:rPr>
                <w:sz w:val="24"/>
                <w:szCs w:val="24"/>
                <w:color w:val="auto"/>
              </w:rPr>
            </w:pPr>
          </w:p>
        </w:tc>
        <w:tc>
          <w:tcPr>
            <w:tcW w:w="220" w:type="dxa"/>
            <w:vAlign w:val="bottom"/>
            <w:shd w:val="clear" w:color="auto" w:fill="F6F8F7"/>
          </w:tcPr>
          <w:p>
            <w:pPr>
              <w:spacing w:after="0"/>
              <w:rPr>
                <w:sz w:val="24"/>
                <w:szCs w:val="24"/>
                <w:color w:val="auto"/>
              </w:rPr>
            </w:pPr>
          </w:p>
        </w:tc>
        <w:tc>
          <w:tcPr>
            <w:tcW w:w="200" w:type="dxa"/>
            <w:vAlign w:val="bottom"/>
            <w:shd w:val="clear" w:color="auto" w:fill="F6F8F7"/>
          </w:tcPr>
          <w:p>
            <w:pPr>
              <w:spacing w:after="0"/>
              <w:rPr>
                <w:sz w:val="24"/>
                <w:szCs w:val="24"/>
                <w:color w:val="auto"/>
              </w:rPr>
            </w:pPr>
          </w:p>
        </w:tc>
        <w:tc>
          <w:tcPr>
            <w:tcW w:w="320" w:type="dxa"/>
            <w:vAlign w:val="bottom"/>
            <w:shd w:val="clear" w:color="auto" w:fill="F6F8F7"/>
          </w:tcPr>
          <w:p>
            <w:pPr>
              <w:spacing w:after="0"/>
              <w:rPr>
                <w:sz w:val="24"/>
                <w:szCs w:val="24"/>
                <w:color w:val="auto"/>
              </w:rPr>
            </w:pPr>
          </w:p>
        </w:tc>
        <w:tc>
          <w:tcPr>
            <w:tcW w:w="300" w:type="dxa"/>
            <w:vAlign w:val="bottom"/>
            <w:shd w:val="clear" w:color="auto" w:fill="F6F8F7"/>
          </w:tcPr>
          <w:p>
            <w:pPr>
              <w:spacing w:after="0"/>
              <w:rPr>
                <w:sz w:val="24"/>
                <w:szCs w:val="24"/>
                <w:color w:val="auto"/>
              </w:rPr>
            </w:pPr>
          </w:p>
        </w:tc>
        <w:tc>
          <w:tcPr>
            <w:tcW w:w="540" w:type="dxa"/>
            <w:vAlign w:val="bottom"/>
            <w:shd w:val="clear" w:color="auto" w:fill="F6F8F7"/>
          </w:tcPr>
          <w:p>
            <w:pPr>
              <w:spacing w:after="0"/>
              <w:rPr>
                <w:sz w:val="24"/>
                <w:szCs w:val="24"/>
                <w:color w:val="auto"/>
              </w:rPr>
            </w:pPr>
          </w:p>
        </w:tc>
        <w:tc>
          <w:tcPr>
            <w:tcW w:w="100" w:type="dxa"/>
            <w:vAlign w:val="bottom"/>
            <w:shd w:val="clear" w:color="auto" w:fill="F6F8F7"/>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580" w:type="dxa"/>
            <w:vAlign w:val="bottom"/>
            <w:tcBorders>
              <w:right w:val="single" w:sz="8" w:color="F2F2F2"/>
            </w:tcBorders>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-2322195</wp:posOffset>
            </wp:positionV>
            <wp:extent cx="4337685" cy="402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37685" cy="4025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-16510</wp:posOffset>
            </wp:positionV>
            <wp:extent cx="5760720" cy="4800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60720" cy="48006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49"/>
        </w:trPr>
        <w:tc>
          <w:tcPr>
            <w:tcW w:w="140" w:type="dxa"/>
            <w:vAlign w:val="bottom"/>
            <w:vMerge w:val="restart"/>
          </w:tcPr>
          <w:p>
            <w:pPr>
              <w:ind w:left="40"/>
              <w:spacing w:after="0"/>
              <w:rPr>
                <w:sz w:val="20"/>
                <w:szCs w:val="20"/>
                <w:color w:val="auto"/>
              </w:rPr>
            </w:pPr>
            <w:r>
              <w:rPr>
                <w:rFonts w:ascii="Arial" w:cs="Arial" w:eastAsia="Arial" w:hAnsi="Arial"/>
                <w:sz w:val="14"/>
                <w:szCs w:val="14"/>
                <w:color w:val="457157"/>
              </w:rPr>
              <w:t>​</w:t>
            </w:r>
          </w:p>
        </w:tc>
        <w:tc>
          <w:tcPr>
            <w:tcW w:w="460" w:type="dxa"/>
            <w:vAlign w:val="bottom"/>
          </w:tcPr>
          <w:p>
            <w:pPr>
              <w:spacing w:after="0"/>
              <w:rPr>
                <w:sz w:val="21"/>
                <w:szCs w:val="21"/>
                <w:color w:val="auto"/>
              </w:rPr>
            </w:pPr>
          </w:p>
        </w:tc>
        <w:tc>
          <w:tcPr>
            <w:tcW w:w="2160" w:type="dxa"/>
            <w:vAlign w:val="bottom"/>
            <w:gridSpan w:val="2"/>
            <w:vMerge w:val="restart"/>
          </w:tcPr>
          <w:p>
            <w:pPr>
              <w:jc w:val="center"/>
              <w:ind w:right="948"/>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Operational</w:t>
            </w:r>
          </w:p>
        </w:tc>
        <w:tc>
          <w:tcPr>
            <w:tcW w:w="500" w:type="dxa"/>
            <w:vAlign w:val="bottom"/>
          </w:tcPr>
          <w:p>
            <w:pPr>
              <w:spacing w:after="0"/>
              <w:rPr>
                <w:sz w:val="21"/>
                <w:szCs w:val="21"/>
                <w:color w:val="auto"/>
              </w:rPr>
            </w:pP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457157"/>
              </w:rPr>
              <w:t>​</w:t>
            </w:r>
          </w:p>
        </w:tc>
        <w:tc>
          <w:tcPr>
            <w:tcW w:w="520" w:type="dxa"/>
            <w:vAlign w:val="bottom"/>
            <w:vMerge w:val="restart"/>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120" w:type="dxa"/>
            <w:vAlign w:val="bottom"/>
            <w:vMerge w:val="restart"/>
            <w:shd w:val="clear" w:color="auto" w:fill="457157"/>
          </w:tcPr>
          <w:p>
            <w:pPr>
              <w:ind w:left="100"/>
              <w:spacing w:after="0"/>
              <w:rPr>
                <w:sz w:val="20"/>
                <w:szCs w:val="20"/>
                <w:color w:val="auto"/>
              </w:rPr>
            </w:pPr>
            <w:r>
              <w:rPr>
                <w:rFonts w:ascii="Arial" w:cs="Arial" w:eastAsia="Arial" w:hAnsi="Arial"/>
                <w:sz w:val="1"/>
                <w:szCs w:val="1"/>
                <w:color w:val="457157"/>
                <w:w w:val="4294942296"/>
              </w:rPr>
              <w:t>​</w:t>
            </w:r>
          </w:p>
        </w:tc>
        <w:tc>
          <w:tcPr>
            <w:tcW w:w="2060" w:type="dxa"/>
            <w:vAlign w:val="bottom"/>
            <w:gridSpan w:val="8"/>
          </w:tcPr>
          <w:p>
            <w:pPr>
              <w:ind w:left="80"/>
              <w:spacing w:after="0"/>
              <w:rPr>
                <w:sz w:val="20"/>
                <w:szCs w:val="20"/>
                <w:color w:val="auto"/>
              </w:rPr>
            </w:pPr>
            <w:r>
              <w:rPr>
                <w:rFonts w:ascii="Arial" w:cs="Arial" w:eastAsia="Arial" w:hAnsi="Arial"/>
                <w:sz w:val="16"/>
                <w:szCs w:val="16"/>
                <w:b w:val="1"/>
                <w:bCs w:val="1"/>
                <w:color w:val="457157"/>
              </w:rPr>
              <w:t>Financial Expertise</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457157"/>
              </w:rPr>
              <w:t>​</w:t>
            </w:r>
          </w:p>
        </w:tc>
        <w:tc>
          <w:tcPr>
            <w:tcW w:w="120" w:type="dxa"/>
            <w:vAlign w:val="bottom"/>
            <w:vMerge w:val="restart"/>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540" w:type="dxa"/>
            <w:vAlign w:val="bottom"/>
            <w:vMerge w:val="restart"/>
            <w:shd w:val="clear" w:color="auto" w:fill="457157"/>
          </w:tcPr>
          <w:p>
            <w:pPr>
              <w:ind w:left="500"/>
              <w:spacing w:after="0"/>
              <w:rPr>
                <w:sz w:val="20"/>
                <w:szCs w:val="20"/>
                <w:color w:val="auto"/>
              </w:rPr>
            </w:pPr>
            <w:r>
              <w:rPr>
                <w:rFonts w:ascii="Arial" w:cs="Arial" w:eastAsia="Arial" w:hAnsi="Arial"/>
                <w:sz w:val="14"/>
                <w:szCs w:val="14"/>
                <w:color w:val="457157"/>
              </w:rPr>
              <w:t>​</w:t>
            </w:r>
          </w:p>
        </w:tc>
        <w:tc>
          <w:tcPr>
            <w:tcW w:w="1420" w:type="dxa"/>
            <w:vAlign w:val="bottom"/>
            <w:gridSpan w:val="5"/>
            <w:vMerge w:val="restart"/>
          </w:tcPr>
          <w:p>
            <w:pPr>
              <w:jc w:val="center"/>
              <w:ind w:right="28"/>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Human Capital</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1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520" w:type="dxa"/>
            <w:vAlign w:val="bottom"/>
            <w:vMerge w:val="continue"/>
            <w:shd w:val="clear" w:color="auto" w:fill="457157"/>
          </w:tcPr>
          <w:p>
            <w:pPr>
              <w:spacing w:after="0"/>
              <w:rPr>
                <w:sz w:val="9"/>
                <w:szCs w:val="9"/>
                <w:color w:val="auto"/>
              </w:rPr>
            </w:pPr>
          </w:p>
        </w:tc>
        <w:tc>
          <w:tcPr>
            <w:tcW w:w="120" w:type="dxa"/>
            <w:vAlign w:val="bottom"/>
            <w:vMerge w:val="continue"/>
            <w:shd w:val="clear" w:color="auto" w:fill="457157"/>
          </w:tcPr>
          <w:p>
            <w:pPr>
              <w:spacing w:after="0"/>
              <w:rPr>
                <w:sz w:val="9"/>
                <w:szCs w:val="9"/>
                <w:color w:val="auto"/>
              </w:rPr>
            </w:pPr>
          </w:p>
        </w:tc>
        <w:tc>
          <w:tcPr>
            <w:tcW w:w="540" w:type="dxa"/>
            <w:vAlign w:val="bottom"/>
            <w:gridSpan w:val="2"/>
          </w:tcPr>
          <w:p>
            <w:pPr>
              <w:ind w:left="40"/>
              <w:spacing w:after="0" w:line="111" w:lineRule="exact"/>
              <w:rPr>
                <w:sz w:val="20"/>
                <w:szCs w:val="20"/>
                <w:color w:val="auto"/>
              </w:rPr>
            </w:pPr>
            <w:r>
              <w:rPr>
                <w:rFonts w:ascii="Arial" w:cs="Arial" w:eastAsia="Arial" w:hAnsi="Arial"/>
                <w:sz w:val="11"/>
                <w:szCs w:val="11"/>
                <w:color w:val="457157"/>
              </w:rPr>
              <w:t>​</w:t>
            </w:r>
            <w:r>
              <w:rPr>
                <w:rFonts w:ascii="Arial" w:cs="Arial" w:eastAsia="Arial" w:hAnsi="Arial"/>
                <w:sz w:val="12"/>
                <w:szCs w:val="12"/>
                <w:b w:val="1"/>
                <w:bCs w:val="1"/>
                <w:color w:val="457157"/>
              </w:rPr>
              <w:t>and</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0" w:type="dxa"/>
            <w:vAlign w:val="bottom"/>
            <w:vMerge w:val="continue"/>
            <w:shd w:val="clear" w:color="auto" w:fill="457157"/>
          </w:tcPr>
          <w:p>
            <w:pPr>
              <w:spacing w:after="0"/>
              <w:rPr>
                <w:sz w:val="9"/>
                <w:szCs w:val="9"/>
                <w:color w:val="auto"/>
              </w:rPr>
            </w:pPr>
          </w:p>
        </w:tc>
        <w:tc>
          <w:tcPr>
            <w:tcW w:w="540" w:type="dxa"/>
            <w:vAlign w:val="bottom"/>
            <w:vMerge w:val="continue"/>
            <w:shd w:val="clear" w:color="auto" w:fill="457157"/>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gridSpan w:val="2"/>
          </w:tcPr>
          <w:p>
            <w:pPr>
              <w:ind w:left="120"/>
              <w:spacing w:after="0"/>
              <w:rPr>
                <w:sz w:val="20"/>
                <w:szCs w:val="20"/>
                <w:color w:val="auto"/>
              </w:rPr>
            </w:pPr>
            <w:r>
              <w:rPr>
                <w:rFonts w:ascii="Arial" w:cs="Arial" w:eastAsia="Arial" w:hAnsi="Arial"/>
                <w:sz w:val="16"/>
                <w:szCs w:val="16"/>
                <w:b w:val="1"/>
                <w:bCs w:val="1"/>
                <w:color w:val="457157"/>
              </w:rPr>
              <w:t>Excellence</w:t>
            </w:r>
            <w:r>
              <w:rPr>
                <w:rFonts w:ascii="Arial" w:cs="Arial" w:eastAsia="Arial" w:hAnsi="Arial"/>
                <w:sz w:val="14"/>
                <w:szCs w:val="14"/>
                <w:color w:val="000000"/>
              </w:rPr>
              <w: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shd w:val="clear" w:color="auto" w:fill="457157"/>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1640" w:type="dxa"/>
            <w:vAlign w:val="bottom"/>
            <w:gridSpan w:val="7"/>
            <w:vMerge w:val="restart"/>
          </w:tcPr>
          <w:p>
            <w:pPr>
              <w:ind w:left="80"/>
              <w:spacing w:after="0"/>
              <w:rPr>
                <w:sz w:val="20"/>
                <w:szCs w:val="20"/>
                <w:color w:val="auto"/>
              </w:rPr>
            </w:pPr>
            <w:r>
              <w:rPr>
                <w:rFonts w:ascii="Arial" w:cs="Arial" w:eastAsia="Arial" w:hAnsi="Arial"/>
                <w:sz w:val="16"/>
                <w:szCs w:val="16"/>
                <w:b w:val="1"/>
                <w:bCs w:val="1"/>
                <w:color w:val="457157"/>
              </w:rPr>
              <w:t>Capital Allocation</w:t>
            </w:r>
            <w:r>
              <w:rPr>
                <w:rFonts w:ascii="Arial" w:cs="Arial" w:eastAsia="Arial" w:hAnsi="Arial"/>
                <w:sz w:val="14"/>
                <w:szCs w:val="14"/>
                <w:color w:val="000000"/>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540" w:type="dxa"/>
            <w:vAlign w:val="bottom"/>
            <w:shd w:val="clear" w:color="auto" w:fill="457157"/>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jc w:val="right"/>
              <w:ind w:right="168"/>
              <w:spacing w:after="0"/>
              <w:rPr>
                <w:sz w:val="20"/>
                <w:szCs w:val="20"/>
                <w:color w:val="auto"/>
              </w:rPr>
            </w:pPr>
            <w:r>
              <w:rPr>
                <w:rFonts w:ascii="Arial" w:cs="Arial" w:eastAsia="Arial" w:hAnsi="Arial"/>
                <w:sz w:val="16"/>
                <w:szCs w:val="16"/>
                <w:b w:val="1"/>
                <w:bCs w:val="1"/>
                <w:color w:val="457157"/>
              </w:rPr>
              <w:t>Management</w:t>
            </w:r>
            <w:r>
              <w:rPr>
                <w:rFonts w:ascii="Arial" w:cs="Arial" w:eastAsia="Arial" w:hAnsi="Arial"/>
                <w:sz w:val="14"/>
                <w:szCs w:val="14"/>
                <w:color w:val="000000"/>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457157"/>
            </w:tcBorders>
            <w:shd w:val="clear" w:color="auto" w:fill="457157"/>
          </w:tcPr>
          <w:p>
            <w:pPr>
              <w:spacing w:after="0"/>
              <w:rPr>
                <w:sz w:val="9"/>
                <w:szCs w:val="9"/>
                <w:color w:val="auto"/>
              </w:rPr>
            </w:pPr>
          </w:p>
        </w:tc>
        <w:tc>
          <w:tcPr>
            <w:tcW w:w="120" w:type="dxa"/>
            <w:vAlign w:val="bottom"/>
            <w:tcBorders>
              <w:bottom w:val="single" w:sz="8" w:color="457157"/>
            </w:tcBorders>
            <w:shd w:val="clear" w:color="auto" w:fill="457157"/>
          </w:tcPr>
          <w:p>
            <w:pPr>
              <w:spacing w:after="0"/>
              <w:rPr>
                <w:sz w:val="9"/>
                <w:szCs w:val="9"/>
                <w:color w:val="auto"/>
              </w:rPr>
            </w:pPr>
          </w:p>
        </w:tc>
        <w:tc>
          <w:tcPr>
            <w:tcW w:w="16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457157"/>
            </w:tcBorders>
            <w:shd w:val="clear" w:color="auto" w:fill="457157"/>
          </w:tcPr>
          <w:p>
            <w:pPr>
              <w:spacing w:after="0"/>
              <w:rPr>
                <w:sz w:val="9"/>
                <w:szCs w:val="9"/>
                <w:color w:val="auto"/>
              </w:rPr>
            </w:pPr>
          </w:p>
        </w:tc>
        <w:tc>
          <w:tcPr>
            <w:tcW w:w="540" w:type="dxa"/>
            <w:vAlign w:val="bottom"/>
            <w:tcBorders>
              <w:bottom w:val="single" w:sz="8" w:color="457157"/>
            </w:tcBorders>
            <w:shd w:val="clear" w:color="auto" w:fill="457157"/>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F6F8F7"/>
          </w:tcPr>
          <w:p>
            <w:pPr>
              <w:spacing w:after="0"/>
              <w:rPr>
                <w:sz w:val="20"/>
                <w:szCs w:val="20"/>
                <w:color w:val="auto"/>
              </w:rPr>
            </w:pPr>
            <w:r>
              <w:rPr>
                <w:rFonts w:ascii="Arial" w:cs="Arial" w:eastAsia="Arial" w:hAnsi="Arial"/>
                <w:sz w:val="14"/>
                <w:szCs w:val="14"/>
                <w:color w:val="auto"/>
              </w:rPr>
              <w:t>​</w:t>
            </w: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Directors with experience in a significant</w:t>
            </w:r>
          </w:p>
        </w:tc>
        <w:tc>
          <w:tcPr>
            <w:tcW w:w="120" w:type="dxa"/>
            <w:vAlign w:val="bottom"/>
            <w:shd w:val="clear" w:color="auto" w:fill="F6F8F7"/>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980" w:type="dxa"/>
            <w:vAlign w:val="bottom"/>
            <w:gridSpan w:val="3"/>
            <w:shd w:val="clear" w:color="auto" w:fill="F2F2F2"/>
          </w:tcPr>
          <w:p>
            <w:pPr>
              <w:spacing w:after="0" w:line="27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w:t>
            </w:r>
          </w:p>
        </w:tc>
        <w:tc>
          <w:tcPr>
            <w:tcW w:w="200" w:type="dxa"/>
            <w:vAlign w:val="bottom"/>
            <w:shd w:val="clear" w:color="auto" w:fill="F2F2F2"/>
          </w:tcPr>
          <w:p>
            <w:pPr>
              <w:spacing w:after="0"/>
              <w:rPr>
                <w:sz w:val="23"/>
                <w:szCs w:val="23"/>
                <w:color w:val="auto"/>
              </w:rPr>
            </w:pPr>
          </w:p>
        </w:tc>
        <w:tc>
          <w:tcPr>
            <w:tcW w:w="3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with</w:t>
            </w:r>
          </w:p>
        </w:tc>
        <w:tc>
          <w:tcPr>
            <w:tcW w:w="280" w:type="dxa"/>
            <w:vAlign w:val="bottom"/>
            <w:shd w:val="clear" w:color="auto" w:fill="F2F2F2"/>
          </w:tcPr>
          <w:p>
            <w:pPr>
              <w:spacing w:after="0"/>
              <w:rPr>
                <w:sz w:val="23"/>
                <w:szCs w:val="23"/>
                <w:color w:val="auto"/>
              </w:rPr>
            </w:pPr>
          </w:p>
        </w:tc>
        <w:tc>
          <w:tcPr>
            <w:tcW w:w="4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a</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deep</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Directors  with</w:t>
            </w:r>
          </w:p>
        </w:tc>
        <w:tc>
          <w:tcPr>
            <w:tcW w:w="960" w:type="dxa"/>
            <w:vAlign w:val="bottom"/>
            <w:gridSpan w:val="3"/>
          </w:tcPr>
          <w:p>
            <w:pPr>
              <w:ind w:left="180"/>
              <w:spacing w:after="0"/>
              <w:rPr>
                <w:sz w:val="20"/>
                <w:szCs w:val="20"/>
                <w:color w:val="auto"/>
              </w:rPr>
            </w:pPr>
            <w:r>
              <w:rPr>
                <w:rFonts w:ascii="Arial" w:cs="Arial" w:eastAsia="Arial" w:hAnsi="Arial"/>
                <w:sz w:val="14"/>
                <w:szCs w:val="14"/>
                <w:color w:val="auto"/>
              </w:rPr>
              <w:t>experience</w:t>
            </w:r>
          </w:p>
        </w:tc>
        <w:tc>
          <w:tcPr>
            <w:tcW w:w="280" w:type="dxa"/>
            <w:vAlign w:val="bottom"/>
          </w:tcPr>
          <w:p>
            <w:pPr>
              <w:jc w:val="right"/>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operations  role  help  the  Company  to</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shd w:val="clear" w:color="auto" w:fill="F2F2F2"/>
          </w:tcPr>
          <w:p>
            <w:pPr>
              <w:ind w:left="180"/>
              <w:spacing w:after="0"/>
              <w:rPr>
                <w:sz w:val="20"/>
                <w:szCs w:val="20"/>
                <w:color w:val="auto"/>
              </w:rPr>
            </w:pPr>
            <w:r>
              <w:rPr>
                <w:rFonts w:ascii="Arial" w:cs="Arial" w:eastAsia="Arial" w:hAnsi="Arial"/>
                <w:sz w:val="14"/>
                <w:szCs w:val="14"/>
                <w:color w:val="auto"/>
              </w:rPr>
              <w:t>understanding</w:t>
            </w:r>
          </w:p>
        </w:tc>
        <w:tc>
          <w:tcPr>
            <w:tcW w:w="160" w:type="dxa"/>
            <w:vAlign w:val="bottom"/>
            <w:shd w:val="clear" w:color="auto" w:fill="F2F2F2"/>
          </w:tcPr>
          <w:p>
            <w:pPr>
              <w:spacing w:after="0"/>
              <w:rPr>
                <w:sz w:val="15"/>
                <w:szCs w:val="15"/>
                <w:color w:val="auto"/>
              </w:rPr>
            </w:pP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color w:val="auto"/>
              </w:rPr>
              <w:t>of</w:t>
            </w:r>
          </w:p>
        </w:tc>
        <w:tc>
          <w:tcPr>
            <w:tcW w:w="740" w:type="dxa"/>
            <w:vAlign w:val="bottom"/>
            <w:gridSpan w:val="3"/>
            <w:shd w:val="clear" w:color="auto" w:fill="F2F2F2"/>
          </w:tcPr>
          <w:p>
            <w:pPr>
              <w:ind w:left="140"/>
              <w:spacing w:after="0"/>
              <w:rPr>
                <w:sz w:val="20"/>
                <w:szCs w:val="20"/>
                <w:color w:val="auto"/>
              </w:rPr>
            </w:pPr>
            <w:r>
              <w:rPr>
                <w:rFonts w:ascii="Arial" w:cs="Arial" w:eastAsia="Arial" w:hAnsi="Arial"/>
                <w:sz w:val="14"/>
                <w:szCs w:val="14"/>
                <w:color w:val="auto"/>
              </w:rPr>
              <w:t>finance</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human</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capital</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management</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develop,   implement   and   assess   its</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financial</w:t>
            </w:r>
          </w:p>
        </w:tc>
        <w:tc>
          <w:tcPr>
            <w:tcW w:w="840" w:type="dxa"/>
            <w:vAlign w:val="bottom"/>
            <w:gridSpan w:val="4"/>
            <w:shd w:val="clear" w:color="auto" w:fill="F2F2F2"/>
          </w:tcPr>
          <w:p>
            <w:pPr>
              <w:ind w:left="20"/>
              <w:spacing w:after="0"/>
              <w:rPr>
                <w:sz w:val="20"/>
                <w:szCs w:val="20"/>
                <w:color w:val="auto"/>
              </w:rPr>
            </w:pPr>
            <w:r>
              <w:rPr>
                <w:rFonts w:ascii="Arial" w:cs="Arial" w:eastAsia="Arial" w:hAnsi="Arial"/>
                <w:sz w:val="14"/>
                <w:szCs w:val="14"/>
                <w:color w:val="auto"/>
              </w:rPr>
              <w:t>reporting</w:t>
            </w:r>
          </w:p>
        </w:tc>
        <w:tc>
          <w:tcPr>
            <w:tcW w:w="4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lead</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our</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provide</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valuable</w:t>
            </w:r>
          </w:p>
        </w:tc>
        <w:tc>
          <w:tcPr>
            <w:tcW w:w="640" w:type="dxa"/>
            <w:vAlign w:val="bottom"/>
            <w:gridSpan w:val="2"/>
          </w:tcPr>
          <w:p>
            <w:pPr>
              <w:spacing w:after="0"/>
              <w:rPr>
                <w:sz w:val="20"/>
                <w:szCs w:val="20"/>
                <w:color w:val="auto"/>
              </w:rPr>
            </w:pPr>
            <w:r>
              <w:rPr>
                <w:rFonts w:ascii="Arial" w:cs="Arial" w:eastAsia="Arial" w:hAnsi="Arial"/>
                <w:sz w:val="14"/>
                <w:szCs w:val="14"/>
                <w:color w:val="auto"/>
              </w:rPr>
              <w:t>guidance</w:t>
            </w:r>
          </w:p>
        </w:tc>
        <w:tc>
          <w:tcPr>
            <w:tcW w:w="280" w:type="dxa"/>
            <w:vAlign w:val="bottom"/>
          </w:tcPr>
          <w:p>
            <w:pPr>
              <w:jc w:val="right"/>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operating  plan  and  capital  plan  and</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6"/>
            <w:shd w:val="clear" w:color="auto" w:fill="F2F2F2"/>
          </w:tcPr>
          <w:p>
            <w:pPr>
              <w:ind w:left="180"/>
              <w:spacing w:after="0"/>
              <w:rPr>
                <w:sz w:val="20"/>
                <w:szCs w:val="20"/>
                <w:color w:val="auto"/>
              </w:rPr>
            </w:pPr>
            <w:r>
              <w:rPr>
                <w:rFonts w:ascii="Arial" w:cs="Arial" w:eastAsia="Arial" w:hAnsi="Arial"/>
                <w:sz w:val="14"/>
                <w:szCs w:val="14"/>
                <w:color w:val="auto"/>
              </w:rPr>
              <w:t>Board’s   oversight</w:t>
            </w:r>
          </w:p>
        </w:tc>
        <w:tc>
          <w:tcPr>
            <w:tcW w:w="340" w:type="dxa"/>
            <w:vAlign w:val="bottom"/>
            <w:gridSpan w:val="2"/>
            <w:shd w:val="clear" w:color="auto" w:fill="F2F2F2"/>
          </w:tcPr>
          <w:p>
            <w:pPr>
              <w:jc w:val="center"/>
              <w:ind w:left="68"/>
              <w:spacing w:after="0"/>
              <w:rPr>
                <w:sz w:val="20"/>
                <w:szCs w:val="20"/>
                <w:color w:val="auto"/>
              </w:rPr>
            </w:pPr>
            <w:r>
              <w:rPr>
                <w:rFonts w:ascii="Arial" w:cs="Arial" w:eastAsia="Arial" w:hAnsi="Arial"/>
                <w:sz w:val="14"/>
                <w:szCs w:val="14"/>
                <w:color w:val="auto"/>
              </w:rPr>
              <w:t>of</w:t>
            </w: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financial</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support</w:t>
            </w:r>
          </w:p>
        </w:tc>
        <w:tc>
          <w:tcPr>
            <w:tcW w:w="420" w:type="dxa"/>
            <w:vAlign w:val="bottom"/>
          </w:tcPr>
          <w:p>
            <w:pPr>
              <w:jc w:val="center"/>
              <w:ind w:left="47"/>
              <w:spacing w:after="0"/>
              <w:rPr>
                <w:sz w:val="20"/>
                <w:szCs w:val="20"/>
                <w:color w:val="auto"/>
              </w:rPr>
            </w:pPr>
            <w:r>
              <w:rPr>
                <w:rFonts w:ascii="Arial" w:cs="Arial" w:eastAsia="Arial" w:hAnsi="Arial"/>
                <w:sz w:val="14"/>
                <w:szCs w:val="14"/>
                <w:color w:val="auto"/>
              </w:rPr>
              <w:t>of</w:t>
            </w:r>
          </w:p>
        </w:tc>
        <w:tc>
          <w:tcPr>
            <w:tcW w:w="12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the</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Company’s</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execute   on   commitments   to   cost</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shd w:val="clear" w:color="auto" w:fill="F2F2F2"/>
          </w:tcPr>
          <w:p>
            <w:pPr>
              <w:ind w:left="180"/>
              <w:spacing w:after="0"/>
              <w:rPr>
                <w:sz w:val="20"/>
                <w:szCs w:val="20"/>
                <w:color w:val="auto"/>
              </w:rPr>
            </w:pPr>
            <w:r>
              <w:rPr>
                <w:rFonts w:ascii="Arial" w:cs="Arial" w:eastAsia="Arial" w:hAnsi="Arial"/>
                <w:sz w:val="14"/>
                <w:szCs w:val="14"/>
                <w:color w:val="auto"/>
              </w:rPr>
              <w:t>performance</w:t>
            </w:r>
          </w:p>
        </w:tc>
        <w:tc>
          <w:tcPr>
            <w:tcW w:w="3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and</w:t>
            </w:r>
          </w:p>
        </w:tc>
        <w:tc>
          <w:tcPr>
            <w:tcW w:w="1160" w:type="dxa"/>
            <w:vAlign w:val="bottom"/>
            <w:gridSpan w:val="4"/>
            <w:shd w:val="clear" w:color="auto" w:fill="F2F2F2"/>
          </w:tcPr>
          <w:p>
            <w:pPr>
              <w:jc w:val="right"/>
              <w:ind w:right="8"/>
              <w:spacing w:after="0"/>
              <w:rPr>
                <w:sz w:val="20"/>
                <w:szCs w:val="20"/>
                <w:color w:val="auto"/>
              </w:rPr>
            </w:pPr>
            <w:r>
              <w:rPr>
                <w:rFonts w:ascii="Arial" w:cs="Arial" w:eastAsia="Arial" w:hAnsi="Arial"/>
                <w:sz w:val="14"/>
                <w:szCs w:val="14"/>
                <w:color w:val="auto"/>
              </w:rPr>
              <w:t>robust  internal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People</w:t>
            </w:r>
          </w:p>
        </w:tc>
        <w:tc>
          <w:tcPr>
            <w:tcW w:w="420" w:type="dxa"/>
            <w:vAlign w:val="bottom"/>
          </w:tcPr>
          <w:p>
            <w:pPr>
              <w:jc w:val="center"/>
              <w:ind w:left="27"/>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strategy.</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These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optimization and continuous improvement.</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5"/>
            <w:shd w:val="clear" w:color="auto" w:fill="F2F2F2"/>
          </w:tcPr>
          <w:p>
            <w:pPr>
              <w:ind w:left="180"/>
              <w:spacing w:after="0"/>
              <w:rPr>
                <w:sz w:val="20"/>
                <w:szCs w:val="20"/>
                <w:color w:val="auto"/>
              </w:rPr>
            </w:pPr>
            <w:r>
              <w:rPr>
                <w:rFonts w:ascii="Arial" w:cs="Arial" w:eastAsia="Arial" w:hAnsi="Arial"/>
                <w:sz w:val="14"/>
                <w:szCs w:val="14"/>
                <w:color w:val="auto"/>
              </w:rPr>
              <w:t>controls.  These</w:t>
            </w:r>
          </w:p>
        </w:tc>
        <w:tc>
          <w:tcPr>
            <w:tcW w:w="94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individuals</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have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individuals</w:t>
            </w:r>
          </w:p>
        </w:tc>
        <w:tc>
          <w:tcPr>
            <w:tcW w:w="940" w:type="dxa"/>
            <w:vAlign w:val="bottom"/>
            <w:gridSpan w:val="3"/>
          </w:tcPr>
          <w:p>
            <w:pPr>
              <w:jc w:val="right"/>
              <w:ind w:right="8"/>
              <w:spacing w:after="0"/>
              <w:rPr>
                <w:sz w:val="20"/>
                <w:szCs w:val="20"/>
                <w:color w:val="auto"/>
              </w:rPr>
            </w:pPr>
            <w:r>
              <w:rPr>
                <w:rFonts w:ascii="Arial" w:cs="Arial" w:eastAsia="Arial" w:hAnsi="Arial"/>
                <w:sz w:val="14"/>
                <w:szCs w:val="14"/>
                <w:color w:val="auto"/>
              </w:rPr>
              <w:t>understand</w:t>
            </w: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the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1400" w:type="dxa"/>
            <w:vAlign w:val="bottom"/>
            <w:gridSpan w:val="2"/>
            <w:shd w:val="clear" w:color="auto" w:fill="F6F8F7"/>
          </w:tcPr>
          <w:p>
            <w:pPr>
              <w:ind w:left="60"/>
              <w:spacing w:after="0"/>
              <w:rPr>
                <w:sz w:val="20"/>
                <w:szCs w:val="20"/>
                <w:color w:val="auto"/>
              </w:rPr>
            </w:pPr>
            <w:r>
              <w:rPr>
                <w:rFonts w:ascii="Arial" w:cs="Arial" w:eastAsia="Arial" w:hAnsi="Arial"/>
                <w:sz w:val="14"/>
                <w:szCs w:val="14"/>
                <w:color w:val="auto"/>
              </w:rPr>
              <w:t>Individuals  with</w:t>
            </w:r>
          </w:p>
        </w:tc>
        <w:tc>
          <w:tcPr>
            <w:tcW w:w="1720" w:type="dxa"/>
            <w:vAlign w:val="bottom"/>
            <w:gridSpan w:val="2"/>
            <w:shd w:val="clear" w:color="auto" w:fill="F6F8F7"/>
          </w:tcPr>
          <w:p>
            <w:pPr>
              <w:ind w:left="40"/>
              <w:spacing w:after="0"/>
              <w:rPr>
                <w:sz w:val="20"/>
                <w:szCs w:val="20"/>
                <w:color w:val="auto"/>
              </w:rPr>
            </w:pPr>
            <w:r>
              <w:rPr>
                <w:rFonts w:ascii="Arial" w:cs="Arial" w:eastAsia="Arial" w:hAnsi="Arial"/>
                <w:sz w:val="14"/>
                <w:szCs w:val="14"/>
                <w:color w:val="auto"/>
              </w:rPr>
              <w:t>extensive  operational</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expertise</w:t>
            </w:r>
          </w:p>
        </w:tc>
        <w:tc>
          <w:tcPr>
            <w:tcW w:w="36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in</w:t>
            </w:r>
          </w:p>
        </w:tc>
        <w:tc>
          <w:tcPr>
            <w:tcW w:w="94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designing</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dynamics</w:t>
            </w:r>
          </w:p>
        </w:tc>
        <w:tc>
          <w:tcPr>
            <w:tcW w:w="440" w:type="dxa"/>
            <w:vAlign w:val="bottom"/>
            <w:gridSpan w:val="2"/>
          </w:tcPr>
          <w:p>
            <w:pPr>
              <w:jc w:val="center"/>
              <w:ind w:right="28"/>
              <w:spacing w:after="0"/>
              <w:rPr>
                <w:sz w:val="20"/>
                <w:szCs w:val="20"/>
                <w:color w:val="auto"/>
              </w:rPr>
            </w:pPr>
            <w:r>
              <w:rPr>
                <w:rFonts w:ascii="Arial" w:cs="Arial" w:eastAsia="Arial" w:hAnsi="Arial"/>
                <w:sz w:val="14"/>
                <w:szCs w:val="14"/>
                <w:color w:val="auto"/>
              </w:rPr>
              <w:t>of</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attracting,</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experience in heavily regulated industries,</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implementing financing and capital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motivating,</w:t>
            </w:r>
          </w:p>
        </w:tc>
        <w:tc>
          <w:tcPr>
            <w:tcW w:w="12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and</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retaining</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including a focus on capital intensive and</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allocation</w:t>
            </w:r>
          </w:p>
        </w:tc>
        <w:tc>
          <w:tcPr>
            <w:tcW w:w="840" w:type="dxa"/>
            <w:vAlign w:val="bottom"/>
            <w:gridSpan w:val="4"/>
            <w:shd w:val="clear" w:color="auto" w:fill="F2F2F2"/>
          </w:tcPr>
          <w:p>
            <w:pPr>
              <w:ind w:left="40"/>
              <w:spacing w:after="0"/>
              <w:rPr>
                <w:sz w:val="20"/>
                <w:szCs w:val="20"/>
                <w:color w:val="auto"/>
              </w:rPr>
            </w:pPr>
            <w:r>
              <w:rPr>
                <w:rFonts w:ascii="Arial" w:cs="Arial" w:eastAsia="Arial" w:hAnsi="Arial"/>
                <w:sz w:val="14"/>
                <w:szCs w:val="14"/>
                <w:color w:val="auto"/>
              </w:rPr>
              <w:t>strategies,</w:t>
            </w:r>
          </w:p>
        </w:tc>
        <w:tc>
          <w:tcPr>
            <w:tcW w:w="60" w:type="dxa"/>
            <w:vAlign w:val="bottom"/>
            <w:shd w:val="clear" w:color="auto" w:fill="F2F2F2"/>
          </w:tcPr>
          <w:p>
            <w:pPr>
              <w:spacing w:after="0"/>
              <w:rPr>
                <w:sz w:val="14"/>
                <w:szCs w:val="14"/>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evaluating</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talented</w:t>
            </w:r>
          </w:p>
        </w:tc>
        <w:tc>
          <w:tcPr>
            <w:tcW w:w="440" w:type="dxa"/>
            <w:vAlign w:val="bottom"/>
            <w:gridSpan w:val="2"/>
          </w:tcPr>
          <w:p>
            <w:pPr>
              <w:jc w:val="center"/>
              <w:ind w:right="28"/>
              <w:spacing w:after="0"/>
              <w:rPr>
                <w:sz w:val="20"/>
                <w:szCs w:val="20"/>
                <w:color w:val="auto"/>
              </w:rPr>
            </w:pPr>
            <w:r>
              <w:rPr>
                <w:rFonts w:ascii="Arial" w:cs="Arial" w:eastAsia="Arial" w:hAnsi="Arial"/>
                <w:sz w:val="14"/>
                <w:szCs w:val="14"/>
                <w:color w:val="auto"/>
              </w:rPr>
              <w:t>and</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engaged</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460" w:type="dxa"/>
            <w:vAlign w:val="bottom"/>
            <w:shd w:val="clear" w:color="auto" w:fill="F6F8F7"/>
          </w:tcPr>
          <w:p>
            <w:pPr>
              <w:ind w:left="60"/>
              <w:spacing w:after="0"/>
              <w:rPr>
                <w:sz w:val="20"/>
                <w:szCs w:val="20"/>
                <w:color w:val="auto"/>
              </w:rPr>
            </w:pPr>
            <w:r>
              <w:rPr>
                <w:rFonts w:ascii="Arial" w:cs="Arial" w:eastAsia="Arial" w:hAnsi="Arial"/>
                <w:sz w:val="14"/>
                <w:szCs w:val="14"/>
                <w:color w:val="auto"/>
              </w:rPr>
              <w:t>labor</w:t>
            </w:r>
          </w:p>
        </w:tc>
        <w:tc>
          <w:tcPr>
            <w:tcW w:w="940" w:type="dxa"/>
            <w:vAlign w:val="bottom"/>
            <w:shd w:val="clear" w:color="auto" w:fill="F6F8F7"/>
          </w:tcPr>
          <w:p>
            <w:pPr>
              <w:jc w:val="center"/>
              <w:ind w:left="162"/>
              <w:spacing w:after="0"/>
              <w:rPr>
                <w:sz w:val="20"/>
                <w:szCs w:val="20"/>
                <w:color w:val="auto"/>
              </w:rPr>
            </w:pPr>
            <w:r>
              <w:rPr>
                <w:rFonts w:ascii="Arial" w:cs="Arial" w:eastAsia="Arial" w:hAnsi="Arial"/>
                <w:sz w:val="14"/>
                <w:szCs w:val="14"/>
                <w:color w:val="auto"/>
              </w:rPr>
              <w:t>intensive</w:t>
            </w:r>
          </w:p>
        </w:tc>
        <w:tc>
          <w:tcPr>
            <w:tcW w:w="1220" w:type="dxa"/>
            <w:vAlign w:val="bottom"/>
            <w:shd w:val="clear" w:color="auto" w:fill="F6F8F7"/>
          </w:tcPr>
          <w:p>
            <w:pPr>
              <w:ind w:left="260"/>
              <w:spacing w:after="0"/>
              <w:rPr>
                <w:sz w:val="20"/>
                <w:szCs w:val="20"/>
                <w:color w:val="auto"/>
              </w:rPr>
            </w:pPr>
            <w:r>
              <w:rPr>
                <w:rFonts w:ascii="Arial" w:cs="Arial" w:eastAsia="Arial" w:hAnsi="Arial"/>
                <w:sz w:val="14"/>
                <w:szCs w:val="14"/>
                <w:color w:val="auto"/>
              </w:rPr>
              <w:t>businesses</w:t>
            </w:r>
          </w:p>
        </w:tc>
        <w:tc>
          <w:tcPr>
            <w:tcW w:w="500" w:type="dxa"/>
            <w:vAlign w:val="bottom"/>
            <w:shd w:val="clear" w:color="auto" w:fill="F6F8F7"/>
          </w:tcPr>
          <w:p>
            <w:pPr>
              <w:ind w:left="140"/>
              <w:spacing w:after="0"/>
              <w:rPr>
                <w:sz w:val="20"/>
                <w:szCs w:val="20"/>
                <w:color w:val="auto"/>
              </w:rPr>
            </w:pPr>
            <w:r>
              <w:rPr>
                <w:rFonts w:ascii="Arial" w:cs="Arial" w:eastAsia="Arial" w:hAnsi="Arial"/>
                <w:sz w:val="14"/>
                <w:szCs w:val="14"/>
                <w:color w:val="auto"/>
              </w:rPr>
              <w:t>with</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stockholder returns and accessing</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employees.</w:t>
            </w:r>
          </w:p>
        </w:tc>
        <w:tc>
          <w:tcPr>
            <w:tcW w:w="440" w:type="dxa"/>
            <w:vAlign w:val="bottom"/>
            <w:gridSpan w:val="2"/>
          </w:tcPr>
          <w:p>
            <w:pPr>
              <w:spacing w:after="0"/>
              <w:rPr>
                <w:sz w:val="20"/>
                <w:szCs w:val="20"/>
                <w:color w:val="auto"/>
              </w:rPr>
            </w:pPr>
            <w:r>
              <w:rPr>
                <w:rFonts w:ascii="Arial" w:cs="Arial" w:eastAsia="Arial" w:hAnsi="Arial"/>
                <w:sz w:val="14"/>
                <w:szCs w:val="14"/>
                <w:color w:val="auto"/>
              </w:rPr>
              <w:t>These</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individuals</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sophisticated logistics, transportation and</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capital markets. These individuals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have</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expertise</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in</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supply chain elements, provide valuable</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have</w:t>
            </w:r>
          </w:p>
        </w:tc>
        <w:tc>
          <w:tcPr>
            <w:tcW w:w="120" w:type="dxa"/>
            <w:vAlign w:val="bottom"/>
            <w:shd w:val="clear" w:color="auto" w:fill="F2F2F2"/>
          </w:tcPr>
          <w:p>
            <w:pPr>
              <w:spacing w:after="0"/>
              <w:rPr>
                <w:sz w:val="15"/>
                <w:szCs w:val="15"/>
                <w:color w:val="auto"/>
              </w:rPr>
            </w:pPr>
          </w:p>
        </w:tc>
        <w:tc>
          <w:tcPr>
            <w:tcW w:w="90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knowledge</w:t>
            </w:r>
          </w:p>
        </w:tc>
        <w:tc>
          <w:tcPr>
            <w:tcW w:w="280" w:type="dxa"/>
            <w:vAlign w:val="bottom"/>
            <w:shd w:val="clear" w:color="auto" w:fill="F2F2F2"/>
          </w:tcPr>
          <w:p>
            <w:pPr>
              <w:ind w:left="100"/>
              <w:spacing w:after="0"/>
              <w:rPr>
                <w:sz w:val="20"/>
                <w:szCs w:val="20"/>
                <w:color w:val="auto"/>
              </w:rPr>
            </w:pPr>
            <w:r>
              <w:rPr>
                <w:rFonts w:ascii="Arial" w:cs="Arial" w:eastAsia="Arial" w:hAnsi="Arial"/>
                <w:sz w:val="14"/>
                <w:szCs w:val="14"/>
                <w:color w:val="auto"/>
              </w:rPr>
              <w:t>of</w:t>
            </w:r>
          </w:p>
        </w:tc>
        <w:tc>
          <w:tcPr>
            <w:tcW w:w="6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corporate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management,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succession</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insights   on   management’s   ability   to</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finance and accounting standards</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color w:val="auto"/>
              </w:rPr>
              <w:t>planning and creating a diverse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2620" w:type="dxa"/>
            <w:vAlign w:val="bottom"/>
            <w:gridSpan w:val="3"/>
            <w:shd w:val="clear" w:color="auto" w:fill="F6F8F7"/>
          </w:tcPr>
          <w:p>
            <w:pPr>
              <w:ind w:left="60"/>
              <w:spacing w:after="0"/>
              <w:rPr>
                <w:sz w:val="20"/>
                <w:szCs w:val="20"/>
                <w:color w:val="auto"/>
              </w:rPr>
            </w:pPr>
            <w:r>
              <w:rPr>
                <w:rFonts w:ascii="Arial" w:cs="Arial" w:eastAsia="Arial" w:hAnsi="Arial"/>
                <w:sz w:val="14"/>
                <w:szCs w:val="14"/>
                <w:color w:val="auto"/>
              </w:rPr>
              <w:t>operate effectively and efficiently.​</w:t>
            </w:r>
          </w:p>
        </w:tc>
        <w:tc>
          <w:tcPr>
            <w:tcW w:w="500" w:type="dxa"/>
            <w:vAlign w:val="bottom"/>
            <w:shd w:val="clear" w:color="auto" w:fill="F6F8F7"/>
          </w:tcPr>
          <w:p>
            <w:pPr>
              <w:spacing w:after="0"/>
              <w:rPr>
                <w:sz w:val="15"/>
                <w:szCs w:val="15"/>
                <w:color w:val="auto"/>
              </w:rPr>
            </w:pP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necessary</w:t>
            </w: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color w:val="auto"/>
                <w:w w:val="97"/>
              </w:rPr>
              <w:t>for</w:t>
            </w:r>
          </w:p>
        </w:tc>
        <w:tc>
          <w:tcPr>
            <w:tcW w:w="700" w:type="dxa"/>
            <w:vAlign w:val="bottom"/>
            <w:gridSpan w:val="4"/>
            <w:shd w:val="clear" w:color="auto" w:fill="F2F2F2"/>
          </w:tcPr>
          <w:p>
            <w:pPr>
              <w:ind w:left="100"/>
              <w:spacing w:after="0"/>
              <w:rPr>
                <w:sz w:val="20"/>
                <w:szCs w:val="20"/>
                <w:color w:val="auto"/>
              </w:rPr>
            </w:pPr>
            <w:r>
              <w:rPr>
                <w:rFonts w:ascii="Arial" w:cs="Arial" w:eastAsia="Arial" w:hAnsi="Arial"/>
                <w:sz w:val="14"/>
                <w:szCs w:val="14"/>
                <w:color w:val="auto"/>
              </w:rPr>
              <w:t>effective</w:t>
            </w: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oversight</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and  inclusive</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workplace</w:t>
            </w: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that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460" w:type="dxa"/>
            <w:vAlign w:val="bottom"/>
            <w:shd w:val="clear" w:color="auto" w:fill="F6F8F7"/>
          </w:tcPr>
          <w:p>
            <w:pPr>
              <w:spacing w:after="0"/>
              <w:rPr>
                <w:sz w:val="15"/>
                <w:szCs w:val="15"/>
                <w:color w:val="auto"/>
              </w:rPr>
            </w:pPr>
          </w:p>
        </w:tc>
        <w:tc>
          <w:tcPr>
            <w:tcW w:w="940" w:type="dxa"/>
            <w:vAlign w:val="bottom"/>
            <w:shd w:val="clear" w:color="auto" w:fill="F6F8F7"/>
          </w:tcPr>
          <w:p>
            <w:pPr>
              <w:spacing w:after="0"/>
              <w:rPr>
                <w:sz w:val="15"/>
                <w:szCs w:val="15"/>
                <w:color w:val="auto"/>
              </w:rPr>
            </w:pPr>
          </w:p>
        </w:tc>
        <w:tc>
          <w:tcPr>
            <w:tcW w:w="1220" w:type="dxa"/>
            <w:vAlign w:val="bottom"/>
            <w:shd w:val="clear" w:color="auto" w:fill="F6F8F7"/>
          </w:tcPr>
          <w:p>
            <w:pPr>
              <w:spacing w:after="0"/>
              <w:rPr>
                <w:sz w:val="15"/>
                <w:szCs w:val="15"/>
                <w:color w:val="auto"/>
              </w:rPr>
            </w:pPr>
          </w:p>
        </w:tc>
        <w:tc>
          <w:tcPr>
            <w:tcW w:w="500" w:type="dxa"/>
            <w:vAlign w:val="bottom"/>
            <w:shd w:val="clear" w:color="auto" w:fill="F6F8F7"/>
          </w:tcPr>
          <w:p>
            <w:pPr>
              <w:spacing w:after="0"/>
              <w:rPr>
                <w:sz w:val="15"/>
                <w:szCs w:val="15"/>
                <w:color w:val="auto"/>
              </w:rPr>
            </w:pP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of</w:t>
            </w:r>
          </w:p>
        </w:tc>
        <w:tc>
          <w:tcPr>
            <w:tcW w:w="4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public</w:t>
            </w:r>
          </w:p>
        </w:tc>
        <w:tc>
          <w:tcPr>
            <w:tcW w:w="200" w:type="dxa"/>
            <w:vAlign w:val="bottom"/>
            <w:shd w:val="clear" w:color="auto" w:fill="F2F2F2"/>
          </w:tcPr>
          <w:p>
            <w:pPr>
              <w:spacing w:after="0"/>
              <w:rPr>
                <w:sz w:val="15"/>
                <w:szCs w:val="15"/>
                <w:color w:val="auto"/>
              </w:rPr>
            </w:pPr>
          </w:p>
        </w:tc>
        <w:tc>
          <w:tcPr>
            <w:tcW w:w="64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company</w:t>
            </w:r>
          </w:p>
        </w:tc>
        <w:tc>
          <w:tcPr>
            <w:tcW w:w="6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financial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color w:val="auto"/>
              </w:rPr>
              <w:t>prioritizes  safety  as  a  core</w:t>
            </w:r>
          </w:p>
        </w:tc>
        <w:tc>
          <w:tcPr>
            <w:tcW w:w="0" w:type="dxa"/>
            <w:vAlign w:val="bottom"/>
          </w:tcPr>
          <w:p>
            <w:pPr>
              <w:spacing w:after="0"/>
              <w:rPr>
                <w:sz w:val="1"/>
                <w:szCs w:val="1"/>
                <w:color w:val="auto"/>
              </w:rPr>
            </w:pPr>
          </w:p>
        </w:tc>
      </w:tr>
      <w:tr>
        <w:trPr>
          <w:trHeight w:val="190"/>
        </w:trPr>
        <w:tc>
          <w:tcPr>
            <w:tcW w:w="140" w:type="dxa"/>
            <w:vAlign w:val="bottom"/>
            <w:shd w:val="clear" w:color="auto" w:fill="F6F8F7"/>
          </w:tcPr>
          <w:p>
            <w:pPr>
              <w:spacing w:after="0"/>
              <w:rPr>
                <w:sz w:val="16"/>
                <w:szCs w:val="16"/>
                <w:color w:val="auto"/>
              </w:rPr>
            </w:pPr>
          </w:p>
        </w:tc>
        <w:tc>
          <w:tcPr>
            <w:tcW w:w="460" w:type="dxa"/>
            <w:vAlign w:val="bottom"/>
            <w:shd w:val="clear" w:color="auto" w:fill="F6F8F7"/>
          </w:tcPr>
          <w:p>
            <w:pPr>
              <w:spacing w:after="0"/>
              <w:rPr>
                <w:sz w:val="16"/>
                <w:szCs w:val="16"/>
                <w:color w:val="auto"/>
              </w:rPr>
            </w:pPr>
          </w:p>
        </w:tc>
        <w:tc>
          <w:tcPr>
            <w:tcW w:w="940" w:type="dxa"/>
            <w:vAlign w:val="bottom"/>
            <w:shd w:val="clear" w:color="auto" w:fill="F6F8F7"/>
          </w:tcPr>
          <w:p>
            <w:pPr>
              <w:spacing w:after="0"/>
              <w:rPr>
                <w:sz w:val="16"/>
                <w:szCs w:val="16"/>
                <w:color w:val="auto"/>
              </w:rPr>
            </w:pPr>
          </w:p>
        </w:tc>
        <w:tc>
          <w:tcPr>
            <w:tcW w:w="1220" w:type="dxa"/>
            <w:vAlign w:val="bottom"/>
            <w:shd w:val="clear" w:color="auto" w:fill="F6F8F7"/>
          </w:tcPr>
          <w:p>
            <w:pPr>
              <w:spacing w:after="0"/>
              <w:rPr>
                <w:sz w:val="16"/>
                <w:szCs w:val="16"/>
                <w:color w:val="auto"/>
              </w:rPr>
            </w:pPr>
          </w:p>
        </w:tc>
        <w:tc>
          <w:tcPr>
            <w:tcW w:w="500" w:type="dxa"/>
            <w:vAlign w:val="bottom"/>
            <w:shd w:val="clear" w:color="auto" w:fill="F6F8F7"/>
          </w:tcPr>
          <w:p>
            <w:pPr>
              <w:spacing w:after="0"/>
              <w:rPr>
                <w:sz w:val="16"/>
                <w:szCs w:val="16"/>
                <w:color w:val="auto"/>
              </w:rPr>
            </w:pPr>
          </w:p>
        </w:tc>
        <w:tc>
          <w:tcPr>
            <w:tcW w:w="120" w:type="dxa"/>
            <w:vAlign w:val="bottom"/>
            <w:shd w:val="clear" w:color="auto" w:fill="F6F8F7"/>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reporting.</w:t>
            </w:r>
          </w:p>
        </w:tc>
        <w:tc>
          <w:tcPr>
            <w:tcW w:w="20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value.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6"/>
        </w:trPr>
        <w:tc>
          <w:tcPr>
            <w:tcW w:w="140" w:type="dxa"/>
            <w:vAlign w:val="bottom"/>
            <w:shd w:val="clear" w:color="auto" w:fill="F6F8F7"/>
          </w:tcPr>
          <w:p>
            <w:pPr>
              <w:spacing w:after="0"/>
              <w:rPr>
                <w:sz w:val="24"/>
                <w:szCs w:val="24"/>
                <w:color w:val="auto"/>
              </w:rPr>
            </w:pPr>
          </w:p>
        </w:tc>
        <w:tc>
          <w:tcPr>
            <w:tcW w:w="460" w:type="dxa"/>
            <w:vAlign w:val="bottom"/>
            <w:shd w:val="clear" w:color="auto" w:fill="F6F8F7"/>
          </w:tcPr>
          <w:p>
            <w:pPr>
              <w:spacing w:after="0"/>
              <w:rPr>
                <w:sz w:val="24"/>
                <w:szCs w:val="24"/>
                <w:color w:val="auto"/>
              </w:rPr>
            </w:pPr>
          </w:p>
        </w:tc>
        <w:tc>
          <w:tcPr>
            <w:tcW w:w="940" w:type="dxa"/>
            <w:vAlign w:val="bottom"/>
            <w:shd w:val="clear" w:color="auto" w:fill="F6F8F7"/>
          </w:tcPr>
          <w:p>
            <w:pPr>
              <w:spacing w:after="0"/>
              <w:rPr>
                <w:sz w:val="24"/>
                <w:szCs w:val="24"/>
                <w:color w:val="auto"/>
              </w:rPr>
            </w:pPr>
          </w:p>
        </w:tc>
        <w:tc>
          <w:tcPr>
            <w:tcW w:w="1220" w:type="dxa"/>
            <w:vAlign w:val="bottom"/>
            <w:shd w:val="clear" w:color="auto" w:fill="F6F8F7"/>
          </w:tcPr>
          <w:p>
            <w:pPr>
              <w:spacing w:after="0"/>
              <w:rPr>
                <w:sz w:val="24"/>
                <w:szCs w:val="24"/>
                <w:color w:val="auto"/>
              </w:rPr>
            </w:pPr>
          </w:p>
        </w:tc>
        <w:tc>
          <w:tcPr>
            <w:tcW w:w="500" w:type="dxa"/>
            <w:vAlign w:val="bottom"/>
            <w:shd w:val="clear" w:color="auto" w:fill="F6F8F7"/>
          </w:tcPr>
          <w:p>
            <w:pPr>
              <w:spacing w:after="0"/>
              <w:rPr>
                <w:sz w:val="24"/>
                <w:szCs w:val="24"/>
                <w:color w:val="auto"/>
              </w:rPr>
            </w:pPr>
          </w:p>
        </w:tc>
        <w:tc>
          <w:tcPr>
            <w:tcW w:w="120" w:type="dxa"/>
            <w:vAlign w:val="bottom"/>
            <w:shd w:val="clear" w:color="auto" w:fill="F6F8F7"/>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34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6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-2245360</wp:posOffset>
            </wp:positionV>
            <wp:extent cx="5760720" cy="2682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60720" cy="268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457157"/>
        </w:rPr>
        <w: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405" w:lineRule="exact"/>
        <w:rPr>
          <w:sz w:val="20"/>
          <w:szCs w:val="20"/>
          <w:color w:val="auto"/>
        </w:rPr>
      </w:pPr>
    </w:p>
    <w:p>
      <w:pPr>
        <w:sectPr>
          <w:pgSz w:w="11900" w:h="16838" w:orient="portrait"/>
          <w:cols w:equalWidth="0" w:num="2">
            <w:col w:w="9640" w:space="160"/>
            <w:col w:w="14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2920" w:type="dxa"/>
            <w:vAlign w:val="bottom"/>
            <w:vMerge w:val="restart"/>
          </w:tcPr>
          <w:p>
            <w:pPr>
              <w:ind w:left="280"/>
              <w:spacing w:after="0"/>
              <w:rPr>
                <w:sz w:val="20"/>
                <w:szCs w:val="20"/>
                <w:color w:val="auto"/>
              </w:rPr>
            </w:pPr>
            <w:r>
              <w:rPr>
                <w:rFonts w:ascii="Arial" w:cs="Arial" w:eastAsia="Arial" w:hAnsi="Arial"/>
                <w:sz w:val="28"/>
                <w:szCs w:val="28"/>
                <w:color w:val="000000"/>
                <w:vertAlign w:val="subscript"/>
              </w:rPr>
              <w:t>​​</w:t>
            </w:r>
            <w:r>
              <w:rPr>
                <w:rFonts w:ascii="Arial" w:cs="Arial" w:eastAsia="Arial" w:hAnsi="Arial"/>
                <w:sz w:val="16"/>
                <w:szCs w:val="16"/>
                <w:b w:val="1"/>
                <w:bCs w:val="1"/>
                <w:color w:val="457157"/>
              </w:rPr>
              <w:t>Sustainability/Environmental/</w:t>
            </w:r>
          </w:p>
        </w:tc>
        <w:tc>
          <w:tcPr>
            <w:tcW w:w="160" w:type="dxa"/>
            <w:vAlign w:val="bottom"/>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900" w:type="dxa"/>
            <w:vAlign w:val="bottom"/>
          </w:tcPr>
          <w:p>
            <w:pPr>
              <w:ind w:left="80"/>
              <w:spacing w:after="0"/>
              <w:rPr>
                <w:sz w:val="20"/>
                <w:szCs w:val="20"/>
                <w:color w:val="auto"/>
              </w:rPr>
            </w:pPr>
            <w:r>
              <w:rPr>
                <w:rFonts w:ascii="Arial" w:cs="Arial" w:eastAsia="Arial" w:hAnsi="Arial"/>
                <w:sz w:val="16"/>
                <w:szCs w:val="16"/>
                <w:b w:val="1"/>
                <w:bCs w:val="1"/>
                <w:color w:val="457157"/>
              </w:rPr>
              <w:t>Digital/Information</w:t>
            </w:r>
          </w:p>
        </w:tc>
        <w:tc>
          <w:tcPr>
            <w:tcW w:w="340" w:type="dxa"/>
            <w:vAlign w:val="bottom"/>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1600" w:type="dxa"/>
            <w:vAlign w:val="bottom"/>
            <w:vMerge w:val="restart"/>
            <w:shd w:val="clear" w:color="auto" w:fill="E5E5E5"/>
          </w:tcPr>
          <w:p>
            <w:pPr>
              <w:ind w:left="20"/>
              <w:spacing w:after="0"/>
              <w:rPr>
                <w:sz w:val="20"/>
                <w:szCs w:val="20"/>
                <w:color w:val="auto"/>
              </w:rPr>
            </w:pPr>
            <w:r>
              <w:rPr>
                <w:rFonts w:ascii="Arial" w:cs="Arial" w:eastAsia="Arial" w:hAnsi="Arial"/>
                <w:sz w:val="28"/>
                <w:szCs w:val="28"/>
                <w:color w:val="000000"/>
                <w:vertAlign w:val="subscript"/>
              </w:rPr>
              <w:t>​</w:t>
            </w:r>
            <w:r>
              <w:rPr>
                <w:rFonts w:ascii="Arial" w:cs="Arial" w:eastAsia="Arial" w:hAnsi="Arial"/>
                <w:sz w:val="16"/>
                <w:szCs w:val="16"/>
                <w:b w:val="1"/>
                <w:bCs w:val="1"/>
                <w:color w:val="457157"/>
              </w:rPr>
              <w:t>Risk</w:t>
            </w:r>
          </w:p>
        </w:tc>
        <w:tc>
          <w:tcPr>
            <w:tcW w:w="48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2920" w:type="dxa"/>
            <w:vAlign w:val="bottom"/>
            <w:vMerge w:val="continue"/>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457157"/>
          </w:tcPr>
          <w:p>
            <w:pPr>
              <w:ind w:lef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457157"/>
          </w:tcPr>
          <w:p>
            <w:pPr>
              <w:ind w:left="280"/>
              <w:spacing w:after="0"/>
              <w:rPr>
                <w:sz w:val="20"/>
                <w:szCs w:val="20"/>
                <w:color w:val="auto"/>
              </w:rPr>
            </w:pPr>
            <w:r>
              <w:rPr>
                <w:rFonts w:ascii="Arial" w:cs="Arial" w:eastAsia="Arial" w:hAnsi="Arial"/>
                <w:sz w:val="1"/>
                <w:szCs w:val="1"/>
                <w:color w:val="auto"/>
                <w:w w:val="4294942296"/>
              </w:rPr>
              <w:t>​</w:t>
            </w:r>
          </w:p>
        </w:tc>
        <w:tc>
          <w:tcPr>
            <w:tcW w:w="1900" w:type="dxa"/>
            <w:vAlign w:val="bottom"/>
          </w:tcPr>
          <w:p>
            <w:pPr>
              <w:ind w:left="40"/>
              <w:spacing w:after="0" w:line="163" w:lineRule="exact"/>
              <w:rPr>
                <w:sz w:val="20"/>
                <w:szCs w:val="20"/>
                <w:color w:val="auto"/>
              </w:rPr>
            </w:pPr>
            <w:r>
              <w:rPr>
                <w:rFonts w:ascii="Arial" w:cs="Arial" w:eastAsia="Arial" w:hAnsi="Arial"/>
                <w:sz w:val="14"/>
                <w:szCs w:val="14"/>
                <w:color w:val="auto"/>
              </w:rPr>
              <w:t>​</w:t>
            </w:r>
            <w:r>
              <w:rPr>
                <w:rFonts w:ascii="Arial" w:cs="Arial" w:eastAsia="Arial" w:hAnsi="Arial"/>
                <w:sz w:val="16"/>
                <w:szCs w:val="16"/>
                <w:b w:val="1"/>
                <w:bCs w:val="1"/>
                <w:color w:val="457157"/>
              </w:rPr>
              <w:t>Technology/</w:t>
            </w:r>
          </w:p>
        </w:tc>
        <w:tc>
          <w:tcPr>
            <w:tcW w:w="340" w:type="dxa"/>
            <w:vAlign w:val="bottom"/>
          </w:tcPr>
          <w:p>
            <w:pPr>
              <w:ind w:lef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457157"/>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457157"/>
          </w:tcPr>
          <w:p>
            <w:pPr>
              <w:ind w:left="280"/>
              <w:spacing w:after="0"/>
              <w:rPr>
                <w:sz w:val="20"/>
                <w:szCs w:val="20"/>
                <w:color w:val="auto"/>
              </w:rPr>
            </w:pPr>
            <w:r>
              <w:rPr>
                <w:rFonts w:ascii="Arial" w:cs="Arial" w:eastAsia="Arial" w:hAnsi="Arial"/>
                <w:sz w:val="14"/>
                <w:szCs w:val="14"/>
                <w:color w:val="auto"/>
              </w:rPr>
              <w:t>​</w:t>
            </w:r>
          </w:p>
        </w:tc>
        <w:tc>
          <w:tcPr>
            <w:tcW w:w="1600" w:type="dxa"/>
            <w:vAlign w:val="bottom"/>
            <w:vMerge w:val="continue"/>
            <w:shd w:val="clear" w:color="auto" w:fill="E5E5E5"/>
          </w:tcPr>
          <w:p>
            <w:pPr>
              <w:spacing w:after="0"/>
              <w:rPr>
                <w:sz w:val="14"/>
                <w:szCs w:val="14"/>
                <w:color w:val="auto"/>
              </w:rPr>
            </w:pPr>
          </w:p>
        </w:tc>
        <w:tc>
          <w:tcPr>
            <w:tcW w:w="480" w:type="dxa"/>
            <w:vAlign w:val="bottom"/>
            <w:shd w:val="clear" w:color="auto" w:fill="E5E5E5"/>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20" w:type="dxa"/>
            <w:vAlign w:val="bottom"/>
          </w:tcPr>
          <w:p>
            <w:pPr>
              <w:ind w:left="360"/>
              <w:spacing w:after="0"/>
              <w:rPr>
                <w:sz w:val="20"/>
                <w:szCs w:val="20"/>
                <w:color w:val="auto"/>
              </w:rPr>
            </w:pPr>
            <w:r>
              <w:rPr>
                <w:rFonts w:ascii="Arial" w:cs="Arial" w:eastAsia="Arial" w:hAnsi="Arial"/>
                <w:sz w:val="16"/>
                <w:szCs w:val="16"/>
                <w:b w:val="1"/>
                <w:bCs w:val="1"/>
                <w:color w:val="457157"/>
              </w:rPr>
              <w:t>Renewable Energy</w:t>
            </w:r>
          </w:p>
        </w:tc>
        <w:tc>
          <w:tcPr>
            <w:tcW w:w="160" w:type="dxa"/>
            <w:vAlign w:val="bottom"/>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300" w:type="dxa"/>
            <w:vAlign w:val="bottom"/>
            <w:shd w:val="clear" w:color="auto" w:fill="457157"/>
          </w:tcPr>
          <w:p>
            <w:pPr>
              <w:spacing w:after="0"/>
              <w:rPr>
                <w:sz w:val="17"/>
                <w:szCs w:val="17"/>
                <w:color w:val="auto"/>
              </w:rPr>
            </w:pPr>
          </w:p>
        </w:tc>
        <w:tc>
          <w:tcPr>
            <w:tcW w:w="1900" w:type="dxa"/>
            <w:vAlign w:val="bottom"/>
            <w:vMerge w:val="restart"/>
          </w:tcPr>
          <w:p>
            <w:pPr>
              <w:ind w:left="80"/>
              <w:spacing w:after="0"/>
              <w:rPr>
                <w:sz w:val="20"/>
                <w:szCs w:val="20"/>
                <w:color w:val="auto"/>
              </w:rPr>
            </w:pPr>
            <w:r>
              <w:rPr>
                <w:rFonts w:ascii="Arial" w:cs="Arial" w:eastAsia="Arial" w:hAnsi="Arial"/>
                <w:sz w:val="16"/>
                <w:szCs w:val="16"/>
                <w:b w:val="1"/>
                <w:bCs w:val="1"/>
                <w:color w:val="457157"/>
              </w:rPr>
              <w:t>Cybersecurity</w:t>
            </w:r>
            <w:r>
              <w:rPr>
                <w:rFonts w:ascii="Arial" w:cs="Arial" w:eastAsia="Arial" w:hAnsi="Arial"/>
                <w:sz w:val="14"/>
                <w:szCs w:val="14"/>
                <w:color w:val="000000"/>
              </w:rPr>
              <w:t>​</w:t>
            </w:r>
          </w:p>
        </w:tc>
        <w:tc>
          <w:tcPr>
            <w:tcW w:w="340" w:type="dxa"/>
            <w:vAlign w:val="bottom"/>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320" w:type="dxa"/>
            <w:vAlign w:val="bottom"/>
            <w:shd w:val="clear" w:color="auto" w:fill="457157"/>
          </w:tcPr>
          <w:p>
            <w:pPr>
              <w:spacing w:after="0"/>
              <w:rPr>
                <w:sz w:val="17"/>
                <w:szCs w:val="17"/>
                <w:color w:val="auto"/>
              </w:rPr>
            </w:pPr>
          </w:p>
        </w:tc>
        <w:tc>
          <w:tcPr>
            <w:tcW w:w="160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457157"/>
              </w:rPr>
              <w:t>Management</w:t>
            </w:r>
            <w:r>
              <w:rPr>
                <w:rFonts w:ascii="Arial" w:cs="Arial" w:eastAsia="Arial" w:hAnsi="Arial"/>
                <w:sz w:val="14"/>
                <w:szCs w:val="14"/>
                <w:color w:val="000000"/>
              </w:rPr>
              <w:t>​</w:t>
            </w:r>
          </w:p>
        </w:tc>
        <w:tc>
          <w:tcPr>
            <w:tcW w:w="4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shd w:val="clear" w:color="auto" w:fill="457157"/>
          </w:tcPr>
          <w:p>
            <w:pPr>
              <w:spacing w:after="0"/>
              <w:rPr>
                <w:sz w:val="5"/>
                <w:szCs w:val="5"/>
                <w:color w:val="auto"/>
              </w:rPr>
            </w:pPr>
          </w:p>
        </w:tc>
        <w:tc>
          <w:tcPr>
            <w:tcW w:w="300" w:type="dxa"/>
            <w:vAlign w:val="bottom"/>
            <w:shd w:val="clear" w:color="auto" w:fill="457157"/>
          </w:tcPr>
          <w:p>
            <w:pPr>
              <w:spacing w:after="0"/>
              <w:rPr>
                <w:sz w:val="5"/>
                <w:szCs w:val="5"/>
                <w:color w:val="auto"/>
              </w:rPr>
            </w:pPr>
          </w:p>
        </w:tc>
        <w:tc>
          <w:tcPr>
            <w:tcW w:w="19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shd w:val="clear" w:color="auto" w:fill="457157"/>
          </w:tcPr>
          <w:p>
            <w:pPr>
              <w:spacing w:after="0"/>
              <w:rPr>
                <w:sz w:val="5"/>
                <w:szCs w:val="5"/>
                <w:color w:val="auto"/>
              </w:rPr>
            </w:pPr>
          </w:p>
        </w:tc>
        <w:tc>
          <w:tcPr>
            <w:tcW w:w="320" w:type="dxa"/>
            <w:vAlign w:val="bottom"/>
            <w:shd w:val="clear" w:color="auto" w:fill="457157"/>
          </w:tcPr>
          <w:p>
            <w:pPr>
              <w:spacing w:after="0"/>
              <w:rPr>
                <w:sz w:val="5"/>
                <w:szCs w:val="5"/>
                <w:color w:val="auto"/>
              </w:rPr>
            </w:pPr>
          </w:p>
        </w:tc>
        <w:tc>
          <w:tcPr>
            <w:tcW w:w="1600" w:type="dxa"/>
            <w:vAlign w:val="bottom"/>
            <w:shd w:val="clear" w:color="auto" w:fill="E5E5E5"/>
          </w:tcPr>
          <w:p>
            <w:pPr>
              <w:spacing w:after="0"/>
              <w:rPr>
                <w:sz w:val="5"/>
                <w:szCs w:val="5"/>
                <w:color w:val="auto"/>
              </w:rPr>
            </w:pPr>
          </w:p>
        </w:tc>
        <w:tc>
          <w:tcPr>
            <w:tcW w:w="48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60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-316865</wp:posOffset>
            </wp:positionV>
            <wp:extent cx="5760720" cy="3188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60720" cy="318897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-316865</wp:posOffset>
            </wp:positionV>
            <wp:extent cx="5760720" cy="3188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60720" cy="31889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p>
      <w:pPr>
        <w:ind w:left="1020" w:hanging="204"/>
        <w:spacing w:after="0" w:line="207" w:lineRule="auto"/>
        <w:tabs>
          <w:tab w:leader="none" w:pos="1020" w:val="left"/>
        </w:tabs>
        <w:numPr>
          <w:ilvl w:val="0"/>
          <w:numId w:val="16"/>
        </w:numPr>
        <w:rPr>
          <w:rFonts w:ascii="Arial" w:cs="Arial" w:eastAsia="Arial" w:hAnsi="Arial"/>
          <w:sz w:val="29"/>
          <w:szCs w:val="29"/>
          <w:color w:val="auto"/>
          <w:vertAlign w:val="superscript"/>
        </w:rPr>
      </w:pPr>
      <w:r>
        <w:rPr>
          <w:rFonts w:ascii="Arial" w:cs="Arial" w:eastAsia="Arial" w:hAnsi="Arial"/>
          <w:sz w:val="14"/>
          <w:szCs w:val="14"/>
          <w:color w:val="auto"/>
        </w:rPr>
        <w:t xml:space="preserve">Directors   with   experience   overseeing  </w:t>
      </w:r>
      <w:r>
        <w:rPr>
          <w:rFonts w:ascii="Arial" w:cs="Arial" w:eastAsia="Arial" w:hAnsi="Arial"/>
          <w:sz w:val="28"/>
          <w:szCs w:val="28"/>
          <w:color w:val="auto"/>
          <w:vertAlign w:val="superscript"/>
        </w:rPr>
        <w:t>​ ​</w:t>
      </w:r>
      <w:r>
        <w:rPr>
          <w:rFonts w:ascii="Arial" w:cs="Arial" w:eastAsia="Arial" w:hAnsi="Arial"/>
          <w:sz w:val="14"/>
          <w:szCs w:val="14"/>
          <w:color w:val="auto"/>
        </w:rPr>
        <w:t xml:space="preserve">  Directors with experience in digital  </w:t>
      </w:r>
      <w:r>
        <w:rPr>
          <w:rFonts w:ascii="Arial" w:cs="Arial" w:eastAsia="Arial" w:hAnsi="Arial"/>
          <w:sz w:val="28"/>
          <w:szCs w:val="28"/>
          <w:color w:val="auto"/>
          <w:vertAlign w:val="superscript"/>
        </w:rPr>
        <w:t>​ ​</w:t>
      </w:r>
      <w:r>
        <w:rPr>
          <w:rFonts w:ascii="Arial" w:cs="Arial" w:eastAsia="Arial" w:hAnsi="Arial"/>
          <w:sz w:val="14"/>
          <w:szCs w:val="14"/>
          <w:color w:val="auto"/>
        </w:rPr>
        <w:t xml:space="preserve">  Directors that have participated</w:t>
      </w:r>
    </w:p>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4"/>
                <w:szCs w:val="14"/>
                <w:color w:val="auto"/>
              </w:rPr>
              <w:t>development,</w:t>
            </w:r>
          </w:p>
        </w:tc>
        <w:tc>
          <w:tcPr>
            <w:tcW w:w="18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color w:val="auto"/>
              </w:rPr>
              <w:t>implementation</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and</w:t>
            </w:r>
          </w:p>
        </w:tc>
        <w:tc>
          <w:tcPr>
            <w:tcW w:w="780" w:type="dxa"/>
            <w:vAlign w:val="bottom"/>
          </w:tcPr>
          <w:p>
            <w:pPr>
              <w:ind w:left="220"/>
              <w:spacing w:after="0"/>
              <w:rPr>
                <w:sz w:val="20"/>
                <w:szCs w:val="20"/>
                <w:color w:val="auto"/>
              </w:rPr>
            </w:pPr>
            <w:r>
              <w:rPr>
                <w:rFonts w:ascii="Arial" w:cs="Arial" w:eastAsia="Arial" w:hAnsi="Arial"/>
                <w:sz w:val="14"/>
                <w:szCs w:val="14"/>
                <w:color w:val="auto"/>
              </w:rPr>
              <w:t>and</w:t>
            </w:r>
          </w:p>
        </w:tc>
        <w:tc>
          <w:tcPr>
            <w:tcW w:w="1040" w:type="dxa"/>
            <w:vAlign w:val="bottom"/>
            <w:gridSpan w:val="3"/>
          </w:tcPr>
          <w:p>
            <w:pPr>
              <w:jc w:val="right"/>
              <w:ind w:right="168"/>
              <w:spacing w:after="0"/>
              <w:rPr>
                <w:sz w:val="20"/>
                <w:szCs w:val="20"/>
                <w:color w:val="auto"/>
              </w:rPr>
            </w:pPr>
            <w:r>
              <w:rPr>
                <w:rFonts w:ascii="Arial" w:cs="Arial" w:eastAsia="Arial" w:hAnsi="Arial"/>
                <w:sz w:val="14"/>
                <w:szCs w:val="14"/>
                <w:color w:val="auto"/>
              </w:rPr>
              <w:t>information</w:t>
            </w:r>
          </w:p>
        </w:tc>
        <w:tc>
          <w:tcPr>
            <w:tcW w:w="1020" w:type="dxa"/>
            <w:vAlign w:val="bottom"/>
            <w:gridSpan w:val="3"/>
          </w:tcPr>
          <w:p>
            <w:pPr>
              <w:jc w:val="right"/>
              <w:ind w:right="108"/>
              <w:spacing w:after="0"/>
              <w:rPr>
                <w:sz w:val="20"/>
                <w:szCs w:val="20"/>
                <w:color w:val="auto"/>
              </w:rPr>
            </w:pPr>
            <w:r>
              <w:rPr>
                <w:rFonts w:ascii="Arial" w:cs="Arial" w:eastAsia="Arial" w:hAnsi="Arial"/>
                <w:sz w:val="14"/>
                <w:szCs w:val="14"/>
                <w:color w:val="auto"/>
              </w:rPr>
              <w:t>technology</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in development, implementation</w:t>
            </w:r>
          </w:p>
        </w:tc>
        <w:tc>
          <w:tcPr>
            <w:tcW w:w="0" w:type="dxa"/>
            <w:vAlign w:val="bottom"/>
          </w:tcPr>
          <w:p>
            <w:pPr>
              <w:spacing w:after="0"/>
              <w:rPr>
                <w:sz w:val="1"/>
                <w:szCs w:val="1"/>
                <w:color w:val="auto"/>
              </w:rPr>
            </w:pPr>
          </w:p>
        </w:tc>
      </w:tr>
      <w:tr>
        <w:trPr>
          <w:trHeight w:val="176"/>
        </w:trPr>
        <w:tc>
          <w:tcPr>
            <w:tcW w:w="960" w:type="dxa"/>
            <w:vAlign w:val="bottom"/>
            <w:gridSpan w:val="2"/>
          </w:tcPr>
          <w:p>
            <w:pPr>
              <w:spacing w:after="0"/>
              <w:rPr>
                <w:sz w:val="20"/>
                <w:szCs w:val="20"/>
                <w:color w:val="auto"/>
              </w:rPr>
            </w:pPr>
            <w:r>
              <w:rPr>
                <w:rFonts w:ascii="Arial" w:cs="Arial" w:eastAsia="Arial" w:hAnsi="Arial"/>
                <w:sz w:val="14"/>
                <w:szCs w:val="14"/>
                <w:color w:val="auto"/>
              </w:rPr>
              <w:t>assessment</w:t>
            </w:r>
          </w:p>
        </w:tc>
        <w:tc>
          <w:tcPr>
            <w:tcW w:w="180" w:type="dxa"/>
            <w:vAlign w:val="bottom"/>
          </w:tcPr>
          <w:p>
            <w:pPr>
              <w:spacing w:after="0"/>
              <w:rPr>
                <w:sz w:val="20"/>
                <w:szCs w:val="20"/>
                <w:color w:val="auto"/>
              </w:rPr>
            </w:pPr>
            <w:r>
              <w:rPr>
                <w:rFonts w:ascii="Arial" w:cs="Arial" w:eastAsia="Arial" w:hAnsi="Arial"/>
                <w:sz w:val="14"/>
                <w:szCs w:val="14"/>
                <w:color w:val="auto"/>
              </w:rPr>
              <w:t>of</w:t>
            </w:r>
          </w:p>
        </w:tc>
        <w:tc>
          <w:tcPr>
            <w:tcW w:w="2060" w:type="dxa"/>
            <w:vAlign w:val="bottom"/>
            <w:gridSpan w:val="3"/>
          </w:tcPr>
          <w:p>
            <w:pPr>
              <w:jc w:val="right"/>
              <w:ind w:right="148"/>
              <w:spacing w:after="0"/>
              <w:rPr>
                <w:sz w:val="20"/>
                <w:szCs w:val="20"/>
                <w:color w:val="auto"/>
              </w:rPr>
            </w:pPr>
            <w:r>
              <w:rPr>
                <w:rFonts w:ascii="Arial" w:cs="Arial" w:eastAsia="Arial" w:hAnsi="Arial"/>
                <w:sz w:val="14"/>
                <w:szCs w:val="14"/>
                <w:color w:val="auto"/>
              </w:rPr>
              <w:t>sustainability  strategies,</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leadership</w:t>
            </w:r>
          </w:p>
        </w:tc>
        <w:tc>
          <w:tcPr>
            <w:tcW w:w="18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4"/>
                <w:szCs w:val="14"/>
                <w:color w:val="auto"/>
              </w:rPr>
              <w:t>provide</w:t>
            </w:r>
          </w:p>
        </w:tc>
        <w:tc>
          <w:tcPr>
            <w:tcW w:w="24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valuable</w:t>
            </w:r>
          </w:p>
        </w:tc>
        <w:tc>
          <w:tcPr>
            <w:tcW w:w="520" w:type="dxa"/>
            <w:vAlign w:val="bottom"/>
          </w:tcPr>
          <w:p>
            <w:pPr>
              <w:ind w:left="260"/>
              <w:spacing w:after="0"/>
              <w:rPr>
                <w:sz w:val="20"/>
                <w:szCs w:val="20"/>
                <w:color w:val="auto"/>
              </w:rPr>
            </w:pPr>
            <w:r>
              <w:rPr>
                <w:rFonts w:ascii="Arial" w:cs="Arial" w:eastAsia="Arial" w:hAnsi="Arial"/>
                <w:sz w:val="14"/>
                <w:szCs w:val="14"/>
                <w:color w:val="auto"/>
              </w:rPr>
              <w:t>and</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evaluation</w:t>
            </w:r>
          </w:p>
        </w:tc>
        <w:tc>
          <w:tcPr>
            <w:tcW w:w="220" w:type="dxa"/>
            <w:vAlign w:val="bottom"/>
          </w:tcPr>
          <w:p>
            <w:pPr>
              <w:jc w:val="right"/>
              <w:spacing w:after="0"/>
              <w:rPr>
                <w:sz w:val="20"/>
                <w:szCs w:val="20"/>
                <w:color w:val="auto"/>
              </w:rPr>
            </w:pPr>
            <w:r>
              <w:rPr>
                <w:rFonts w:ascii="Arial" w:cs="Arial" w:eastAsia="Arial" w:hAnsi="Arial"/>
                <w:sz w:val="14"/>
                <w:szCs w:val="14"/>
                <w:color w:val="auto"/>
              </w:rPr>
              <w:t>of</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sophisticated</w:t>
            </w:r>
          </w:p>
        </w:tc>
        <w:tc>
          <w:tcPr>
            <w:tcW w:w="0" w:type="dxa"/>
            <w:vAlign w:val="bottom"/>
          </w:tcPr>
          <w:p>
            <w:pPr>
              <w:spacing w:after="0"/>
              <w:rPr>
                <w:sz w:val="1"/>
                <w:szCs w:val="1"/>
                <w:color w:val="auto"/>
              </w:rPr>
            </w:pPr>
          </w:p>
        </w:tc>
      </w:tr>
      <w:tr>
        <w:trPr>
          <w:trHeight w:val="162"/>
        </w:trPr>
        <w:tc>
          <w:tcPr>
            <w:tcW w:w="3200" w:type="dxa"/>
            <w:vAlign w:val="bottom"/>
            <w:gridSpan w:val="6"/>
          </w:tcPr>
          <w:p>
            <w:pPr>
              <w:spacing w:after="0"/>
              <w:rPr>
                <w:sz w:val="20"/>
                <w:szCs w:val="20"/>
                <w:color w:val="auto"/>
              </w:rPr>
            </w:pPr>
            <w:r>
              <w:rPr>
                <w:rFonts w:ascii="Arial" w:cs="Arial" w:eastAsia="Arial" w:hAnsi="Arial"/>
                <w:sz w:val="14"/>
                <w:szCs w:val="14"/>
                <w:color w:val="auto"/>
              </w:rPr>
              <w:t>and  risks  and  opportunities  related  to</w:t>
            </w: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perspectives</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on</w:t>
            </w:r>
          </w:p>
        </w:tc>
        <w:tc>
          <w:tcPr>
            <w:tcW w:w="1020" w:type="dxa"/>
            <w:vAlign w:val="bottom"/>
            <w:gridSpan w:val="3"/>
          </w:tcPr>
          <w:p>
            <w:pPr>
              <w:jc w:val="right"/>
              <w:ind w:right="108"/>
              <w:spacing w:after="0"/>
              <w:rPr>
                <w:sz w:val="20"/>
                <w:szCs w:val="20"/>
                <w:color w:val="auto"/>
              </w:rPr>
            </w:pPr>
            <w:r>
              <w:rPr>
                <w:rFonts w:ascii="Arial" w:cs="Arial" w:eastAsia="Arial" w:hAnsi="Arial"/>
                <w:sz w:val="14"/>
                <w:szCs w:val="14"/>
                <w:color w:val="auto"/>
              </w:rPr>
              <w:t>technology</w:t>
            </w:r>
          </w:p>
        </w:tc>
        <w:tc>
          <w:tcPr>
            <w:tcW w:w="520" w:type="dxa"/>
            <w:vAlign w:val="bottom"/>
          </w:tcPr>
          <w:p>
            <w:pPr>
              <w:ind w:left="260"/>
              <w:spacing w:after="0"/>
              <w:rPr>
                <w:sz w:val="20"/>
                <w:szCs w:val="20"/>
                <w:color w:val="auto"/>
              </w:rPr>
            </w:pPr>
            <w:r>
              <w:rPr>
                <w:rFonts w:ascii="Arial" w:cs="Arial" w:eastAsia="Arial" w:hAnsi="Arial"/>
                <w:sz w:val="14"/>
                <w:szCs w:val="14"/>
                <w:color w:val="auto"/>
              </w:rPr>
              <w:t>risk</w:t>
            </w:r>
          </w:p>
        </w:tc>
        <w:tc>
          <w:tcPr>
            <w:tcW w:w="1060" w:type="dxa"/>
            <w:vAlign w:val="bottom"/>
            <w:gridSpan w:val="3"/>
          </w:tcPr>
          <w:p>
            <w:pPr>
              <w:jc w:val="right"/>
              <w:ind w:right="8"/>
              <w:spacing w:after="0"/>
              <w:rPr>
                <w:sz w:val="20"/>
                <w:szCs w:val="20"/>
                <w:color w:val="auto"/>
              </w:rPr>
            </w:pPr>
            <w:r>
              <w:rPr>
                <w:rFonts w:ascii="Arial" w:cs="Arial" w:eastAsia="Arial" w:hAnsi="Arial"/>
                <w:sz w:val="14"/>
                <w:szCs w:val="14"/>
                <w:color w:val="auto"/>
              </w:rPr>
              <w:t>management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programs are</w:t>
            </w: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rPr>
                <w:sz w:val="20"/>
                <w:szCs w:val="20"/>
                <w:color w:val="auto"/>
              </w:rPr>
            </w:pPr>
            <w:r>
              <w:rPr>
                <w:rFonts w:ascii="Arial" w:cs="Arial" w:eastAsia="Arial" w:hAnsi="Arial"/>
                <w:sz w:val="14"/>
                <w:szCs w:val="14"/>
                <w:color w:val="auto"/>
              </w:rPr>
              <w:t>sustainability</w:t>
            </w:r>
          </w:p>
        </w:tc>
        <w:tc>
          <w:tcPr>
            <w:tcW w:w="18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and</w:t>
            </w:r>
          </w:p>
        </w:tc>
        <w:tc>
          <w:tcPr>
            <w:tcW w:w="780" w:type="dxa"/>
            <w:vAlign w:val="bottom"/>
          </w:tcPr>
          <w:p>
            <w:pPr>
              <w:ind w:left="20"/>
              <w:spacing w:after="0"/>
              <w:rPr>
                <w:sz w:val="20"/>
                <w:szCs w:val="20"/>
                <w:color w:val="auto"/>
              </w:rPr>
            </w:pPr>
            <w:r>
              <w:rPr>
                <w:rFonts w:ascii="Arial" w:cs="Arial" w:eastAsia="Arial" w:hAnsi="Arial"/>
                <w:sz w:val="14"/>
                <w:szCs w:val="14"/>
                <w:color w:val="auto"/>
              </w:rPr>
              <w:t>provision</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of</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innovation,</w:t>
            </w:r>
          </w:p>
        </w:tc>
        <w:tc>
          <w:tcPr>
            <w:tcW w:w="1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digital</w:t>
            </w:r>
          </w:p>
        </w:tc>
        <w:tc>
          <w:tcPr>
            <w:tcW w:w="1020" w:type="dxa"/>
            <w:vAlign w:val="bottom"/>
            <w:gridSpan w:val="3"/>
          </w:tcPr>
          <w:p>
            <w:pPr>
              <w:jc w:val="right"/>
              <w:ind w:right="108"/>
              <w:spacing w:after="0"/>
              <w:rPr>
                <w:sz w:val="20"/>
                <w:szCs w:val="20"/>
                <w:color w:val="auto"/>
              </w:rPr>
            </w:pPr>
            <w:r>
              <w:rPr>
                <w:rFonts w:ascii="Arial" w:cs="Arial" w:eastAsia="Arial" w:hAnsi="Arial"/>
                <w:sz w:val="14"/>
                <w:szCs w:val="14"/>
                <w:color w:val="auto"/>
              </w:rPr>
              <w:t>solutions,</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critical in helping our Board fulfill</w:t>
            </w:r>
          </w:p>
        </w:tc>
        <w:tc>
          <w:tcPr>
            <w:tcW w:w="0" w:type="dxa"/>
            <w:vAlign w:val="bottom"/>
          </w:tcPr>
          <w:p>
            <w:pPr>
              <w:spacing w:after="0"/>
              <w:rPr>
                <w:sz w:val="1"/>
                <w:szCs w:val="1"/>
                <w:color w:val="auto"/>
              </w:rPr>
            </w:pPr>
          </w:p>
        </w:tc>
      </w:tr>
      <w:tr>
        <w:trPr>
          <w:trHeight w:val="176"/>
        </w:trPr>
        <w:tc>
          <w:tcPr>
            <w:tcW w:w="1140" w:type="dxa"/>
            <w:vAlign w:val="bottom"/>
            <w:gridSpan w:val="3"/>
          </w:tcPr>
          <w:p>
            <w:pPr>
              <w:spacing w:after="0"/>
              <w:rPr>
                <w:sz w:val="20"/>
                <w:szCs w:val="20"/>
                <w:color w:val="auto"/>
              </w:rPr>
            </w:pPr>
            <w:r>
              <w:rPr>
                <w:rFonts w:ascii="Arial" w:cs="Arial" w:eastAsia="Arial" w:hAnsi="Arial"/>
                <w:sz w:val="14"/>
                <w:szCs w:val="14"/>
                <w:color w:val="auto"/>
              </w:rPr>
              <w:t>environmental</w:t>
            </w:r>
          </w:p>
        </w:tc>
        <w:tc>
          <w:tcPr>
            <w:tcW w:w="720" w:type="dxa"/>
            <w:vAlign w:val="bottom"/>
          </w:tcPr>
          <w:p>
            <w:pPr>
              <w:jc w:val="right"/>
              <w:spacing w:after="0"/>
              <w:rPr>
                <w:sz w:val="20"/>
                <w:szCs w:val="20"/>
                <w:color w:val="auto"/>
              </w:rPr>
            </w:pPr>
            <w:r>
              <w:rPr>
                <w:rFonts w:ascii="Arial" w:cs="Arial" w:eastAsia="Arial" w:hAnsi="Arial"/>
                <w:sz w:val="14"/>
                <w:szCs w:val="14"/>
                <w:color w:val="auto"/>
              </w:rPr>
              <w:t>services,</w:t>
            </w:r>
          </w:p>
        </w:tc>
        <w:tc>
          <w:tcPr>
            <w:tcW w:w="780" w:type="dxa"/>
            <w:vAlign w:val="bottom"/>
          </w:tcPr>
          <w:p>
            <w:pPr>
              <w:ind w:left="180"/>
              <w:spacing w:after="0"/>
              <w:rPr>
                <w:sz w:val="20"/>
                <w:szCs w:val="20"/>
                <w:color w:val="auto"/>
              </w:rPr>
            </w:pPr>
            <w:r>
              <w:rPr>
                <w:rFonts w:ascii="Arial" w:cs="Arial" w:eastAsia="Arial" w:hAnsi="Arial"/>
                <w:sz w:val="14"/>
                <w:szCs w:val="14"/>
                <w:color w:val="auto"/>
              </w:rPr>
              <w:t>support</w:t>
            </w:r>
          </w:p>
        </w:tc>
        <w:tc>
          <w:tcPr>
            <w:tcW w:w="560" w:type="dxa"/>
            <w:vAlign w:val="bottom"/>
          </w:tcPr>
          <w:p>
            <w:pPr>
              <w:jc w:val="right"/>
              <w:ind w:right="148"/>
              <w:spacing w:after="0"/>
              <w:rPr>
                <w:sz w:val="20"/>
                <w:szCs w:val="20"/>
                <w:color w:val="auto"/>
              </w:rPr>
            </w:pPr>
            <w:r>
              <w:rPr>
                <w:rFonts w:ascii="Arial" w:cs="Arial" w:eastAsia="Arial" w:hAnsi="Arial"/>
                <w:sz w:val="14"/>
                <w:szCs w:val="14"/>
                <w:color w:val="auto"/>
              </w:rPr>
              <w:t>the</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innovative</w:t>
            </w:r>
          </w:p>
        </w:tc>
        <w:tc>
          <w:tcPr>
            <w:tcW w:w="1820" w:type="dxa"/>
            <w:vAlign w:val="bottom"/>
            <w:gridSpan w:val="5"/>
          </w:tcPr>
          <w:p>
            <w:pPr>
              <w:jc w:val="right"/>
              <w:ind w:right="108"/>
              <w:spacing w:after="0"/>
              <w:rPr>
                <w:sz w:val="20"/>
                <w:szCs w:val="20"/>
                <w:color w:val="auto"/>
              </w:rPr>
            </w:pPr>
            <w:r>
              <w:rPr>
                <w:rFonts w:ascii="Arial" w:cs="Arial" w:eastAsia="Arial" w:hAnsi="Arial"/>
                <w:sz w:val="14"/>
                <w:szCs w:val="14"/>
                <w:color w:val="auto"/>
              </w:rPr>
              <w:t>business models, data</w:t>
            </w:r>
          </w:p>
        </w:tc>
        <w:tc>
          <w:tcPr>
            <w:tcW w:w="520" w:type="dxa"/>
            <w:vAlign w:val="bottom"/>
          </w:tcPr>
          <w:p>
            <w:pPr>
              <w:ind w:left="260"/>
              <w:spacing w:after="0"/>
              <w:rPr>
                <w:sz w:val="20"/>
                <w:szCs w:val="20"/>
                <w:color w:val="auto"/>
              </w:rPr>
            </w:pPr>
            <w:r>
              <w:rPr>
                <w:rFonts w:ascii="Arial" w:cs="Arial" w:eastAsia="Arial" w:hAnsi="Arial"/>
                <w:sz w:val="14"/>
                <w:szCs w:val="14"/>
                <w:color w:val="auto"/>
              </w:rPr>
              <w:t>its</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responsibilities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with  respect</w:t>
            </w: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Company’s   ability   to   deliver   on   its</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analytics,</w:t>
            </w:r>
          </w:p>
        </w:tc>
        <w:tc>
          <w:tcPr>
            <w:tcW w:w="180" w:type="dxa"/>
            <w:vAlign w:val="bottom"/>
          </w:tcPr>
          <w:p>
            <w:pPr>
              <w:spacing w:after="0"/>
              <w:rPr>
                <w:sz w:val="15"/>
                <w:szCs w:val="15"/>
                <w:color w:val="auto"/>
              </w:rPr>
            </w:pPr>
          </w:p>
        </w:tc>
        <w:tc>
          <w:tcPr>
            <w:tcW w:w="1640" w:type="dxa"/>
            <w:vAlign w:val="bottom"/>
            <w:gridSpan w:val="4"/>
          </w:tcPr>
          <w:p>
            <w:pPr>
              <w:jc w:val="right"/>
              <w:ind w:right="108"/>
              <w:spacing w:after="0"/>
              <w:rPr>
                <w:sz w:val="20"/>
                <w:szCs w:val="20"/>
                <w:color w:val="auto"/>
              </w:rPr>
            </w:pPr>
            <w:r>
              <w:rPr>
                <w:rFonts w:ascii="Arial" w:cs="Arial" w:eastAsia="Arial" w:hAnsi="Arial"/>
                <w:sz w:val="14"/>
                <w:szCs w:val="14"/>
                <w:color w:val="auto"/>
              </w:rPr>
              <w:t>e-commerce</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to risk oversight and mitigation.</w:t>
            </w: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sustainability growth strategy, goals and</w:t>
            </w: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applications,</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marketing</w:t>
            </w: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strategy</w:t>
            </w: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These</w:t>
            </w:r>
          </w:p>
        </w:tc>
        <w:tc>
          <w:tcPr>
            <w:tcW w:w="1140" w:type="dxa"/>
            <w:vAlign w:val="bottom"/>
            <w:gridSpan w:val="3"/>
          </w:tcPr>
          <w:p>
            <w:pPr>
              <w:ind w:left="40"/>
              <w:spacing w:after="0"/>
              <w:rPr>
                <w:sz w:val="20"/>
                <w:szCs w:val="20"/>
                <w:color w:val="auto"/>
              </w:rPr>
            </w:pPr>
            <w:r>
              <w:rPr>
                <w:rFonts w:ascii="Arial" w:cs="Arial" w:eastAsia="Arial" w:hAnsi="Arial"/>
                <w:sz w:val="14"/>
                <w:szCs w:val="14"/>
                <w:color w:val="auto"/>
              </w:rPr>
              <w:t>individuals</w:t>
            </w:r>
          </w:p>
        </w:tc>
        <w:tc>
          <w:tcPr>
            <w:tcW w:w="380" w:type="dxa"/>
            <w:vAlign w:val="bottom"/>
          </w:tcPr>
          <w:p>
            <w:pPr>
              <w:jc w:val="right"/>
              <w:spacing w:after="0"/>
              <w:rPr>
                <w:sz w:val="20"/>
                <w:szCs w:val="20"/>
                <w:color w:val="auto"/>
              </w:rPr>
            </w:pPr>
            <w:r>
              <w:rPr>
                <w:rFonts w:ascii="Arial" w:cs="Arial" w:eastAsia="Arial" w:hAnsi="Arial"/>
                <w:sz w:val="14"/>
                <w:szCs w:val="14"/>
                <w:color w:val="auto"/>
              </w:rPr>
              <w:t>have</w:t>
            </w:r>
          </w:p>
        </w:tc>
        <w:tc>
          <w:tcPr>
            <w:tcW w:w="0" w:type="dxa"/>
            <w:vAlign w:val="bottom"/>
          </w:tcPr>
          <w:p>
            <w:pPr>
              <w:spacing w:after="0"/>
              <w:rPr>
                <w:sz w:val="1"/>
                <w:szCs w:val="1"/>
                <w:color w:val="auto"/>
              </w:rPr>
            </w:pPr>
          </w:p>
        </w:tc>
      </w:tr>
      <w:tr>
        <w:trPr>
          <w:trHeight w:val="162"/>
        </w:trPr>
        <w:tc>
          <w:tcPr>
            <w:tcW w:w="1140" w:type="dxa"/>
            <w:vAlign w:val="bottom"/>
            <w:gridSpan w:val="3"/>
          </w:tcPr>
          <w:p>
            <w:pPr>
              <w:spacing w:after="0"/>
              <w:rPr>
                <w:sz w:val="20"/>
                <w:szCs w:val="20"/>
                <w:color w:val="auto"/>
              </w:rPr>
            </w:pPr>
            <w:r>
              <w:rPr>
                <w:rFonts w:ascii="Arial" w:cs="Arial" w:eastAsia="Arial" w:hAnsi="Arial"/>
                <w:sz w:val="14"/>
                <w:szCs w:val="14"/>
                <w:color w:val="auto"/>
              </w:rPr>
              <w:t>commitments.</w:t>
            </w:r>
          </w:p>
        </w:tc>
        <w:tc>
          <w:tcPr>
            <w:tcW w:w="720" w:type="dxa"/>
            <w:vAlign w:val="bottom"/>
          </w:tcPr>
          <w:p>
            <w:pPr>
              <w:jc w:val="right"/>
              <w:spacing w:after="0"/>
              <w:rPr>
                <w:sz w:val="20"/>
                <w:szCs w:val="20"/>
                <w:color w:val="auto"/>
              </w:rPr>
            </w:pPr>
            <w:r>
              <w:rPr>
                <w:rFonts w:ascii="Arial" w:cs="Arial" w:eastAsia="Arial" w:hAnsi="Arial"/>
                <w:sz w:val="14"/>
                <w:szCs w:val="14"/>
                <w:color w:val="auto"/>
              </w:rPr>
              <w:t>These</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individuals</w:t>
            </w:r>
          </w:p>
        </w:tc>
        <w:tc>
          <w:tcPr>
            <w:tcW w:w="2840" w:type="dxa"/>
            <w:vAlign w:val="bottom"/>
            <w:gridSpan w:val="7"/>
          </w:tcPr>
          <w:p>
            <w:pPr>
              <w:ind w:left="220"/>
              <w:spacing w:after="0"/>
              <w:rPr>
                <w:sz w:val="20"/>
                <w:szCs w:val="20"/>
                <w:color w:val="auto"/>
              </w:rPr>
            </w:pPr>
            <w:r>
              <w:rPr>
                <w:rFonts w:ascii="Arial" w:cs="Arial" w:eastAsia="Arial" w:hAnsi="Arial"/>
                <w:sz w:val="14"/>
                <w:szCs w:val="14"/>
                <w:color w:val="auto"/>
              </w:rPr>
              <w:t>and cyber risks. These individuals</w:t>
            </w: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experience</w:t>
            </w:r>
          </w:p>
        </w:tc>
        <w:tc>
          <w:tcPr>
            <w:tcW w:w="300" w:type="dxa"/>
            <w:vAlign w:val="bottom"/>
          </w:tcPr>
          <w:p>
            <w:pPr>
              <w:spacing w:after="0"/>
              <w:rPr>
                <w:sz w:val="14"/>
                <w:szCs w:val="14"/>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in</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effectively</w:t>
            </w: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understand  the  importance  of  linking</w:t>
            </w:r>
          </w:p>
        </w:tc>
        <w:tc>
          <w:tcPr>
            <w:tcW w:w="2840" w:type="dxa"/>
            <w:vAlign w:val="bottom"/>
            <w:gridSpan w:val="7"/>
          </w:tcPr>
          <w:p>
            <w:pPr>
              <w:ind w:left="220"/>
              <w:spacing w:after="0"/>
              <w:rPr>
                <w:sz w:val="20"/>
                <w:szCs w:val="20"/>
                <w:color w:val="auto"/>
              </w:rPr>
            </w:pPr>
            <w:r>
              <w:rPr>
                <w:rFonts w:ascii="Arial" w:cs="Arial" w:eastAsia="Arial" w:hAnsi="Arial"/>
                <w:sz w:val="14"/>
                <w:szCs w:val="14"/>
                <w:color w:val="auto"/>
              </w:rPr>
              <w:t>are  particularly  engaged  in  our</w:t>
            </w: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identifying,</w:t>
            </w:r>
          </w:p>
        </w:tc>
        <w:tc>
          <w:tcPr>
            <w:tcW w:w="1140" w:type="dxa"/>
            <w:vAlign w:val="bottom"/>
            <w:gridSpan w:val="3"/>
          </w:tcPr>
          <w:p>
            <w:pPr>
              <w:ind w:left="240"/>
              <w:spacing w:after="0"/>
              <w:rPr>
                <w:sz w:val="20"/>
                <w:szCs w:val="20"/>
                <w:color w:val="auto"/>
              </w:rPr>
            </w:pPr>
            <w:r>
              <w:rPr>
                <w:rFonts w:ascii="Arial" w:cs="Arial" w:eastAsia="Arial" w:hAnsi="Arial"/>
                <w:sz w:val="14"/>
                <w:szCs w:val="14"/>
                <w:color w:val="auto"/>
              </w:rPr>
              <w:t>prioritizing</w:t>
            </w:r>
          </w:p>
        </w:tc>
        <w:tc>
          <w:tcPr>
            <w:tcW w:w="380" w:type="dxa"/>
            <w:vAlign w:val="bottom"/>
          </w:tcPr>
          <w:p>
            <w:pPr>
              <w:jc w:val="right"/>
              <w:spacing w:after="0"/>
              <w:rPr>
                <w:sz w:val="20"/>
                <w:szCs w:val="20"/>
                <w:color w:val="auto"/>
              </w:rPr>
            </w:pPr>
            <w:r>
              <w:rPr>
                <w:rFonts w:ascii="Arial" w:cs="Arial" w:eastAsia="Arial" w:hAnsi="Arial"/>
                <w:sz w:val="14"/>
                <w:szCs w:val="14"/>
                <w:color w:val="auto"/>
              </w:rPr>
              <w:t>and</w:t>
            </w:r>
          </w:p>
        </w:tc>
        <w:tc>
          <w:tcPr>
            <w:tcW w:w="0" w:type="dxa"/>
            <w:vAlign w:val="bottom"/>
          </w:tcPr>
          <w:p>
            <w:pPr>
              <w:spacing w:after="0"/>
              <w:rPr>
                <w:sz w:val="1"/>
                <w:szCs w:val="1"/>
                <w:color w:val="auto"/>
              </w:rPr>
            </w:pPr>
          </w:p>
        </w:tc>
      </w:tr>
      <w:tr>
        <w:trPr>
          <w:trHeight w:val="176"/>
        </w:trPr>
        <w:tc>
          <w:tcPr>
            <w:tcW w:w="3200" w:type="dxa"/>
            <w:vAlign w:val="bottom"/>
            <w:gridSpan w:val="6"/>
          </w:tcPr>
          <w:p>
            <w:pPr>
              <w:spacing w:after="0"/>
              <w:rPr>
                <w:sz w:val="20"/>
                <w:szCs w:val="20"/>
                <w:color w:val="auto"/>
              </w:rPr>
            </w:pPr>
            <w:r>
              <w:rPr>
                <w:rFonts w:ascii="Arial" w:cs="Arial" w:eastAsia="Arial" w:hAnsi="Arial"/>
                <w:sz w:val="14"/>
                <w:szCs w:val="14"/>
                <w:color w:val="auto"/>
              </w:rPr>
              <w:t>sustainability and renewable energy to the</w:t>
            </w:r>
          </w:p>
        </w:tc>
        <w:tc>
          <w:tcPr>
            <w:tcW w:w="780" w:type="dxa"/>
            <w:vAlign w:val="bottom"/>
          </w:tcPr>
          <w:p>
            <w:pPr>
              <w:ind w:left="220"/>
              <w:spacing w:after="0"/>
              <w:rPr>
                <w:sz w:val="20"/>
                <w:szCs w:val="20"/>
                <w:color w:val="auto"/>
              </w:rPr>
            </w:pPr>
            <w:r>
              <w:rPr>
                <w:rFonts w:ascii="Arial" w:cs="Arial" w:eastAsia="Arial" w:hAnsi="Arial"/>
                <w:sz w:val="14"/>
                <w:szCs w:val="14"/>
                <w:color w:val="auto"/>
              </w:rPr>
              <w:t>Board’s</w:t>
            </w:r>
          </w:p>
        </w:tc>
        <w:tc>
          <w:tcPr>
            <w:tcW w:w="24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oversight</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of</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the</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managing  a  broad  spectrum  of</w:t>
            </w:r>
          </w:p>
        </w:tc>
        <w:tc>
          <w:tcPr>
            <w:tcW w:w="0" w:type="dxa"/>
            <w:vAlign w:val="bottom"/>
          </w:tcPr>
          <w:p>
            <w:pPr>
              <w:spacing w:after="0"/>
              <w:rPr>
                <w:sz w:val="1"/>
                <w:szCs w:val="1"/>
                <w:color w:val="auto"/>
              </w:rPr>
            </w:pPr>
          </w:p>
        </w:tc>
      </w:tr>
      <w:tr>
        <w:trPr>
          <w:trHeight w:val="176"/>
        </w:trPr>
        <w:tc>
          <w:tcPr>
            <w:tcW w:w="3200" w:type="dxa"/>
            <w:vAlign w:val="bottom"/>
            <w:gridSpan w:val="6"/>
          </w:tcPr>
          <w:p>
            <w:pPr>
              <w:spacing w:after="0"/>
              <w:rPr>
                <w:sz w:val="20"/>
                <w:szCs w:val="20"/>
                <w:color w:val="auto"/>
              </w:rPr>
            </w:pPr>
            <w:r>
              <w:rPr>
                <w:rFonts w:ascii="Arial" w:cs="Arial" w:eastAsia="Arial" w:hAnsi="Arial"/>
                <w:sz w:val="14"/>
                <w:szCs w:val="14"/>
                <w:color w:val="auto"/>
              </w:rPr>
              <w:t>creation  of  long-term  stockholder  value,</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Company’s</w:t>
            </w:r>
          </w:p>
        </w:tc>
        <w:tc>
          <w:tcPr>
            <w:tcW w:w="180" w:type="dxa"/>
            <w:vAlign w:val="bottom"/>
          </w:tcPr>
          <w:p>
            <w:pPr>
              <w:spacing w:after="0"/>
              <w:rPr>
                <w:sz w:val="15"/>
                <w:szCs w:val="15"/>
                <w:color w:val="auto"/>
              </w:rPr>
            </w:pPr>
          </w:p>
        </w:tc>
        <w:tc>
          <w:tcPr>
            <w:tcW w:w="1640" w:type="dxa"/>
            <w:vAlign w:val="bottom"/>
            <w:gridSpan w:val="4"/>
          </w:tcPr>
          <w:p>
            <w:pPr>
              <w:jc w:val="right"/>
              <w:ind w:right="108"/>
              <w:spacing w:after="0"/>
              <w:rPr>
                <w:sz w:val="20"/>
                <w:szCs w:val="20"/>
                <w:color w:val="auto"/>
              </w:rPr>
            </w:pPr>
            <w:r>
              <w:rPr>
                <w:rFonts w:ascii="Arial" w:cs="Arial" w:eastAsia="Arial" w:hAnsi="Arial"/>
                <w:sz w:val="14"/>
                <w:szCs w:val="14"/>
                <w:color w:val="auto"/>
              </w:rPr>
              <w:t>comprehensive</w:t>
            </w:r>
          </w:p>
        </w:tc>
        <w:tc>
          <w:tcPr>
            <w:tcW w:w="1360" w:type="dxa"/>
            <w:vAlign w:val="bottom"/>
            <w:gridSpan w:val="3"/>
          </w:tcPr>
          <w:p>
            <w:pPr>
              <w:ind w:left="260"/>
              <w:spacing w:after="0"/>
              <w:rPr>
                <w:sz w:val="20"/>
                <w:szCs w:val="20"/>
                <w:color w:val="auto"/>
              </w:rPr>
            </w:pPr>
            <w:r>
              <w:rPr>
                <w:rFonts w:ascii="Arial" w:cs="Arial" w:eastAsia="Arial" w:hAnsi="Arial"/>
                <w:sz w:val="14"/>
                <w:szCs w:val="14"/>
                <w:color w:val="auto"/>
              </w:rPr>
              <w:t>complex  and</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significant</w:t>
            </w:r>
          </w:p>
        </w:tc>
        <w:tc>
          <w:tcPr>
            <w:tcW w:w="380" w:type="dxa"/>
            <w:vAlign w:val="bottom"/>
          </w:tcPr>
          <w:p>
            <w:pPr>
              <w:jc w:val="right"/>
              <w:spacing w:after="0"/>
              <w:rPr>
                <w:sz w:val="20"/>
                <w:szCs w:val="20"/>
                <w:color w:val="auto"/>
              </w:rPr>
            </w:pPr>
            <w:r>
              <w:rPr>
                <w:rFonts w:ascii="Arial" w:cs="Arial" w:eastAsia="Arial" w:hAnsi="Arial"/>
                <w:sz w:val="14"/>
                <w:szCs w:val="14"/>
                <w:color w:val="auto"/>
              </w:rPr>
              <w:t>risks</w:t>
            </w:r>
          </w:p>
        </w:tc>
        <w:tc>
          <w:tcPr>
            <w:tcW w:w="0" w:type="dxa"/>
            <w:vAlign w:val="bottom"/>
          </w:tcPr>
          <w:p>
            <w:pPr>
              <w:spacing w:after="0"/>
              <w:rPr>
                <w:sz w:val="1"/>
                <w:szCs w:val="1"/>
                <w:color w:val="auto"/>
              </w:rPr>
            </w:pPr>
          </w:p>
        </w:tc>
      </w:tr>
      <w:tr>
        <w:trPr>
          <w:trHeight w:val="162"/>
        </w:trPr>
        <w:tc>
          <w:tcPr>
            <w:tcW w:w="3200" w:type="dxa"/>
            <w:vAlign w:val="bottom"/>
            <w:gridSpan w:val="6"/>
          </w:tcPr>
          <w:p>
            <w:pPr>
              <w:spacing w:after="0"/>
              <w:rPr>
                <w:sz w:val="20"/>
                <w:szCs w:val="20"/>
                <w:color w:val="auto"/>
              </w:rPr>
            </w:pPr>
            <w:r>
              <w:rPr>
                <w:rFonts w:ascii="Arial" w:cs="Arial" w:eastAsia="Arial" w:hAnsi="Arial"/>
                <w:sz w:val="14"/>
                <w:szCs w:val="14"/>
                <w:color w:val="auto"/>
              </w:rPr>
              <w:t>while also operating in an environmentally</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information</w:t>
            </w:r>
          </w:p>
        </w:tc>
        <w:tc>
          <w:tcPr>
            <w:tcW w:w="180" w:type="dxa"/>
            <w:vAlign w:val="bottom"/>
          </w:tcPr>
          <w:p>
            <w:pPr>
              <w:spacing w:after="0"/>
              <w:rPr>
                <w:sz w:val="14"/>
                <w:szCs w:val="14"/>
                <w:color w:val="auto"/>
              </w:rPr>
            </w:pPr>
          </w:p>
        </w:tc>
        <w:tc>
          <w:tcPr>
            <w:tcW w:w="860" w:type="dxa"/>
            <w:vAlign w:val="bottom"/>
            <w:gridSpan w:val="2"/>
          </w:tcPr>
          <w:p>
            <w:pPr>
              <w:jc w:val="center"/>
              <w:ind w:left="88"/>
              <w:spacing w:after="0"/>
              <w:rPr>
                <w:sz w:val="20"/>
                <w:szCs w:val="20"/>
                <w:color w:val="auto"/>
              </w:rPr>
            </w:pPr>
            <w:r>
              <w:rPr>
                <w:rFonts w:ascii="Arial" w:cs="Arial" w:eastAsia="Arial" w:hAnsi="Arial"/>
                <w:sz w:val="14"/>
                <w:szCs w:val="14"/>
                <w:color w:val="auto"/>
              </w:rPr>
              <w:t>security</w:t>
            </w:r>
          </w:p>
        </w:tc>
        <w:tc>
          <w:tcPr>
            <w:tcW w:w="1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and</w:t>
            </w:r>
          </w:p>
        </w:tc>
        <w:tc>
          <w:tcPr>
            <w:tcW w:w="2580" w:type="dxa"/>
            <w:vAlign w:val="bottom"/>
            <w:gridSpan w:val="6"/>
          </w:tcPr>
          <w:p>
            <w:pPr>
              <w:ind w:left="260"/>
              <w:spacing w:after="0"/>
              <w:rPr>
                <w:sz w:val="20"/>
                <w:szCs w:val="20"/>
                <w:color w:val="auto"/>
              </w:rPr>
            </w:pPr>
            <w:r>
              <w:rPr>
                <w:rFonts w:ascii="Arial" w:cs="Arial" w:eastAsia="Arial" w:hAnsi="Arial"/>
                <w:sz w:val="14"/>
                <w:szCs w:val="14"/>
                <w:color w:val="auto"/>
              </w:rPr>
              <w:t>facing a large public company.</w:t>
            </w: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sound  and  responsible  manner.  These</w:t>
            </w: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cybersecurity</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5"/>
                <w:szCs w:val="15"/>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These</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gridSpan w:val="6"/>
          </w:tcPr>
          <w:p>
            <w:pPr>
              <w:spacing w:after="0"/>
              <w:rPr>
                <w:sz w:val="20"/>
                <w:szCs w:val="20"/>
                <w:color w:val="auto"/>
              </w:rPr>
            </w:pPr>
            <w:r>
              <w:rPr>
                <w:rFonts w:ascii="Arial" w:cs="Arial" w:eastAsia="Arial" w:hAnsi="Arial"/>
                <w:sz w:val="14"/>
                <w:szCs w:val="14"/>
                <w:color w:val="auto"/>
              </w:rPr>
              <w:t>individuals also understand the regulatory</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individuals</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also  bring</w:t>
            </w:r>
          </w:p>
        </w:tc>
        <w:tc>
          <w:tcPr>
            <w:tcW w:w="1020" w:type="dxa"/>
            <w:vAlign w:val="bottom"/>
            <w:gridSpan w:val="3"/>
          </w:tcPr>
          <w:p>
            <w:pPr>
              <w:jc w:val="right"/>
              <w:ind w:right="108"/>
              <w:spacing w:after="0"/>
              <w:rPr>
                <w:sz w:val="20"/>
                <w:szCs w:val="20"/>
                <w:color w:val="auto"/>
              </w:rPr>
            </w:pPr>
            <w:r>
              <w:rPr>
                <w:rFonts w:ascii="Arial" w:cs="Arial" w:eastAsia="Arial" w:hAnsi="Arial"/>
                <w:sz w:val="14"/>
                <w:szCs w:val="14"/>
                <w:color w:val="auto"/>
              </w:rPr>
              <w:t>knowledge</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environment   in   which   the   Company</w:t>
            </w:r>
          </w:p>
        </w:tc>
        <w:tc>
          <w:tcPr>
            <w:tcW w:w="2840" w:type="dxa"/>
            <w:vAlign w:val="bottom"/>
            <w:gridSpan w:val="7"/>
          </w:tcPr>
          <w:p>
            <w:pPr>
              <w:ind w:left="220"/>
              <w:spacing w:after="0"/>
              <w:rPr>
                <w:sz w:val="20"/>
                <w:szCs w:val="20"/>
                <w:color w:val="auto"/>
              </w:rPr>
            </w:pPr>
            <w:r>
              <w:rPr>
                <w:rFonts w:ascii="Arial" w:cs="Arial" w:eastAsia="Arial" w:hAnsi="Arial"/>
                <w:sz w:val="14"/>
                <w:szCs w:val="14"/>
                <w:color w:val="auto"/>
              </w:rPr>
              <w:t>of use of technology to further the</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gridSpan w:val="6"/>
          </w:tcPr>
          <w:p>
            <w:pPr>
              <w:spacing w:after="0"/>
              <w:rPr>
                <w:sz w:val="20"/>
                <w:szCs w:val="20"/>
                <w:color w:val="auto"/>
              </w:rPr>
            </w:pPr>
            <w:r>
              <w:rPr>
                <w:rFonts w:ascii="Arial" w:cs="Arial" w:eastAsia="Arial" w:hAnsi="Arial"/>
                <w:sz w:val="14"/>
                <w:szCs w:val="14"/>
                <w:color w:val="auto"/>
              </w:rPr>
              <w:t>operates    and    the    connection    of</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Company’s</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strategy</w:t>
            </w:r>
          </w:p>
        </w:tc>
        <w:tc>
          <w:tcPr>
            <w:tcW w:w="240" w:type="dxa"/>
            <w:vAlign w:val="bottom"/>
          </w:tcPr>
          <w:p>
            <w:pPr>
              <w:spacing w:after="0"/>
              <w:rPr>
                <w:sz w:val="20"/>
                <w:szCs w:val="20"/>
                <w:color w:val="auto"/>
              </w:rPr>
            </w:pPr>
            <w:r>
              <w:rPr>
                <w:rFonts w:ascii="Arial" w:cs="Arial" w:eastAsia="Arial" w:hAnsi="Arial"/>
                <w:sz w:val="14"/>
                <w:szCs w:val="14"/>
                <w:color w:val="auto"/>
              </w:rPr>
              <w:t>to</w:t>
            </w: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enhance</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gridSpan w:val="6"/>
          </w:tcPr>
          <w:p>
            <w:pPr>
              <w:spacing w:after="0"/>
              <w:rPr>
                <w:sz w:val="20"/>
                <w:szCs w:val="20"/>
                <w:color w:val="auto"/>
              </w:rPr>
            </w:pPr>
            <w:r>
              <w:rPr>
                <w:rFonts w:ascii="Arial" w:cs="Arial" w:eastAsia="Arial" w:hAnsi="Arial"/>
                <w:sz w:val="14"/>
                <w:szCs w:val="14"/>
                <w:color w:val="auto"/>
              </w:rPr>
              <w:t>sustainability and corporate responsibility</w:t>
            </w:r>
          </w:p>
        </w:tc>
        <w:tc>
          <w:tcPr>
            <w:tcW w:w="1820" w:type="dxa"/>
            <w:vAlign w:val="bottom"/>
            <w:gridSpan w:val="4"/>
          </w:tcPr>
          <w:p>
            <w:pPr>
              <w:ind w:left="220"/>
              <w:spacing w:after="0"/>
              <w:rPr>
                <w:sz w:val="20"/>
                <w:szCs w:val="20"/>
                <w:color w:val="auto"/>
              </w:rPr>
            </w:pPr>
            <w:r>
              <w:rPr>
                <w:rFonts w:ascii="Arial" w:cs="Arial" w:eastAsia="Arial" w:hAnsi="Arial"/>
                <w:sz w:val="14"/>
                <w:szCs w:val="14"/>
                <w:color w:val="auto"/>
              </w:rPr>
              <w:t>customer  experience</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and</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reduce</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20"/>
                <w:szCs w:val="20"/>
                <w:color w:val="auto"/>
              </w:rPr>
            </w:pPr>
            <w:r>
              <w:rPr>
                <w:rFonts w:ascii="Arial" w:cs="Arial" w:eastAsia="Arial" w:hAnsi="Arial"/>
                <w:sz w:val="14"/>
                <w:szCs w:val="14"/>
                <w:color w:val="auto"/>
              </w:rPr>
              <w:t>to</w:t>
            </w:r>
          </w:p>
        </w:tc>
        <w:tc>
          <w:tcPr>
            <w:tcW w:w="680" w:type="dxa"/>
            <w:vAlign w:val="bottom"/>
          </w:tcPr>
          <w:p>
            <w:pPr>
              <w:ind w:left="160"/>
              <w:spacing w:after="0"/>
              <w:rPr>
                <w:sz w:val="20"/>
                <w:szCs w:val="20"/>
                <w:color w:val="auto"/>
              </w:rPr>
            </w:pPr>
            <w:r>
              <w:rPr>
                <w:rFonts w:ascii="Arial" w:cs="Arial" w:eastAsia="Arial" w:hAnsi="Arial"/>
                <w:sz w:val="14"/>
                <w:szCs w:val="14"/>
                <w:color w:val="auto"/>
              </w:rPr>
              <w:t>the</w:t>
            </w:r>
          </w:p>
        </w:tc>
        <w:tc>
          <w:tcPr>
            <w:tcW w:w="900" w:type="dxa"/>
            <w:vAlign w:val="bottom"/>
            <w:gridSpan w:val="2"/>
          </w:tcPr>
          <w:p>
            <w:pPr>
              <w:spacing w:after="0"/>
              <w:rPr>
                <w:sz w:val="20"/>
                <w:szCs w:val="20"/>
                <w:color w:val="auto"/>
              </w:rPr>
            </w:pPr>
            <w:r>
              <w:rPr>
                <w:rFonts w:ascii="Arial" w:cs="Arial" w:eastAsia="Arial" w:hAnsi="Arial"/>
                <w:sz w:val="14"/>
                <w:szCs w:val="14"/>
                <w:color w:val="auto"/>
              </w:rPr>
              <w:t>Company’s</w:t>
            </w:r>
          </w:p>
        </w:tc>
        <w:tc>
          <w:tcPr>
            <w:tcW w:w="1340" w:type="dxa"/>
            <w:vAlign w:val="bottom"/>
            <w:gridSpan w:val="2"/>
          </w:tcPr>
          <w:p>
            <w:pPr>
              <w:jc w:val="right"/>
              <w:ind w:right="128"/>
              <w:spacing w:after="0"/>
              <w:rPr>
                <w:sz w:val="20"/>
                <w:szCs w:val="20"/>
                <w:color w:val="auto"/>
              </w:rPr>
            </w:pPr>
            <w:r>
              <w:rPr>
                <w:rFonts w:ascii="Arial" w:cs="Arial" w:eastAsia="Arial" w:hAnsi="Arial"/>
                <w:sz w:val="14"/>
                <w:szCs w:val="14"/>
                <w:color w:val="auto"/>
              </w:rPr>
              <w:t>long-standing</w:t>
            </w:r>
          </w:p>
        </w:tc>
        <w:tc>
          <w:tcPr>
            <w:tcW w:w="2840" w:type="dxa"/>
            <w:vAlign w:val="bottom"/>
            <w:gridSpan w:val="7"/>
          </w:tcPr>
          <w:p>
            <w:pPr>
              <w:ind w:left="220"/>
              <w:spacing w:after="0"/>
              <w:rPr>
                <w:sz w:val="20"/>
                <w:szCs w:val="20"/>
                <w:color w:val="auto"/>
              </w:rPr>
            </w:pPr>
            <w:r>
              <w:rPr>
                <w:rFonts w:ascii="Arial" w:cs="Arial" w:eastAsia="Arial" w:hAnsi="Arial"/>
                <w:sz w:val="14"/>
                <w:szCs w:val="14"/>
                <w:color w:val="auto"/>
              </w:rPr>
              <w:t>costs and labor intensity through</w:t>
            </w: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gridSpan w:val="2"/>
          </w:tcPr>
          <w:p>
            <w:pPr>
              <w:spacing w:after="0"/>
              <w:rPr>
                <w:sz w:val="20"/>
                <w:szCs w:val="20"/>
                <w:color w:val="auto"/>
              </w:rPr>
            </w:pPr>
            <w:r>
              <w:rPr>
                <w:rFonts w:ascii="Arial" w:cs="Arial" w:eastAsia="Arial" w:hAnsi="Arial"/>
                <w:sz w:val="14"/>
                <w:szCs w:val="14"/>
                <w:color w:val="auto"/>
              </w:rPr>
              <w:t>commitment</w:t>
            </w:r>
          </w:p>
        </w:tc>
        <w:tc>
          <w:tcPr>
            <w:tcW w:w="180" w:type="dxa"/>
            <w:vAlign w:val="bottom"/>
          </w:tcPr>
          <w:p>
            <w:pPr>
              <w:spacing w:after="0"/>
              <w:rPr>
                <w:sz w:val="15"/>
                <w:szCs w:val="15"/>
                <w:color w:val="auto"/>
              </w:rPr>
            </w:pPr>
          </w:p>
        </w:tc>
        <w:tc>
          <w:tcPr>
            <w:tcW w:w="720" w:type="dxa"/>
            <w:vAlign w:val="bottom"/>
          </w:tcPr>
          <w:p>
            <w:pPr>
              <w:jc w:val="right"/>
              <w:ind w:right="308"/>
              <w:spacing w:after="0"/>
              <w:rPr>
                <w:sz w:val="20"/>
                <w:szCs w:val="20"/>
                <w:color w:val="auto"/>
              </w:rPr>
            </w:pPr>
            <w:r>
              <w:rPr>
                <w:rFonts w:ascii="Arial" w:cs="Arial" w:eastAsia="Arial" w:hAnsi="Arial"/>
                <w:sz w:val="14"/>
                <w:szCs w:val="14"/>
                <w:color w:val="auto"/>
              </w:rPr>
              <w:t>to</w:t>
            </w:r>
          </w:p>
        </w:tc>
        <w:tc>
          <w:tcPr>
            <w:tcW w:w="1340" w:type="dxa"/>
            <w:vAlign w:val="bottom"/>
            <w:gridSpan w:val="2"/>
          </w:tcPr>
          <w:p>
            <w:pPr>
              <w:jc w:val="right"/>
              <w:ind w:right="148"/>
              <w:spacing w:after="0"/>
              <w:rPr>
                <w:sz w:val="20"/>
                <w:szCs w:val="20"/>
                <w:color w:val="auto"/>
              </w:rPr>
            </w:pPr>
            <w:r>
              <w:rPr>
                <w:rFonts w:ascii="Arial" w:cs="Arial" w:eastAsia="Arial" w:hAnsi="Arial"/>
                <w:sz w:val="14"/>
                <w:szCs w:val="14"/>
                <w:color w:val="auto"/>
              </w:rPr>
              <w:t>environmental</w:t>
            </w:r>
          </w:p>
        </w:tc>
        <w:tc>
          <w:tcPr>
            <w:tcW w:w="1200" w:type="dxa"/>
            <w:vAlign w:val="bottom"/>
            <w:gridSpan w:val="3"/>
          </w:tcPr>
          <w:p>
            <w:pPr>
              <w:ind w:left="220"/>
              <w:spacing w:after="0"/>
              <w:rPr>
                <w:sz w:val="20"/>
                <w:szCs w:val="20"/>
                <w:color w:val="auto"/>
              </w:rPr>
            </w:pPr>
            <w:r>
              <w:rPr>
                <w:rFonts w:ascii="Arial" w:cs="Arial" w:eastAsia="Arial" w:hAnsi="Arial"/>
                <w:sz w:val="14"/>
                <w:szCs w:val="14"/>
                <w:color w:val="auto"/>
              </w:rPr>
              <w:t>automation.</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60" w:type="dxa"/>
            <w:vAlign w:val="bottom"/>
            <w:gridSpan w:val="2"/>
          </w:tcPr>
          <w:p>
            <w:pPr>
              <w:spacing w:after="0"/>
              <w:rPr>
                <w:sz w:val="20"/>
                <w:szCs w:val="20"/>
                <w:color w:val="auto"/>
              </w:rPr>
            </w:pPr>
            <w:r>
              <w:rPr>
                <w:rFonts w:ascii="Arial" w:cs="Arial" w:eastAsia="Arial" w:hAnsi="Arial"/>
                <w:sz w:val="14"/>
                <w:szCs w:val="14"/>
                <w:color w:val="auto"/>
              </w:rPr>
              <w:t>stewardship.</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0" w:type="dxa"/>
            <w:vAlign w:val="bottom"/>
            <w:gridSpan w:val="5"/>
            <w:vMerge w:val="restart"/>
          </w:tcPr>
          <w:p>
            <w:pPr>
              <w:ind w:left="180"/>
              <w:spacing w:after="0"/>
              <w:rPr>
                <w:sz w:val="20"/>
                <w:szCs w:val="20"/>
                <w:color w:val="auto"/>
              </w:rPr>
            </w:pPr>
            <w:r>
              <w:rPr>
                <w:rFonts w:ascii="Arial" w:cs="Arial" w:eastAsia="Arial" w:hAnsi="Arial"/>
                <w:sz w:val="18"/>
                <w:szCs w:val="18"/>
                <w:color w:val="auto"/>
              </w:rPr>
              <w:t>2024 Proxy Statement</w:t>
            </w:r>
          </w:p>
        </w:tc>
        <w:tc>
          <w:tcPr>
            <w:tcW w:w="380" w:type="dxa"/>
            <w:vAlign w:val="bottom"/>
            <w:vMerge w:val="restart"/>
          </w:tcPr>
          <w:p>
            <w:pPr>
              <w:jc w:val="right"/>
              <w:ind w:right="66"/>
              <w:spacing w:after="0"/>
              <w:rPr>
                <w:sz w:val="20"/>
                <w:szCs w:val="20"/>
                <w:color w:val="auto"/>
              </w:rPr>
            </w:pPr>
            <w:r>
              <w:rPr>
                <w:rFonts w:ascii="Arial" w:cs="Arial" w:eastAsia="Arial" w:hAnsi="Arial"/>
                <w:sz w:val="32"/>
                <w:szCs w:val="32"/>
                <w:b w:val="1"/>
                <w:bCs w:val="1"/>
                <w:color w:val="457157"/>
              </w:rPr>
              <w:t>|</w:t>
            </w:r>
          </w:p>
        </w:tc>
        <w:tc>
          <w:tcPr>
            <w:tcW w:w="0" w:type="dxa"/>
            <w:vAlign w:val="bottom"/>
          </w:tcPr>
          <w:p>
            <w:pPr>
              <w:spacing w:after="0"/>
              <w:rPr>
                <w:sz w:val="1"/>
                <w:szCs w:val="1"/>
                <w:color w:val="auto"/>
              </w:rPr>
            </w:pPr>
          </w:p>
        </w:tc>
      </w:tr>
      <w:tr>
        <w:trPr>
          <w:trHeight w:val="304"/>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gridSpan w:val="5"/>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399415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2">
            <w:col w:w="9640" w:space="40"/>
            <w:col w:w="260"/>
          </w:cols>
          <w:pgMar w:left="580" w:top="97" w:right="137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180" w:type="dxa"/>
            <w:vAlign w:val="bottom"/>
            <w:tcBorders>
              <w:right w:val="single" w:sz="8" w:color="457157"/>
            </w:tcBorders>
            <w:shd w:val="clear" w:color="auto" w:fill="457157"/>
          </w:tcPr>
          <w:p>
            <w:pPr>
              <w:spacing w:after="0"/>
              <w:rPr>
                <w:sz w:val="17"/>
                <w:szCs w:val="17"/>
                <w:color w:val="auto"/>
              </w:rPr>
            </w:pPr>
          </w:p>
        </w:tc>
        <w:tc>
          <w:tcPr>
            <w:tcW w:w="74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3"/>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T</w:t>
            </w:r>
            <w:r>
              <w:rPr>
                <w:rFonts w:ascii="Arial" w:cs="Arial" w:eastAsia="Arial" w:hAnsi="Arial"/>
                <w:sz w:val="16"/>
                <w:szCs w:val="16"/>
                <w:b w:val="1"/>
                <w:bCs w:val="1"/>
                <w:color w:val="FEFEFE"/>
              </w:rPr>
              <w:t>HOMAS</w:t>
            </w:r>
            <w:r>
              <w:rPr>
                <w:rFonts w:ascii="Arial" w:cs="Arial" w:eastAsia="Arial" w:hAnsi="Arial"/>
                <w:sz w:val="23"/>
                <w:szCs w:val="23"/>
                <w:b w:val="1"/>
                <w:bCs w:val="1"/>
                <w:color w:val="FEFEFE"/>
              </w:rPr>
              <w:t xml:space="preserve"> L. B</w:t>
            </w:r>
            <w:r>
              <w:rPr>
                <w:rFonts w:ascii="Arial" w:cs="Arial" w:eastAsia="Arial" w:hAnsi="Arial"/>
                <w:sz w:val="16"/>
                <w:szCs w:val="16"/>
                <w:b w:val="1"/>
                <w:bCs w:val="1"/>
                <w:color w:val="FEFEFE"/>
              </w:rPr>
              <w:t>ENÉ</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7"/>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744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President and Chief Executive Officer — Breakthru Beverage Group, LLC (private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beverage wholesale distributor) since October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Former President and Chief Executive Officer — National Restaurant Association,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served from June 2020 to September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Former President and Chief Executive Officer — Sysco Corporation (multinational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wholesale restaurant distributor), served from 2018 to January 2020; also served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44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61</w:t>
            </w: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as Executive Advisor from February 2020 to March 2020.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Sysco Corporation from 2018 to January 2020.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r>
              <w:rPr>
                <w:rFonts w:ascii="Arial" w:cs="Arial" w:eastAsia="Arial" w:hAnsi="Arial"/>
                <w:sz w:val="18"/>
                <w:szCs w:val="18"/>
                <w:color w:val="auto"/>
              </w:rPr>
              <w:t>March 2024</w:t>
            </w:r>
          </w:p>
        </w:tc>
        <w:tc>
          <w:tcPr>
            <w:tcW w:w="180" w:type="dxa"/>
            <w:vAlign w:val="bottom"/>
            <w:tcBorders>
              <w:right w:val="single" w:sz="8" w:color="457157"/>
            </w:tcBorders>
          </w:tcPr>
          <w:p>
            <w:pPr>
              <w:spacing w:after="0"/>
              <w:rPr>
                <w:sz w:val="20"/>
                <w:szCs w:val="20"/>
                <w:color w:val="auto"/>
              </w:rPr>
            </w:pPr>
          </w:p>
        </w:tc>
        <w:tc>
          <w:tcPr>
            <w:tcW w:w="744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180" w:type="dxa"/>
            <w:vAlign w:val="bottom"/>
            <w:tcBorders>
              <w:right w:val="single" w:sz="8" w:color="457157"/>
            </w:tcBorders>
          </w:tcPr>
          <w:p>
            <w:pPr>
              <w:spacing w:after="0"/>
              <w:rPr>
                <w:sz w:val="14"/>
                <w:szCs w:val="14"/>
                <w:color w:val="auto"/>
              </w:rPr>
            </w:pPr>
          </w:p>
        </w:tc>
        <w:tc>
          <w:tcPr>
            <w:tcW w:w="7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180" w:type="dxa"/>
            <w:vAlign w:val="bottom"/>
            <w:tcBorders>
              <w:right w:val="single" w:sz="8" w:color="457157"/>
            </w:tcBorders>
          </w:tcPr>
          <w:p>
            <w:pPr>
              <w:spacing w:after="0"/>
              <w:rPr>
                <w:sz w:val="5"/>
                <w:szCs w:val="5"/>
                <w:color w:val="auto"/>
              </w:rPr>
            </w:pPr>
          </w:p>
        </w:tc>
        <w:tc>
          <w:tcPr>
            <w:tcW w:w="7440" w:type="dxa"/>
            <w:vAlign w:val="bottom"/>
            <w:vMerge w:val="restart"/>
          </w:tcPr>
          <w:p>
            <w:pPr>
              <w:ind w:left="100"/>
              <w:spacing w:after="0"/>
              <w:rPr>
                <w:sz w:val="20"/>
                <w:szCs w:val="20"/>
                <w:color w:val="auto"/>
              </w:rPr>
            </w:pPr>
            <w:r>
              <w:rPr>
                <w:rFonts w:ascii="Arial" w:cs="Arial" w:eastAsia="Arial" w:hAnsi="Arial"/>
                <w:sz w:val="18"/>
                <w:szCs w:val="18"/>
                <w:color w:val="auto"/>
              </w:rPr>
              <w:t>Tom  Bené  has  four  decades  of  experience  executing  on  strategic  business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w:t>
            </w:r>
          </w:p>
        </w:tc>
        <w:tc>
          <w:tcPr>
            <w:tcW w:w="180" w:type="dxa"/>
            <w:vAlign w:val="bottom"/>
            <w:tcBorders>
              <w:right w:val="single" w:sz="8" w:color="457157"/>
            </w:tcBorders>
          </w:tcPr>
          <w:p>
            <w:pPr>
              <w:spacing w:after="0"/>
              <w:rPr>
                <w:sz w:val="15"/>
                <w:szCs w:val="15"/>
                <w:color w:val="auto"/>
              </w:rPr>
            </w:pPr>
          </w:p>
        </w:tc>
        <w:tc>
          <w:tcPr>
            <w:tcW w:w="7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line="183" w:lineRule="exact"/>
              <w:rPr>
                <w:sz w:val="20"/>
                <w:szCs w:val="20"/>
                <w:color w:val="auto"/>
              </w:rPr>
            </w:pPr>
            <w:r>
              <w:rPr>
                <w:rFonts w:ascii="Arial" w:cs="Arial" w:eastAsia="Arial" w:hAnsi="Arial"/>
                <w:sz w:val="18"/>
                <w:szCs w:val="18"/>
                <w:color w:val="auto"/>
              </w:rPr>
              <w:t>Management</w:t>
            </w:r>
          </w:p>
        </w:tc>
        <w:tc>
          <w:tcPr>
            <w:tcW w:w="180" w:type="dxa"/>
            <w:vAlign w:val="bottom"/>
            <w:tcBorders>
              <w:right w:val="single" w:sz="8" w:color="457157"/>
            </w:tcBorders>
          </w:tcPr>
          <w:p>
            <w:pPr>
              <w:spacing w:after="0"/>
              <w:rPr>
                <w:sz w:val="15"/>
                <w:szCs w:val="15"/>
                <w:color w:val="auto"/>
              </w:rPr>
            </w:pPr>
          </w:p>
        </w:tc>
        <w:tc>
          <w:tcPr>
            <w:tcW w:w="7440" w:type="dxa"/>
            <w:vAlign w:val="bottom"/>
          </w:tcPr>
          <w:p>
            <w:pPr>
              <w:ind w:left="100"/>
              <w:spacing w:after="0" w:line="183" w:lineRule="exact"/>
              <w:rPr>
                <w:sz w:val="20"/>
                <w:szCs w:val="20"/>
                <w:color w:val="auto"/>
              </w:rPr>
            </w:pPr>
            <w:r>
              <w:rPr>
                <w:rFonts w:ascii="Arial" w:cs="Arial" w:eastAsia="Arial" w:hAnsi="Arial"/>
                <w:sz w:val="18"/>
                <w:szCs w:val="18"/>
                <w:color w:val="auto"/>
              </w:rPr>
              <w:t>priorities and delivering financial growth for large companies. Since 2021, he has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Development &amp;</w:t>
            </w: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served as President and Chief Executive Officer of Breakthru Beverage Group,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Compensation</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where he is focused on leading the company through a period of growth and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expansion by driving new capabilities and innovation. Prior to his current role, 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held  several  operations  and  business  leadership  roles  at  Sysco  Corporation,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including serving as President, Chief Executive Officer, and Chairman. Before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joining Sysco in 2013, Mr. Bené spent over 20 years at PepsiCo in numerous roles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increasing responsibility and scale.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has a proven track record of driving growth and modernizing business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models  throughout  his  career.  Through  his  prior  operations  and  management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positions, Mr. Bené has gained valuable insight and knowledge in the areas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leadership  and  management  development,  corporate  strategy  development,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merchandising,  sales,  marketing,  revenue  management,  shared  services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distribution and supply chain management.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shares  his  deep  experience  in  logistics,  as  well  as  his  focus  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differentiation through the use of technology and providing outstanding customer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service, to further our Company’s growth and optimization strategy. In addition, his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dedication to employee development complements the Company’s People First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commitment.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holds a bachelor of science degree in business administration from the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University of Kansas.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7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-5117465</wp:posOffset>
            </wp:positionV>
            <wp:extent cx="960120" cy="12001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7020" w:type="dxa"/>
            <w:vAlign w:val="bottom"/>
            <w:gridSpan w:val="3"/>
            <w:vMerge w:val="restart"/>
            <w:shd w:val="clear" w:color="auto" w:fill="457157"/>
          </w:tcPr>
          <w:p>
            <w:pPr>
              <w:ind w:left="60"/>
              <w:spacing w:after="0"/>
              <w:rPr>
                <w:sz w:val="20"/>
                <w:szCs w:val="20"/>
                <w:color w:val="auto"/>
              </w:rPr>
            </w:pPr>
            <w:r>
              <w:rPr>
                <w:rFonts w:ascii="Arial" w:cs="Arial" w:eastAsia="Arial" w:hAnsi="Arial"/>
                <w:sz w:val="25"/>
                <w:szCs w:val="25"/>
                <w:b w:val="1"/>
                <w:bCs w:val="1"/>
                <w:color w:val="FEFEFE"/>
              </w:rPr>
              <w:t>E. C</w:t>
            </w:r>
            <w:r>
              <w:rPr>
                <w:rFonts w:ascii="Arial" w:cs="Arial" w:eastAsia="Arial" w:hAnsi="Arial"/>
                <w:sz w:val="17"/>
                <w:szCs w:val="17"/>
                <w:b w:val="1"/>
                <w:bCs w:val="1"/>
                <w:color w:val="FEFEFE"/>
              </w:rPr>
              <w:t>HINN</w:t>
            </w:r>
            <w:r>
              <w:rPr>
                <w:rFonts w:ascii="Arial" w:cs="Arial" w:eastAsia="Arial" w:hAnsi="Arial"/>
                <w:sz w:val="19"/>
                <w:szCs w:val="19"/>
                <w:b w:val="1"/>
                <w:bCs w:val="1"/>
                <w:color w:val="FEFEFE"/>
              </w:rPr>
              <w:t>​</w:t>
            </w:r>
          </w:p>
        </w:tc>
        <w:tc>
          <w:tcPr>
            <w:tcW w:w="126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B</w:t>
            </w:r>
            <w:r>
              <w:rPr>
                <w:rFonts w:ascii="Arial" w:cs="Arial" w:eastAsia="Arial" w:hAnsi="Arial"/>
                <w:sz w:val="16"/>
                <w:szCs w:val="16"/>
                <w:b w:val="1"/>
                <w:bCs w:val="1"/>
                <w:color w:val="FEFEFE"/>
              </w:rPr>
              <w:t>RUCE</w:t>
            </w:r>
          </w:p>
        </w:tc>
        <w:tc>
          <w:tcPr>
            <w:tcW w:w="7020" w:type="dxa"/>
            <w:vAlign w:val="bottom"/>
            <w:gridSpan w:val="3"/>
            <w:vMerge w:val="continue"/>
            <w:shd w:val="clear" w:color="auto" w:fill="457157"/>
          </w:tcPr>
          <w:p>
            <w:pPr>
              <w:spacing w:after="0"/>
              <w:rPr>
                <w:sz w:val="17"/>
                <w:szCs w:val="17"/>
                <w:color w:val="auto"/>
              </w:rPr>
            </w:pPr>
          </w:p>
        </w:tc>
        <w:tc>
          <w:tcPr>
            <w:tcW w:w="126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7"/>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618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26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Retired  President  and  Chief  Executive  Officer — Chevron  Phillips  Chemical</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Company LLC, or CPChem, (global petrochemical joint venture of Chevron USA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Inc. and Philips 66 Company), served from April 2021 to March 2024; currently</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serving as Executive Advisor to CPChem since March 2024.</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Director of CPChem from November 2020 to March 2024.</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Also  served  as  President,  Chemicals  for  Chevron  Corporation  (multinational</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67</w:t>
            </w:r>
          </w:p>
        </w:tc>
        <w:tc>
          <w:tcPr>
            <w:tcW w:w="660" w:type="dxa"/>
            <w:vAlign w:val="bottom"/>
          </w:tcPr>
          <w:p>
            <w:pPr>
              <w:spacing w:after="0"/>
              <w:rPr>
                <w:sz w:val="19"/>
                <w:szCs w:val="19"/>
                <w:color w:val="auto"/>
              </w:rPr>
            </w:pPr>
          </w:p>
        </w:tc>
        <w:tc>
          <w:tcPr>
            <w:tcW w:w="180" w:type="dxa"/>
            <w:vAlign w:val="bottom"/>
            <w:tcBorders>
              <w:right w:val="single" w:sz="8" w:color="457157"/>
            </w:tcBorders>
          </w:tcPr>
          <w:p>
            <w:pPr>
              <w:spacing w:after="0"/>
              <w:rPr>
                <w:sz w:val="19"/>
                <w:szCs w:val="19"/>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energy corporation) from May 2020 to March 2021 and President, Chevron Oronite</w:t>
            </w:r>
          </w:p>
        </w:tc>
        <w:tc>
          <w:tcPr>
            <w:tcW w:w="0" w:type="dxa"/>
            <w:vAlign w:val="bottom"/>
          </w:tcPr>
          <w:p>
            <w:pPr>
              <w:spacing w:after="0"/>
              <w:rPr>
                <w:sz w:val="1"/>
                <w:szCs w:val="1"/>
                <w:color w:val="auto"/>
              </w:rPr>
            </w:pPr>
          </w:p>
        </w:tc>
      </w:tr>
      <w:tr>
        <w:trPr>
          <w:trHeight w:val="211"/>
        </w:trPr>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(global lubricant and fuel additives business) for Chevron Corporation from 2018 to</w:t>
            </w:r>
          </w:p>
        </w:tc>
        <w:tc>
          <w:tcPr>
            <w:tcW w:w="0" w:type="dxa"/>
            <w:vAlign w:val="bottom"/>
          </w:tcPr>
          <w:p>
            <w:pPr>
              <w:spacing w:after="0"/>
              <w:rPr>
                <w:sz w:val="1"/>
                <w:szCs w:val="1"/>
                <w:color w:val="auto"/>
              </w:rPr>
            </w:pPr>
          </w:p>
        </w:tc>
      </w:tr>
      <w:tr>
        <w:trPr>
          <w:trHeight w:val="100"/>
        </w:trPr>
        <w:tc>
          <w:tcPr>
            <w:tcW w:w="1440" w:type="dxa"/>
            <w:vAlign w:val="bottom"/>
            <w:gridSpan w:val="2"/>
            <w:vMerge w:val="continue"/>
          </w:tcPr>
          <w:p>
            <w:pPr>
              <w:spacing w:after="0"/>
              <w:rPr>
                <w:sz w:val="8"/>
                <w:szCs w:val="8"/>
                <w:color w:val="auto"/>
              </w:rPr>
            </w:pPr>
          </w:p>
        </w:tc>
        <w:tc>
          <w:tcPr>
            <w:tcW w:w="180" w:type="dxa"/>
            <w:vAlign w:val="bottom"/>
            <w:tcBorders>
              <w:right w:val="single" w:sz="8" w:color="457157"/>
            </w:tcBorders>
          </w:tcPr>
          <w:p>
            <w:pPr>
              <w:spacing w:after="0"/>
              <w:rPr>
                <w:sz w:val="8"/>
                <w:szCs w:val="8"/>
                <w:color w:val="auto"/>
              </w:rPr>
            </w:pPr>
          </w:p>
        </w:tc>
        <w:tc>
          <w:tcPr>
            <w:tcW w:w="6180" w:type="dxa"/>
            <w:vAlign w:val="bottom"/>
            <w:vMerge w:val="restart"/>
          </w:tcPr>
          <w:p>
            <w:pPr>
              <w:ind w:left="100"/>
              <w:spacing w:after="0"/>
              <w:rPr>
                <w:sz w:val="20"/>
                <w:szCs w:val="20"/>
                <w:color w:val="auto"/>
              </w:rPr>
            </w:pPr>
            <w:r>
              <w:rPr>
                <w:rFonts w:ascii="Arial" w:cs="Arial" w:eastAsia="Arial" w:hAnsi="Arial"/>
                <w:sz w:val="18"/>
                <w:szCs w:val="18"/>
                <w:color w:val="auto"/>
              </w:rPr>
              <w:t>April 2020.</w:t>
            </w: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February 2023</w:t>
            </w:r>
          </w:p>
        </w:tc>
        <w:tc>
          <w:tcPr>
            <w:tcW w:w="180" w:type="dxa"/>
            <w:vAlign w:val="bottom"/>
            <w:tcBorders>
              <w:right w:val="single" w:sz="8" w:color="457157"/>
            </w:tcBorders>
          </w:tcPr>
          <w:p>
            <w:pPr>
              <w:spacing w:after="0"/>
              <w:rPr>
                <w:sz w:val="12"/>
                <w:szCs w:val="12"/>
                <w:color w:val="auto"/>
              </w:rPr>
            </w:pPr>
          </w:p>
        </w:tc>
        <w:tc>
          <w:tcPr>
            <w:tcW w:w="618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440" w:type="dxa"/>
            <w:vAlign w:val="bottom"/>
            <w:gridSpan w:val="2"/>
            <w:vMerge w:val="continue"/>
          </w:tcPr>
          <w:p>
            <w:pPr>
              <w:spacing w:after="0"/>
              <w:rPr>
                <w:sz w:val="8"/>
                <w:szCs w:val="8"/>
                <w:color w:val="auto"/>
              </w:rPr>
            </w:pPr>
          </w:p>
        </w:tc>
        <w:tc>
          <w:tcPr>
            <w:tcW w:w="180" w:type="dxa"/>
            <w:vAlign w:val="bottom"/>
            <w:tcBorders>
              <w:right w:val="single" w:sz="8" w:color="457157"/>
            </w:tcBorders>
          </w:tcPr>
          <w:p>
            <w:pPr>
              <w:spacing w:after="0"/>
              <w:rPr>
                <w:sz w:val="8"/>
                <w:szCs w:val="8"/>
                <w:color w:val="auto"/>
              </w:rPr>
            </w:pPr>
          </w:p>
        </w:tc>
        <w:tc>
          <w:tcPr>
            <w:tcW w:w="618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18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40" w:type="dxa"/>
            <w:vAlign w:val="bottom"/>
            <w:gridSpan w:val="2"/>
          </w:tcPr>
          <w:p>
            <w:pPr>
              <w:spacing w:after="0"/>
              <w:rPr>
                <w:sz w:val="20"/>
                <w:szCs w:val="20"/>
                <w:color w:val="auto"/>
              </w:rPr>
            </w:pPr>
            <w:r>
              <w:rPr>
                <w:rFonts w:ascii="Arial" w:cs="Arial" w:eastAsia="Arial" w:hAnsi="Arial"/>
                <w:sz w:val="18"/>
                <w:szCs w:val="18"/>
                <w:b w:val="1"/>
                <w:bCs w:val="1"/>
                <w:color w:val="457157"/>
              </w:rPr>
              <w:t>Committee:</w:t>
            </w:r>
          </w:p>
        </w:tc>
        <w:tc>
          <w:tcPr>
            <w:tcW w:w="180" w:type="dxa"/>
            <w:vAlign w:val="bottom"/>
            <w:tcBorders>
              <w:right w:val="single" w:sz="8" w:color="457157"/>
            </w:tcBorders>
          </w:tcPr>
          <w:p>
            <w:pPr>
              <w:spacing w:after="0"/>
              <w:rPr>
                <w:sz w:val="21"/>
                <w:szCs w:val="21"/>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In his recent position as President, Chief Executive Officer and</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a Director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Audit</w:t>
            </w: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CPChem,  Bruce  Chinn  focused  on  leading  the  company  through  a  period  of</w:t>
            </w: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Borders>
              <w:right w:val="single" w:sz="8" w:color="457157"/>
            </w:tcBorders>
          </w:tcPr>
          <w:p>
            <w:pPr>
              <w:spacing w:after="0"/>
              <w:rPr>
                <w:sz w:val="3"/>
                <w:szCs w:val="3"/>
                <w:color w:val="auto"/>
              </w:rPr>
            </w:pPr>
          </w:p>
        </w:tc>
        <w:tc>
          <w:tcPr>
            <w:tcW w:w="75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sustainable growth. Mr. Chinn has over 40 years of experience driving operational,</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safety, and financial results. Previously, he held several operations and business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roles at Chevron Corporation, leading large, diverse organizations. In these roles,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Chinn  focused  on  performance,  partnership,  and  safety,  while  striving  for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continued success in the business and community. Mr. Chinn began his career at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DuPont, where he held positions of increasing responsibility in manufacturing,</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technical, commercial and business leadership at the U.S. and international level.</w:t>
            </w: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Chinn brings extensive knowledge of circular solutions and renewable energy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that is aligned with our Company’s strategic focus on making sustainability growth</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investments in our recycling and renewable energy businesses. His operations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leadership expertise bolsters our continued efforts to drive operating efficiencies,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enhance our safety culture and differentiate our service offerings. Mr. Chinn’s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broad and expansive dedication to operating excellence and developing strong</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corporate culture provides valuable perspective to the Board, and his experience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allows him to share specific insight into focus areas such as renewable energy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transition, environmental regulation and compliance, international exposure and</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risk management.</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Chinn serves on the American Institute of Chemical Engineers Foundation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Board of Trustees, and he serves as a board director and executive committee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member of the Alliance to End Plastic Waste and the American Chemistry Council.</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Chinn holds a bachelor of science degree in chemical engineering from Texas</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A&amp;M University.</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6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-5391785</wp:posOffset>
            </wp:positionV>
            <wp:extent cx="960120" cy="12001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ind w:left="820"/>
        <w:spacing w:after="0" w:line="206" w:lineRule="auto"/>
        <w:tabs>
          <w:tab w:leader="none" w:pos="9860" w:val="left"/>
        </w:tabs>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J</w:t>
      </w:r>
      <w:r>
        <w:rPr>
          <w:rFonts w:ascii="Arial" w:cs="Arial" w:eastAsia="Arial" w:hAnsi="Arial"/>
          <w:sz w:val="17"/>
          <w:szCs w:val="17"/>
          <w:b w:val="1"/>
          <w:bCs w:val="1"/>
          <w:color w:val="FEFEFE"/>
        </w:rPr>
        <w:t>AMES</w:t>
      </w:r>
      <w:r>
        <w:rPr>
          <w:rFonts w:ascii="Arial" w:cs="Arial" w:eastAsia="Arial" w:hAnsi="Arial"/>
          <w:sz w:val="25"/>
          <w:szCs w:val="25"/>
          <w:b w:val="1"/>
          <w:bCs w:val="1"/>
          <w:color w:val="FEFEFE"/>
        </w:rPr>
        <w:t xml:space="preserve"> C. F</w:t>
      </w:r>
      <w:r>
        <w:rPr>
          <w:rFonts w:ascii="Arial" w:cs="Arial" w:eastAsia="Arial" w:hAnsi="Arial"/>
          <w:sz w:val="17"/>
          <w:szCs w:val="17"/>
          <w:b w:val="1"/>
          <w:bCs w:val="1"/>
          <w:color w:val="FEFEFE"/>
        </w:rPr>
        <w:t>ISH</w:t>
      </w:r>
      <w:r>
        <w:rPr>
          <w:rFonts w:ascii="Arial" w:cs="Arial" w:eastAsia="Arial" w:hAnsi="Arial"/>
          <w:sz w:val="25"/>
          <w:szCs w:val="25"/>
          <w:b w:val="1"/>
          <w:bCs w:val="1"/>
          <w:color w:val="FEFEFE"/>
        </w:rPr>
        <w:t>, J</w:t>
      </w:r>
      <w:r>
        <w:rPr>
          <w:rFonts w:ascii="Arial" w:cs="Arial" w:eastAsia="Arial" w:hAnsi="Arial"/>
          <w:sz w:val="17"/>
          <w:szCs w:val="17"/>
          <w:b w:val="1"/>
          <w:bCs w:val="1"/>
          <w:color w:val="FEFEFE"/>
        </w:rPr>
        <w:t>R</w:t>
      </w:r>
      <w:r>
        <w:rPr>
          <w:rFonts w:ascii="Arial" w:cs="Arial" w:eastAsia="Arial" w:hAnsi="Arial"/>
          <w:sz w:val="25"/>
          <w:szCs w:val="25"/>
          <w:b w:val="1"/>
          <w:bCs w:val="1"/>
          <w:color w:val="FEFEFE"/>
        </w:rPr>
        <w:t>.</w:t>
      </w:r>
      <w:r>
        <w:rPr>
          <w:rFonts w:ascii="Arial" w:cs="Arial" w:eastAsia="Arial" w:hAnsi="Arial"/>
          <w:sz w:val="19"/>
          <w:szCs w:val="19"/>
          <w:b w:val="1"/>
          <w:bCs w:val="1"/>
          <w:color w:val="FEFEFE"/>
        </w:rPr>
        <w:t>​</w:t>
      </w:r>
      <w:r>
        <w:rPr>
          <w:sz w:val="20"/>
          <w:szCs w:val="20"/>
          <w:color w:val="auto"/>
        </w:rPr>
        <w:tab/>
      </w:r>
      <w:r>
        <w:rPr>
          <w:rFonts w:ascii="Arial" w:cs="Arial" w:eastAsia="Arial" w:hAnsi="Arial"/>
          <w:sz w:val="50"/>
          <w:szCs w:val="50"/>
          <w:b w:val="1"/>
          <w:bCs w:val="1"/>
          <w:color w:val="FEFEF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-254635</wp:posOffset>
            </wp:positionV>
            <wp:extent cx="5760720" cy="6197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60720" cy="619760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61</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November 2016</w:t>
      </w:r>
    </w:p>
    <w:p>
      <w:pPr>
        <w:spacing w:after="0" w:line="20" w:lineRule="exact"/>
        <w:rPr>
          <w:sz w:val="20"/>
          <w:szCs w:val="20"/>
          <w:color w:val="auto"/>
        </w:rPr>
      </w:pPr>
      <w:r>
        <w:rPr>
          <w:sz w:val="20"/>
          <w:szCs w:val="20"/>
          <w:color w:val="auto"/>
        </w:rPr>
        <w:br w:type="column"/>
      </w:r>
    </w:p>
    <w:p>
      <w:pPr>
        <w:spacing w:after="0"/>
        <w:tabs>
          <w:tab w:leader="none" w:pos="7540" w:val="left"/>
        </w:tabs>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sz w:val="20"/>
          <w:szCs w:val="20"/>
          <w:color w:val="auto"/>
        </w:rPr>
        <w:tab/>
      </w:r>
      <w:r>
        <w:rPr>
          <w:rFonts w:ascii="Arial" w:cs="Arial" w:eastAsia="Arial" w:hAnsi="Arial"/>
          <w:sz w:val="36"/>
          <w:szCs w:val="36"/>
          <w:color w:val="auto"/>
          <w:vertAlign w:val="superscript"/>
        </w:rPr>
        <w:t>​</w:t>
      </w:r>
    </w:p>
    <w:p>
      <w:pPr>
        <w:spacing w:after="0" w:line="54" w:lineRule="exact"/>
        <w:rPr>
          <w:sz w:val="20"/>
          <w:szCs w:val="20"/>
          <w:color w:val="auto"/>
        </w:rPr>
      </w:pPr>
    </w:p>
    <w:p>
      <w:pPr>
        <w:ind w:left="220" w:right="280"/>
        <w:spacing w:after="0" w:line="263" w:lineRule="auto"/>
        <w:rPr>
          <w:sz w:val="20"/>
          <w:szCs w:val="20"/>
          <w:color w:val="auto"/>
        </w:rPr>
      </w:pPr>
      <w:r>
        <w:rPr>
          <w:rFonts w:ascii="Arial" w:cs="Arial" w:eastAsia="Arial" w:hAnsi="Arial"/>
          <w:sz w:val="18"/>
          <w:szCs w:val="18"/>
          <w:color w:val="auto"/>
        </w:rPr>
        <w:t>President, Chief Executive Officer and Director — Waste Management, Inc. since 2016.</w:t>
      </w:r>
    </w:p>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 of Caterpillar Inc. since March 2023.</w:t>
      </w:r>
    </w:p>
    <w:p>
      <w:pPr>
        <w:spacing w:after="0" w:line="90" w:lineRule="exact"/>
        <w:rPr>
          <w:sz w:val="20"/>
          <w:szCs w:val="20"/>
          <w:color w:val="auto"/>
        </w:rPr>
      </w:pPr>
    </w:p>
    <w:p>
      <w:pPr>
        <w:ind w:left="420" w:hanging="209"/>
        <w:spacing w:after="0"/>
        <w:tabs>
          <w:tab w:leader="none" w:pos="420" w:val="left"/>
        </w:tabs>
        <w:numPr>
          <w:ilvl w:val="0"/>
          <w:numId w:val="17"/>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50"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Jim Fish has served as our President and Chief Executive Officer and a Director since 2016. Over more than 20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74" w:lineRule="exact"/>
        <w:rPr>
          <w:sz w:val="20"/>
          <w:szCs w:val="20"/>
          <w:color w:val="auto"/>
        </w:rPr>
      </w:pPr>
    </w:p>
    <w:p>
      <w:pPr>
        <w:jc w:val="both"/>
        <w:ind w:left="220" w:right="80"/>
        <w:spacing w:after="0" w:line="268" w:lineRule="auto"/>
        <w:rPr>
          <w:sz w:val="20"/>
          <w:szCs w:val="20"/>
          <w:color w:val="auto"/>
        </w:rPr>
      </w:pPr>
      <w:r>
        <w:rPr>
          <w:rFonts w:ascii="Arial" w:cs="Arial" w:eastAsia="Arial" w:hAnsi="Arial"/>
          <w:sz w:val="18"/>
          <w:szCs w:val="18"/>
          <w:color w:val="auto"/>
        </w:rPr>
        <w:t>Before joining our Company, Mr. Fish held finance and revenue management positions at Westex, a Yellow-Roadway subsidiary, Trans World Airlines, and America West Airlines. He began his professional career at KPMG Peat Marwick.</w:t>
      </w:r>
    </w:p>
    <w:p>
      <w:pPr>
        <w:spacing w:after="0" w:line="63" w:lineRule="exact"/>
        <w:rPr>
          <w:sz w:val="20"/>
          <w:szCs w:val="20"/>
          <w:color w:val="auto"/>
        </w:rPr>
      </w:pPr>
    </w:p>
    <w:p>
      <w:pPr>
        <w:jc w:val="both"/>
        <w:ind w:left="220" w:right="80"/>
        <w:spacing w:after="0" w:line="255" w:lineRule="auto"/>
        <w:rPr>
          <w:sz w:val="20"/>
          <w:szCs w:val="20"/>
          <w:color w:val="auto"/>
        </w:rPr>
      </w:pPr>
      <w:r>
        <w:rPr>
          <w:rFonts w:ascii="Arial" w:cs="Arial" w:eastAsia="Arial" w:hAnsi="Arial"/>
          <w:sz w:val="18"/>
          <w:szCs w:val="18"/>
          <w:color w:val="auto"/>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293"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As North America’s largest comprehensive environmental solutions provider, sustainability is embedded in all aspects of our business. As our President and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290" w:lineRule="exact"/>
        <w:rPr>
          <w:sz w:val="20"/>
          <w:szCs w:val="20"/>
          <w:color w:val="auto"/>
        </w:rPr>
      </w:pPr>
    </w:p>
    <w:p>
      <w:pPr>
        <w:jc w:val="both"/>
        <w:ind w:left="220" w:right="80"/>
        <w:spacing w:after="0" w:line="259" w:lineRule="auto"/>
        <w:rPr>
          <w:sz w:val="20"/>
          <w:szCs w:val="20"/>
          <w:color w:val="auto"/>
        </w:rPr>
      </w:pPr>
      <w:r>
        <w:rPr>
          <w:rFonts w:ascii="Arial" w:cs="Arial" w:eastAsia="Arial" w:hAnsi="Arial"/>
          <w:sz w:val="18"/>
          <w:szCs w:val="18"/>
          <w:color w:val="auto"/>
        </w:rPr>
        <w:t>Mr. Fish also champions the importance of our people-first commitment and the necessity of creating a culture that truly puts the needs of WM employees first. As part of that people-first culture, Mr. Fish has been actively involved in developing initiatives to promote inclusion and diversity throughout the Company’s population of approximately 48,000 employees.</w:t>
      </w:r>
    </w:p>
    <w:p>
      <w:pPr>
        <w:spacing w:after="0" w:line="71" w:lineRule="exact"/>
        <w:rPr>
          <w:sz w:val="20"/>
          <w:szCs w:val="20"/>
          <w:color w:val="auto"/>
        </w:rPr>
      </w:pPr>
    </w:p>
    <w:p>
      <w:pPr>
        <w:jc w:val="both"/>
        <w:ind w:left="220" w:right="80"/>
        <w:spacing w:after="0" w:line="268" w:lineRule="auto"/>
        <w:rPr>
          <w:sz w:val="20"/>
          <w:szCs w:val="20"/>
          <w:color w:val="auto"/>
        </w:rPr>
      </w:pPr>
      <w:r>
        <w:rPr>
          <w:rFonts w:ascii="Arial" w:cs="Arial" w:eastAsia="Arial" w:hAnsi="Arial"/>
          <w:sz w:val="18"/>
          <w:szCs w:val="18"/>
          <w:color w:val="auto"/>
        </w:rPr>
        <w:t>Mr. Fish earned a bachelor’s degree in accounting from Arizona State University and a master’s degree in business administration, with emphasis on finance, from the University of Chicago. He is also a Certified Public Accountant.</w:t>
      </w:r>
    </w:p>
    <w:p>
      <w:pPr>
        <w:spacing w:after="0" w:line="200" w:lineRule="exact"/>
        <w:rPr>
          <w:sz w:val="20"/>
          <w:szCs w:val="20"/>
          <w:color w:val="auto"/>
        </w:rPr>
      </w:pPr>
    </w:p>
    <w:p>
      <w:pPr>
        <w:sectPr>
          <w:pgSz w:w="11900" w:h="16838" w:orient="portrait"/>
          <w:cols w:equalWidth="0" w:num="2">
            <w:col w:w="2200" w:space="120"/>
            <w:col w:w="762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82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8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A</w:t>
            </w:r>
            <w:r>
              <w:rPr>
                <w:rFonts w:ascii="Arial" w:cs="Arial" w:eastAsia="Arial" w:hAnsi="Arial"/>
                <w:sz w:val="16"/>
                <w:szCs w:val="16"/>
                <w:b w:val="1"/>
                <w:bCs w:val="1"/>
                <w:color w:val="FEFEFE"/>
              </w:rPr>
              <w:t>NDRÉS</w:t>
            </w:r>
            <w:r>
              <w:rPr>
                <w:rFonts w:ascii="Arial" w:cs="Arial" w:eastAsia="Arial" w:hAnsi="Arial"/>
                <w:sz w:val="23"/>
                <w:szCs w:val="23"/>
                <w:b w:val="1"/>
                <w:bCs w:val="1"/>
                <w:color w:val="FEFEFE"/>
              </w:rPr>
              <w:t xml:space="preserve"> R. G</w:t>
            </w:r>
            <w:r>
              <w:rPr>
                <w:rFonts w:ascii="Arial" w:cs="Arial" w:eastAsia="Arial" w:hAnsi="Arial"/>
                <w:sz w:val="16"/>
                <w:szCs w:val="16"/>
                <w:b w:val="1"/>
                <w:bCs w:val="1"/>
                <w:color w:val="FEFEFE"/>
              </w:rPr>
              <w:t>LUSKI</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72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5735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0" cy="5735320"/>
                    </a:xfrm>
                    <a:prstGeom prst="rect">
                      <a:avLst/>
                    </a:prstGeom>
                    <a:noFill/>
                  </pic:spPr>
                </pic:pic>
              </a:graphicData>
            </a:graphic>
          </wp:anchor>
        </w:drawing>
      </w:r>
    </w:p>
    <w:p>
      <w:pPr>
        <w:jc w:val="both"/>
        <w:ind w:left="2540" w:right="80"/>
        <w:spacing w:after="0" w:line="268" w:lineRule="auto"/>
        <w:rPr>
          <w:sz w:val="20"/>
          <w:szCs w:val="20"/>
          <w:color w:val="auto"/>
        </w:rPr>
      </w:pPr>
      <w:r>
        <w:rPr>
          <w:rFonts w:ascii="Arial" w:cs="Arial" w:eastAsia="Arial" w:hAnsi="Arial"/>
          <w:sz w:val="18"/>
          <w:szCs w:val="18"/>
          <w:color w:val="auto"/>
        </w:rPr>
        <w:t>President, Chief Executive Officer and Director — The AES Corporation (global energy company) since 2011.</w:t>
      </w:r>
    </w:p>
    <w:p>
      <w:pPr>
        <w:spacing w:after="0" w:line="6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AES Gener (Chile) from 2005 to January 2020.</w:t>
      </w:r>
    </w:p>
    <w:p>
      <w:pPr>
        <w:spacing w:after="0" w:line="57" w:lineRule="exact"/>
        <w:rPr>
          <w:sz w:val="20"/>
          <w:szCs w:val="20"/>
          <w:color w:val="auto"/>
        </w:rPr>
      </w:pPr>
    </w:p>
    <w:tbl>
      <w:tblPr>
        <w:tblLayout w:type="fixed"/>
        <w:tblInd w:w="820" w:type="dxa"/>
        <w:tblCellMar>
          <w:top w:w="0" w:type="dxa"/>
          <w:left w:w="0" w:type="dxa"/>
          <w:bottom w:w="0" w:type="dxa"/>
          <w:right w:w="0" w:type="dxa"/>
        </w:tblCellMar>
      </w:tblPr>
      <w:tr>
        <w:trPr>
          <w:trHeight w:val="348"/>
        </w:trPr>
        <w:tc>
          <w:tcPr>
            <w:tcW w:w="1540" w:type="dxa"/>
            <w:vAlign w:val="bottom"/>
          </w:tcPr>
          <w:p>
            <w:pPr>
              <w:spacing w:after="0"/>
              <w:rPr>
                <w:sz w:val="24"/>
                <w:szCs w:val="24"/>
                <w:color w:val="auto"/>
              </w:rPr>
            </w:pPr>
          </w:p>
        </w:tc>
        <w:tc>
          <w:tcPr>
            <w:tcW w:w="2300" w:type="dxa"/>
            <w:vAlign w:val="bottom"/>
            <w:gridSpan w:val="2"/>
          </w:tcPr>
          <w:p>
            <w:pPr>
              <w:ind w:left="1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Andrés Gluski has served as President, Chief Executive Officer and a Director of</w:t>
            </w:r>
          </w:p>
        </w:tc>
        <w:tc>
          <w:tcPr>
            <w:tcW w:w="0" w:type="dxa"/>
            <w:vAlign w:val="bottom"/>
          </w:tcPr>
          <w:p>
            <w:pPr>
              <w:spacing w:after="0"/>
              <w:rPr>
                <w:sz w:val="1"/>
                <w:szCs w:val="1"/>
                <w:color w:val="auto"/>
              </w:rPr>
            </w:pPr>
          </w:p>
        </w:tc>
      </w:tr>
      <w:tr>
        <w:trPr>
          <w:trHeight w:val="216"/>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66</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rPr>
              <w:t>The  AES  Corporation,</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a  Fortune</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3540" w:type="dxa"/>
            <w:vAlign w:val="bottom"/>
            <w:gridSpan w:val="5"/>
          </w:tcPr>
          <w:p>
            <w:pPr>
              <w:jc w:val="right"/>
              <w:spacing w:after="0"/>
              <w:rPr>
                <w:sz w:val="20"/>
                <w:szCs w:val="20"/>
                <w:color w:val="auto"/>
              </w:rPr>
            </w:pPr>
            <w:r>
              <w:rPr>
                <w:rFonts w:ascii="Arial" w:cs="Arial" w:eastAsia="Arial" w:hAnsi="Arial"/>
                <w:sz w:val="18"/>
                <w:szCs w:val="18"/>
                <w:color w:val="auto"/>
              </w:rPr>
              <w:t>global  energy  company,  since  2011.</w:t>
            </w:r>
          </w:p>
        </w:tc>
        <w:tc>
          <w:tcPr>
            <w:tcW w:w="0" w:type="dxa"/>
            <w:vAlign w:val="bottom"/>
          </w:tcPr>
          <w:p>
            <w:pPr>
              <w:spacing w:after="0"/>
              <w:rPr>
                <w:sz w:val="1"/>
                <w:szCs w:val="1"/>
                <w:color w:val="auto"/>
              </w:rPr>
            </w:pPr>
          </w:p>
        </w:tc>
      </w:tr>
      <w:tr>
        <w:trPr>
          <w:trHeight w:val="216"/>
        </w:trPr>
        <w:tc>
          <w:tcPr>
            <w:tcW w:w="1540" w:type="dxa"/>
            <w:vAlign w:val="bottom"/>
            <w:vMerge w:val="continue"/>
          </w:tcPr>
          <w:p>
            <w:pPr>
              <w:spacing w:after="0"/>
              <w:rPr>
                <w:sz w:val="18"/>
                <w:szCs w:val="18"/>
                <w:color w:val="auto"/>
              </w:rPr>
            </w:pP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Mr. Gluski began his tenure at AES in 2000 and previously served as Executive</w:t>
            </w:r>
          </w:p>
        </w:tc>
        <w:tc>
          <w:tcPr>
            <w:tcW w:w="0" w:type="dxa"/>
            <w:vAlign w:val="bottom"/>
          </w:tcPr>
          <w:p>
            <w:pPr>
              <w:spacing w:after="0"/>
              <w:rPr>
                <w:sz w:val="1"/>
                <w:szCs w:val="1"/>
                <w:color w:val="auto"/>
              </w:rPr>
            </w:pPr>
          </w:p>
        </w:tc>
      </w:tr>
      <w:tr>
        <w:trPr>
          <w:trHeight w:val="221"/>
        </w:trPr>
        <w:tc>
          <w:tcPr>
            <w:tcW w:w="154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Vice  President  and  Chief  Operating  Officer.  Under  his  leadership,  AES  has</w:t>
            </w:r>
          </w:p>
        </w:tc>
        <w:tc>
          <w:tcPr>
            <w:tcW w:w="0" w:type="dxa"/>
            <w:vAlign w:val="bottom"/>
          </w:tcPr>
          <w:p>
            <w:pPr>
              <w:spacing w:after="0"/>
              <w:rPr>
                <w:sz w:val="1"/>
                <w:szCs w:val="1"/>
                <w:color w:val="auto"/>
              </w:rPr>
            </w:pPr>
          </w:p>
        </w:tc>
      </w:tr>
      <w:tr>
        <w:trPr>
          <w:trHeight w:val="211"/>
        </w:trPr>
        <w:tc>
          <w:tcPr>
            <w:tcW w:w="1540" w:type="dxa"/>
            <w:vAlign w:val="bottom"/>
          </w:tcPr>
          <w:p>
            <w:pPr>
              <w:spacing w:after="0"/>
              <w:rPr>
                <w:sz w:val="20"/>
                <w:szCs w:val="20"/>
                <w:color w:val="auto"/>
              </w:rPr>
            </w:pPr>
            <w:r>
              <w:rPr>
                <w:rFonts w:ascii="Arial" w:cs="Arial" w:eastAsia="Arial" w:hAnsi="Arial"/>
                <w:sz w:val="18"/>
                <w:szCs w:val="18"/>
                <w:color w:val="auto"/>
              </w:rPr>
              <w:t>January 2015</w:t>
            </w: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become a leader in implementing clean technologies, including energy storage and</w:t>
            </w:r>
          </w:p>
        </w:tc>
        <w:tc>
          <w:tcPr>
            <w:tcW w:w="0" w:type="dxa"/>
            <w:vAlign w:val="bottom"/>
          </w:tcPr>
          <w:p>
            <w:pPr>
              <w:spacing w:after="0"/>
              <w:rPr>
                <w:sz w:val="1"/>
                <w:szCs w:val="1"/>
                <w:color w:val="auto"/>
              </w:rPr>
            </w:pPr>
          </w:p>
        </w:tc>
      </w:tr>
      <w:tr>
        <w:trPr>
          <w:trHeight w:val="216"/>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7500" w:type="dxa"/>
            <w:vAlign w:val="bottom"/>
            <w:gridSpan w:val="10"/>
          </w:tcPr>
          <w:p>
            <w:pPr>
              <w:ind w:left="180"/>
              <w:spacing w:after="0"/>
              <w:rPr>
                <w:sz w:val="20"/>
                <w:szCs w:val="20"/>
                <w:color w:val="auto"/>
              </w:rPr>
            </w:pPr>
            <w:r>
              <w:rPr>
                <w:rFonts w:ascii="Arial" w:cs="Arial" w:eastAsia="Arial" w:hAnsi="Arial"/>
                <w:sz w:val="18"/>
                <w:szCs w:val="18"/>
                <w:color w:val="auto"/>
              </w:rPr>
              <w:t>renewable power. Through his professional experience, Mr. Gluski has extensive</w:t>
            </w:r>
          </w:p>
        </w:tc>
        <w:tc>
          <w:tcPr>
            <w:tcW w:w="0" w:type="dxa"/>
            <w:vAlign w:val="bottom"/>
          </w:tcPr>
          <w:p>
            <w:pPr>
              <w:spacing w:after="0"/>
              <w:rPr>
                <w:sz w:val="1"/>
                <w:szCs w:val="1"/>
                <w:color w:val="auto"/>
              </w:rPr>
            </w:pPr>
          </w:p>
        </w:tc>
      </w:tr>
      <w:tr>
        <w:trPr>
          <w:trHeight w:val="46"/>
        </w:trPr>
        <w:tc>
          <w:tcPr>
            <w:tcW w:w="1540" w:type="dxa"/>
            <w:vAlign w:val="bottom"/>
            <w:vMerge w:val="continue"/>
          </w:tcPr>
          <w:p>
            <w:pPr>
              <w:spacing w:after="0"/>
              <w:rPr>
                <w:sz w:val="3"/>
                <w:szCs w:val="3"/>
                <w:color w:val="auto"/>
              </w:rPr>
            </w:pPr>
          </w:p>
        </w:tc>
        <w:tc>
          <w:tcPr>
            <w:tcW w:w="7500" w:type="dxa"/>
            <w:vAlign w:val="bottom"/>
            <w:gridSpan w:val="10"/>
            <w:vMerge w:val="restart"/>
          </w:tcPr>
          <w:p>
            <w:pPr>
              <w:ind w:left="180"/>
              <w:spacing w:after="0"/>
              <w:rPr>
                <w:sz w:val="20"/>
                <w:szCs w:val="20"/>
                <w:color w:val="auto"/>
              </w:rPr>
            </w:pPr>
            <w:r>
              <w:rPr>
                <w:rFonts w:ascii="Arial" w:cs="Arial" w:eastAsia="Arial" w:hAnsi="Arial"/>
                <w:sz w:val="18"/>
                <w:szCs w:val="18"/>
                <w:color w:val="auto"/>
              </w:rPr>
              <w:t>knowledge with respect to evaluating renewable energy strategies, and he has</w:t>
            </w:r>
          </w:p>
        </w:tc>
        <w:tc>
          <w:tcPr>
            <w:tcW w:w="0" w:type="dxa"/>
            <w:vAlign w:val="bottom"/>
          </w:tcPr>
          <w:p>
            <w:pPr>
              <w:spacing w:after="0"/>
              <w:rPr>
                <w:sz w:val="1"/>
                <w:szCs w:val="1"/>
                <w:color w:val="auto"/>
              </w:rPr>
            </w:pPr>
          </w:p>
        </w:tc>
      </w:tr>
      <w:tr>
        <w:trPr>
          <w:trHeight w:val="176"/>
        </w:trPr>
        <w:tc>
          <w:tcPr>
            <w:tcW w:w="154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750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40" w:type="dxa"/>
            <w:vAlign w:val="bottom"/>
          </w:tcPr>
          <w:p>
            <w:pPr>
              <w:spacing w:after="0" w:line="183" w:lineRule="exact"/>
              <w:rPr>
                <w:sz w:val="20"/>
                <w:szCs w:val="20"/>
                <w:color w:val="auto"/>
              </w:rPr>
            </w:pPr>
            <w:r>
              <w:rPr>
                <w:rFonts w:ascii="Arial" w:cs="Arial" w:eastAsia="Arial" w:hAnsi="Arial"/>
                <w:sz w:val="18"/>
                <w:szCs w:val="18"/>
                <w:color w:val="auto"/>
              </w:rPr>
              <w:t>Audit and</w:t>
            </w:r>
          </w:p>
        </w:tc>
        <w:tc>
          <w:tcPr>
            <w:tcW w:w="7500" w:type="dxa"/>
            <w:vAlign w:val="bottom"/>
            <w:gridSpan w:val="10"/>
          </w:tcPr>
          <w:p>
            <w:pPr>
              <w:ind w:left="180"/>
              <w:spacing w:after="0" w:line="183" w:lineRule="exact"/>
              <w:rPr>
                <w:sz w:val="20"/>
                <w:szCs w:val="20"/>
                <w:color w:val="auto"/>
              </w:rPr>
            </w:pPr>
            <w:r>
              <w:rPr>
                <w:rFonts w:ascii="Arial" w:cs="Arial" w:eastAsia="Arial" w:hAnsi="Arial"/>
                <w:sz w:val="18"/>
                <w:szCs w:val="18"/>
                <w:color w:val="auto"/>
              </w:rPr>
              <w:t>developed  expertise  in  considering  and  evaluating  climate-related  risks  and</w:t>
            </w:r>
          </w:p>
        </w:tc>
        <w:tc>
          <w:tcPr>
            <w:tcW w:w="0" w:type="dxa"/>
            <w:vAlign w:val="bottom"/>
          </w:tcPr>
          <w:p>
            <w:pPr>
              <w:spacing w:after="0"/>
              <w:rPr>
                <w:sz w:val="1"/>
                <w:szCs w:val="1"/>
                <w:color w:val="auto"/>
              </w:rPr>
            </w:pPr>
          </w:p>
        </w:tc>
      </w:tr>
      <w:tr>
        <w:trPr>
          <w:trHeight w:val="208"/>
        </w:trPr>
        <w:tc>
          <w:tcPr>
            <w:tcW w:w="1540" w:type="dxa"/>
            <w:vAlign w:val="bottom"/>
          </w:tcPr>
          <w:p>
            <w:pPr>
              <w:spacing w:after="0"/>
              <w:rPr>
                <w:sz w:val="20"/>
                <w:szCs w:val="20"/>
                <w:color w:val="auto"/>
              </w:rPr>
            </w:pPr>
            <w:r>
              <w:rPr>
                <w:rFonts w:ascii="Arial" w:cs="Arial" w:eastAsia="Arial" w:hAnsi="Arial"/>
                <w:sz w:val="18"/>
                <w:szCs w:val="18"/>
                <w:color w:val="auto"/>
              </w:rPr>
              <w:t>Management</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rPr>
              <w:t>opportunities, which is</w:t>
            </w:r>
          </w:p>
        </w:tc>
        <w:tc>
          <w:tcPr>
            <w:tcW w:w="700" w:type="dxa"/>
            <w:vAlign w:val="bottom"/>
          </w:tcPr>
          <w:p>
            <w:pPr>
              <w:spacing w:after="0"/>
              <w:rPr>
                <w:sz w:val="20"/>
                <w:szCs w:val="20"/>
                <w:color w:val="auto"/>
              </w:rPr>
            </w:pPr>
            <w:r>
              <w:rPr>
                <w:rFonts w:ascii="Arial" w:cs="Arial" w:eastAsia="Arial" w:hAnsi="Arial"/>
                <w:sz w:val="18"/>
                <w:szCs w:val="18"/>
                <w:color w:val="auto"/>
              </w:rPr>
              <w:t>directly</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applicable</w:t>
            </w: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to our business</w:t>
            </w:r>
          </w:p>
        </w:tc>
        <w:tc>
          <w:tcPr>
            <w:tcW w:w="380" w:type="dxa"/>
            <w:vAlign w:val="bottom"/>
          </w:tcPr>
          <w:p>
            <w:pPr>
              <w:ind w:left="20"/>
              <w:spacing w:after="0"/>
              <w:rPr>
                <w:sz w:val="20"/>
                <w:szCs w:val="20"/>
                <w:color w:val="auto"/>
              </w:rPr>
            </w:pPr>
            <w:r>
              <w:rPr>
                <w:rFonts w:ascii="Arial" w:cs="Arial" w:eastAsia="Arial" w:hAnsi="Arial"/>
                <w:sz w:val="18"/>
                <w:szCs w:val="18"/>
                <w:color w:val="auto"/>
              </w:rPr>
              <w:t>and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our sustainability</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7"/>
                <w:szCs w:val="17"/>
                <w:color w:val="auto"/>
              </w:rPr>
              <w:t>Development &amp;</w:t>
            </w:r>
          </w:p>
        </w:tc>
        <w:tc>
          <w:tcPr>
            <w:tcW w:w="1800" w:type="dxa"/>
            <w:vAlign w:val="bottom"/>
            <w:vMerge w:val="restart"/>
          </w:tcPr>
          <w:p>
            <w:pPr>
              <w:ind w:left="180"/>
              <w:spacing w:after="0"/>
              <w:rPr>
                <w:sz w:val="20"/>
                <w:szCs w:val="20"/>
                <w:color w:val="auto"/>
              </w:rPr>
            </w:pPr>
            <w:r>
              <w:rPr>
                <w:rFonts w:ascii="Arial" w:cs="Arial" w:eastAsia="Arial" w:hAnsi="Arial"/>
                <w:sz w:val="18"/>
                <w:szCs w:val="18"/>
                <w:color w:val="auto"/>
              </w:rPr>
              <w:t>growth  strategy.</w:t>
            </w:r>
          </w:p>
        </w:tc>
        <w:tc>
          <w:tcPr>
            <w:tcW w:w="500" w:type="dxa"/>
            <w:vAlign w:val="bottom"/>
            <w:vMerge w:val="restart"/>
          </w:tcPr>
          <w:p>
            <w:pPr>
              <w:ind w:left="80"/>
              <w:spacing w:after="0"/>
              <w:rPr>
                <w:sz w:val="20"/>
                <w:szCs w:val="20"/>
                <w:color w:val="auto"/>
              </w:rPr>
            </w:pPr>
            <w:r>
              <w:rPr>
                <w:rFonts w:ascii="Arial" w:cs="Arial" w:eastAsia="Arial" w:hAnsi="Arial"/>
                <w:sz w:val="18"/>
                <w:szCs w:val="18"/>
                <w:color w:val="auto"/>
              </w:rPr>
              <w:t>Mr.</w:t>
            </w: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Gluski</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also</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has</w:t>
            </w:r>
          </w:p>
        </w:tc>
        <w:tc>
          <w:tcPr>
            <w:tcW w:w="1280" w:type="dxa"/>
            <w:vAlign w:val="bottom"/>
            <w:vMerge w:val="restart"/>
          </w:tcPr>
          <w:p>
            <w:pPr>
              <w:ind w:left="140"/>
              <w:spacing w:after="0"/>
              <w:rPr>
                <w:sz w:val="20"/>
                <w:szCs w:val="20"/>
                <w:color w:val="auto"/>
              </w:rPr>
            </w:pPr>
            <w:r>
              <w:rPr>
                <w:rFonts w:ascii="Arial" w:cs="Arial" w:eastAsia="Arial" w:hAnsi="Arial"/>
                <w:sz w:val="18"/>
                <w:szCs w:val="18"/>
                <w:color w:val="auto"/>
              </w:rPr>
              <w:t>experience</w:t>
            </w:r>
          </w:p>
        </w:tc>
        <w:tc>
          <w:tcPr>
            <w:tcW w:w="300" w:type="dxa"/>
            <w:vAlign w:val="bottom"/>
            <w:vMerge w:val="restart"/>
          </w:tcPr>
          <w:p>
            <w:pPr>
              <w:spacing w:after="0"/>
              <w:rPr>
                <w:sz w:val="20"/>
                <w:szCs w:val="20"/>
                <w:color w:val="auto"/>
              </w:rPr>
            </w:pPr>
            <w:r>
              <w:rPr>
                <w:rFonts w:ascii="Arial" w:cs="Arial" w:eastAsia="Arial" w:hAnsi="Arial"/>
                <w:sz w:val="18"/>
                <w:szCs w:val="18"/>
                <w:color w:val="auto"/>
              </w:rPr>
              <w:t>in</w:t>
            </w: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rPr>
              <w:t>the</w:t>
            </w:r>
          </w:p>
        </w:tc>
        <w:tc>
          <w:tcPr>
            <w:tcW w:w="1360" w:type="dxa"/>
            <w:vAlign w:val="bottom"/>
            <w:vMerge w:val="restart"/>
          </w:tcPr>
          <w:p>
            <w:pPr>
              <w:ind w:left="100"/>
              <w:spacing w:after="0"/>
              <w:rPr>
                <w:sz w:val="20"/>
                <w:szCs w:val="20"/>
                <w:color w:val="auto"/>
              </w:rPr>
            </w:pPr>
            <w:r>
              <w:rPr>
                <w:rFonts w:ascii="Arial" w:cs="Arial" w:eastAsia="Arial" w:hAnsi="Arial"/>
                <w:sz w:val="18"/>
                <w:szCs w:val="18"/>
                <w:color w:val="auto"/>
              </w:rPr>
              <w:t>development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line="183" w:lineRule="exact"/>
              <w:rPr>
                <w:sz w:val="20"/>
                <w:szCs w:val="20"/>
                <w:color w:val="auto"/>
              </w:rPr>
            </w:pPr>
            <w:r>
              <w:rPr>
                <w:rFonts w:ascii="Arial" w:cs="Arial" w:eastAsia="Arial" w:hAnsi="Arial"/>
                <w:sz w:val="18"/>
                <w:szCs w:val="18"/>
                <w:color w:val="auto"/>
              </w:rPr>
              <w:t>Compensation</w:t>
            </w:r>
          </w:p>
        </w:tc>
        <w:tc>
          <w:tcPr>
            <w:tcW w:w="18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540" w:type="dxa"/>
            <w:vAlign w:val="bottom"/>
            <w:vMerge w:val="continue"/>
          </w:tcPr>
          <w:p>
            <w:pPr>
              <w:spacing w:after="0"/>
              <w:rPr>
                <w:sz w:val="7"/>
                <w:szCs w:val="7"/>
                <w:color w:val="auto"/>
              </w:rPr>
            </w:pPr>
          </w:p>
        </w:tc>
        <w:tc>
          <w:tcPr>
            <w:tcW w:w="1800" w:type="dxa"/>
            <w:vAlign w:val="bottom"/>
            <w:vMerge w:val="restart"/>
          </w:tcPr>
          <w:p>
            <w:pPr>
              <w:ind w:left="180"/>
              <w:spacing w:after="0"/>
              <w:rPr>
                <w:sz w:val="20"/>
                <w:szCs w:val="20"/>
                <w:color w:val="auto"/>
              </w:rPr>
            </w:pPr>
            <w:r>
              <w:rPr>
                <w:rFonts w:ascii="Arial" w:cs="Arial" w:eastAsia="Arial" w:hAnsi="Arial"/>
                <w:sz w:val="18"/>
                <w:szCs w:val="18"/>
                <w:color w:val="auto"/>
              </w:rPr>
              <w:t>sustainability and</w:t>
            </w: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auto"/>
              </w:rPr>
              <w:t>corporate social</w:t>
            </w:r>
          </w:p>
        </w:tc>
        <w:tc>
          <w:tcPr>
            <w:tcW w:w="1820" w:type="dxa"/>
            <w:vAlign w:val="bottom"/>
            <w:gridSpan w:val="2"/>
            <w:vMerge w:val="restart"/>
          </w:tcPr>
          <w:p>
            <w:pPr>
              <w:ind w:left="20"/>
              <w:spacing w:after="0"/>
              <w:rPr>
                <w:sz w:val="20"/>
                <w:szCs w:val="20"/>
                <w:color w:val="auto"/>
              </w:rPr>
            </w:pPr>
            <w:r>
              <w:rPr>
                <w:rFonts w:ascii="Arial" w:cs="Arial" w:eastAsia="Arial" w:hAnsi="Arial"/>
                <w:sz w:val="18"/>
                <w:szCs w:val="18"/>
                <w:color w:val="auto"/>
              </w:rPr>
              <w:t>responsibility goals,</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w w:val="94"/>
              </w:rPr>
              <w:t>as</w:t>
            </w: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color w:val="auto"/>
              </w:rPr>
              <w:t>well as oversight</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35"/>
        </w:trPr>
        <w:tc>
          <w:tcPr>
            <w:tcW w:w="1540" w:type="dxa"/>
            <w:vAlign w:val="bottom"/>
            <w:vMerge w:val="restart"/>
          </w:tcPr>
          <w:p>
            <w:pPr>
              <w:spacing w:after="0"/>
              <w:rPr>
                <w:sz w:val="20"/>
                <w:szCs w:val="20"/>
                <w:color w:val="auto"/>
              </w:rPr>
            </w:pPr>
            <w:r>
              <w:rPr>
                <w:rFonts w:ascii="Arial" w:cs="Arial" w:eastAsia="Arial" w:hAnsi="Arial"/>
                <w:sz w:val="18"/>
                <w:szCs w:val="18"/>
                <w:color w:val="auto"/>
              </w:rPr>
              <w:t>(Chair)</w:t>
            </w:r>
          </w:p>
        </w:tc>
        <w:tc>
          <w:tcPr>
            <w:tcW w:w="1800" w:type="dxa"/>
            <w:vAlign w:val="bottom"/>
            <w:vMerge w:val="continue"/>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540" w:type="dxa"/>
            <w:vAlign w:val="bottom"/>
            <w:vMerge w:val="continue"/>
          </w:tcPr>
          <w:p>
            <w:pPr>
              <w:spacing w:after="0"/>
              <w:rPr>
                <w:sz w:val="9"/>
                <w:szCs w:val="9"/>
                <w:color w:val="auto"/>
              </w:rPr>
            </w:pPr>
          </w:p>
        </w:tc>
        <w:tc>
          <w:tcPr>
            <w:tcW w:w="2300" w:type="dxa"/>
            <w:vAlign w:val="bottom"/>
            <w:gridSpan w:val="2"/>
            <w:vMerge w:val="restart"/>
          </w:tcPr>
          <w:p>
            <w:pPr>
              <w:ind w:left="180"/>
              <w:spacing w:after="0"/>
              <w:rPr>
                <w:sz w:val="20"/>
                <w:szCs w:val="20"/>
                <w:color w:val="auto"/>
              </w:rPr>
            </w:pPr>
            <w:r>
              <w:rPr>
                <w:rFonts w:ascii="Arial" w:cs="Arial" w:eastAsia="Arial" w:hAnsi="Arial"/>
                <w:sz w:val="18"/>
                <w:szCs w:val="18"/>
                <w:color w:val="auto"/>
              </w:rPr>
              <w:t>compliance programs.</w:t>
            </w: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Prior to joining AES, Mr. Gluski served in a broad range of roles in the public and private sectors, including working as Executive Vice President of Corporate and Investment Banking in Grupo Santander. Mr. Gluski served as a member of the President’s Export Council from 2013 to 2016 and served as an expert witness at U.S. Congressional hearings on the subject of energy policy. He currently serves as Chairman of Council of the Americas.</w:t>
      </w:r>
    </w:p>
    <w:p>
      <w:pPr>
        <w:spacing w:after="0" w:line="74"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Mr. Gluski has also focused on shaping an inclusive, innovative workplace at AES with a diverse and inclusive culture throughout the world. These efforts have given Mr. Gluski valuable expertise in the areas of human capital management and diversity, equity and inclusion that he utilizes in his role as Chair of the Management Development &amp; Compensation Committee of the Board. Mr. Gluski has been named amongst the 100 Most Influential Latinos by Latino Leaders Magazine.</w:t>
      </w:r>
    </w:p>
    <w:p>
      <w:pPr>
        <w:spacing w:after="0" w:line="290" w:lineRule="exact"/>
        <w:rPr>
          <w:sz w:val="20"/>
          <w:szCs w:val="20"/>
          <w:color w:val="auto"/>
        </w:rPr>
      </w:pPr>
    </w:p>
    <w:p>
      <w:pPr>
        <w:jc w:val="both"/>
        <w:ind w:left="2540" w:right="80"/>
        <w:spacing w:after="0" w:line="259" w:lineRule="auto"/>
        <w:rPr>
          <w:sz w:val="20"/>
          <w:szCs w:val="20"/>
          <w:color w:val="auto"/>
        </w:rPr>
      </w:pPr>
      <w:r>
        <w:rPr>
          <w:rFonts w:ascii="Arial" w:cs="Arial" w:eastAsia="Arial" w:hAnsi="Arial"/>
          <w:sz w:val="18"/>
          <w:szCs w:val="18"/>
          <w:color w:val="auto"/>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71"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Mr. Gluski holds a bachelor’s degree from Wake Forest University, as well as a master’s degree and a PhD in economics from the University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180" w:type="dxa"/>
            <w:vAlign w:val="bottom"/>
            <w:tcBorders>
              <w:right w:val="single" w:sz="8" w:color="457157"/>
            </w:tcBorders>
            <w:shd w:val="clear" w:color="auto" w:fill="457157"/>
          </w:tcPr>
          <w:p>
            <w:pPr>
              <w:spacing w:after="0"/>
              <w:rPr>
                <w:sz w:val="17"/>
                <w:szCs w:val="17"/>
                <w:color w:val="auto"/>
              </w:rPr>
            </w:pPr>
          </w:p>
        </w:tc>
        <w:tc>
          <w:tcPr>
            <w:tcW w:w="74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3"/>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V</w:t>
            </w:r>
            <w:r>
              <w:rPr>
                <w:rFonts w:ascii="Arial" w:cs="Arial" w:eastAsia="Arial" w:hAnsi="Arial"/>
                <w:sz w:val="16"/>
                <w:szCs w:val="16"/>
                <w:b w:val="1"/>
                <w:bCs w:val="1"/>
                <w:color w:val="FEFEFE"/>
              </w:rPr>
              <w:t>ICTORIA</w:t>
            </w:r>
            <w:r>
              <w:rPr>
                <w:rFonts w:ascii="Arial" w:cs="Arial" w:eastAsia="Arial" w:hAnsi="Arial"/>
                <w:sz w:val="23"/>
                <w:szCs w:val="23"/>
                <w:b w:val="1"/>
                <w:bCs w:val="1"/>
                <w:color w:val="FEFEFE"/>
              </w:rPr>
              <w:t xml:space="preserve"> M. H</w:t>
            </w:r>
            <w:r>
              <w:rPr>
                <w:rFonts w:ascii="Arial" w:cs="Arial" w:eastAsia="Arial" w:hAnsi="Arial"/>
                <w:sz w:val="16"/>
                <w:szCs w:val="16"/>
                <w:b w:val="1"/>
                <w:bCs w:val="1"/>
                <w:color w:val="FEFEFE"/>
              </w:rPr>
              <w:t>OLT</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744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rFonts w:ascii="Arial" w:cs="Arial" w:eastAsia="Arial" w:hAnsi="Arial"/>
                <w:sz w:val="17"/>
                <w:szCs w:val="17"/>
                <w:color w:val="000000"/>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40" w:type="dxa"/>
            <w:vAlign w:val="bottom"/>
          </w:tcPr>
          <w:p>
            <w:pPr>
              <w:spacing w:after="0"/>
              <w:rPr>
                <w:sz w:val="22"/>
                <w:szCs w:val="22"/>
                <w:color w:val="auto"/>
              </w:rPr>
            </w:pPr>
          </w:p>
        </w:tc>
        <w:tc>
          <w:tcPr>
            <w:tcW w:w="180" w:type="dxa"/>
            <w:vAlign w:val="bottom"/>
            <w:tcBorders>
              <w:right w:val="single" w:sz="8" w:color="457157"/>
            </w:tcBorders>
          </w:tcPr>
          <w:p>
            <w:pPr>
              <w:spacing w:after="0"/>
              <w:rPr>
                <w:sz w:val="22"/>
                <w:szCs w:val="22"/>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Retired  President  and  Chief  Executive  Officer — Proto  Labs,  Inc.  (online  and</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technology-enabled quick-turn manufacturer), served from 2014 to March 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also served as Director from 2014 — May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Piper Sandler Companies since September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A. O. Smith Corp. since April 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44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66</w:t>
            </w: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22"/>
                <w:szCs w:val="22"/>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Victoria Holt joined Proto Labs, Inc. as President, Chief Executive Officer and a</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January 2013</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in 2014, retiring in 2021. With manufacturing facilities in five countries,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Proto Labs is a leading e-commerce technology enabled digital manufacturer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180" w:type="dxa"/>
            <w:vAlign w:val="bottom"/>
            <w:tcBorders>
              <w:right w:val="single" w:sz="8" w:color="457157"/>
            </w:tcBorders>
          </w:tcPr>
          <w:p>
            <w:pPr>
              <w:spacing w:after="0"/>
              <w:rPr>
                <w:sz w:val="16"/>
                <w:szCs w:val="16"/>
                <w:color w:val="auto"/>
              </w:rPr>
            </w:pPr>
          </w:p>
        </w:tc>
        <w:tc>
          <w:tcPr>
            <w:tcW w:w="7440" w:type="dxa"/>
            <w:vAlign w:val="bottom"/>
          </w:tcPr>
          <w:p>
            <w:pPr>
              <w:ind w:left="100"/>
              <w:spacing w:after="0" w:line="189" w:lineRule="exact"/>
              <w:rPr>
                <w:sz w:val="20"/>
                <w:szCs w:val="20"/>
                <w:color w:val="auto"/>
              </w:rPr>
            </w:pPr>
            <w:r>
              <w:rPr>
                <w:rFonts w:ascii="Arial" w:cs="Arial" w:eastAsia="Arial" w:hAnsi="Arial"/>
                <w:sz w:val="18"/>
                <w:szCs w:val="18"/>
                <w:color w:val="auto"/>
              </w:rPr>
              <w:t>custom prototypes and on-demand product parts.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line="170" w:lineRule="exact"/>
              <w:rPr>
                <w:sz w:val="20"/>
                <w:szCs w:val="20"/>
                <w:color w:val="auto"/>
              </w:rPr>
            </w:pPr>
            <w:r>
              <w:rPr>
                <w:rFonts w:ascii="Arial" w:cs="Arial" w:eastAsia="Arial" w:hAnsi="Arial"/>
                <w:sz w:val="18"/>
                <w:szCs w:val="18"/>
                <w:color w:val="auto"/>
              </w:rPr>
              <w:t>Audit and</w:t>
            </w:r>
          </w:p>
        </w:tc>
        <w:tc>
          <w:tcPr>
            <w:tcW w:w="180" w:type="dxa"/>
            <w:vAlign w:val="bottom"/>
            <w:tcBorders>
              <w:right w:val="single" w:sz="8" w:color="457157"/>
            </w:tcBorders>
          </w:tcPr>
          <w:p>
            <w:pPr>
              <w:spacing w:after="0"/>
              <w:rPr>
                <w:sz w:val="14"/>
                <w:szCs w:val="14"/>
                <w:color w:val="auto"/>
              </w:rPr>
            </w:pPr>
          </w:p>
        </w:tc>
        <w:tc>
          <w:tcPr>
            <w:tcW w:w="7440" w:type="dxa"/>
            <w:vAlign w:val="bottom"/>
            <w:vMerge w:val="restart"/>
          </w:tcPr>
          <w:p>
            <w:pPr>
              <w:ind w:left="100"/>
              <w:spacing w:after="0"/>
              <w:rPr>
                <w:sz w:val="20"/>
                <w:szCs w:val="20"/>
                <w:color w:val="auto"/>
              </w:rPr>
            </w:pPr>
            <w:r>
              <w:rPr>
                <w:rFonts w:ascii="Arial" w:cs="Arial" w:eastAsia="Arial" w:hAnsi="Arial"/>
                <w:sz w:val="18"/>
                <w:szCs w:val="18"/>
                <w:color w:val="auto"/>
              </w:rPr>
              <w:t>Ms.  Holt  began  her  career  at  Monsanto  Company,  where  she  held  various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40" w:type="dxa"/>
            <w:vAlign w:val="bottom"/>
          </w:tcPr>
          <w:p>
            <w:pPr>
              <w:spacing w:after="0" w:line="181" w:lineRule="exact"/>
              <w:rPr>
                <w:sz w:val="20"/>
                <w:szCs w:val="20"/>
                <w:color w:val="auto"/>
              </w:rPr>
            </w:pPr>
            <w:r>
              <w:rPr>
                <w:rFonts w:ascii="Arial" w:cs="Arial" w:eastAsia="Arial" w:hAnsi="Arial"/>
                <w:sz w:val="18"/>
                <w:szCs w:val="18"/>
                <w:color w:val="auto"/>
              </w:rPr>
              <w:t>Nominating &amp;</w:t>
            </w:r>
          </w:p>
        </w:tc>
        <w:tc>
          <w:tcPr>
            <w:tcW w:w="180" w:type="dxa"/>
            <w:vAlign w:val="bottom"/>
            <w:tcBorders>
              <w:right w:val="single" w:sz="8" w:color="457157"/>
            </w:tcBorders>
          </w:tcPr>
          <w:p>
            <w:pPr>
              <w:spacing w:after="0"/>
              <w:rPr>
                <w:sz w:val="15"/>
                <w:szCs w:val="15"/>
                <w:color w:val="auto"/>
              </w:rPr>
            </w:pPr>
          </w:p>
        </w:tc>
        <w:tc>
          <w:tcPr>
            <w:tcW w:w="7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color w:val="auto"/>
              </w:rPr>
              <w:t>Governance</w:t>
            </w:r>
          </w:p>
        </w:tc>
        <w:tc>
          <w:tcPr>
            <w:tcW w:w="180" w:type="dxa"/>
            <w:vAlign w:val="bottom"/>
            <w:tcBorders>
              <w:right w:val="single" w:sz="8" w:color="457157"/>
            </w:tcBorders>
          </w:tcPr>
          <w:p>
            <w:pPr>
              <w:spacing w:after="0"/>
              <w:rPr>
                <w:sz w:val="16"/>
                <w:szCs w:val="16"/>
                <w:color w:val="auto"/>
              </w:rPr>
            </w:pPr>
          </w:p>
        </w:tc>
        <w:tc>
          <w:tcPr>
            <w:tcW w:w="7440" w:type="dxa"/>
            <w:vAlign w:val="bottom"/>
          </w:tcPr>
          <w:p>
            <w:pPr>
              <w:ind w:left="100"/>
              <w:spacing w:after="0" w:line="189" w:lineRule="exact"/>
              <w:rPr>
                <w:sz w:val="20"/>
                <w:szCs w:val="20"/>
                <w:color w:val="auto"/>
              </w:rPr>
            </w:pPr>
            <w:r>
              <w:rPr>
                <w:rFonts w:ascii="Arial" w:cs="Arial" w:eastAsia="Arial" w:hAnsi="Arial"/>
                <w:sz w:val="18"/>
                <w:szCs w:val="18"/>
                <w:color w:val="auto"/>
              </w:rPr>
              <w:t>assignments  of  increasing  responsibility  before  moving  to  Solutia,  Inc.,  a</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(Chair)</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divestiture of the Monsanto Company’s chemical business, as Vice President and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General Manager Performance Films. Ms. Holt later held various roles with PPG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Industries,  Inc.,  a  leading  coatings  and  specialty  products  company,  including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Senior Vice President of Glass and Fiber Glass. Ms. Holt then served as President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and Chief Executive Officer of Spartech Corporation, a leading provider of plastic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sheet, compounds and packaging products, until its sale to PolyOne in 2013.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Ms. Holt has a diverse international business background serving a wide spectrum</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customers  looking  for  sustainable  solutions  across  diverse  end  markets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including  plastics,  materials,  automotive,  medical,  aerospace,  consumer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general industrial. Ms. Holt brings passion and extensive experience in the areas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sustainable  innovation,  environmental  solutions,  plastics  operations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management and recycling to the Board. Ms. Holt’s proven success leading large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global companies across a broad range of manufacturing, chemical and materials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industries  has  demonstrated  her  deep  understanding  of  risk  management,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operations, strategic planning and performance measurement. Ms. Holt provides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tremendous  insight  into  the  areas  of  continuous  improvement,  use  of  data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analytics,  e-commerce,  digitally  connected  operations  and  execution  of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technology-led, sustainability-linked strategy to grow our business and mitigate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climate risks.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Ms. Holt has developed expertise in corporate governance as a member of the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public company boards listed above, in addition to experience serving on private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company boards, and she shares this expertise with the Company’s Board in her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position as Chair of the Nominating and Governance Committee. She also serves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on the board of trustees of Dunwoody College.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Ms.  Holt  holds  a  bachelor’s  degree  in  chemistry  from  Duke  University  and  a</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master’s degree in business administration from Pace University. Ms. Holt has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completed the National Association of Corporate Directors (NACD) Cyber Risk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Oversight Program and earned the CERT Certificate in Cybersecurity Oversight.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7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-6454775</wp:posOffset>
            </wp:positionV>
            <wp:extent cx="960120" cy="12001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85"/>
        </w:trPr>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restart"/>
          </w:tcPr>
          <w:p>
            <w:pPr>
              <w:jc w:val="right"/>
              <w:ind w:right="672"/>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7620" w:type="dxa"/>
            <w:vAlign w:val="bottom"/>
            <w:gridSpan w:val="3"/>
            <w:vMerge w:val="restart"/>
            <w:shd w:val="clear" w:color="auto" w:fill="457157"/>
          </w:tcPr>
          <w:p>
            <w:pPr>
              <w:spacing w:after="0"/>
              <w:rPr>
                <w:sz w:val="20"/>
                <w:szCs w:val="20"/>
                <w:color w:val="auto"/>
              </w:rPr>
            </w:pPr>
            <w:r>
              <w:rPr>
                <w:rFonts w:ascii="Arial" w:cs="Arial" w:eastAsia="Arial" w:hAnsi="Arial"/>
                <w:sz w:val="25"/>
                <w:szCs w:val="25"/>
                <w:b w:val="1"/>
                <w:bCs w:val="1"/>
                <w:color w:val="FEFEFE"/>
              </w:rPr>
              <w:t>M. M</w:t>
            </w:r>
            <w:r>
              <w:rPr>
                <w:rFonts w:ascii="Arial" w:cs="Arial" w:eastAsia="Arial" w:hAnsi="Arial"/>
                <w:sz w:val="17"/>
                <w:szCs w:val="17"/>
                <w:b w:val="1"/>
                <w:bCs w:val="1"/>
                <w:color w:val="FEFEFE"/>
              </w:rPr>
              <w:t>AZZARELLA</w:t>
            </w:r>
            <w:r>
              <w:rPr>
                <w:rFonts w:ascii="Arial" w:cs="Arial" w:eastAsia="Arial" w:hAnsi="Arial"/>
                <w:sz w:val="19"/>
                <w:szCs w:val="19"/>
                <w:b w:val="1"/>
                <w:bCs w:val="1"/>
                <w:color w:val="FEFEFE"/>
              </w:rPr>
              <w:t>​</w:t>
            </w:r>
          </w:p>
        </w:tc>
        <w:tc>
          <w:tcPr>
            <w:tcW w:w="240" w:type="dxa"/>
            <w:vAlign w:val="bottom"/>
            <w:shd w:val="clear" w:color="auto" w:fill="457157"/>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20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K</w:t>
            </w:r>
            <w:r>
              <w:rPr>
                <w:rFonts w:ascii="Arial" w:cs="Arial" w:eastAsia="Arial" w:hAnsi="Arial"/>
                <w:sz w:val="16"/>
                <w:szCs w:val="16"/>
                <w:b w:val="1"/>
                <w:bCs w:val="1"/>
                <w:color w:val="FEFEFE"/>
              </w:rPr>
              <w:t>ATHLEEN</w:t>
            </w:r>
          </w:p>
        </w:tc>
        <w:tc>
          <w:tcPr>
            <w:tcW w:w="7620" w:type="dxa"/>
            <w:vAlign w:val="bottom"/>
            <w:gridSpan w:val="3"/>
            <w:vMerge w:val="continue"/>
            <w:shd w:val="clear" w:color="auto" w:fill="457157"/>
          </w:tcPr>
          <w:p>
            <w:pPr>
              <w:spacing w:after="0"/>
              <w:rPr>
                <w:sz w:val="17"/>
                <w:szCs w:val="17"/>
                <w:color w:val="auto"/>
              </w:rPr>
            </w:pPr>
          </w:p>
        </w:tc>
        <w:tc>
          <w:tcPr>
            <w:tcW w:w="240" w:type="dxa"/>
            <w:vAlign w:val="bottom"/>
            <w:shd w:val="clear" w:color="auto" w:fill="457157"/>
          </w:tcPr>
          <w:p>
            <w:pPr>
              <w:spacing w:after="0"/>
              <w:rPr>
                <w:sz w:val="17"/>
                <w:szCs w:val="17"/>
                <w:color w:val="auto"/>
              </w:rPr>
            </w:pPr>
          </w:p>
        </w:tc>
        <w:tc>
          <w:tcPr>
            <w:tcW w:w="840" w:type="dxa"/>
            <w:vAlign w:val="bottom"/>
            <w:vMerge w:val="restart"/>
          </w:tcPr>
          <w:p>
            <w:pPr>
              <w:jc w:val="right"/>
              <w:ind w:right="6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8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720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2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right w:val="single" w:sz="8" w:color="457157"/>
            </w:tcBorders>
          </w:tcPr>
          <w:p>
            <w:pPr>
              <w:spacing w:after="0"/>
              <w:rPr>
                <w:sz w:val="22"/>
                <w:szCs w:val="22"/>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Chairman, President and Chief Executive Officer — Graybar Electric Company, Inc.</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(distributor  of  electrical,  communications  and  data  networking  products  and</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provider of related supply chain management and logistics services) since 2013.</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Director of Cigna Corporation since 2018.</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Director of Express Scripts Holding Company from 2017 until acquisition by Cigna</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64</w:t>
            </w: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Corporation in 2018.</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200" w:type="dxa"/>
            <w:vAlign w:val="bottom"/>
            <w:vMerge w:val="restart"/>
          </w:tcPr>
          <w:p>
            <w:pPr>
              <w:ind w:left="100"/>
              <w:spacing w:after="0"/>
              <w:rPr>
                <w:sz w:val="20"/>
                <w:szCs w:val="20"/>
                <w:color w:val="auto"/>
              </w:rPr>
            </w:pPr>
            <w:r>
              <w:rPr>
                <w:rFonts w:ascii="Arial" w:cs="Arial" w:eastAsia="Arial" w:hAnsi="Arial"/>
                <w:sz w:val="18"/>
                <w:szCs w:val="18"/>
                <w:color w:val="auto"/>
              </w:rPr>
              <w:t>Director of Core &amp; Main since January 2019.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9"/>
                <w:szCs w:val="9"/>
                <w:color w:val="auto"/>
              </w:rPr>
            </w:pPr>
          </w:p>
        </w:tc>
        <w:tc>
          <w:tcPr>
            <w:tcW w:w="72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tcBorders>
              <w:right w:val="single" w:sz="8" w:color="457157"/>
            </w:tcBorders>
          </w:tcPr>
          <w:p>
            <w:pPr>
              <w:spacing w:after="0"/>
              <w:rPr>
                <w:sz w:val="11"/>
                <w:szCs w:val="11"/>
                <w:color w:val="auto"/>
              </w:rPr>
            </w:pPr>
          </w:p>
        </w:tc>
        <w:tc>
          <w:tcPr>
            <w:tcW w:w="720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8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October 2015</w:t>
            </w: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1200" w:type="dxa"/>
            <w:vAlign w:val="bottom"/>
          </w:tcPr>
          <w:p>
            <w:pPr>
              <w:spacing w:after="0" w:line="181" w:lineRule="exact"/>
              <w:rPr>
                <w:sz w:val="20"/>
                <w:szCs w:val="20"/>
                <w:color w:val="auto"/>
              </w:rPr>
            </w:pPr>
            <w:r>
              <w:rPr>
                <w:rFonts w:ascii="Arial" w:cs="Arial" w:eastAsia="Arial" w:hAnsi="Arial"/>
                <w:sz w:val="18"/>
                <w:szCs w:val="18"/>
                <w:b w:val="1"/>
                <w:bCs w:val="1"/>
                <w:color w:val="457157"/>
              </w:rPr>
              <w:t>Chair of the</w:t>
            </w:r>
          </w:p>
        </w:tc>
        <w:tc>
          <w:tcPr>
            <w:tcW w:w="24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7200" w:type="dxa"/>
            <w:vAlign w:val="bottom"/>
            <w:vMerge w:val="restart"/>
          </w:tcPr>
          <w:p>
            <w:pPr>
              <w:ind w:left="100"/>
              <w:spacing w:after="0"/>
              <w:rPr>
                <w:sz w:val="20"/>
                <w:szCs w:val="20"/>
                <w:color w:val="auto"/>
              </w:rPr>
            </w:pPr>
            <w:r>
              <w:rPr>
                <w:rFonts w:ascii="Arial" w:cs="Arial" w:eastAsia="Arial" w:hAnsi="Arial"/>
                <w:sz w:val="18"/>
                <w:szCs w:val="18"/>
                <w:color w:val="auto"/>
              </w:rPr>
              <w:t>Kathleen  Mazzarella  has  served  as  President  and  Chief  Executive  Officer</w:t>
            </w:r>
          </w:p>
        </w:tc>
        <w:tc>
          <w:tcPr>
            <w:tcW w:w="1080" w:type="dxa"/>
            <w:vAlign w:val="bottom"/>
            <w:gridSpan w:val="2"/>
            <w:vMerge w:val="restart"/>
          </w:tcPr>
          <w:p>
            <w:pPr>
              <w:jc w:val="right"/>
              <w:ind w:right="752"/>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116"/>
        </w:trPr>
        <w:tc>
          <w:tcPr>
            <w:tcW w:w="820" w:type="dxa"/>
            <w:vAlign w:val="bottom"/>
          </w:tcPr>
          <w:p>
            <w:pPr>
              <w:spacing w:after="0"/>
              <w:rPr>
                <w:sz w:val="10"/>
                <w:szCs w:val="10"/>
                <w:color w:val="auto"/>
              </w:rPr>
            </w:pPr>
          </w:p>
        </w:tc>
        <w:tc>
          <w:tcPr>
            <w:tcW w:w="1200" w:type="dxa"/>
            <w:vAlign w:val="bottom"/>
            <w:vMerge w:val="restart"/>
          </w:tcPr>
          <w:p>
            <w:pPr>
              <w:spacing w:after="0" w:line="176" w:lineRule="exact"/>
              <w:rPr>
                <w:sz w:val="20"/>
                <w:szCs w:val="20"/>
                <w:color w:val="auto"/>
              </w:rPr>
            </w:pPr>
            <w:r>
              <w:rPr>
                <w:rFonts w:ascii="Arial" w:cs="Arial" w:eastAsia="Arial" w:hAnsi="Arial"/>
                <w:sz w:val="18"/>
                <w:szCs w:val="18"/>
                <w:b w:val="1"/>
                <w:bCs w:val="1"/>
                <w:color w:val="457157"/>
              </w:rPr>
              <w:t>Board since:</w:t>
            </w:r>
          </w:p>
        </w:tc>
        <w:tc>
          <w:tcPr>
            <w:tcW w:w="240" w:type="dxa"/>
            <w:vAlign w:val="bottom"/>
          </w:tcPr>
          <w:p>
            <w:pPr>
              <w:spacing w:after="0"/>
              <w:rPr>
                <w:sz w:val="10"/>
                <w:szCs w:val="10"/>
                <w:color w:val="auto"/>
              </w:rPr>
            </w:pPr>
          </w:p>
        </w:tc>
        <w:tc>
          <w:tcPr>
            <w:tcW w:w="180" w:type="dxa"/>
            <w:vAlign w:val="bottom"/>
            <w:tcBorders>
              <w:right w:val="single" w:sz="8" w:color="457157"/>
            </w:tcBorders>
          </w:tcPr>
          <w:p>
            <w:pPr>
              <w:spacing w:after="0"/>
              <w:rPr>
                <w:sz w:val="10"/>
                <w:szCs w:val="10"/>
                <w:color w:val="auto"/>
              </w:rPr>
            </w:pPr>
          </w:p>
        </w:tc>
        <w:tc>
          <w:tcPr>
            <w:tcW w:w="720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8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457157"/>
            </w:tcBorders>
          </w:tcPr>
          <w:p>
            <w:pPr>
              <w:spacing w:after="0"/>
              <w:rPr>
                <w:sz w:val="5"/>
                <w:szCs w:val="5"/>
                <w:color w:val="auto"/>
              </w:rPr>
            </w:pPr>
          </w:p>
        </w:tc>
        <w:tc>
          <w:tcPr>
            <w:tcW w:w="8280" w:type="dxa"/>
            <w:vAlign w:val="bottom"/>
            <w:gridSpan w:val="3"/>
            <w:vMerge w:val="restart"/>
          </w:tcPr>
          <w:p>
            <w:pPr>
              <w:ind w:left="100"/>
              <w:spacing w:after="0"/>
              <w:rPr>
                <w:sz w:val="20"/>
                <w:szCs w:val="20"/>
                <w:color w:val="auto"/>
              </w:rPr>
            </w:pPr>
            <w:r>
              <w:rPr>
                <w:rFonts w:ascii="Arial" w:cs="Arial" w:eastAsia="Arial" w:hAnsi="Arial"/>
                <w:sz w:val="18"/>
                <w:szCs w:val="18"/>
                <w:color w:val="auto"/>
              </w:rPr>
              <w:t>Graybar Electric Company, Inc. since 2012, and as Chairman since 2013. During</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200" w:type="dxa"/>
            <w:vAlign w:val="bottom"/>
          </w:tcPr>
          <w:p>
            <w:pPr>
              <w:spacing w:after="0" w:line="175" w:lineRule="exact"/>
              <w:rPr>
                <w:sz w:val="20"/>
                <w:szCs w:val="20"/>
                <w:color w:val="auto"/>
              </w:rPr>
            </w:pPr>
            <w:r>
              <w:rPr>
                <w:rFonts w:ascii="Arial" w:cs="Arial" w:eastAsia="Arial" w:hAnsi="Arial"/>
                <w:sz w:val="18"/>
                <w:szCs w:val="18"/>
                <w:color w:val="auto"/>
              </w:rPr>
              <w:t>May 2023</w:t>
            </w:r>
          </w:p>
        </w:tc>
        <w:tc>
          <w:tcPr>
            <w:tcW w:w="24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8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20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240" w:type="dxa"/>
            <w:vAlign w:val="bottom"/>
          </w:tcPr>
          <w:p>
            <w:pPr>
              <w:spacing w:after="0"/>
              <w:rPr>
                <w:sz w:val="17"/>
                <w:szCs w:val="17"/>
                <w:color w:val="auto"/>
              </w:rPr>
            </w:pPr>
          </w:p>
        </w:tc>
        <w:tc>
          <w:tcPr>
            <w:tcW w:w="180" w:type="dxa"/>
            <w:vAlign w:val="bottom"/>
            <w:tcBorders>
              <w:right w:val="single" w:sz="8" w:color="457157"/>
            </w:tcBorders>
          </w:tcPr>
          <w:p>
            <w:pPr>
              <w:spacing w:after="0"/>
              <w:rPr>
                <w:sz w:val="17"/>
                <w:szCs w:val="17"/>
                <w:color w:val="auto"/>
              </w:rPr>
            </w:pPr>
          </w:p>
        </w:tc>
        <w:tc>
          <w:tcPr>
            <w:tcW w:w="8280" w:type="dxa"/>
            <w:vAlign w:val="bottom"/>
            <w:gridSpan w:val="3"/>
          </w:tcPr>
          <w:p>
            <w:pPr>
              <w:ind w:left="100"/>
              <w:spacing w:after="0" w:line="198" w:lineRule="exact"/>
              <w:rPr>
                <w:sz w:val="20"/>
                <w:szCs w:val="20"/>
                <w:color w:val="auto"/>
              </w:rPr>
            </w:pPr>
            <w:r>
              <w:rPr>
                <w:rFonts w:ascii="Arial" w:cs="Arial" w:eastAsia="Arial" w:hAnsi="Arial"/>
                <w:sz w:val="18"/>
                <w:szCs w:val="18"/>
                <w:color w:val="auto"/>
              </w:rPr>
              <w:t>her more than 40-year tenure at Graybar, Ms. Mazzarella has held numerous</w:t>
            </w:r>
          </w:p>
        </w:tc>
        <w:tc>
          <w:tcPr>
            <w:tcW w:w="0" w:type="dxa"/>
            <w:vAlign w:val="bottom"/>
          </w:tcPr>
          <w:p>
            <w:pPr>
              <w:spacing w:after="0"/>
              <w:rPr>
                <w:sz w:val="1"/>
                <w:szCs w:val="1"/>
                <w:color w:val="auto"/>
              </w:rPr>
            </w:pPr>
          </w:p>
        </w:tc>
      </w:tr>
      <w:tr>
        <w:trPr>
          <w:trHeight w:val="100"/>
        </w:trPr>
        <w:tc>
          <w:tcPr>
            <w:tcW w:w="8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right w:val="single" w:sz="8" w:color="457157"/>
            </w:tcBorders>
          </w:tcPr>
          <w:p>
            <w:pPr>
              <w:spacing w:after="0"/>
              <w:rPr>
                <w:sz w:val="8"/>
                <w:szCs w:val="8"/>
                <w:color w:val="auto"/>
              </w:rPr>
            </w:pPr>
          </w:p>
        </w:tc>
        <w:tc>
          <w:tcPr>
            <w:tcW w:w="8280" w:type="dxa"/>
            <w:vAlign w:val="bottom"/>
            <w:gridSpan w:val="3"/>
            <w:vMerge w:val="restart"/>
          </w:tcPr>
          <w:p>
            <w:pPr>
              <w:ind w:left="100"/>
              <w:spacing w:after="0"/>
              <w:rPr>
                <w:sz w:val="20"/>
                <w:szCs w:val="20"/>
                <w:color w:val="auto"/>
              </w:rPr>
            </w:pPr>
            <w:r>
              <w:rPr>
                <w:rFonts w:ascii="Arial" w:cs="Arial" w:eastAsia="Arial" w:hAnsi="Arial"/>
                <w:sz w:val="18"/>
                <w:szCs w:val="18"/>
                <w:color w:val="auto"/>
              </w:rPr>
              <w:t>executive-level positions in operations, sales, human resources, strategic planning</w:t>
            </w:r>
          </w:p>
        </w:tc>
        <w:tc>
          <w:tcPr>
            <w:tcW w:w="0" w:type="dxa"/>
            <w:vAlign w:val="bottom"/>
          </w:tcPr>
          <w:p>
            <w:pPr>
              <w:spacing w:after="0"/>
              <w:rPr>
                <w:sz w:val="1"/>
                <w:szCs w:val="1"/>
                <w:color w:val="auto"/>
              </w:rPr>
            </w:pPr>
          </w:p>
        </w:tc>
      </w:tr>
      <w:tr>
        <w:trPr>
          <w:trHeight w:val="116"/>
        </w:trPr>
        <w:tc>
          <w:tcPr>
            <w:tcW w:w="820" w:type="dxa"/>
            <w:vAlign w:val="bottom"/>
          </w:tcPr>
          <w:p>
            <w:pPr>
              <w:spacing w:after="0"/>
              <w:rPr>
                <w:sz w:val="10"/>
                <w:szCs w:val="10"/>
                <w:color w:val="auto"/>
              </w:rPr>
            </w:pPr>
          </w:p>
        </w:tc>
        <w:tc>
          <w:tcPr>
            <w:tcW w:w="1200" w:type="dxa"/>
            <w:vAlign w:val="bottom"/>
            <w:vMerge w:val="restart"/>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240" w:type="dxa"/>
            <w:vAlign w:val="bottom"/>
          </w:tcPr>
          <w:p>
            <w:pPr>
              <w:spacing w:after="0"/>
              <w:rPr>
                <w:sz w:val="10"/>
                <w:szCs w:val="10"/>
                <w:color w:val="auto"/>
              </w:rPr>
            </w:pPr>
          </w:p>
        </w:tc>
        <w:tc>
          <w:tcPr>
            <w:tcW w:w="180" w:type="dxa"/>
            <w:vAlign w:val="bottom"/>
            <w:tcBorders>
              <w:right w:val="single" w:sz="8" w:color="457157"/>
            </w:tcBorders>
          </w:tcPr>
          <w:p>
            <w:pPr>
              <w:spacing w:after="0"/>
              <w:rPr>
                <w:sz w:val="10"/>
                <w:szCs w:val="10"/>
                <w:color w:val="auto"/>
              </w:rPr>
            </w:pPr>
          </w:p>
        </w:tc>
        <w:tc>
          <w:tcPr>
            <w:tcW w:w="82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8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457157"/>
            </w:tcBorders>
          </w:tcPr>
          <w:p>
            <w:pPr>
              <w:spacing w:after="0"/>
              <w:rPr>
                <w:sz w:val="5"/>
                <w:szCs w:val="5"/>
                <w:color w:val="auto"/>
              </w:rPr>
            </w:pPr>
          </w:p>
        </w:tc>
        <w:tc>
          <w:tcPr>
            <w:tcW w:w="8280" w:type="dxa"/>
            <w:vAlign w:val="bottom"/>
            <w:gridSpan w:val="3"/>
            <w:vMerge w:val="restart"/>
          </w:tcPr>
          <w:p>
            <w:pPr>
              <w:ind w:left="100"/>
              <w:spacing w:after="0"/>
              <w:rPr>
                <w:sz w:val="20"/>
                <w:szCs w:val="20"/>
                <w:color w:val="auto"/>
              </w:rPr>
            </w:pPr>
            <w:r>
              <w:rPr>
                <w:rFonts w:ascii="Arial" w:cs="Arial" w:eastAsia="Arial" w:hAnsi="Arial"/>
                <w:sz w:val="18"/>
                <w:szCs w:val="18"/>
                <w:color w:val="auto"/>
              </w:rPr>
              <w:t>and marketing, including Executive Vice President and Chief Operating Officer,</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200" w:type="dxa"/>
            <w:vAlign w:val="bottom"/>
          </w:tcPr>
          <w:p>
            <w:pPr>
              <w:spacing w:after="0" w:line="175" w:lineRule="exact"/>
              <w:rPr>
                <w:sz w:val="20"/>
                <w:szCs w:val="20"/>
                <w:color w:val="auto"/>
              </w:rPr>
            </w:pPr>
            <w:r>
              <w:rPr>
                <w:rFonts w:ascii="Arial" w:cs="Arial" w:eastAsia="Arial" w:hAnsi="Arial"/>
                <w:sz w:val="18"/>
                <w:szCs w:val="18"/>
                <w:color w:val="auto"/>
              </w:rPr>
              <w:t>Audit,</w:t>
            </w:r>
          </w:p>
        </w:tc>
        <w:tc>
          <w:tcPr>
            <w:tcW w:w="24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8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00" w:type="dxa"/>
            <w:vAlign w:val="bottom"/>
          </w:tcPr>
          <w:p>
            <w:pPr>
              <w:spacing w:after="0" w:line="190" w:lineRule="exact"/>
              <w:rPr>
                <w:sz w:val="20"/>
                <w:szCs w:val="20"/>
                <w:color w:val="auto"/>
              </w:rPr>
            </w:pPr>
            <w:r>
              <w:rPr>
                <w:rFonts w:ascii="Arial" w:cs="Arial" w:eastAsia="Arial" w:hAnsi="Arial"/>
                <w:sz w:val="18"/>
                <w:szCs w:val="18"/>
                <w:color w:val="auto"/>
              </w:rPr>
              <w:t>Management</w:t>
            </w:r>
          </w:p>
        </w:tc>
        <w:tc>
          <w:tcPr>
            <w:tcW w:w="240" w:type="dxa"/>
            <w:vAlign w:val="bottom"/>
          </w:tcPr>
          <w:p>
            <w:pPr>
              <w:spacing w:after="0"/>
              <w:rPr>
                <w:sz w:val="16"/>
                <w:szCs w:val="16"/>
                <w:color w:val="auto"/>
              </w:rPr>
            </w:pPr>
          </w:p>
        </w:tc>
        <w:tc>
          <w:tcPr>
            <w:tcW w:w="180" w:type="dxa"/>
            <w:vAlign w:val="bottom"/>
            <w:tcBorders>
              <w:right w:val="single" w:sz="8" w:color="457157"/>
            </w:tcBorders>
          </w:tcPr>
          <w:p>
            <w:pPr>
              <w:spacing w:after="0"/>
              <w:rPr>
                <w:sz w:val="16"/>
                <w:szCs w:val="16"/>
                <w:color w:val="auto"/>
              </w:rPr>
            </w:pPr>
          </w:p>
        </w:tc>
        <w:tc>
          <w:tcPr>
            <w:tcW w:w="828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Senior Vice President — Sales and Marketing and Senior Vice President — Human</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440" w:type="dxa"/>
            <w:vAlign w:val="bottom"/>
            <w:gridSpan w:val="2"/>
          </w:tcPr>
          <w:p>
            <w:pPr>
              <w:spacing w:after="0" w:line="189" w:lineRule="exact"/>
              <w:rPr>
                <w:sz w:val="20"/>
                <w:szCs w:val="20"/>
                <w:color w:val="auto"/>
              </w:rPr>
            </w:pPr>
            <w:r>
              <w:rPr>
                <w:rFonts w:ascii="Arial" w:cs="Arial" w:eastAsia="Arial" w:hAnsi="Arial"/>
                <w:sz w:val="18"/>
                <w:szCs w:val="18"/>
                <w:color w:val="auto"/>
              </w:rPr>
              <w:t>Development &amp;</w:t>
            </w:r>
          </w:p>
        </w:tc>
        <w:tc>
          <w:tcPr>
            <w:tcW w:w="180" w:type="dxa"/>
            <w:vAlign w:val="bottom"/>
            <w:tcBorders>
              <w:right w:val="single" w:sz="8" w:color="457157"/>
            </w:tcBorders>
          </w:tcPr>
          <w:p>
            <w:pPr>
              <w:spacing w:after="0"/>
              <w:rPr>
                <w:sz w:val="16"/>
                <w:szCs w:val="16"/>
                <w:color w:val="auto"/>
              </w:rPr>
            </w:pPr>
          </w:p>
        </w:tc>
        <w:tc>
          <w:tcPr>
            <w:tcW w:w="7200" w:type="dxa"/>
            <w:vAlign w:val="bottom"/>
          </w:tcPr>
          <w:p>
            <w:pPr>
              <w:ind w:left="100"/>
              <w:spacing w:after="0" w:line="189" w:lineRule="exact"/>
              <w:rPr>
                <w:sz w:val="20"/>
                <w:szCs w:val="20"/>
                <w:color w:val="auto"/>
              </w:rPr>
            </w:pPr>
            <w:r>
              <w:rPr>
                <w:rFonts w:ascii="Arial" w:cs="Arial" w:eastAsia="Arial" w:hAnsi="Arial"/>
                <w:sz w:val="18"/>
                <w:szCs w:val="18"/>
                <w:color w:val="auto"/>
              </w:rPr>
              <w:t>Resources and Strategic Planning.</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1440" w:type="dxa"/>
            <w:vAlign w:val="bottom"/>
            <w:gridSpan w:val="2"/>
          </w:tcPr>
          <w:p>
            <w:pPr>
              <w:spacing w:after="0" w:line="170" w:lineRule="exact"/>
              <w:rPr>
                <w:sz w:val="20"/>
                <w:szCs w:val="20"/>
                <w:color w:val="auto"/>
              </w:rPr>
            </w:pPr>
            <w:r>
              <w:rPr>
                <w:rFonts w:ascii="Arial" w:cs="Arial" w:eastAsia="Arial" w:hAnsi="Arial"/>
                <w:sz w:val="18"/>
                <w:szCs w:val="18"/>
                <w:color w:val="auto"/>
              </w:rPr>
              <w:t>Compensation</w:t>
            </w:r>
          </w:p>
        </w:tc>
        <w:tc>
          <w:tcPr>
            <w:tcW w:w="180" w:type="dxa"/>
            <w:vAlign w:val="bottom"/>
            <w:tcBorders>
              <w:right w:val="single" w:sz="8" w:color="457157"/>
            </w:tcBorders>
          </w:tcPr>
          <w:p>
            <w:pPr>
              <w:spacing w:after="0"/>
              <w:rPr>
                <w:sz w:val="14"/>
                <w:szCs w:val="14"/>
                <w:color w:val="auto"/>
              </w:rPr>
            </w:pPr>
          </w:p>
        </w:tc>
        <w:tc>
          <w:tcPr>
            <w:tcW w:w="8280" w:type="dxa"/>
            <w:vAlign w:val="bottom"/>
            <w:gridSpan w:val="3"/>
            <w:vMerge w:val="restart"/>
          </w:tcPr>
          <w:p>
            <w:pPr>
              <w:ind w:left="100"/>
              <w:spacing w:after="0"/>
              <w:rPr>
                <w:sz w:val="20"/>
                <w:szCs w:val="20"/>
                <w:color w:val="auto"/>
              </w:rPr>
            </w:pPr>
            <w:r>
              <w:rPr>
                <w:rFonts w:ascii="Arial" w:cs="Arial" w:eastAsia="Arial" w:hAnsi="Arial"/>
                <w:sz w:val="18"/>
                <w:szCs w:val="18"/>
                <w:color w:val="auto"/>
              </w:rPr>
              <w:t>Ms. Mazzarella has been instrumental in developing and communicating Graybar’s</w:t>
            </w: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1200" w:type="dxa"/>
            <w:vAlign w:val="bottom"/>
          </w:tcPr>
          <w:p>
            <w:pPr>
              <w:spacing w:after="0" w:line="181" w:lineRule="exact"/>
              <w:rPr>
                <w:sz w:val="20"/>
                <w:szCs w:val="20"/>
                <w:color w:val="auto"/>
              </w:rPr>
            </w:pPr>
            <w:r>
              <w:rPr>
                <w:rFonts w:ascii="Arial" w:cs="Arial" w:eastAsia="Arial" w:hAnsi="Arial"/>
                <w:sz w:val="18"/>
                <w:szCs w:val="18"/>
                <w:color w:val="auto"/>
              </w:rPr>
              <w:t>and</w:t>
            </w:r>
          </w:p>
        </w:tc>
        <w:tc>
          <w:tcPr>
            <w:tcW w:w="240" w:type="dxa"/>
            <w:vAlign w:val="bottom"/>
          </w:tcPr>
          <w:p>
            <w:pPr>
              <w:spacing w:after="0"/>
              <w:rPr>
                <w:sz w:val="15"/>
                <w:szCs w:val="15"/>
                <w:color w:val="auto"/>
              </w:rPr>
            </w:pPr>
          </w:p>
        </w:tc>
        <w:tc>
          <w:tcPr>
            <w:tcW w:w="180" w:type="dxa"/>
            <w:vAlign w:val="bottom"/>
            <w:tcBorders>
              <w:right w:val="single" w:sz="8" w:color="457157"/>
            </w:tcBorders>
          </w:tcPr>
          <w:p>
            <w:pPr>
              <w:spacing w:after="0"/>
              <w:rPr>
                <w:sz w:val="15"/>
                <w:szCs w:val="15"/>
                <w:color w:val="auto"/>
              </w:rPr>
            </w:pPr>
          </w:p>
        </w:tc>
        <w:tc>
          <w:tcPr>
            <w:tcW w:w="8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200" w:type="dxa"/>
            <w:vAlign w:val="bottom"/>
          </w:tcPr>
          <w:p>
            <w:pPr>
              <w:spacing w:after="0" w:line="189" w:lineRule="exact"/>
              <w:rPr>
                <w:sz w:val="20"/>
                <w:szCs w:val="20"/>
                <w:color w:val="auto"/>
              </w:rPr>
            </w:pPr>
            <w:r>
              <w:rPr>
                <w:rFonts w:ascii="Arial" w:cs="Arial" w:eastAsia="Arial" w:hAnsi="Arial"/>
                <w:sz w:val="18"/>
                <w:szCs w:val="18"/>
                <w:color w:val="auto"/>
              </w:rPr>
              <w:t>Nominating &amp;</w:t>
            </w:r>
          </w:p>
        </w:tc>
        <w:tc>
          <w:tcPr>
            <w:tcW w:w="240" w:type="dxa"/>
            <w:vAlign w:val="bottom"/>
          </w:tcPr>
          <w:p>
            <w:pPr>
              <w:spacing w:after="0"/>
              <w:rPr>
                <w:sz w:val="16"/>
                <w:szCs w:val="16"/>
                <w:color w:val="auto"/>
              </w:rPr>
            </w:pPr>
          </w:p>
        </w:tc>
        <w:tc>
          <w:tcPr>
            <w:tcW w:w="180" w:type="dxa"/>
            <w:vAlign w:val="bottom"/>
            <w:tcBorders>
              <w:right w:val="single" w:sz="8" w:color="457157"/>
            </w:tcBorders>
          </w:tcPr>
          <w:p>
            <w:pPr>
              <w:spacing w:after="0"/>
              <w:rPr>
                <w:sz w:val="16"/>
                <w:szCs w:val="16"/>
                <w:color w:val="auto"/>
              </w:rPr>
            </w:pPr>
          </w:p>
        </w:tc>
        <w:tc>
          <w:tcPr>
            <w:tcW w:w="828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commitment to sustainability initiatives. Graybar focuses on sustainability in the</w:t>
            </w:r>
          </w:p>
        </w:tc>
        <w:tc>
          <w:tcPr>
            <w:tcW w:w="0" w:type="dxa"/>
            <w:vAlign w:val="bottom"/>
          </w:tcPr>
          <w:p>
            <w:pPr>
              <w:spacing w:after="0"/>
              <w:rPr>
                <w:sz w:val="1"/>
                <w:szCs w:val="1"/>
                <w:color w:val="auto"/>
              </w:rPr>
            </w:pPr>
          </w:p>
        </w:tc>
      </w:tr>
      <w:tr>
        <w:trPr>
          <w:trHeight w:val="251"/>
        </w:trPr>
        <w:tc>
          <w:tcPr>
            <w:tcW w:w="8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Governance</w:t>
            </w:r>
          </w:p>
        </w:tc>
        <w:tc>
          <w:tcPr>
            <w:tcW w:w="240" w:type="dxa"/>
            <w:vAlign w:val="bottom"/>
          </w:tcPr>
          <w:p>
            <w:pPr>
              <w:spacing w:after="0"/>
              <w:rPr>
                <w:sz w:val="21"/>
                <w:szCs w:val="21"/>
                <w:color w:val="auto"/>
              </w:rPr>
            </w:pPr>
          </w:p>
        </w:tc>
        <w:tc>
          <w:tcPr>
            <w:tcW w:w="180" w:type="dxa"/>
            <w:vAlign w:val="bottom"/>
            <w:tcBorders>
              <w:right w:val="single" w:sz="8" w:color="457157"/>
            </w:tcBorders>
          </w:tcPr>
          <w:p>
            <w:pPr>
              <w:spacing w:after="0"/>
              <w:rPr>
                <w:sz w:val="21"/>
                <w:szCs w:val="21"/>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way it operates and in the innovative solutions it provides to its customers.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company offers energy-saving products, renewable energy solutions and supply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chain services that support sustainable construction, renovation and maintenance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of infrastructure and facilities. The company also invests in the communities it</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serves and emphasizes integrity, inclusion and opportunity for all employees.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Ms. Mazzarella brings her deep and valuable experience leading a diverse range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of  business  functions  necessary  for  an  employee-driven,  customer-focused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business, similar to our Company. Through her role as Chief Executive Officer and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her  service  on  the  board  of  directors  for  other  public  companies,  she  has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developed expertise in evolving social and governance initiatives. In addition to</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her experience overseeing financial reporting and controls, technology systems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and  platforms,  and  other  functional  and  operational  areas,  she  has  particular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experience  in  the  area  of  human  capital  management,  including  succession</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planning and diversity, equity and inclusion initiatives. Ms. Mazzarella also brings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expertise  in  labor  relations,  public  policy,  operational  innovation  and  strategic</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planning.</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Ms. Mazzarella holds an associate degree in telecommunications engineering, a</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bachelor’s degree in applied behavioral sciences from National Louis University,</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and a master’s degree in business administration from Webster University.</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In addition to the public company boards listed above, Ms. Mazzarella also serves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on the board of the National Association of Wholesaler-Distributors (NAW) and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previously served on the board of the NAW Institute for Distribution Excellence.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Ms. Mazzarella previously served as Chairman of the Federal Reserve Bank of St.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Louis, and she has experience serving on various organizational and charitable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8280" w:type="dxa"/>
            <w:vAlign w:val="bottom"/>
            <w:gridSpan w:val="3"/>
          </w:tcPr>
          <w:p>
            <w:pPr>
              <w:ind w:left="100"/>
              <w:spacing w:after="0"/>
              <w:rPr>
                <w:sz w:val="20"/>
                <w:szCs w:val="20"/>
                <w:color w:val="auto"/>
              </w:rPr>
            </w:pPr>
            <w:r>
              <w:rPr>
                <w:rFonts w:ascii="Arial" w:cs="Arial" w:eastAsia="Arial" w:hAnsi="Arial"/>
                <w:sz w:val="18"/>
                <w:szCs w:val="18"/>
                <w:color w:val="auto"/>
              </w:rPr>
              <w:t>boards, such as Greater St. Louis Inc., United Way of Greater St. Louis and the</w:t>
            </w:r>
          </w:p>
        </w:tc>
        <w:tc>
          <w:tcPr>
            <w:tcW w:w="0" w:type="dxa"/>
            <w:vAlign w:val="bottom"/>
          </w:tcPr>
          <w:p>
            <w:pPr>
              <w:spacing w:after="0"/>
              <w:rPr>
                <w:sz w:val="1"/>
                <w:szCs w:val="1"/>
                <w:color w:val="auto"/>
              </w:rPr>
            </w:pPr>
          </w:p>
        </w:tc>
      </w:tr>
      <w:tr>
        <w:trPr>
          <w:trHeight w:val="262"/>
        </w:trPr>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Borders>
              <w:right w:val="single" w:sz="8" w:color="457157"/>
            </w:tcBorders>
          </w:tcPr>
          <w:p>
            <w:pPr>
              <w:spacing w:after="0"/>
              <w:rPr>
                <w:sz w:val="22"/>
                <w:szCs w:val="22"/>
                <w:color w:val="auto"/>
              </w:rPr>
            </w:pPr>
          </w:p>
        </w:tc>
        <w:tc>
          <w:tcPr>
            <w:tcW w:w="7200" w:type="dxa"/>
            <w:vAlign w:val="bottom"/>
          </w:tcPr>
          <w:p>
            <w:pPr>
              <w:ind w:left="100"/>
              <w:spacing w:after="0"/>
              <w:rPr>
                <w:sz w:val="20"/>
                <w:szCs w:val="20"/>
                <w:color w:val="auto"/>
              </w:rPr>
            </w:pPr>
            <w:r>
              <w:rPr>
                <w:rFonts w:ascii="Arial" w:cs="Arial" w:eastAsia="Arial" w:hAnsi="Arial"/>
                <w:sz w:val="18"/>
                <w:szCs w:val="18"/>
                <w:color w:val="auto"/>
              </w:rPr>
              <w:t>Saint Louis Club.</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4"/>
        </w:trPr>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0" w:type="dxa"/>
            <w:vAlign w:val="bottom"/>
          </w:tcPr>
          <w:p>
            <w:pPr>
              <w:ind w:left="4800"/>
              <w:spacing w:after="0"/>
              <w:rPr>
                <w:sz w:val="20"/>
                <w:szCs w:val="20"/>
                <w:color w:val="auto"/>
              </w:rPr>
            </w:pPr>
            <w:r>
              <w:rPr>
                <w:rFonts w:ascii="Arial" w:cs="Arial" w:eastAsia="Arial" w:hAnsi="Arial"/>
                <w:sz w:val="18"/>
                <w:szCs w:val="18"/>
                <w:color w:val="auto"/>
              </w:rPr>
              <w:t xml:space="preserve">2024 Proxy Statement  </w:t>
            </w:r>
            <w:r>
              <w:rPr>
                <w:rFonts w:ascii="Arial" w:cs="Arial" w:eastAsia="Arial" w:hAnsi="Arial"/>
                <w:sz w:val="32"/>
                <w:szCs w:val="32"/>
                <w:b w:val="1"/>
                <w:bCs w:val="1"/>
                <w:color w:val="457157"/>
              </w:rPr>
              <w:t>|</w:t>
            </w:r>
          </w:p>
        </w:tc>
        <w:tc>
          <w:tcPr>
            <w:tcW w:w="1080" w:type="dxa"/>
            <w:vAlign w:val="bottom"/>
            <w:gridSpan w:val="2"/>
          </w:tcPr>
          <w:p>
            <w:pPr>
              <w:jc w:val="right"/>
              <w:ind w:right="67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656"/>
        </w:trPr>
        <w:tc>
          <w:tcPr>
            <w:tcW w:w="8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-8014970</wp:posOffset>
            </wp:positionV>
            <wp:extent cx="960120" cy="12001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60120" cy="120015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-642620</wp:posOffset>
            </wp:positionV>
            <wp:extent cx="4718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3180" w:type="dxa"/>
            <w:vAlign w:val="bottom"/>
            <w:shd w:val="clear" w:color="auto" w:fill="457157"/>
          </w:tcPr>
          <w:p>
            <w:pPr>
              <w:spacing w:after="0"/>
              <w:rPr>
                <w:sz w:val="17"/>
                <w:szCs w:val="17"/>
                <w:color w:val="auto"/>
              </w:rPr>
            </w:pPr>
          </w:p>
        </w:tc>
        <w:tc>
          <w:tcPr>
            <w:tcW w:w="3100" w:type="dxa"/>
            <w:vAlign w:val="bottom"/>
            <w:shd w:val="clear" w:color="auto" w:fill="457157"/>
          </w:tcPr>
          <w:p>
            <w:pPr>
              <w:spacing w:after="0"/>
              <w:rPr>
                <w:sz w:val="17"/>
                <w:szCs w:val="17"/>
                <w:color w:val="auto"/>
              </w:rPr>
            </w:pPr>
          </w:p>
        </w:tc>
        <w:tc>
          <w:tcPr>
            <w:tcW w:w="132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S</w:t>
            </w:r>
            <w:r>
              <w:rPr>
                <w:rFonts w:ascii="Arial" w:cs="Arial" w:eastAsia="Arial" w:hAnsi="Arial"/>
                <w:sz w:val="16"/>
                <w:szCs w:val="16"/>
                <w:b w:val="1"/>
                <w:bCs w:val="1"/>
                <w:color w:val="FEFEFE"/>
              </w:rPr>
              <w:t>EAN</w:t>
            </w:r>
            <w:r>
              <w:rPr>
                <w:rFonts w:ascii="Arial" w:cs="Arial" w:eastAsia="Arial" w:hAnsi="Arial"/>
                <w:sz w:val="23"/>
                <w:szCs w:val="23"/>
                <w:b w:val="1"/>
                <w:bCs w:val="1"/>
                <w:color w:val="FEFEFE"/>
              </w:rPr>
              <w:t xml:space="preserve"> E. M</w:t>
            </w:r>
            <w:r>
              <w:rPr>
                <w:rFonts w:ascii="Arial" w:cs="Arial" w:eastAsia="Arial" w:hAnsi="Arial"/>
                <w:sz w:val="16"/>
                <w:szCs w:val="16"/>
                <w:b w:val="1"/>
                <w:bCs w:val="1"/>
                <w:color w:val="FEFEFE"/>
              </w:rPr>
              <w:t>ENKE</w:t>
            </w:r>
            <w:r>
              <w:rPr>
                <w:rFonts w:ascii="Arial" w:cs="Arial" w:eastAsia="Arial" w:hAnsi="Arial"/>
                <w:sz w:val="18"/>
                <w:szCs w:val="18"/>
                <w:b w:val="1"/>
                <w:bCs w:val="1"/>
                <w:color w:val="FEFEFE"/>
              </w:rPr>
              <w:t>​</w:t>
            </w:r>
          </w:p>
        </w:tc>
        <w:tc>
          <w:tcPr>
            <w:tcW w:w="3100" w:type="dxa"/>
            <w:vAlign w:val="bottom"/>
            <w:shd w:val="clear" w:color="auto" w:fill="457157"/>
          </w:tcPr>
          <w:p>
            <w:pPr>
              <w:spacing w:after="0"/>
              <w:rPr>
                <w:sz w:val="17"/>
                <w:szCs w:val="17"/>
                <w:color w:val="auto"/>
              </w:rPr>
            </w:pPr>
          </w:p>
        </w:tc>
        <w:tc>
          <w:tcPr>
            <w:tcW w:w="132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60" w:type="dxa"/>
            <w:vAlign w:val="bottom"/>
          </w:tcPr>
          <w:p>
            <w:pPr>
              <w:spacing w:after="0"/>
              <w:rPr>
                <w:sz w:val="20"/>
                <w:szCs w:val="20"/>
                <w:color w:val="auto"/>
              </w:rPr>
            </w:pPr>
            <w:r>
              <w:rPr>
                <w:rFonts w:ascii="Arial" w:cs="Arial" w:eastAsia="Arial" w:hAnsi="Arial"/>
                <w:sz w:val="18"/>
                <w:szCs w:val="18"/>
                <w:color w:val="auto"/>
              </w:rPr>
              <w:t>​</w:t>
            </w:r>
          </w:p>
        </w:tc>
        <w:tc>
          <w:tcPr>
            <w:tcW w:w="6280" w:type="dxa"/>
            <w:vAlign w:val="bottom"/>
            <w:gridSpan w:val="2"/>
          </w:tcPr>
          <w:p>
            <w:pPr>
              <w:ind w:left="10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3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Executive Chairman of the Board — Sabre Corporation (software and technology</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6280" w:type="dxa"/>
            <w:vAlign w:val="bottom"/>
            <w:gridSpan w:val="2"/>
          </w:tcPr>
          <w:p>
            <w:pPr>
              <w:ind w:left="260"/>
              <w:spacing w:after="0"/>
              <w:rPr>
                <w:sz w:val="20"/>
                <w:szCs w:val="20"/>
                <w:color w:val="auto"/>
              </w:rPr>
            </w:pPr>
            <w:r>
              <w:rPr>
                <w:rFonts w:ascii="Arial" w:cs="Arial" w:eastAsia="Arial" w:hAnsi="Arial"/>
                <w:sz w:val="18"/>
                <w:szCs w:val="18"/>
                <w:color w:val="auto"/>
              </w:rPr>
              <w:t>solutions provider to the travel industry) since April 2022.</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6280" w:type="dxa"/>
            <w:vAlign w:val="bottom"/>
            <w:gridSpan w:val="2"/>
          </w:tcPr>
          <w:p>
            <w:pPr>
              <w:ind w:left="260"/>
              <w:spacing w:after="0"/>
              <w:rPr>
                <w:sz w:val="20"/>
                <w:szCs w:val="20"/>
                <w:color w:val="auto"/>
              </w:rPr>
            </w:pPr>
            <w:r>
              <w:rPr>
                <w:rFonts w:ascii="Arial" w:cs="Arial" w:eastAsia="Arial" w:hAnsi="Arial"/>
                <w:sz w:val="18"/>
                <w:szCs w:val="18"/>
                <w:color w:val="auto"/>
              </w:rPr>
              <w:t>Director of Sabre Corporation since 2016.</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6280" w:type="dxa"/>
            <w:vAlign w:val="bottom"/>
            <w:gridSpan w:val="2"/>
          </w:tcPr>
          <w:p>
            <w:pPr>
              <w:ind w:left="260"/>
              <w:spacing w:after="0"/>
              <w:rPr>
                <w:sz w:val="20"/>
                <w:szCs w:val="20"/>
                <w:color w:val="auto"/>
              </w:rPr>
            </w:pPr>
            <w:r>
              <w:rPr>
                <w:rFonts w:ascii="Arial" w:cs="Arial" w:eastAsia="Arial" w:hAnsi="Arial"/>
                <w:sz w:val="18"/>
                <w:szCs w:val="18"/>
                <w:color w:val="auto"/>
              </w:rPr>
              <w:t>Also  served  as  Chief  Executive  Officer  of  Sabre  Corporation</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from  2016  to</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April 2023 and as President of Sabre Corporation from 2016 to December 2021.</w:t>
            </w:r>
          </w:p>
        </w:tc>
        <w:tc>
          <w:tcPr>
            <w:tcW w:w="0" w:type="dxa"/>
            <w:vAlign w:val="bottom"/>
          </w:tcPr>
          <w:p>
            <w:pPr>
              <w:spacing w:after="0"/>
              <w:rPr>
                <w:sz w:val="1"/>
                <w:szCs w:val="1"/>
                <w:color w:val="auto"/>
              </w:rPr>
            </w:pPr>
          </w:p>
        </w:tc>
      </w:tr>
      <w:tr>
        <w:trPr>
          <w:trHeight w:val="428"/>
        </w:trPr>
        <w:tc>
          <w:tcPr>
            <w:tcW w:w="146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55</w:t>
            </w:r>
          </w:p>
        </w:tc>
        <w:tc>
          <w:tcPr>
            <w:tcW w:w="3180" w:type="dxa"/>
            <w:vAlign w:val="bottom"/>
          </w:tcPr>
          <w:p>
            <w:pPr>
              <w:ind w:left="26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3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6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As  Chair  of  the  Board  of  Directors  of  Sabre  Corporation  and  recent  Chief</w:t>
            </w:r>
          </w:p>
        </w:tc>
        <w:tc>
          <w:tcPr>
            <w:tcW w:w="0" w:type="dxa"/>
            <w:vAlign w:val="bottom"/>
          </w:tcPr>
          <w:p>
            <w:pPr>
              <w:spacing w:after="0"/>
              <w:rPr>
                <w:sz w:val="1"/>
                <w:szCs w:val="1"/>
                <w:color w:val="auto"/>
              </w:rPr>
            </w:pPr>
          </w:p>
        </w:tc>
      </w:tr>
      <w:tr>
        <w:trPr>
          <w:trHeight w:val="251"/>
        </w:trPr>
        <w:tc>
          <w:tcPr>
            <w:tcW w:w="1460" w:type="dxa"/>
            <w:vAlign w:val="bottom"/>
          </w:tcPr>
          <w:p>
            <w:pPr>
              <w:spacing w:after="0"/>
              <w:rPr>
                <w:sz w:val="20"/>
                <w:szCs w:val="20"/>
                <w:color w:val="auto"/>
              </w:rPr>
            </w:pPr>
            <w:r>
              <w:rPr>
                <w:rFonts w:ascii="Arial" w:cs="Arial" w:eastAsia="Arial" w:hAnsi="Arial"/>
                <w:sz w:val="18"/>
                <w:szCs w:val="18"/>
                <w:color w:val="auto"/>
              </w:rPr>
              <w:t>March 2021</w:t>
            </w: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Executive  Officer,  Sean  Menke  has  experience  heading  a  global  network  of</w:t>
            </w:r>
          </w:p>
        </w:tc>
        <w:tc>
          <w:tcPr>
            <w:tcW w:w="0" w:type="dxa"/>
            <w:vAlign w:val="bottom"/>
          </w:tcPr>
          <w:p>
            <w:pPr>
              <w:spacing w:after="0"/>
              <w:rPr>
                <w:sz w:val="1"/>
                <w:szCs w:val="1"/>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development, sales, operations and corporate functions. In 2015, Mr. Menke joined</w:t>
            </w:r>
          </w:p>
        </w:tc>
        <w:tc>
          <w:tcPr>
            <w:tcW w:w="0" w:type="dxa"/>
            <w:vAlign w:val="bottom"/>
          </w:tcPr>
          <w:p>
            <w:pPr>
              <w:spacing w:after="0"/>
              <w:rPr>
                <w:sz w:val="1"/>
                <w:szCs w:val="1"/>
                <w:color w:val="auto"/>
              </w:rPr>
            </w:pP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7660" w:type="dxa"/>
            <w:vAlign w:val="bottom"/>
            <w:gridSpan w:val="4"/>
          </w:tcPr>
          <w:p>
            <w:pPr>
              <w:ind w:left="260"/>
              <w:spacing w:after="0" w:line="189" w:lineRule="exact"/>
              <w:rPr>
                <w:sz w:val="20"/>
                <w:szCs w:val="20"/>
                <w:color w:val="auto"/>
              </w:rPr>
            </w:pPr>
            <w:r>
              <w:rPr>
                <w:rFonts w:ascii="Arial" w:cs="Arial" w:eastAsia="Arial" w:hAnsi="Arial"/>
                <w:sz w:val="18"/>
                <w:szCs w:val="18"/>
                <w:color w:val="auto"/>
              </w:rPr>
              <w:t>Sabre as president of Sabre Travel Network, Sabre’s largest line of business.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Audit and</w:t>
            </w:r>
          </w:p>
        </w:tc>
        <w:tc>
          <w:tcPr>
            <w:tcW w:w="3180" w:type="dxa"/>
            <w:vAlign w:val="bottom"/>
          </w:tcPr>
          <w:p>
            <w:pPr>
              <w:ind w:left="260"/>
              <w:spacing w:after="0"/>
              <w:rPr>
                <w:sz w:val="20"/>
                <w:szCs w:val="20"/>
                <w:color w:val="auto"/>
              </w:rPr>
            </w:pPr>
            <w:r>
              <w:rPr>
                <w:rFonts w:ascii="Arial" w:cs="Arial" w:eastAsia="Arial" w:hAnsi="Arial"/>
                <w:sz w:val="18"/>
                <w:szCs w:val="18"/>
                <w:color w:val="auto"/>
              </w:rPr>
              <w:t>Under  Mr.  Menke’s  leadership,</w:t>
            </w:r>
          </w:p>
        </w:tc>
        <w:tc>
          <w:tcPr>
            <w:tcW w:w="3100" w:type="dxa"/>
            <w:vAlign w:val="bottom"/>
          </w:tcPr>
          <w:p>
            <w:pPr>
              <w:ind w:left="80"/>
              <w:spacing w:after="0"/>
              <w:rPr>
                <w:sz w:val="20"/>
                <w:szCs w:val="20"/>
                <w:color w:val="auto"/>
              </w:rPr>
            </w:pPr>
            <w:r>
              <w:rPr>
                <w:rFonts w:ascii="Arial" w:cs="Arial" w:eastAsia="Arial" w:hAnsi="Arial"/>
                <w:sz w:val="18"/>
                <w:szCs w:val="18"/>
                <w:color w:val="auto"/>
              </w:rPr>
              <w:t>Sabre  won  major  new  business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opportunities,</w:t>
            </w:r>
          </w:p>
        </w:tc>
        <w:tc>
          <w:tcPr>
            <w:tcW w:w="0" w:type="dxa"/>
            <w:vAlign w:val="bottom"/>
          </w:tcPr>
          <w:p>
            <w:pPr>
              <w:spacing w:after="0"/>
              <w:rPr>
                <w:sz w:val="1"/>
                <w:szCs w:val="1"/>
                <w:color w:val="auto"/>
              </w:rPr>
            </w:pPr>
          </w:p>
        </w:tc>
      </w:tr>
      <w:tr>
        <w:trPr>
          <w:trHeight w:val="135"/>
        </w:trPr>
        <w:tc>
          <w:tcPr>
            <w:tcW w:w="1460" w:type="dxa"/>
            <w:vAlign w:val="bottom"/>
          </w:tcPr>
          <w:p>
            <w:pPr>
              <w:spacing w:after="0" w:line="135" w:lineRule="exact"/>
              <w:rPr>
                <w:sz w:val="20"/>
                <w:szCs w:val="20"/>
                <w:color w:val="auto"/>
              </w:rPr>
            </w:pPr>
            <w:r>
              <w:rPr>
                <w:rFonts w:ascii="Arial" w:cs="Arial" w:eastAsia="Arial" w:hAnsi="Arial"/>
                <w:sz w:val="15"/>
                <w:szCs w:val="15"/>
                <w:color w:val="auto"/>
              </w:rPr>
              <w:t>Nominating &amp;</w:t>
            </w:r>
          </w:p>
        </w:tc>
        <w:tc>
          <w:tcPr>
            <w:tcW w:w="3180" w:type="dxa"/>
            <w:vAlign w:val="bottom"/>
            <w:vMerge w:val="restart"/>
          </w:tcPr>
          <w:p>
            <w:pPr>
              <w:ind w:left="260"/>
              <w:spacing w:after="0"/>
              <w:rPr>
                <w:sz w:val="20"/>
                <w:szCs w:val="20"/>
                <w:color w:val="auto"/>
              </w:rPr>
            </w:pPr>
            <w:r>
              <w:rPr>
                <w:rFonts w:ascii="Arial" w:cs="Arial" w:eastAsia="Arial" w:hAnsi="Arial"/>
                <w:sz w:val="18"/>
                <w:szCs w:val="18"/>
                <w:color w:val="auto"/>
              </w:rPr>
              <w:t>increased global market share,</w:t>
            </w:r>
          </w:p>
        </w:tc>
        <w:tc>
          <w:tcPr>
            <w:tcW w:w="3100" w:type="dxa"/>
            <w:vAlign w:val="bottom"/>
            <w:vMerge w:val="restart"/>
          </w:tcPr>
          <w:p>
            <w:pPr>
              <w:ind w:left="40"/>
              <w:spacing w:after="0"/>
              <w:rPr>
                <w:sz w:val="20"/>
                <w:szCs w:val="20"/>
                <w:color w:val="auto"/>
              </w:rPr>
            </w:pPr>
            <w:r>
              <w:rPr>
                <w:rFonts w:ascii="Arial" w:cs="Arial" w:eastAsia="Arial" w:hAnsi="Arial"/>
                <w:sz w:val="18"/>
                <w:szCs w:val="18"/>
                <w:color w:val="auto"/>
              </w:rPr>
              <w:t>secured Sabre’s position as the</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leading global</w:t>
            </w:r>
          </w:p>
        </w:tc>
        <w:tc>
          <w:tcPr>
            <w:tcW w:w="0" w:type="dxa"/>
            <w:vAlign w:val="bottom"/>
          </w:tcPr>
          <w:p>
            <w:pPr>
              <w:spacing w:after="0"/>
              <w:rPr>
                <w:sz w:val="1"/>
                <w:szCs w:val="1"/>
                <w:color w:val="auto"/>
              </w:rPr>
            </w:pPr>
          </w:p>
        </w:tc>
      </w:tr>
      <w:tr>
        <w:trPr>
          <w:trHeight w:val="116"/>
        </w:trPr>
        <w:tc>
          <w:tcPr>
            <w:tcW w:w="1460" w:type="dxa"/>
            <w:vAlign w:val="bottom"/>
            <w:vMerge w:val="restart"/>
          </w:tcPr>
          <w:p>
            <w:pPr>
              <w:spacing w:after="0"/>
              <w:rPr>
                <w:sz w:val="20"/>
                <w:szCs w:val="20"/>
                <w:color w:val="auto"/>
              </w:rPr>
            </w:pPr>
            <w:r>
              <w:rPr>
                <w:rFonts w:ascii="Arial" w:cs="Arial" w:eastAsia="Arial" w:hAnsi="Arial"/>
                <w:sz w:val="18"/>
                <w:szCs w:val="18"/>
                <w:color w:val="auto"/>
              </w:rPr>
              <w:t>Governance</w:t>
            </w:r>
          </w:p>
        </w:tc>
        <w:tc>
          <w:tcPr>
            <w:tcW w:w="318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60" w:type="dxa"/>
            <w:vAlign w:val="bottom"/>
            <w:vMerge w:val="continue"/>
          </w:tcPr>
          <w:p>
            <w:pPr>
              <w:spacing w:after="0"/>
              <w:rPr>
                <w:sz w:val="10"/>
                <w:szCs w:val="10"/>
                <w:color w:val="auto"/>
              </w:rPr>
            </w:pPr>
          </w:p>
        </w:tc>
        <w:tc>
          <w:tcPr>
            <w:tcW w:w="7660" w:type="dxa"/>
            <w:vAlign w:val="bottom"/>
            <w:gridSpan w:val="4"/>
            <w:vMerge w:val="restart"/>
          </w:tcPr>
          <w:p>
            <w:pPr>
              <w:ind w:left="260"/>
              <w:spacing w:after="0"/>
              <w:rPr>
                <w:sz w:val="20"/>
                <w:szCs w:val="20"/>
                <w:color w:val="auto"/>
              </w:rPr>
            </w:pPr>
            <w:r>
              <w:rPr>
                <w:rFonts w:ascii="Arial" w:cs="Arial" w:eastAsia="Arial" w:hAnsi="Arial"/>
                <w:sz w:val="18"/>
                <w:szCs w:val="18"/>
                <w:color w:val="auto"/>
              </w:rPr>
              <w:t>distribution  system  in  North  America,  Latin  America  and  Asia-Pacific,  and  led</w:t>
            </w: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7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660" w:type="dxa"/>
            <w:vAlign w:val="bottom"/>
            <w:gridSpan w:val="4"/>
          </w:tcPr>
          <w:p>
            <w:pPr>
              <w:ind w:left="260"/>
              <w:spacing w:after="0"/>
              <w:rPr>
                <w:sz w:val="20"/>
                <w:szCs w:val="20"/>
                <w:color w:val="auto"/>
              </w:rPr>
            </w:pPr>
            <w:r>
              <w:rPr>
                <w:rFonts w:ascii="Arial" w:cs="Arial" w:eastAsia="Arial" w:hAnsi="Arial"/>
                <w:sz w:val="18"/>
                <w:szCs w:val="18"/>
                <w:color w:val="auto"/>
              </w:rPr>
              <w:t>innovation to enable sales of more customized fares and ancillary products that</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6280" w:type="dxa"/>
            <w:vAlign w:val="bottom"/>
            <w:gridSpan w:val="2"/>
          </w:tcPr>
          <w:p>
            <w:pPr>
              <w:ind w:left="260"/>
              <w:spacing w:after="0"/>
              <w:rPr>
                <w:sz w:val="20"/>
                <w:szCs w:val="20"/>
                <w:color w:val="auto"/>
              </w:rPr>
            </w:pPr>
            <w:r>
              <w:rPr>
                <w:rFonts w:ascii="Arial" w:cs="Arial" w:eastAsia="Arial" w:hAnsi="Arial"/>
                <w:sz w:val="18"/>
                <w:szCs w:val="18"/>
                <w:color w:val="auto"/>
              </w:rPr>
              <w:t>help drive the changing travel industry landscape.</w:t>
            </w: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-2736850</wp:posOffset>
            </wp:positionV>
            <wp:extent cx="1028700" cy="59067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0" cy="5906770"/>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Before joining Sabre, Mr. Menke spent more than 20 years in executive leadership roles in the airline industry. He served as Chief Executive Officer at Frontier Airlines and at Pinnacle Airlines, and he held senior level marketing, operations, customer experience, strategy, planning, sales, distribution and revenue management roles, including with Air Canada and Hawaiian Airlines. He also served as Executive Vice President at IHS Inc., a global information technology company.</w:t>
      </w:r>
    </w:p>
    <w:p>
      <w:pPr>
        <w:spacing w:after="0" w:line="290" w:lineRule="exact"/>
        <w:rPr>
          <w:sz w:val="20"/>
          <w:szCs w:val="20"/>
          <w:color w:val="auto"/>
        </w:rPr>
      </w:pPr>
    </w:p>
    <w:p>
      <w:pPr>
        <w:jc w:val="both"/>
        <w:ind w:left="2540" w:right="80"/>
        <w:spacing w:after="0" w:line="258" w:lineRule="auto"/>
        <w:rPr>
          <w:sz w:val="20"/>
          <w:szCs w:val="20"/>
          <w:color w:val="auto"/>
        </w:rPr>
      </w:pPr>
      <w:r>
        <w:rPr>
          <w:rFonts w:ascii="Arial" w:cs="Arial" w:eastAsia="Arial" w:hAnsi="Arial"/>
          <w:sz w:val="18"/>
          <w:szCs w:val="18"/>
          <w:color w:val="auto"/>
        </w:rPr>
        <w:t>Mr. Menke is a proven transformation leader, and uses his extensive experience in technology and transportation operations to bring together strategy and data to address complex issues as a member of the Board. His expertise in logistics and commitment to delivering efficient, customer-focused innovation through imaginative technology-led solutions helps advance our strategy to differentiate our services.</w:t>
      </w:r>
    </w:p>
    <w:p>
      <w:pPr>
        <w:spacing w:after="0" w:line="291" w:lineRule="exact"/>
        <w:rPr>
          <w:sz w:val="20"/>
          <w:szCs w:val="20"/>
          <w:color w:val="auto"/>
        </w:rPr>
      </w:pPr>
    </w:p>
    <w:p>
      <w:pPr>
        <w:jc w:val="both"/>
        <w:ind w:left="2540" w:right="80"/>
        <w:spacing w:after="0" w:line="259" w:lineRule="auto"/>
        <w:rPr>
          <w:sz w:val="20"/>
          <w:szCs w:val="20"/>
          <w:color w:val="auto"/>
        </w:rPr>
      </w:pPr>
      <w:r>
        <w:rPr>
          <w:rFonts w:ascii="Arial" w:cs="Arial" w:eastAsia="Arial" w:hAnsi="Arial"/>
          <w:sz w:val="18"/>
          <w:szCs w:val="18"/>
          <w:color w:val="auto"/>
        </w:rPr>
        <w:t>Mr. Menke has extensive executive experience in technology-driven companies. He is aware of the importance and challenges of cybersecurity and privacy issues, and he has experience overseeing risk mitigation and implementing systems to protect major corporations. Mr. Menke shares with the Board his experience in the areas of cyber intrusion response planning and remediation.</w:t>
      </w:r>
    </w:p>
    <w:p>
      <w:pPr>
        <w:spacing w:after="0" w:line="71"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Menke holds a bachelor’s degree in economics and aviation management from Ohio State University and a master’s degree in business administration from the University of Denver.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820" w:type="dxa"/>
            <w:vAlign w:val="bottom"/>
          </w:tcPr>
          <w:p>
            <w:pPr>
              <w:spacing w:after="0"/>
              <w:rPr>
                <w:sz w:val="7"/>
                <w:szCs w:val="7"/>
                <w:color w:val="auto"/>
              </w:rPr>
            </w:pPr>
          </w:p>
        </w:tc>
        <w:tc>
          <w:tcPr>
            <w:tcW w:w="82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82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82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w:t>
            </w:r>
            <w:r>
              <w:rPr>
                <w:rFonts w:ascii="Arial" w:cs="Arial" w:eastAsia="Arial" w:hAnsi="Arial"/>
                <w:sz w:val="16"/>
                <w:szCs w:val="16"/>
                <w:b w:val="1"/>
                <w:bCs w:val="1"/>
                <w:color w:val="FEFEFE"/>
              </w:rPr>
              <w:t>ILLIAM</w:t>
            </w:r>
            <w:r>
              <w:rPr>
                <w:rFonts w:ascii="Arial" w:cs="Arial" w:eastAsia="Arial" w:hAnsi="Arial"/>
                <w:sz w:val="23"/>
                <w:szCs w:val="23"/>
                <w:b w:val="1"/>
                <w:bCs w:val="1"/>
                <w:color w:val="FEFEFE"/>
              </w:rPr>
              <w:t xml:space="preserve"> B. P</w:t>
            </w:r>
            <w:r>
              <w:rPr>
                <w:rFonts w:ascii="Arial" w:cs="Arial" w:eastAsia="Arial" w:hAnsi="Arial"/>
                <w:sz w:val="16"/>
                <w:szCs w:val="16"/>
                <w:b w:val="1"/>
                <w:bCs w:val="1"/>
                <w:color w:val="FEFEFE"/>
              </w:rPr>
              <w:t>LUMMER</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820" w:type="dxa"/>
            <w:vAlign w:val="bottom"/>
          </w:tcPr>
          <w:p>
            <w:pPr>
              <w:spacing w:after="0"/>
              <w:rPr>
                <w:sz w:val="20"/>
                <w:szCs w:val="20"/>
                <w:color w:val="auto"/>
              </w:rPr>
            </w:pPr>
            <w:r>
              <w:rPr>
                <w:rFonts w:ascii="Arial" w:cs="Arial" w:eastAsia="Arial" w:hAnsi="Arial"/>
                <w:sz w:val="18"/>
                <w:szCs w:val="18"/>
                <w:color w:val="auto"/>
              </w:rPr>
              <w:t>​</w:t>
            </w:r>
          </w:p>
        </w:tc>
        <w:tc>
          <w:tcPr>
            <w:tcW w:w="8240" w:type="dxa"/>
            <w:vAlign w:val="bottom"/>
          </w:tcPr>
          <w:p>
            <w:pPr>
              <w:ind w:left="74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-306070</wp:posOffset>
            </wp:positionV>
            <wp:extent cx="1028700" cy="638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0" cy="6386830"/>
                    </a:xfrm>
                    <a:prstGeom prst="rect">
                      <a:avLst/>
                    </a:prstGeom>
                    <a:noFill/>
                  </pic:spPr>
                </pic:pic>
              </a:graphicData>
            </a:graphic>
          </wp:anchor>
        </w:drawing>
      </w:r>
    </w:p>
    <w:p>
      <w:pPr>
        <w:spacing w:after="0" w:line="18" w:lineRule="exact"/>
        <w:rPr>
          <w:sz w:val="20"/>
          <w:szCs w:val="20"/>
          <w:color w:val="auto"/>
        </w:rPr>
      </w:pPr>
    </w:p>
    <w:p>
      <w:pPr>
        <w:ind w:left="2540" w:right="80"/>
        <w:spacing w:after="0" w:line="287" w:lineRule="auto"/>
        <w:rPr>
          <w:sz w:val="20"/>
          <w:szCs w:val="20"/>
          <w:color w:val="auto"/>
        </w:rPr>
      </w:pPr>
      <w:r>
        <w:rPr>
          <w:rFonts w:ascii="Arial" w:cs="Arial" w:eastAsia="Arial" w:hAnsi="Arial"/>
          <w:sz w:val="18"/>
          <w:szCs w:val="18"/>
          <w:color w:val="auto"/>
        </w:rPr>
        <w:t>Retired Executive Vice President and Chief Financial Officer  —  United Rentals, Inc. (world’s largest equipment rental company), served from 2008 to 2018.</w:t>
      </w:r>
    </w:p>
    <w:p>
      <w:pPr>
        <w:spacing w:after="0" w:line="4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Global Payments Inc. since 2017.</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Director of Mason Industrial Technology, Inc. from February 2021 to</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February 2023.</w:t>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239"/>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65</w:t>
            </w:r>
          </w:p>
        </w:tc>
        <w:tc>
          <w:tcPr>
            <w:tcW w:w="5740" w:type="dxa"/>
            <w:vAlign w:val="bottom"/>
            <w:gridSpan w:val="5"/>
          </w:tcPr>
          <w:p>
            <w:pPr>
              <w:ind w:left="180"/>
              <w:spacing w:after="0"/>
              <w:rPr>
                <w:sz w:val="20"/>
                <w:szCs w:val="20"/>
                <w:color w:val="auto"/>
              </w:rPr>
            </w:pPr>
            <w:r>
              <w:rPr>
                <w:rFonts w:ascii="Arial" w:cs="Arial" w:eastAsia="Arial" w:hAnsi="Arial"/>
                <w:sz w:val="18"/>
                <w:szCs w:val="18"/>
                <w:color w:val="auto"/>
              </w:rPr>
              <w:t>Director of Nesco Holdings, Inc. from July 2019 to March 2021.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1540" w:type="dxa"/>
            <w:vAlign w:val="bottom"/>
            <w:vMerge w:val="continue"/>
          </w:tcPr>
          <w:p>
            <w:pPr>
              <w:spacing w:after="0"/>
              <w:rPr>
                <w:sz w:val="8"/>
                <w:szCs w:val="8"/>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Director of John Wiley &amp; Sons, Inc. from 2003 to September 2019.</w:t>
            </w:r>
          </w:p>
        </w:tc>
        <w:tc>
          <w:tcPr>
            <w:tcW w:w="0" w:type="dxa"/>
            <w:vAlign w:val="bottom"/>
          </w:tcPr>
          <w:p>
            <w:pPr>
              <w:spacing w:after="0"/>
              <w:rPr>
                <w:sz w:val="1"/>
                <w:szCs w:val="1"/>
                <w:color w:val="auto"/>
              </w:rPr>
            </w:pPr>
          </w:p>
        </w:tc>
      </w:tr>
      <w:tr>
        <w:trPr>
          <w:trHeight w:val="222"/>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5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5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540" w:type="dxa"/>
            <w:vAlign w:val="bottom"/>
          </w:tcPr>
          <w:p>
            <w:pPr>
              <w:spacing w:after="0"/>
              <w:rPr>
                <w:sz w:val="20"/>
                <w:szCs w:val="20"/>
                <w:color w:val="auto"/>
              </w:rPr>
            </w:pPr>
            <w:r>
              <w:rPr>
                <w:rFonts w:ascii="Arial" w:cs="Arial" w:eastAsia="Arial" w:hAnsi="Arial"/>
                <w:sz w:val="18"/>
                <w:szCs w:val="18"/>
                <w:color w:val="auto"/>
              </w:rPr>
              <w:t>August 2019</w:t>
            </w:r>
          </w:p>
        </w:tc>
        <w:tc>
          <w:tcPr>
            <w:tcW w:w="4960" w:type="dxa"/>
            <w:vAlign w:val="bottom"/>
            <w:gridSpan w:val="3"/>
            <w:vMerge w:val="restart"/>
          </w:tcPr>
          <w:p>
            <w:pPr>
              <w:ind w:left="1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49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William Plummer served as Executive Vice President and Chief Financial Officer</w:t>
            </w:r>
          </w:p>
        </w:tc>
        <w:tc>
          <w:tcPr>
            <w:tcW w:w="0" w:type="dxa"/>
            <w:vAlign w:val="bottom"/>
          </w:tcPr>
          <w:p>
            <w:pPr>
              <w:spacing w:after="0"/>
              <w:rPr>
                <w:sz w:val="1"/>
                <w:szCs w:val="1"/>
                <w:color w:val="auto"/>
              </w:rPr>
            </w:pPr>
          </w:p>
        </w:tc>
      </w:tr>
      <w:tr>
        <w:trPr>
          <w:trHeight w:val="189"/>
        </w:trPr>
        <w:tc>
          <w:tcPr>
            <w:tcW w:w="154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75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Audit (Chair)</w:t>
            </w:r>
          </w:p>
        </w:tc>
        <w:tc>
          <w:tcPr>
            <w:tcW w:w="1140" w:type="dxa"/>
            <w:vAlign w:val="bottom"/>
          </w:tcPr>
          <w:p>
            <w:pPr>
              <w:ind w:left="180"/>
              <w:spacing w:after="0"/>
              <w:rPr>
                <w:sz w:val="20"/>
                <w:szCs w:val="20"/>
                <w:color w:val="auto"/>
              </w:rPr>
            </w:pPr>
            <w:r>
              <w:rPr>
                <w:rFonts w:ascii="Arial" w:cs="Arial" w:eastAsia="Arial" w:hAnsi="Arial"/>
                <w:sz w:val="18"/>
                <w:szCs w:val="18"/>
                <w:color w:val="auto"/>
              </w:rPr>
              <w:t>for United</w:t>
            </w:r>
          </w:p>
        </w:tc>
        <w:tc>
          <w:tcPr>
            <w:tcW w:w="800" w:type="dxa"/>
            <w:vAlign w:val="bottom"/>
          </w:tcPr>
          <w:p>
            <w:pPr>
              <w:jc w:val="center"/>
              <w:spacing w:after="0"/>
              <w:rPr>
                <w:sz w:val="20"/>
                <w:szCs w:val="20"/>
                <w:color w:val="auto"/>
              </w:rPr>
            </w:pPr>
            <w:r>
              <w:rPr>
                <w:rFonts w:ascii="Arial" w:cs="Arial" w:eastAsia="Arial" w:hAnsi="Arial"/>
                <w:sz w:val="18"/>
                <w:szCs w:val="18"/>
                <w:color w:val="auto"/>
              </w:rPr>
              <w:t>Rentals,</w:t>
            </w:r>
          </w:p>
        </w:tc>
        <w:tc>
          <w:tcPr>
            <w:tcW w:w="3020" w:type="dxa"/>
            <w:vAlign w:val="bottom"/>
          </w:tcPr>
          <w:p>
            <w:pPr>
              <w:ind w:left="80"/>
              <w:spacing w:after="0"/>
              <w:rPr>
                <w:sz w:val="20"/>
                <w:szCs w:val="20"/>
                <w:color w:val="auto"/>
              </w:rPr>
            </w:pPr>
            <w:r>
              <w:rPr>
                <w:rFonts w:ascii="Arial" w:cs="Arial" w:eastAsia="Arial" w:hAnsi="Arial"/>
                <w:sz w:val="18"/>
                <w:szCs w:val="18"/>
                <w:color w:val="auto"/>
              </w:rPr>
              <w:t>Inc., where he was responsible</w:t>
            </w:r>
          </w:p>
        </w:tc>
        <w:tc>
          <w:tcPr>
            <w:tcW w:w="380" w:type="dxa"/>
            <w:vAlign w:val="bottom"/>
          </w:tcPr>
          <w:p>
            <w:pPr>
              <w:ind w:left="60"/>
              <w:spacing w:after="0"/>
              <w:rPr>
                <w:sz w:val="20"/>
                <w:szCs w:val="20"/>
                <w:color w:val="auto"/>
              </w:rPr>
            </w:pPr>
            <w:r>
              <w:rPr>
                <w:rFonts w:ascii="Arial" w:cs="Arial" w:eastAsia="Arial" w:hAnsi="Arial"/>
                <w:sz w:val="18"/>
                <w:szCs w:val="18"/>
                <w:color w:val="auto"/>
              </w:rPr>
              <w:t>for</w:t>
            </w:r>
          </w:p>
        </w:tc>
        <w:tc>
          <w:tcPr>
            <w:tcW w:w="400" w:type="dxa"/>
            <w:vAlign w:val="bottom"/>
          </w:tcPr>
          <w:p>
            <w:pPr>
              <w:ind w:left="20"/>
              <w:spacing w:after="0"/>
              <w:rPr>
                <w:sz w:val="20"/>
                <w:szCs w:val="20"/>
                <w:color w:val="auto"/>
              </w:rPr>
            </w:pPr>
            <w:r>
              <w:rPr>
                <w:rFonts w:ascii="Arial" w:cs="Arial" w:eastAsia="Arial" w:hAnsi="Arial"/>
                <w:sz w:val="18"/>
                <w:szCs w:val="18"/>
                <w:color w:val="auto"/>
              </w:rPr>
              <w:t>the</w:t>
            </w:r>
          </w:p>
        </w:tc>
        <w:tc>
          <w:tcPr>
            <w:tcW w:w="1760" w:type="dxa"/>
            <w:vAlign w:val="bottom"/>
          </w:tcPr>
          <w:p>
            <w:pPr>
              <w:jc w:val="right"/>
              <w:spacing w:after="0"/>
              <w:rPr>
                <w:sz w:val="20"/>
                <w:szCs w:val="20"/>
                <w:color w:val="auto"/>
              </w:rPr>
            </w:pPr>
            <w:r>
              <w:rPr>
                <w:rFonts w:ascii="Arial" w:cs="Arial" w:eastAsia="Arial" w:hAnsi="Arial"/>
                <w:sz w:val="18"/>
                <w:szCs w:val="18"/>
                <w:color w:val="auto"/>
              </w:rPr>
              <w:t>development of the</w:t>
            </w:r>
          </w:p>
        </w:tc>
        <w:tc>
          <w:tcPr>
            <w:tcW w:w="0" w:type="dxa"/>
            <w:vAlign w:val="bottom"/>
          </w:tcPr>
          <w:p>
            <w:pPr>
              <w:spacing w:after="0"/>
              <w:rPr>
                <w:sz w:val="1"/>
                <w:szCs w:val="1"/>
                <w:color w:val="auto"/>
              </w:rPr>
            </w:pPr>
          </w:p>
        </w:tc>
      </w:tr>
      <w:tr>
        <w:trPr>
          <w:trHeight w:val="135"/>
        </w:trPr>
        <w:tc>
          <w:tcPr>
            <w:tcW w:w="1540" w:type="dxa"/>
            <w:vAlign w:val="bottom"/>
          </w:tcPr>
          <w:p>
            <w:pPr>
              <w:spacing w:after="0" w:line="135" w:lineRule="exact"/>
              <w:rPr>
                <w:sz w:val="20"/>
                <w:szCs w:val="20"/>
                <w:color w:val="auto"/>
              </w:rPr>
            </w:pPr>
            <w:r>
              <w:rPr>
                <w:rFonts w:ascii="Arial" w:cs="Arial" w:eastAsia="Arial" w:hAnsi="Arial"/>
                <w:sz w:val="15"/>
                <w:szCs w:val="15"/>
                <w:color w:val="auto"/>
              </w:rPr>
              <w:t>and</w:t>
            </w:r>
          </w:p>
        </w:tc>
        <w:tc>
          <w:tcPr>
            <w:tcW w:w="1140" w:type="dxa"/>
            <w:vAlign w:val="bottom"/>
            <w:vMerge w:val="restart"/>
          </w:tcPr>
          <w:p>
            <w:pPr>
              <w:ind w:left="180"/>
              <w:spacing w:after="0"/>
              <w:rPr>
                <w:sz w:val="20"/>
                <w:szCs w:val="20"/>
                <w:color w:val="auto"/>
              </w:rPr>
            </w:pPr>
            <w:r>
              <w:rPr>
                <w:rFonts w:ascii="Arial" w:cs="Arial" w:eastAsia="Arial" w:hAnsi="Arial"/>
                <w:sz w:val="18"/>
                <w:szCs w:val="18"/>
                <w:color w:val="auto"/>
              </w:rPr>
              <w:t>company’s</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rPr>
              <w:t>finance</w:t>
            </w:r>
          </w:p>
        </w:tc>
        <w:tc>
          <w:tcPr>
            <w:tcW w:w="3020" w:type="dxa"/>
            <w:vAlign w:val="bottom"/>
            <w:vMerge w:val="restart"/>
          </w:tcPr>
          <w:p>
            <w:pPr>
              <w:ind w:left="20"/>
              <w:spacing w:after="0"/>
              <w:rPr>
                <w:sz w:val="20"/>
                <w:szCs w:val="20"/>
                <w:color w:val="auto"/>
              </w:rPr>
            </w:pPr>
            <w:r>
              <w:rPr>
                <w:rFonts w:ascii="Arial" w:cs="Arial" w:eastAsia="Arial" w:hAnsi="Arial"/>
                <w:sz w:val="18"/>
                <w:szCs w:val="18"/>
                <w:color w:val="auto"/>
              </w:rPr>
              <w:t>activities and investor relations,</w:t>
            </w: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w w:val="99"/>
              </w:rPr>
              <w:t>and</w:t>
            </w:r>
          </w:p>
        </w:tc>
        <w:tc>
          <w:tcPr>
            <w:tcW w:w="400" w:type="dxa"/>
            <w:vAlign w:val="bottom"/>
            <w:vMerge w:val="restart"/>
          </w:tcPr>
          <w:p>
            <w:pPr>
              <w:ind w:left="100"/>
              <w:spacing w:after="0"/>
              <w:rPr>
                <w:sz w:val="20"/>
                <w:szCs w:val="20"/>
                <w:color w:val="auto"/>
              </w:rPr>
            </w:pPr>
            <w:r>
              <w:rPr>
                <w:rFonts w:ascii="Arial" w:cs="Arial" w:eastAsia="Arial" w:hAnsi="Arial"/>
                <w:sz w:val="18"/>
                <w:szCs w:val="18"/>
                <w:color w:val="auto"/>
              </w:rPr>
              <w:t>he</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co-led its mergers,</w:t>
            </w:r>
          </w:p>
        </w:tc>
        <w:tc>
          <w:tcPr>
            <w:tcW w:w="0" w:type="dxa"/>
            <w:vAlign w:val="bottom"/>
          </w:tcPr>
          <w:p>
            <w:pPr>
              <w:spacing w:after="0"/>
              <w:rPr>
                <w:sz w:val="1"/>
                <w:szCs w:val="1"/>
                <w:color w:val="auto"/>
              </w:rPr>
            </w:pPr>
          </w:p>
        </w:tc>
      </w:tr>
      <w:tr>
        <w:trPr>
          <w:trHeight w:val="116"/>
        </w:trPr>
        <w:tc>
          <w:tcPr>
            <w:tcW w:w="1540" w:type="dxa"/>
            <w:vAlign w:val="bottom"/>
            <w:vMerge w:val="restart"/>
          </w:tcPr>
          <w:p>
            <w:pPr>
              <w:spacing w:after="0" w:line="176" w:lineRule="exact"/>
              <w:rPr>
                <w:sz w:val="20"/>
                <w:szCs w:val="20"/>
                <w:color w:val="auto"/>
              </w:rPr>
            </w:pPr>
            <w:r>
              <w:rPr>
                <w:rFonts w:ascii="Arial" w:cs="Arial" w:eastAsia="Arial" w:hAnsi="Arial"/>
                <w:sz w:val="18"/>
                <w:szCs w:val="18"/>
                <w:color w:val="auto"/>
              </w:rPr>
              <w:t>Management</w:t>
            </w:r>
          </w:p>
        </w:tc>
        <w:tc>
          <w:tcPr>
            <w:tcW w:w="11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540" w:type="dxa"/>
            <w:vAlign w:val="bottom"/>
            <w:vMerge w:val="continue"/>
          </w:tcPr>
          <w:p>
            <w:pPr>
              <w:spacing w:after="0"/>
              <w:rPr>
                <w:sz w:val="5"/>
                <w:szCs w:val="5"/>
                <w:color w:val="auto"/>
              </w:rPr>
            </w:pPr>
          </w:p>
        </w:tc>
        <w:tc>
          <w:tcPr>
            <w:tcW w:w="7500" w:type="dxa"/>
            <w:vAlign w:val="bottom"/>
            <w:gridSpan w:val="6"/>
            <w:vMerge w:val="restart"/>
          </w:tcPr>
          <w:p>
            <w:pPr>
              <w:ind w:left="180"/>
              <w:spacing w:after="0"/>
              <w:rPr>
                <w:sz w:val="20"/>
                <w:szCs w:val="20"/>
                <w:color w:val="auto"/>
              </w:rPr>
            </w:pPr>
            <w:r>
              <w:rPr>
                <w:rFonts w:ascii="Arial" w:cs="Arial" w:eastAsia="Arial" w:hAnsi="Arial"/>
                <w:sz w:val="18"/>
                <w:szCs w:val="18"/>
                <w:color w:val="auto"/>
              </w:rPr>
              <w:t>acquisitions and divestitures strategies. He also led the company’s safety function</w:t>
            </w:r>
          </w:p>
        </w:tc>
        <w:tc>
          <w:tcPr>
            <w:tcW w:w="0" w:type="dxa"/>
            <w:vAlign w:val="bottom"/>
          </w:tcPr>
          <w:p>
            <w:pPr>
              <w:spacing w:after="0"/>
              <w:rPr>
                <w:sz w:val="1"/>
                <w:szCs w:val="1"/>
                <w:color w:val="auto"/>
              </w:rPr>
            </w:pPr>
          </w:p>
        </w:tc>
      </w:tr>
      <w:tr>
        <w:trPr>
          <w:trHeight w:val="175"/>
        </w:trPr>
        <w:tc>
          <w:tcPr>
            <w:tcW w:w="1540" w:type="dxa"/>
            <w:vAlign w:val="bottom"/>
          </w:tcPr>
          <w:p>
            <w:pPr>
              <w:spacing w:after="0" w:line="176" w:lineRule="exact"/>
              <w:rPr>
                <w:sz w:val="20"/>
                <w:szCs w:val="20"/>
                <w:color w:val="auto"/>
              </w:rPr>
            </w:pPr>
            <w:r>
              <w:rPr>
                <w:rFonts w:ascii="Arial" w:cs="Arial" w:eastAsia="Arial" w:hAnsi="Arial"/>
                <w:sz w:val="18"/>
                <w:szCs w:val="18"/>
                <w:color w:val="auto"/>
              </w:rPr>
              <w:t>Development &amp;</w:t>
            </w:r>
          </w:p>
        </w:tc>
        <w:tc>
          <w:tcPr>
            <w:tcW w:w="75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line="197" w:lineRule="exact"/>
              <w:rPr>
                <w:sz w:val="20"/>
                <w:szCs w:val="20"/>
                <w:color w:val="auto"/>
              </w:rPr>
            </w:pPr>
            <w:r>
              <w:rPr>
                <w:rFonts w:ascii="Arial" w:cs="Arial" w:eastAsia="Arial" w:hAnsi="Arial"/>
                <w:sz w:val="18"/>
                <w:szCs w:val="18"/>
                <w:color w:val="auto"/>
              </w:rPr>
              <w:t>Compensation</w:t>
            </w:r>
          </w:p>
        </w:tc>
        <w:tc>
          <w:tcPr>
            <w:tcW w:w="7500" w:type="dxa"/>
            <w:vAlign w:val="bottom"/>
            <w:gridSpan w:val="6"/>
          </w:tcPr>
          <w:p>
            <w:pPr>
              <w:ind w:left="180"/>
              <w:spacing w:after="0" w:line="197" w:lineRule="exact"/>
              <w:rPr>
                <w:sz w:val="20"/>
                <w:szCs w:val="20"/>
                <w:color w:val="auto"/>
              </w:rPr>
            </w:pPr>
            <w:r>
              <w:rPr>
                <w:rFonts w:ascii="Arial" w:cs="Arial" w:eastAsia="Arial" w:hAnsi="Arial"/>
                <w:sz w:val="18"/>
                <w:szCs w:val="18"/>
                <w:color w:val="auto"/>
              </w:rPr>
              <w:t>and its data and analytics efforts. Mr. Plummer was instrumental in helping the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6"/>
          </w:tcPr>
          <w:p>
            <w:pPr>
              <w:ind w:left="180"/>
              <w:spacing w:after="0"/>
              <w:rPr>
                <w:sz w:val="20"/>
                <w:szCs w:val="20"/>
                <w:color w:val="auto"/>
              </w:rPr>
            </w:pPr>
            <w:r>
              <w:rPr>
                <w:rFonts w:ascii="Arial" w:cs="Arial" w:eastAsia="Arial" w:hAnsi="Arial"/>
                <w:sz w:val="18"/>
                <w:szCs w:val="18"/>
                <w:color w:val="auto"/>
              </w:rPr>
              <w:t>company  execute  a  strategy  focused  on  improving  the  profitability  of  its  core</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500" w:type="dxa"/>
            <w:vAlign w:val="bottom"/>
            <w:gridSpan w:val="6"/>
          </w:tcPr>
          <w:p>
            <w:pPr>
              <w:ind w:left="180"/>
              <w:spacing w:after="0"/>
              <w:rPr>
                <w:sz w:val="20"/>
                <w:szCs w:val="20"/>
                <w:color w:val="auto"/>
              </w:rPr>
            </w:pPr>
            <w:r>
              <w:rPr>
                <w:rFonts w:ascii="Arial" w:cs="Arial" w:eastAsia="Arial" w:hAnsi="Arial"/>
                <w:sz w:val="18"/>
                <w:szCs w:val="18"/>
                <w:color w:val="auto"/>
              </w:rPr>
              <w:t>equipment rental business through revenue growth, margin expansion, operational</w:t>
            </w:r>
          </w:p>
        </w:tc>
        <w:tc>
          <w:tcPr>
            <w:tcW w:w="0" w:type="dxa"/>
            <w:vAlign w:val="bottom"/>
          </w:tcPr>
          <w:p>
            <w:pPr>
              <w:spacing w:after="0"/>
              <w:rPr>
                <w:sz w:val="1"/>
                <w:szCs w:val="1"/>
                <w:color w:val="auto"/>
              </w:rPr>
            </w:pPr>
          </w:p>
        </w:tc>
      </w:tr>
      <w:tr>
        <w:trPr>
          <w:trHeight w:val="239"/>
        </w:trPr>
        <w:tc>
          <w:tcPr>
            <w:tcW w:w="1540" w:type="dxa"/>
            <w:vAlign w:val="bottom"/>
          </w:tcPr>
          <w:p>
            <w:pPr>
              <w:spacing w:after="0"/>
              <w:rPr>
                <w:sz w:val="20"/>
                <w:szCs w:val="20"/>
                <w:color w:val="auto"/>
              </w:rPr>
            </w:pP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efficiencies and acquisitions.</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2540" w:right="80"/>
        <w:spacing w:after="0" w:line="255" w:lineRule="auto"/>
        <w:rPr>
          <w:sz w:val="20"/>
          <w:szCs w:val="20"/>
          <w:color w:val="auto"/>
        </w:rPr>
      </w:pPr>
      <w:r>
        <w:rPr>
          <w:rFonts w:ascii="Arial" w:cs="Arial" w:eastAsia="Arial" w:hAnsi="Arial"/>
          <w:sz w:val="18"/>
          <w:szCs w:val="18"/>
          <w:color w:val="auto"/>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293"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diversity, equity and inclusion initiatives.</w:t>
      </w:r>
    </w:p>
    <w:p>
      <w:pPr>
        <w:spacing w:after="0" w:line="293"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ELECTION OF DIRECTORS</w:t>
            </w:r>
          </w:p>
        </w:tc>
        <w:tc>
          <w:tcPr>
            <w:tcW w:w="60" w:type="dxa"/>
            <w:vAlign w:val="bottom"/>
          </w:tcPr>
          <w:p>
            <w:pPr>
              <w:spacing w:after="0"/>
              <w:rPr>
                <w:sz w:val="23"/>
                <w:szCs w:val="23"/>
                <w:color w:val="auto"/>
              </w:rPr>
            </w:pPr>
          </w:p>
        </w:tc>
      </w:tr>
    </w:tbl>
    <w:p>
      <w:pPr>
        <w:spacing w:after="0" w:line="6"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2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6680" w:type="dxa"/>
            <w:vAlign w:val="bottom"/>
            <w:gridSpan w:val="3"/>
            <w:vMerge w:val="restart"/>
            <w:shd w:val="clear" w:color="auto" w:fill="457157"/>
          </w:tcPr>
          <w:p>
            <w:pPr>
              <w:ind w:left="20"/>
              <w:spacing w:after="0"/>
              <w:rPr>
                <w:sz w:val="20"/>
                <w:szCs w:val="20"/>
                <w:color w:val="auto"/>
              </w:rPr>
            </w:pPr>
            <w:r>
              <w:rPr>
                <w:rFonts w:ascii="Arial" w:cs="Arial" w:eastAsia="Arial" w:hAnsi="Arial"/>
                <w:sz w:val="25"/>
                <w:szCs w:val="25"/>
                <w:b w:val="1"/>
                <w:bCs w:val="1"/>
                <w:color w:val="FEFEFE"/>
              </w:rPr>
              <w:t>T. S</w:t>
            </w:r>
            <w:r>
              <w:rPr>
                <w:rFonts w:ascii="Arial" w:cs="Arial" w:eastAsia="Arial" w:hAnsi="Arial"/>
                <w:sz w:val="17"/>
                <w:szCs w:val="17"/>
                <w:b w:val="1"/>
                <w:bCs w:val="1"/>
                <w:color w:val="FEFEFE"/>
              </w:rPr>
              <w:t>YLVESTER</w:t>
            </w:r>
            <w:r>
              <w:rPr>
                <w:rFonts w:ascii="Arial" w:cs="Arial" w:eastAsia="Arial" w:hAnsi="Arial"/>
                <w:sz w:val="19"/>
                <w:szCs w:val="19"/>
                <w:b w:val="1"/>
                <w:bCs w:val="1"/>
                <w:color w:val="FEFEFE"/>
              </w:rPr>
              <w:t>​</w:t>
            </w:r>
          </w:p>
        </w:tc>
        <w:tc>
          <w:tcPr>
            <w:tcW w:w="112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M</w:t>
            </w:r>
            <w:r>
              <w:rPr>
                <w:rFonts w:ascii="Arial" w:cs="Arial" w:eastAsia="Arial" w:hAnsi="Arial"/>
                <w:sz w:val="16"/>
                <w:szCs w:val="16"/>
                <w:b w:val="1"/>
                <w:bCs w:val="1"/>
                <w:color w:val="FEFEFE"/>
              </w:rPr>
              <w:t>ARYROSE</w:t>
            </w:r>
          </w:p>
        </w:tc>
        <w:tc>
          <w:tcPr>
            <w:tcW w:w="6680" w:type="dxa"/>
            <w:vAlign w:val="bottom"/>
            <w:gridSpan w:val="3"/>
            <w:vMerge w:val="continue"/>
            <w:shd w:val="clear" w:color="auto" w:fill="457157"/>
          </w:tcPr>
          <w:p>
            <w:pPr>
              <w:spacing w:after="0"/>
              <w:rPr>
                <w:sz w:val="17"/>
                <w:szCs w:val="17"/>
                <w:color w:val="auto"/>
              </w:rPr>
            </w:pPr>
          </w:p>
        </w:tc>
        <w:tc>
          <w:tcPr>
            <w:tcW w:w="112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Borders>
              <w:right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6320" w:type="dxa"/>
            <w:vAlign w:val="bottom"/>
          </w:tcPr>
          <w:p>
            <w:pPr>
              <w:ind w:left="40"/>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12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right w:val="single" w:sz="8" w:color="457157"/>
            </w:tcBorders>
          </w:tcPr>
          <w:p>
            <w:pPr>
              <w:spacing w:after="0"/>
              <w:rPr>
                <w:sz w:val="22"/>
                <w:szCs w:val="22"/>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Retired  U.S.  Managing  Director  and  U.S.  Head  of  Electrification  —  ABB  Ltd.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(global  technology  company  focused  on  electrification,  robotics,  power  and</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automation), served from August 2019 to August 2020.</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Former President and Chief Executive Officer  —  Current, powered by GE (energy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services and information technology subsidiary of General Electric subsequently</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acquired by private equity investors), served from 2015 to June 2019.</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58</w:t>
            </w: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Director of Harley-Davidson, Inc. since 2016.</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60" w:type="dxa"/>
            <w:vAlign w:val="bottom"/>
            <w:gridSpan w:val="2"/>
          </w:tcPr>
          <w:p>
            <w:pPr>
              <w:spacing w:after="0"/>
              <w:rPr>
                <w:sz w:val="20"/>
                <w:szCs w:val="20"/>
                <w:color w:val="auto"/>
              </w:rPr>
            </w:pPr>
            <w:r>
              <w:rPr>
                <w:rFonts w:ascii="Arial" w:cs="Arial" w:eastAsia="Arial" w:hAnsi="Arial"/>
                <w:sz w:val="18"/>
                <w:szCs w:val="18"/>
                <w:b w:val="1"/>
                <w:bCs w:val="1"/>
                <w:color w:val="457157"/>
              </w:rPr>
              <w:t>Director since:</w:t>
            </w:r>
          </w:p>
        </w:tc>
        <w:tc>
          <w:tcPr>
            <w:tcW w:w="160" w:type="dxa"/>
            <w:vAlign w:val="bottom"/>
            <w:tcBorders>
              <w:right w:val="single" w:sz="8" w:color="457157"/>
            </w:tcBorders>
          </w:tcPr>
          <w:p>
            <w:pPr>
              <w:spacing w:after="0"/>
              <w:rPr>
                <w:sz w:val="23"/>
                <w:szCs w:val="23"/>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Director of Vontier Corporation since March 2021.</w:t>
            </w: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r>
              <w:rPr>
                <w:rFonts w:ascii="Arial" w:cs="Arial" w:eastAsia="Arial" w:hAnsi="Arial"/>
                <w:sz w:val="18"/>
                <w:szCs w:val="18"/>
                <w:color w:val="auto"/>
              </w:rPr>
              <w:t>March 2021</w:t>
            </w: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vMerge w:val="restart"/>
          </w:tcPr>
          <w:p>
            <w:pPr>
              <w:ind w:left="100"/>
              <w:spacing w:after="0"/>
              <w:rPr>
                <w:sz w:val="20"/>
                <w:szCs w:val="20"/>
                <w:color w:val="auto"/>
              </w:rPr>
            </w:pPr>
            <w:r>
              <w:rPr>
                <w:rFonts w:ascii="Arial" w:cs="Arial" w:eastAsia="Arial" w:hAnsi="Arial"/>
                <w:sz w:val="18"/>
                <w:szCs w:val="18"/>
                <w:color w:val="auto"/>
              </w:rPr>
              <w:t>Director of Flex Ltd. since September 2022.</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200" w:type="dxa"/>
            <w:vAlign w:val="bottom"/>
          </w:tcPr>
          <w:p>
            <w:pPr>
              <w:spacing w:after="0"/>
              <w:rPr>
                <w:sz w:val="12"/>
                <w:szCs w:val="12"/>
                <w:color w:val="auto"/>
              </w:rPr>
            </w:pPr>
          </w:p>
        </w:tc>
        <w:tc>
          <w:tcPr>
            <w:tcW w:w="160" w:type="dxa"/>
            <w:vAlign w:val="bottom"/>
            <w:tcBorders>
              <w:right w:val="single" w:sz="8" w:color="457157"/>
            </w:tcBorders>
          </w:tcPr>
          <w:p>
            <w:pPr>
              <w:spacing w:after="0"/>
              <w:rPr>
                <w:sz w:val="12"/>
                <w:szCs w:val="12"/>
                <w:color w:val="auto"/>
              </w:rPr>
            </w:pPr>
          </w:p>
        </w:tc>
        <w:tc>
          <w:tcPr>
            <w:tcW w:w="63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457157"/>
            </w:tcBorders>
          </w:tcPr>
          <w:p>
            <w:pPr>
              <w:spacing w:after="0"/>
              <w:rPr>
                <w:sz w:val="5"/>
                <w:szCs w:val="5"/>
                <w:color w:val="auto"/>
              </w:rPr>
            </w:pPr>
          </w:p>
        </w:tc>
        <w:tc>
          <w:tcPr>
            <w:tcW w:w="6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200" w:type="dxa"/>
            <w:vAlign w:val="bottom"/>
          </w:tcPr>
          <w:p>
            <w:pPr>
              <w:spacing w:after="0"/>
              <w:rPr>
                <w:sz w:val="15"/>
                <w:szCs w:val="15"/>
                <w:color w:val="auto"/>
              </w:rPr>
            </w:pPr>
          </w:p>
        </w:tc>
        <w:tc>
          <w:tcPr>
            <w:tcW w:w="160" w:type="dxa"/>
            <w:vAlign w:val="bottom"/>
            <w:tcBorders>
              <w:right w:val="single" w:sz="8" w:color="457157"/>
            </w:tcBorders>
          </w:tcPr>
          <w:p>
            <w:pPr>
              <w:spacing w:after="0"/>
              <w:rPr>
                <w:sz w:val="15"/>
                <w:szCs w:val="15"/>
                <w:color w:val="auto"/>
              </w:rPr>
            </w:pPr>
          </w:p>
        </w:tc>
        <w:tc>
          <w:tcPr>
            <w:tcW w:w="632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r>
              <w:rPr>
                <w:rFonts w:ascii="Arial" w:cs="Arial" w:eastAsia="Arial" w:hAnsi="Arial"/>
                <w:sz w:val="17"/>
                <w:szCs w:val="17"/>
                <w:color w:val="000000"/>
              </w:rPr>
              <w:t>​</w:t>
            </w: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60" w:type="dxa"/>
            <w:vAlign w:val="bottom"/>
          </w:tcPr>
          <w:p>
            <w:pPr>
              <w:spacing w:after="0" w:line="183" w:lineRule="exact"/>
              <w:rPr>
                <w:sz w:val="20"/>
                <w:szCs w:val="20"/>
                <w:color w:val="auto"/>
              </w:rPr>
            </w:pPr>
            <w:r>
              <w:rPr>
                <w:rFonts w:ascii="Arial" w:cs="Arial" w:eastAsia="Arial" w:hAnsi="Arial"/>
                <w:sz w:val="18"/>
                <w:szCs w:val="18"/>
                <w:color w:val="auto"/>
              </w:rPr>
              <w:t>Management</w:t>
            </w:r>
          </w:p>
        </w:tc>
        <w:tc>
          <w:tcPr>
            <w:tcW w:w="200" w:type="dxa"/>
            <w:vAlign w:val="bottom"/>
          </w:tcPr>
          <w:p>
            <w:pPr>
              <w:spacing w:after="0"/>
              <w:rPr>
                <w:sz w:val="15"/>
                <w:szCs w:val="15"/>
                <w:color w:val="auto"/>
              </w:rPr>
            </w:pPr>
          </w:p>
        </w:tc>
        <w:tc>
          <w:tcPr>
            <w:tcW w:w="160" w:type="dxa"/>
            <w:vAlign w:val="bottom"/>
            <w:tcBorders>
              <w:right w:val="single" w:sz="8" w:color="457157"/>
            </w:tcBorders>
          </w:tcPr>
          <w:p>
            <w:pPr>
              <w:spacing w:after="0"/>
              <w:rPr>
                <w:sz w:val="15"/>
                <w:szCs w:val="15"/>
                <w:color w:val="auto"/>
              </w:rPr>
            </w:pPr>
          </w:p>
        </w:tc>
        <w:tc>
          <w:tcPr>
            <w:tcW w:w="6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60" w:type="dxa"/>
            <w:vAlign w:val="bottom"/>
            <w:gridSpan w:val="2"/>
          </w:tcPr>
          <w:p>
            <w:pPr>
              <w:spacing w:after="0" w:line="181" w:lineRule="exact"/>
              <w:rPr>
                <w:sz w:val="20"/>
                <w:szCs w:val="20"/>
                <w:color w:val="auto"/>
              </w:rPr>
            </w:pPr>
            <w:r>
              <w:rPr>
                <w:rFonts w:ascii="Arial" w:cs="Arial" w:eastAsia="Arial" w:hAnsi="Arial"/>
                <w:sz w:val="18"/>
                <w:szCs w:val="18"/>
                <w:color w:val="auto"/>
              </w:rPr>
              <w:t>Development &amp;</w:t>
            </w:r>
          </w:p>
        </w:tc>
        <w:tc>
          <w:tcPr>
            <w:tcW w:w="160" w:type="dxa"/>
            <w:vAlign w:val="bottom"/>
            <w:tcBorders>
              <w:right w:val="single" w:sz="8" w:color="457157"/>
            </w:tcBorders>
          </w:tcPr>
          <w:p>
            <w:pPr>
              <w:spacing w:after="0"/>
              <w:rPr>
                <w:sz w:val="15"/>
                <w:szCs w:val="15"/>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As U.S. Managing Director and U.S. Head of Electrification for ABB Ltd., Maryrose</w:t>
            </w:r>
          </w:p>
        </w:tc>
        <w:tc>
          <w:tcPr>
            <w:tcW w:w="0" w:type="dxa"/>
            <w:vAlign w:val="bottom"/>
          </w:tcPr>
          <w:p>
            <w:pPr>
              <w:spacing w:after="0"/>
              <w:rPr>
                <w:sz w:val="1"/>
                <w:szCs w:val="1"/>
                <w:color w:val="auto"/>
              </w:rPr>
            </w:pPr>
          </w:p>
        </w:tc>
      </w:tr>
      <w:tr>
        <w:trPr>
          <w:trHeight w:val="116"/>
        </w:trPr>
        <w:tc>
          <w:tcPr>
            <w:tcW w:w="1260" w:type="dxa"/>
            <w:vAlign w:val="bottom"/>
            <w:vMerge w:val="restart"/>
          </w:tcPr>
          <w:p>
            <w:pPr>
              <w:spacing w:after="0" w:line="176"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0"/>
                <w:szCs w:val="10"/>
                <w:color w:val="auto"/>
              </w:rPr>
            </w:pPr>
          </w:p>
        </w:tc>
        <w:tc>
          <w:tcPr>
            <w:tcW w:w="160" w:type="dxa"/>
            <w:vAlign w:val="bottom"/>
            <w:tcBorders>
              <w:right w:val="single" w:sz="8" w:color="457157"/>
            </w:tcBorders>
          </w:tcPr>
          <w:p>
            <w:pPr>
              <w:spacing w:after="0"/>
              <w:rPr>
                <w:sz w:val="10"/>
                <w:szCs w:val="10"/>
                <w:color w:val="auto"/>
              </w:rPr>
            </w:pPr>
          </w:p>
        </w:tc>
        <w:tc>
          <w:tcPr>
            <w:tcW w:w="7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right w:val="single" w:sz="8" w:color="457157"/>
            </w:tcBorders>
          </w:tcPr>
          <w:p>
            <w:pPr>
              <w:spacing w:after="0"/>
              <w:rPr>
                <w:sz w:val="5"/>
                <w:szCs w:val="5"/>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Sylvester  was  responsible  for  ABB’s  largest  geographical  market  and  the</w:t>
            </w:r>
          </w:p>
        </w:tc>
        <w:tc>
          <w:tcPr>
            <w:tcW w:w="0" w:type="dxa"/>
            <w:vAlign w:val="bottom"/>
          </w:tcPr>
          <w:p>
            <w:pPr>
              <w:spacing w:after="0"/>
              <w:rPr>
                <w:sz w:val="1"/>
                <w:szCs w:val="1"/>
                <w:color w:val="auto"/>
              </w:rPr>
            </w:pPr>
          </w:p>
        </w:tc>
      </w:tr>
      <w:tr>
        <w:trPr>
          <w:trHeight w:val="175"/>
        </w:trPr>
        <w:tc>
          <w:tcPr>
            <w:tcW w:w="1260" w:type="dxa"/>
            <w:vAlign w:val="bottom"/>
          </w:tcPr>
          <w:p>
            <w:pPr>
              <w:spacing w:after="0" w:line="175" w:lineRule="exact"/>
              <w:rPr>
                <w:sz w:val="20"/>
                <w:szCs w:val="20"/>
                <w:color w:val="auto"/>
              </w:rPr>
            </w:pPr>
            <w:r>
              <w:rPr>
                <w:rFonts w:ascii="Arial" w:cs="Arial" w:eastAsia="Arial" w:hAnsi="Arial"/>
                <w:sz w:val="18"/>
                <w:szCs w:val="18"/>
                <w:color w:val="auto"/>
              </w:rPr>
              <w:t>and</w:t>
            </w:r>
          </w:p>
        </w:tc>
        <w:tc>
          <w:tcPr>
            <w:tcW w:w="200" w:type="dxa"/>
            <w:vAlign w:val="bottom"/>
          </w:tcPr>
          <w:p>
            <w:pPr>
              <w:spacing w:after="0"/>
              <w:rPr>
                <w:sz w:val="15"/>
                <w:szCs w:val="15"/>
                <w:color w:val="auto"/>
              </w:rPr>
            </w:pPr>
          </w:p>
        </w:tc>
        <w:tc>
          <w:tcPr>
            <w:tcW w:w="160" w:type="dxa"/>
            <w:vAlign w:val="bottom"/>
            <w:tcBorders>
              <w:right w:val="single" w:sz="8" w:color="457157"/>
            </w:tcBorders>
          </w:tcPr>
          <w:p>
            <w:pPr>
              <w:spacing w:after="0"/>
              <w:rPr>
                <w:sz w:val="15"/>
                <w:szCs w:val="15"/>
                <w:color w:val="auto"/>
              </w:rPr>
            </w:pPr>
          </w:p>
        </w:tc>
        <w:tc>
          <w:tcPr>
            <w:tcW w:w="75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Arial" w:cs="Arial" w:eastAsia="Arial" w:hAnsi="Arial"/>
                <w:sz w:val="18"/>
                <w:szCs w:val="18"/>
                <w:color w:val="auto"/>
              </w:rPr>
              <w:t>Nominating &amp;</w:t>
            </w:r>
          </w:p>
        </w:tc>
        <w:tc>
          <w:tcPr>
            <w:tcW w:w="200" w:type="dxa"/>
            <w:vAlign w:val="bottom"/>
          </w:tcPr>
          <w:p>
            <w:pPr>
              <w:spacing w:after="0"/>
              <w:rPr>
                <w:sz w:val="16"/>
                <w:szCs w:val="16"/>
                <w:color w:val="auto"/>
              </w:rPr>
            </w:pPr>
          </w:p>
        </w:tc>
        <w:tc>
          <w:tcPr>
            <w:tcW w:w="160" w:type="dxa"/>
            <w:vAlign w:val="bottom"/>
            <w:tcBorders>
              <w:right w:val="single" w:sz="8" w:color="457157"/>
            </w:tcBorders>
          </w:tcPr>
          <w:p>
            <w:pPr>
              <w:spacing w:after="0"/>
              <w:rPr>
                <w:sz w:val="16"/>
                <w:szCs w:val="16"/>
                <w:color w:val="auto"/>
              </w:rPr>
            </w:pPr>
          </w:p>
        </w:tc>
        <w:tc>
          <w:tcPr>
            <w:tcW w:w="7500" w:type="dxa"/>
            <w:vAlign w:val="bottom"/>
            <w:gridSpan w:val="3"/>
          </w:tcPr>
          <w:p>
            <w:pPr>
              <w:ind w:left="100"/>
              <w:spacing w:after="0" w:line="190" w:lineRule="exact"/>
              <w:rPr>
                <w:sz w:val="20"/>
                <w:szCs w:val="20"/>
                <w:color w:val="auto"/>
              </w:rPr>
            </w:pPr>
            <w:r>
              <w:rPr>
                <w:rFonts w:ascii="Arial" w:cs="Arial" w:eastAsia="Arial" w:hAnsi="Arial"/>
                <w:sz w:val="18"/>
                <w:szCs w:val="18"/>
                <w:color w:val="auto"/>
              </w:rPr>
              <w:t>implementation  of  operational  innovations.  Ms.  Sylvester  also  championed  the</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20"/>
                <w:szCs w:val="20"/>
                <w:color w:val="auto"/>
              </w:rPr>
            </w:pPr>
            <w:r>
              <w:rPr>
                <w:rFonts w:ascii="Arial" w:cs="Arial" w:eastAsia="Arial" w:hAnsi="Arial"/>
                <w:sz w:val="18"/>
                <w:szCs w:val="18"/>
                <w:color w:val="auto"/>
              </w:rPr>
              <w:t>Governance</w:t>
            </w:r>
          </w:p>
        </w:tc>
        <w:tc>
          <w:tcPr>
            <w:tcW w:w="200" w:type="dxa"/>
            <w:vAlign w:val="bottom"/>
          </w:tcPr>
          <w:p>
            <w:pPr>
              <w:spacing w:after="0"/>
              <w:rPr>
                <w:sz w:val="19"/>
                <w:szCs w:val="19"/>
                <w:color w:val="auto"/>
              </w:rPr>
            </w:pPr>
          </w:p>
        </w:tc>
        <w:tc>
          <w:tcPr>
            <w:tcW w:w="160" w:type="dxa"/>
            <w:vAlign w:val="bottom"/>
            <w:tcBorders>
              <w:right w:val="single" w:sz="8" w:color="457157"/>
            </w:tcBorders>
          </w:tcPr>
          <w:p>
            <w:pPr>
              <w:spacing w:after="0"/>
              <w:rPr>
                <w:sz w:val="19"/>
                <w:szCs w:val="19"/>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company’s  diversity  and  inclusion  efforts  and  accelerated  ABB’s  Encompass</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Diversity program.</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Prior to joining ABB Ltd., Ms. Sylvester spent more than 30 years at General</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Electric,  where  she  held  a  number  of  leadership  roles,  including  serving  as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President  and  Chief  Executive  Officer  of  each  of  GE  Lighting,  GE  Intelligent</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Platforms, which focused on industrial automation, and GE Current, a digital power</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service  business  that  delivers  integrated  energy  systems.  Ms.  Sylvester  was</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instrumental in launching the GE Women’s Network.</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Ms. Sylvester is a strategic, growth-oriented leader with a focus on the areas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technology,   innovation   and   automation.   Through   her   prior</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Ms.  Sylvester  has  developed  expertise  in  delivering  technology-enabled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energy-efficient  sustainable  solutions.  Ms.  Sylvester  provides  experience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extensive knowledge of product development, marketing, technology and supply</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chain strategy to the Board. Ms. Sylvester has in-depth expertise in the area of</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improving energy efficiency in response to climate risk. Ms. Sylvester also shares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insight from her prior experience to inform our strategy to improve processes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drive efficiency through automation. Ms. Sylvester is passionate about advancing</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diversity,  equity  and  inclusion  and  has  expertise  developing  and  driving  such</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initiatives  in  the  workplace.  Ms.  Sylvester  also  brings  valuable  governance</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experience from her service on the public company boards listed above.</w:t>
            </w:r>
          </w:p>
        </w:tc>
        <w:tc>
          <w:tcPr>
            <w:tcW w:w="0" w:type="dxa"/>
            <w:vAlign w:val="bottom"/>
          </w:tcPr>
          <w:p>
            <w:pPr>
              <w:spacing w:after="0"/>
              <w:rPr>
                <w:sz w:val="1"/>
                <w:szCs w:val="1"/>
                <w:color w:val="auto"/>
              </w:rPr>
            </w:pPr>
          </w:p>
        </w:tc>
      </w:tr>
      <w:tr>
        <w:trPr>
          <w:trHeight w:val="301"/>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She holds a bachelor’s degree in procurement and production management from</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Bowling Green State University and a master’s degree in business administration</w:t>
            </w:r>
          </w:p>
        </w:tc>
        <w:tc>
          <w:tcPr>
            <w:tcW w:w="0" w:type="dxa"/>
            <w:vAlign w:val="bottom"/>
          </w:tcPr>
          <w:p>
            <w:pPr>
              <w:spacing w:after="0"/>
              <w:rPr>
                <w:sz w:val="1"/>
                <w:szCs w:val="1"/>
                <w:color w:val="auto"/>
              </w:rPr>
            </w:pPr>
          </w:p>
        </w:tc>
      </w:tr>
      <w:tr>
        <w:trPr>
          <w:trHeight w:val="239"/>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from Cleveland State University.</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right w:val="single" w:sz="8" w:color="457157"/>
            </w:tcBorders>
          </w:tcPr>
          <w:p>
            <w:pPr>
              <w:spacing w:after="0"/>
              <w:rPr>
                <w:sz w:val="2"/>
                <w:szCs w:val="2"/>
                <w:color w:val="auto"/>
              </w:rPr>
            </w:pPr>
          </w:p>
        </w:tc>
        <w:tc>
          <w:tcPr>
            <w:tcW w:w="6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-5974715</wp:posOffset>
            </wp:positionV>
            <wp:extent cx="960120" cy="12001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60120" cy="12001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85725</wp:posOffset>
            </wp:positionV>
            <wp:extent cx="5220335" cy="488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203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DIRECTOR AND OFFICER STOCK OWNERSHIP</w:t>
      </w:r>
    </w:p>
    <w:p>
      <w:pPr>
        <w:spacing w:after="0" w:line="118"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68"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and each executive officer named in the Summary Compensation Table beneficially owned as of March 5, 2024, as well as the number owned by all directors and executive officers as a group. These individuals, both individually and in the aggregate, own less than 1% of our outstanding shares as of the record date.</w:t>
      </w:r>
    </w:p>
    <w:p>
      <w:pPr>
        <w:spacing w:after="0" w:line="38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SECURITY OWNERSHIP OF MANAGEMENT</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Shares of Common</w:t>
            </w:r>
          </w:p>
        </w:tc>
        <w:tc>
          <w:tcPr>
            <w:tcW w:w="2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457157"/>
              </w:rPr>
              <w:t>Shares of Common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457157"/>
              </w:rPr>
              <w:t>​Name</w:t>
            </w:r>
          </w:p>
        </w:tc>
        <w:tc>
          <w:tcPr>
            <w:tcW w:w="16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Stock Covered by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540" w:type="dxa"/>
            <w:vAlign w:val="bottom"/>
            <w:vMerge w:val="continue"/>
          </w:tcPr>
          <w:p>
            <w:pPr>
              <w:spacing w:after="0"/>
              <w:rPr>
                <w:sz w:val="15"/>
                <w:szCs w:val="15"/>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b w:val="1"/>
                <w:bCs w:val="1"/>
                <w:color w:val="457157"/>
              </w:rPr>
              <w:t>​​</w:t>
            </w:r>
          </w:p>
        </w:tc>
        <w:tc>
          <w:tcPr>
            <w:tcW w:w="3140" w:type="dxa"/>
            <w:vAlign w:val="bottom"/>
            <w:gridSpan w:val="6"/>
          </w:tcPr>
          <w:p>
            <w:pPr>
              <w:jc w:val="right"/>
              <w:spacing w:after="0"/>
              <w:rPr>
                <w:sz w:val="20"/>
                <w:szCs w:val="20"/>
                <w:color w:val="auto"/>
              </w:rPr>
            </w:pPr>
            <w:r>
              <w:rPr>
                <w:rFonts w:ascii="Arial" w:cs="Arial" w:eastAsia="Arial" w:hAnsi="Arial"/>
                <w:sz w:val="14"/>
                <w:szCs w:val="14"/>
                <w:b w:val="1"/>
                <w:bCs w:val="1"/>
                <w:color w:val="457157"/>
              </w:rPr>
              <w:t>Stock Owned</w:t>
            </w:r>
            <w:r>
              <w:rPr>
                <w:rFonts w:ascii="Arial" w:cs="Arial" w:eastAsia="Arial" w:hAnsi="Arial"/>
                <w:sz w:val="8"/>
                <w:szCs w:val="8"/>
                <w:b w:val="1"/>
                <w:bCs w:val="1"/>
                <w:color w:val="457157"/>
              </w:rPr>
              <w:t>(1)</w:t>
            </w:r>
            <w:r>
              <w:rPr>
                <w:rFonts w:ascii="Arial" w:cs="Arial" w:eastAsia="Arial" w:hAnsi="Arial"/>
                <w:sz w:val="14"/>
                <w:szCs w:val="14"/>
                <w:b w:val="1"/>
                <w:bCs w:val="1"/>
                <w:color w:val="457157"/>
              </w:rPr>
              <w:t xml:space="preserve">  ​​Exercisable Options</w:t>
            </w:r>
            <w:r>
              <w:rPr>
                <w:rFonts w:ascii="Arial" w:cs="Arial" w:eastAsia="Arial" w:hAnsi="Arial"/>
                <w:sz w:val="8"/>
                <w:szCs w:val="8"/>
                <w:b w:val="1"/>
                <w:bCs w:val="1"/>
                <w:color w:val="457157"/>
              </w:rPr>
              <w:t>(2)</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​Thomas L. Bené</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579</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tcPr>
          <w:p>
            <w:pPr>
              <w:spacing w:after="0" w:line="156" w:lineRule="exact"/>
              <w:rPr>
                <w:sz w:val="20"/>
                <w:szCs w:val="20"/>
                <w:color w:val="auto"/>
              </w:rPr>
            </w:pPr>
            <w:r>
              <w:rPr>
                <w:rFonts w:ascii="Arial" w:cs="Arial" w:eastAsia="Arial" w:hAnsi="Arial"/>
                <w:sz w:val="14"/>
                <w:szCs w:val="14"/>
                <w:color w:val="auto"/>
              </w:rPr>
              <w:t>Bruce E. Chinn</w:t>
            </w:r>
            <w:r>
              <w:rPr>
                <w:rFonts w:ascii="Arial" w:cs="Arial" w:eastAsia="Arial" w:hAnsi="Arial"/>
                <w:sz w:val="18"/>
                <w:szCs w:val="18"/>
                <w:color w:val="auto"/>
                <w:vertAlign w:val="superscript"/>
              </w:rPr>
              <w:t>(3)</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1,321</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​Andrés R. Gluski</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15,975</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40" w:type="dxa"/>
            <w:vAlign w:val="bottom"/>
          </w:tcPr>
          <w:p>
            <w:pPr>
              <w:spacing w:after="0" w:line="156" w:lineRule="exact"/>
              <w:rPr>
                <w:sz w:val="20"/>
                <w:szCs w:val="20"/>
                <w:color w:val="auto"/>
              </w:rPr>
            </w:pPr>
            <w:r>
              <w:rPr>
                <w:rFonts w:ascii="Arial" w:cs="Arial" w:eastAsia="Arial" w:hAnsi="Arial"/>
                <w:sz w:val="14"/>
                <w:szCs w:val="14"/>
                <w:color w:val="auto"/>
              </w:rPr>
              <w:t>Victoria M. Holt</w:t>
            </w:r>
            <w:r>
              <w:rPr>
                <w:rFonts w:ascii="Arial" w:cs="Arial" w:eastAsia="Arial" w:hAnsi="Arial"/>
                <w:sz w:val="18"/>
                <w:szCs w:val="18"/>
                <w:color w:val="auto"/>
                <w:vertAlign w:val="superscript"/>
              </w:rPr>
              <w:t>(4)</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21,473</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tcPr>
          <w:p>
            <w:pPr>
              <w:spacing w:after="0" w:line="156" w:lineRule="exact"/>
              <w:rPr>
                <w:sz w:val="20"/>
                <w:szCs w:val="20"/>
                <w:color w:val="auto"/>
              </w:rPr>
            </w:pPr>
            <w:r>
              <w:rPr>
                <w:rFonts w:ascii="Arial" w:cs="Arial" w:eastAsia="Arial" w:hAnsi="Arial"/>
                <w:sz w:val="14"/>
                <w:szCs w:val="14"/>
                <w:color w:val="auto"/>
              </w:rPr>
              <w:t>Kathleen M. Mazzarella</w:t>
            </w:r>
            <w:r>
              <w:rPr>
                <w:rFonts w:ascii="Arial" w:cs="Arial" w:eastAsia="Arial" w:hAnsi="Arial"/>
                <w:sz w:val="18"/>
                <w:szCs w:val="18"/>
                <w:color w:val="auto"/>
                <w:vertAlign w:val="superscript"/>
              </w:rPr>
              <w:t>(5)</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14,574</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​Sean E. Menke</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3,767</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40" w:type="dxa"/>
            <w:vAlign w:val="bottom"/>
          </w:tcPr>
          <w:p>
            <w:pPr>
              <w:spacing w:after="0" w:line="156" w:lineRule="exact"/>
              <w:rPr>
                <w:sz w:val="20"/>
                <w:szCs w:val="20"/>
                <w:color w:val="auto"/>
              </w:rPr>
            </w:pPr>
            <w:r>
              <w:rPr>
                <w:rFonts w:ascii="Arial" w:cs="Arial" w:eastAsia="Arial" w:hAnsi="Arial"/>
                <w:sz w:val="14"/>
                <w:szCs w:val="14"/>
                <w:color w:val="auto"/>
              </w:rPr>
              <w:t>William B. Plummer</w:t>
            </w:r>
            <w:r>
              <w:rPr>
                <w:rFonts w:ascii="Arial" w:cs="Arial" w:eastAsia="Arial" w:hAnsi="Arial"/>
                <w:sz w:val="18"/>
                <w:szCs w:val="18"/>
                <w:color w:val="auto"/>
                <w:vertAlign w:val="superscript"/>
              </w:rPr>
              <w:t>(6)</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5,992</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​John C. Pope</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56,461</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​Maryrose T. Sylvester</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3,767</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tcPr>
          <w:p>
            <w:pPr>
              <w:spacing w:after="0" w:line="156" w:lineRule="exact"/>
              <w:rPr>
                <w:sz w:val="20"/>
                <w:szCs w:val="20"/>
                <w:color w:val="auto"/>
              </w:rPr>
            </w:pPr>
            <w:r>
              <w:rPr>
                <w:rFonts w:ascii="Arial" w:cs="Arial" w:eastAsia="Arial" w:hAnsi="Arial"/>
                <w:sz w:val="14"/>
                <w:szCs w:val="14"/>
                <w:color w:val="auto"/>
              </w:rPr>
              <w:t>James C. Fish, Jr.</w:t>
            </w:r>
            <w:r>
              <w:rPr>
                <w:rFonts w:ascii="Arial" w:cs="Arial" w:eastAsia="Arial" w:hAnsi="Arial"/>
                <w:sz w:val="18"/>
                <w:szCs w:val="18"/>
                <w:color w:val="auto"/>
                <w:vertAlign w:val="superscript"/>
              </w:rPr>
              <w:t>(7)</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298,540</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63,930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​Devina A. Rankin</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59,170</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65,398</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​John J. Morris, Jr.</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90,205</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32,503</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​Rafael E. Carrasco</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11,006</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20,883</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2" w:lineRule="exact"/>
              <w:rPr>
                <w:sz w:val="20"/>
                <w:szCs w:val="20"/>
                <w:color w:val="auto"/>
              </w:rPr>
            </w:pPr>
            <w:r>
              <w:rPr>
                <w:rFonts w:ascii="Arial" w:cs="Arial" w:eastAsia="Arial" w:hAnsi="Arial"/>
                <w:sz w:val="18"/>
                <w:szCs w:val="18"/>
                <w:color w:val="auto"/>
              </w:rPr>
              <w:t>​Tara J. Hemmer</w:t>
            </w:r>
          </w:p>
        </w:tc>
        <w:tc>
          <w:tcPr>
            <w:tcW w:w="420" w:type="dxa"/>
            <w:vAlign w:val="bottom"/>
          </w:tcPr>
          <w:p>
            <w:pPr>
              <w:jc w:val="right"/>
              <w:ind w:right="72"/>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50,489</w:t>
            </w:r>
          </w:p>
        </w:tc>
        <w:tc>
          <w:tcPr>
            <w:tcW w:w="26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480" w:type="dxa"/>
            <w:vAlign w:val="bottom"/>
          </w:tcPr>
          <w:p>
            <w:pPr>
              <w:ind w:left="32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52,800</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tcPr>
          <w:p>
            <w:pPr>
              <w:spacing w:after="0" w:line="156" w:lineRule="exact"/>
              <w:rPr>
                <w:sz w:val="20"/>
                <w:szCs w:val="20"/>
                <w:color w:val="auto"/>
              </w:rPr>
            </w:pPr>
            <w:r>
              <w:rPr>
                <w:rFonts w:ascii="Arial" w:cs="Arial" w:eastAsia="Arial" w:hAnsi="Arial"/>
                <w:sz w:val="14"/>
                <w:szCs w:val="14"/>
                <w:color w:val="auto"/>
              </w:rPr>
              <w:t>All directors and executive officers as a group (21 persons)</w:t>
            </w:r>
            <w:r>
              <w:rPr>
                <w:rFonts w:ascii="Arial" w:cs="Arial" w:eastAsia="Arial" w:hAnsi="Arial"/>
                <w:sz w:val="18"/>
                <w:szCs w:val="18"/>
                <w:color w:val="auto"/>
                <w:vertAlign w:val="superscript"/>
              </w:rPr>
              <w:t>(8)</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740,508</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tcPr>
          <w:p>
            <w:pPr>
              <w:jc w:val="right"/>
              <w:ind w:right="330"/>
              <w:spacing w:after="0"/>
              <w:rPr>
                <w:sz w:val="20"/>
                <w:szCs w:val="20"/>
                <w:color w:val="auto"/>
              </w:rPr>
            </w:pPr>
            <w:r>
              <w:rPr>
                <w:rFonts w:ascii="Arial" w:cs="Arial" w:eastAsia="Arial" w:hAnsi="Arial"/>
                <w:sz w:val="18"/>
                <w:szCs w:val="18"/>
                <w:color w:val="auto"/>
              </w:rPr>
              <w:t>​​ 383,475</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540" w:type="dxa"/>
            <w:vAlign w:val="bottom"/>
          </w:tcPr>
          <w:p>
            <w:pPr>
              <w:spacing w:after="0" w:line="54"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-2039620</wp:posOffset>
            </wp:positionV>
            <wp:extent cx="576072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-1765300</wp:posOffset>
            </wp:positionV>
            <wp:extent cx="5760720"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-1490980</wp:posOffset>
            </wp:positionV>
            <wp:extent cx="57607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607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-1216660</wp:posOffset>
            </wp:positionV>
            <wp:extent cx="57607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607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-942340</wp:posOffset>
            </wp:positionV>
            <wp:extent cx="576072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-668020</wp:posOffset>
            </wp:positionV>
            <wp:extent cx="576072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-410845</wp:posOffset>
            </wp:positionV>
            <wp:extent cx="576072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spacing w:after="0" w:line="15" w:lineRule="exact"/>
        <w:rPr>
          <w:sz w:val="20"/>
          <w:szCs w:val="20"/>
          <w:color w:val="auto"/>
        </w:rPr>
      </w:pPr>
    </w:p>
    <w:p>
      <w:pPr>
        <w:jc w:val="both"/>
        <w:ind w:left="1180" w:right="60" w:hanging="364"/>
        <w:spacing w:after="0" w:line="256"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table reports beneficial ownership in accordance with Rule 13d-3 under the Exchange Act. The amounts reported above include 4,218 stock equivalents attributed to Mr. Fish and 2,372 stock equivalents attributed to Mr. Morris,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115" w:lineRule="exact"/>
        <w:rPr>
          <w:rFonts w:ascii="Arial" w:cs="Arial" w:eastAsia="Arial" w:hAnsi="Arial"/>
          <w:sz w:val="18"/>
          <w:szCs w:val="18"/>
          <w:color w:val="auto"/>
        </w:rPr>
      </w:pPr>
    </w:p>
    <w:p>
      <w:pPr>
        <w:jc w:val="both"/>
        <w:ind w:left="1180" w:right="60"/>
        <w:spacing w:after="0" w:line="257" w:lineRule="auto"/>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2,575 phantom stock equivalents under the 409A Deferral Plan.</w:t>
      </w:r>
    </w:p>
    <w:p>
      <w:pPr>
        <w:spacing w:after="0" w:line="7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the record date.</w:t>
      </w:r>
    </w:p>
    <w:p>
      <w:pPr>
        <w:spacing w:after="0" w:line="44" w:lineRule="exact"/>
        <w:rPr>
          <w:rFonts w:ascii="Arial" w:cs="Arial" w:eastAsia="Arial" w:hAnsi="Arial"/>
          <w:sz w:val="18"/>
          <w:szCs w:val="18"/>
          <w:color w:val="auto"/>
        </w:rPr>
      </w:pPr>
    </w:p>
    <w:p>
      <w:pPr>
        <w:ind w:left="1180" w:hanging="364"/>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are held by the Chinn Family Trust, for which Mr. Chinn and his wife serve as trustees.</w:t>
      </w:r>
    </w:p>
    <w:p>
      <w:pPr>
        <w:spacing w:after="0" w:line="117" w:lineRule="exact"/>
        <w:rPr>
          <w:rFonts w:ascii="Arial" w:cs="Arial" w:eastAsia="Arial" w:hAnsi="Arial"/>
          <w:sz w:val="18"/>
          <w:szCs w:val="18"/>
          <w:color w:val="auto"/>
        </w:rPr>
      </w:pPr>
    </w:p>
    <w:p>
      <w:pPr>
        <w:ind w:left="1180" w:right="780" w:hanging="364"/>
        <w:spacing w:after="0" w:line="263"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are held by the Victoria M. Holt Trust, for which Ms. Holt and her husband serve as trustees.</w:t>
      </w:r>
    </w:p>
    <w:p>
      <w:pPr>
        <w:spacing w:after="0" w:line="313" w:lineRule="exact"/>
        <w:rPr>
          <w:rFonts w:ascii="Arial" w:cs="Arial" w:eastAsia="Arial" w:hAnsi="Arial"/>
          <w:sz w:val="18"/>
          <w:szCs w:val="18"/>
          <w:color w:val="auto"/>
        </w:rPr>
      </w:pPr>
    </w:p>
    <w:p>
      <w:pPr>
        <w:ind w:left="1180" w:right="260" w:hanging="364"/>
        <w:spacing w:after="0" w:line="28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are held by the Mazzarella Living Trust, for which Ms. Mazzarella and her husband serve as trustees.</w:t>
      </w:r>
    </w:p>
    <w:p>
      <w:pPr>
        <w:spacing w:after="0" w:line="44" w:lineRule="exact"/>
        <w:rPr>
          <w:rFonts w:ascii="Arial" w:cs="Arial" w:eastAsia="Arial" w:hAnsi="Arial"/>
          <w:sz w:val="18"/>
          <w:szCs w:val="18"/>
          <w:color w:val="auto"/>
        </w:rPr>
      </w:pPr>
    </w:p>
    <w:p>
      <w:pPr>
        <w:ind w:left="1180" w:right="80" w:hanging="364"/>
        <w:spacing w:after="0" w:line="232"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this total, 1,623 shares are held by TPO Collectibles LLC, an entity wholly-owned and controlled by Mr. Plummer and his wife.</w:t>
      </w: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428625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-175260</wp:posOffset>
            </wp:positionV>
            <wp:extent cx="4718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80" w:hanging="36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95,977 shares held in trusts for the benefit of Mr. Fish’s children.</w:t>
      </w:r>
    </w:p>
    <w:p>
      <w:pPr>
        <w:spacing w:after="0" w:line="117" w:lineRule="exact"/>
        <w:rPr>
          <w:rFonts w:ascii="Arial" w:cs="Arial" w:eastAsia="Arial" w:hAnsi="Arial"/>
          <w:sz w:val="18"/>
          <w:szCs w:val="18"/>
          <w:color w:val="auto"/>
        </w:rPr>
      </w:pPr>
    </w:p>
    <w:p>
      <w:pPr>
        <w:ind w:left="1180" w:right="40" w:hanging="364"/>
        <w:spacing w:after="0" w:line="266"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13,718 stock equivalents attributable to the</w:t>
      </w:r>
    </w:p>
    <w:p>
      <w:pPr>
        <w:ind w:left="1180" w:right="40"/>
        <w:spacing w:after="0"/>
        <w:rPr>
          <w:rFonts w:ascii="Arial" w:cs="Arial" w:eastAsia="Arial" w:hAnsi="Arial"/>
          <w:sz w:val="18"/>
          <w:szCs w:val="18"/>
          <w:color w:val="auto"/>
        </w:rPr>
      </w:pPr>
      <w:r>
        <w:rPr>
          <w:rFonts w:ascii="Arial" w:cs="Arial" w:eastAsia="Arial" w:hAnsi="Arial"/>
          <w:sz w:val="18"/>
          <w:szCs w:val="18"/>
          <w:color w:val="auto"/>
        </w:rPr>
        <w:t>executive officers’ collective holdings in the Company’s 401(k) Retirement Savings Plan stock fund.</w:t>
      </w:r>
    </w:p>
    <w:p>
      <w:pPr>
        <w:spacing w:after="0" w:line="354" w:lineRule="exact"/>
        <w:rPr>
          <w:sz w:val="20"/>
          <w:szCs w:val="20"/>
          <w:color w:val="auto"/>
        </w:rPr>
      </w:pPr>
    </w:p>
    <w:p>
      <w:pPr>
        <w:ind w:left="820" w:right="440"/>
        <w:spacing w:after="0" w:line="275" w:lineRule="auto"/>
        <w:rPr>
          <w:sz w:val="20"/>
          <w:szCs w:val="20"/>
          <w:color w:val="auto"/>
        </w:rPr>
      </w:pPr>
      <w:r>
        <w:rPr>
          <w:rFonts w:ascii="Arial" w:cs="Arial" w:eastAsia="Arial" w:hAnsi="Arial"/>
          <w:sz w:val="33"/>
          <w:szCs w:val="33"/>
          <w:b w:val="1"/>
          <w:bCs w:val="1"/>
          <w:color w:val="457157"/>
        </w:rPr>
        <w:t>SECURITY OWNERSHIP OF CERTAIN BENEFICIAL OWNERS</w:t>
      </w:r>
    </w:p>
    <w:p>
      <w:pPr>
        <w:ind w:left="820" w:right="60"/>
        <w:spacing w:after="0" w:line="287"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11, 2024.</w:t>
      </w:r>
    </w:p>
    <w:p>
      <w:pPr>
        <w:spacing w:after="0" w:line="6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4"/>
                <w:szCs w:val="14"/>
                <w:b w:val="1"/>
                <w:bCs w:val="1"/>
                <w:color w:val="457157"/>
              </w:rPr>
              <w:t>Shares Beneficially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tcPr>
          <w:p>
            <w:pPr>
              <w:jc w:val="center"/>
              <w:ind w:right="5156"/>
              <w:spacing w:after="0"/>
              <w:rPr>
                <w:sz w:val="20"/>
                <w:szCs w:val="20"/>
                <w:color w:val="auto"/>
              </w:rPr>
            </w:pPr>
            <w:r>
              <w:rPr>
                <w:rFonts w:ascii="Arial" w:cs="Arial" w:eastAsia="Arial" w:hAnsi="Arial"/>
                <w:sz w:val="14"/>
                <w:szCs w:val="14"/>
                <w:b w:val="1"/>
                <w:bCs w:val="1"/>
                <w:color w:val="457157"/>
              </w:rPr>
              <w:t>​​</w:t>
            </w:r>
          </w:p>
        </w:tc>
        <w:tc>
          <w:tcPr>
            <w:tcW w:w="1840" w:type="dxa"/>
            <w:vAlign w:val="bottom"/>
            <w:gridSpan w:val="2"/>
          </w:tcPr>
          <w:p>
            <w:pPr>
              <w:ind w:left="1520"/>
              <w:spacing w:after="0"/>
              <w:rPr>
                <w:sz w:val="20"/>
                <w:szCs w:val="20"/>
                <w:color w:val="auto"/>
              </w:rPr>
            </w:pPr>
            <w:r>
              <w:rPr>
                <w:rFonts w:ascii="Arial" w:cs="Arial" w:eastAsia="Arial" w:hAnsi="Arial"/>
                <w:sz w:val="14"/>
                <w:szCs w:val="14"/>
                <w:b w:val="1"/>
                <w:bCs w:val="1"/>
                <w:color w:val="457157"/>
              </w:rPr>
              <w:t>​ ​</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Owned</w:t>
            </w: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tcPr>
          <w:p>
            <w:pPr>
              <w:ind w:left="40"/>
              <w:spacing w:after="0"/>
              <w:rPr>
                <w:sz w:val="20"/>
                <w:szCs w:val="20"/>
                <w:color w:val="auto"/>
              </w:rPr>
            </w:pPr>
            <w:r>
              <w:rPr>
                <w:rFonts w:ascii="Arial" w:cs="Arial" w:eastAsia="Arial" w:hAnsi="Arial"/>
                <w:sz w:val="14"/>
                <w:szCs w:val="14"/>
                <w:b w:val="1"/>
                <w:bCs w:val="1"/>
                <w:color w:val="457157"/>
              </w:rPr>
              <w:t>Name and Address</w:t>
            </w:r>
          </w:p>
        </w:tc>
        <w:tc>
          <w:tcPr>
            <w:tcW w:w="184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457157"/>
              </w:rPr>
              <w:t>​ ​</w:t>
            </w:r>
          </w:p>
        </w:tc>
        <w:tc>
          <w:tcPr>
            <w:tcW w:w="840" w:type="dxa"/>
            <w:vAlign w:val="bottom"/>
          </w:tcPr>
          <w:p>
            <w:pPr>
              <w:ind w:left="120"/>
              <w:spacing w:after="0"/>
              <w:rPr>
                <w:sz w:val="20"/>
                <w:szCs w:val="20"/>
                <w:color w:val="auto"/>
              </w:rPr>
            </w:pPr>
            <w:r>
              <w:rPr>
                <w:rFonts w:ascii="Arial" w:cs="Arial" w:eastAsia="Arial" w:hAnsi="Arial"/>
                <w:sz w:val="14"/>
                <w:szCs w:val="14"/>
                <w:b w:val="1"/>
                <w:bCs w:val="1"/>
                <w:color w:val="457157"/>
              </w:rPr>
              <w:t>Number</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700" w:type="dxa"/>
            <w:vAlign w:val="bottom"/>
          </w:tcPr>
          <w:p>
            <w:pPr>
              <w:spacing w:after="0" w:line="183" w:lineRule="exact"/>
              <w:rPr>
                <w:sz w:val="20"/>
                <w:szCs w:val="20"/>
                <w:color w:val="auto"/>
              </w:rPr>
            </w:pPr>
            <w:r>
              <w:rPr>
                <w:rFonts w:ascii="Arial" w:cs="Arial" w:eastAsia="Arial" w:hAnsi="Arial"/>
                <w:sz w:val="14"/>
                <w:szCs w:val="14"/>
                <w:b w:val="1"/>
                <w:bCs w:val="1"/>
                <w:color w:val="457157"/>
              </w:rPr>
              <w:t>Percent</w:t>
            </w:r>
            <w:r>
              <w:rPr>
                <w:rFonts w:ascii="Arial" w:cs="Arial" w:eastAsia="Arial" w:hAnsi="Arial"/>
                <w:sz w:val="17"/>
                <w:szCs w:val="17"/>
                <w:b w:val="1"/>
                <w:bCs w:val="1"/>
                <w:color w:val="457157"/>
                <w:vertAlign w:val="superscript"/>
              </w:rPr>
              <w:t>(1)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5320" w:type="dxa"/>
            <w:vAlign w:val="bottom"/>
          </w:tcPr>
          <w:p>
            <w:pPr>
              <w:jc w:val="center"/>
              <w:ind w:right="5156"/>
              <w:spacing w:after="0" w:line="68" w:lineRule="exact"/>
              <w:rPr>
                <w:sz w:val="20"/>
                <w:szCs w:val="20"/>
                <w:color w:val="auto"/>
              </w:rPr>
            </w:pPr>
            <w:r>
              <w:rPr>
                <w:rFonts w:ascii="Arial" w:cs="Arial" w:eastAsia="Arial" w:hAnsi="Arial"/>
                <w:sz w:val="7"/>
                <w:szCs w:val="7"/>
                <w:b w:val="1"/>
                <w:bCs w:val="1"/>
                <w:color w:val="457157"/>
              </w:rPr>
              <w:t>​</w:t>
            </w:r>
          </w:p>
        </w:tc>
        <w:tc>
          <w:tcPr>
            <w:tcW w:w="18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1360" w:type="dxa"/>
            <w:vAlign w:val="bottom"/>
            <w:gridSpan w:val="3"/>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​The Vanguard Group</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​​36,159,856</w:t>
            </w:r>
            <w:r>
              <w:rPr>
                <w:rFonts w:ascii="Arial" w:cs="Arial" w:eastAsia="Arial" w:hAnsi="Arial"/>
                <w:sz w:val="23"/>
                <w:szCs w:val="23"/>
                <w:color w:val="auto"/>
                <w:vertAlign w:val="superscript"/>
              </w:rPr>
              <w:t>(2)</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320" w:type="dxa"/>
            <w:vAlign w:val="bottom"/>
            <w:tcBorders>
              <w:bottom w:val="single" w:sz="8" w:color="457157"/>
            </w:tcBorders>
          </w:tcPr>
          <w:p>
            <w:pPr>
              <w:spacing w:after="0"/>
              <w:rPr>
                <w:sz w:val="2"/>
                <w:szCs w:val="2"/>
                <w:color w:val="auto"/>
              </w:rPr>
            </w:pPr>
          </w:p>
        </w:tc>
        <w:tc>
          <w:tcPr>
            <w:tcW w:w="1620" w:type="dxa"/>
            <w:vAlign w:val="bottom"/>
            <w:tcBorders>
              <w:bottom w:val="single" w:sz="8" w:color="457157"/>
            </w:tcBorders>
          </w:tcPr>
          <w:p>
            <w:pPr>
              <w:spacing w:after="0"/>
              <w:rPr>
                <w:sz w:val="2"/>
                <w:szCs w:val="2"/>
                <w:color w:val="auto"/>
              </w:rPr>
            </w:pPr>
          </w:p>
        </w:tc>
        <w:tc>
          <w:tcPr>
            <w:tcW w:w="1360" w:type="dxa"/>
            <w:vAlign w:val="bottom"/>
            <w:tcBorders>
              <w:bottom w:val="single" w:sz="8" w:color="457157"/>
            </w:tcBorders>
            <w:gridSpan w:val="3"/>
          </w:tcPr>
          <w:p>
            <w:pPr>
              <w:spacing w:after="0"/>
              <w:rPr>
                <w:sz w:val="2"/>
                <w:szCs w:val="2"/>
                <w:color w:val="auto"/>
              </w:rPr>
            </w:pPr>
          </w:p>
        </w:tc>
        <w:tc>
          <w:tcPr>
            <w:tcW w:w="700" w:type="dxa"/>
            <w:vAlign w:val="bottom"/>
            <w:tcBorders>
              <w:bottom w:val="single" w:sz="8" w:color="45715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​Melinda French Gates; William H. Gates III</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​​35,238,154</w:t>
            </w:r>
            <w:r>
              <w:rPr>
                <w:rFonts w:ascii="Arial" w:cs="Arial" w:eastAsia="Arial" w:hAnsi="Arial"/>
                <w:sz w:val="23"/>
                <w:szCs w:val="23"/>
                <w:color w:val="auto"/>
                <w:vertAlign w:val="superscript"/>
              </w:rPr>
              <w:t>(3)</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500 Fifth Avenue North</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Seattle, WA 98109</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320" w:type="dxa"/>
            <w:vAlign w:val="bottom"/>
          </w:tcPr>
          <w:p>
            <w:pPr>
              <w:ind w:left="40"/>
              <w:spacing w:after="0"/>
              <w:rPr>
                <w:sz w:val="20"/>
                <w:szCs w:val="20"/>
                <w:color w:val="auto"/>
              </w:rPr>
            </w:pPr>
            <w:r>
              <w:rPr>
                <w:rFonts w:ascii="Arial" w:cs="Arial" w:eastAsia="Arial" w:hAnsi="Arial"/>
                <w:sz w:val="18"/>
                <w:szCs w:val="18"/>
                <w:color w:val="auto"/>
              </w:rPr>
              <w:t>Bill &amp; Melinda Gates Foundation Trust</w:t>
            </w: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2365 Carillon Point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Kirkland, WA 98033</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5320" w:type="dxa"/>
            <w:vAlign w:val="bottom"/>
            <w:tcBorders>
              <w:bottom w:val="single" w:sz="8" w:color="457157"/>
            </w:tcBorders>
          </w:tcPr>
          <w:p>
            <w:pPr>
              <w:spacing w:after="0"/>
              <w:rPr>
                <w:sz w:val="3"/>
                <w:szCs w:val="3"/>
                <w:color w:val="auto"/>
              </w:rPr>
            </w:pPr>
          </w:p>
        </w:tc>
        <w:tc>
          <w:tcPr>
            <w:tcW w:w="1620" w:type="dxa"/>
            <w:vAlign w:val="bottom"/>
            <w:tcBorders>
              <w:bottom w:val="single" w:sz="8" w:color="457157"/>
            </w:tcBorders>
          </w:tcPr>
          <w:p>
            <w:pPr>
              <w:spacing w:after="0"/>
              <w:rPr>
                <w:sz w:val="3"/>
                <w:szCs w:val="3"/>
                <w:color w:val="auto"/>
              </w:rPr>
            </w:pPr>
          </w:p>
        </w:tc>
        <w:tc>
          <w:tcPr>
            <w:tcW w:w="1360" w:type="dxa"/>
            <w:vAlign w:val="bottom"/>
            <w:tcBorders>
              <w:bottom w:val="single" w:sz="8" w:color="457157"/>
            </w:tcBorders>
            <w:gridSpan w:val="3"/>
          </w:tcPr>
          <w:p>
            <w:pPr>
              <w:spacing w:after="0"/>
              <w:rPr>
                <w:sz w:val="3"/>
                <w:szCs w:val="3"/>
                <w:color w:val="auto"/>
              </w:rPr>
            </w:pPr>
          </w:p>
        </w:tc>
        <w:tc>
          <w:tcPr>
            <w:tcW w:w="700" w:type="dxa"/>
            <w:vAlign w:val="bottom"/>
            <w:tcBorders>
              <w:bottom w:val="single" w:sz="8" w:color="457157"/>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​​28,665,838</w:t>
            </w:r>
            <w:r>
              <w:rPr>
                <w:rFonts w:ascii="Arial" w:cs="Arial" w:eastAsia="Arial" w:hAnsi="Arial"/>
                <w:sz w:val="23"/>
                <w:szCs w:val="23"/>
                <w:color w:val="auto"/>
                <w:vertAlign w:val="superscript"/>
              </w:rPr>
              <w:t>(4)</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50 Hudson Yards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New York, NY 10001</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-1819275</wp:posOffset>
            </wp:positionV>
            <wp:extent cx="5760720" cy="4540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60720" cy="4540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-439420</wp:posOffset>
            </wp:positionV>
            <wp:extent cx="5760720" cy="4629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60720" cy="462915"/>
                    </a:xfrm>
                    <a:prstGeom prst="rect">
                      <a:avLst/>
                    </a:prstGeom>
                    <a:noFill/>
                  </pic:spPr>
                </pic:pic>
              </a:graphicData>
            </a:graphic>
          </wp:anchor>
        </w:drawing>
      </w:r>
    </w:p>
    <w:p>
      <w:pPr>
        <w:spacing w:after="0" w:line="52" w:lineRule="exact"/>
        <w:rPr>
          <w:sz w:val="20"/>
          <w:szCs w:val="20"/>
          <w:color w:val="auto"/>
        </w:rPr>
      </w:pPr>
    </w:p>
    <w:p>
      <w:pPr>
        <w:ind w:left="1180" w:right="60" w:hanging="364"/>
        <w:spacing w:after="0" w:line="28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Percentage is calculated based on 401,598,077 shares of Common Stock outstanding as of February 8, 2024, as reported on the cover of the most recent Annual Report on Form 10-K.</w:t>
      </w:r>
    </w:p>
    <w:p>
      <w:pPr>
        <w:spacing w:after="0" w:line="44" w:lineRule="exact"/>
        <w:rPr>
          <w:rFonts w:ascii="Arial" w:cs="Arial" w:eastAsia="Arial" w:hAnsi="Arial"/>
          <w:sz w:val="18"/>
          <w:szCs w:val="18"/>
          <w:color w:val="auto"/>
        </w:rPr>
      </w:pPr>
    </w:p>
    <w:p>
      <w:pPr>
        <w:jc w:val="both"/>
        <w:ind w:left="1180" w:right="40" w:hanging="364"/>
        <w:spacing w:after="0" w:line="262"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2024. The Vanguard Group reports that it has shared voting power over 521,224 shares of Common Stock, shared dispositive power over 1,655,291 shares of Common Stock and sole dispositive power over 34,504,565 shares of Common Stock beneficially owned.</w:t>
      </w:r>
    </w:p>
    <w:p>
      <w:pPr>
        <w:spacing w:after="0" w:line="68" w:lineRule="exact"/>
        <w:rPr>
          <w:rFonts w:ascii="Arial" w:cs="Arial" w:eastAsia="Arial" w:hAnsi="Arial"/>
          <w:sz w:val="18"/>
          <w:szCs w:val="18"/>
          <w:color w:val="auto"/>
        </w:rPr>
      </w:pPr>
    </w:p>
    <w:p>
      <w:pPr>
        <w:jc w:val="both"/>
        <w:ind w:left="1180" w:right="40" w:hanging="364"/>
        <w:spacing w:after="0" w:line="258"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10, 2023, which is the most recent Schedule 13G filed by the investor with respect to ownership of our Common Stock. Ms. Gates, Mr. Gates and the Bill &amp; Melinda Gates Foundation Trust each report shared voting and dispositive power over 35,234,344 shares of Common Stock beneficially owned. Ms. Gates also reports sole voting and dispositive power of 3,810 additional shares of Common Stock beneficially owned.</w:t>
      </w:r>
    </w:p>
    <w:p>
      <w:pPr>
        <w:spacing w:after="0" w:line="291" w:lineRule="exact"/>
        <w:rPr>
          <w:rFonts w:ascii="Arial" w:cs="Arial" w:eastAsia="Arial" w:hAnsi="Arial"/>
          <w:sz w:val="18"/>
          <w:szCs w:val="18"/>
          <w:color w:val="auto"/>
        </w:rPr>
      </w:pPr>
    </w:p>
    <w:p>
      <w:pPr>
        <w:jc w:val="both"/>
        <w:ind w:left="1180" w:right="40" w:hanging="364"/>
        <w:spacing w:after="0" w:line="260"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January 26, 2024. BlackRock, Inc. reports that it has sole voting power over 25,826,390 shares of Common Stock and sole dispositive power over 28,665,838</w:t>
      </w:r>
    </w:p>
    <w:p>
      <w:pPr>
        <w:spacing w:after="0" w:line="2"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shares of Common Stock beneficially owned.</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DELINQUENT SECTION 16(A) REPORTS</w:t>
      </w:r>
    </w:p>
    <w:p>
      <w:pPr>
        <w:spacing w:after="0" w:line="118" w:lineRule="exact"/>
        <w:rPr>
          <w:sz w:val="20"/>
          <w:szCs w:val="20"/>
          <w:color w:val="auto"/>
        </w:rPr>
      </w:pPr>
    </w:p>
    <w:p>
      <w:pPr>
        <w:jc w:val="both"/>
        <w:ind w:left="820" w:right="40"/>
        <w:spacing w:after="0" w:line="204"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Based on a review of the forms and written representations from our executive officers and directors, we are aware of one delinquent report. In April 2023, Ms. Nagy learned that her investment adviser executed unauthorized purchases of our Common Stock totaling 13 shares in her individual retirement account. The purchases occurred in 2022</w:t>
      </w:r>
      <w:r>
        <w:rPr>
          <w:rFonts w:ascii="Arial" w:cs="Arial" w:eastAsia="Arial" w:hAnsi="Arial"/>
          <w:sz w:val="32"/>
          <w:szCs w:val="32"/>
          <w:b w:val="1"/>
          <w:bCs w:val="1"/>
          <w:color w:val="457157"/>
        </w:rPr>
        <w:t>|</w:t>
      </w:r>
      <w:r>
        <w:rPr>
          <w:rFonts w:ascii="Arial" w:cs="Arial" w:eastAsia="Arial" w:hAnsi="Arial"/>
          <w:sz w:val="18"/>
          <w:szCs w:val="18"/>
          <w:color w:val="auto"/>
        </w:rPr>
        <w:t xml:space="preserve"> when Ms. Nagy was serving as Vice President and Chief Accounting Officer, although she</w:t>
      </w:r>
    </w:p>
    <w:p>
      <w:pPr>
        <w:ind w:left="820"/>
        <w:spacing w:after="0" w:line="195" w:lineRule="auto"/>
        <w:tabs>
          <w:tab w:leader="none" w:pos="2400" w:val="left"/>
        </w:tabs>
        <w:rPr>
          <w:sz w:val="20"/>
          <w:szCs w:val="20"/>
          <w:color w:val="auto"/>
        </w:rPr>
      </w:pPr>
      <w:r>
        <w:rPr>
          <w:rFonts w:ascii="Arial" w:cs="Arial" w:eastAsia="Arial" w:hAnsi="Arial"/>
          <w:sz w:val="13"/>
          <w:szCs w:val="13"/>
          <w:color w:val="auto"/>
        </w:rPr>
        <w:t>30</w:t>
      </w:r>
      <w:r>
        <w:rPr>
          <w:sz w:val="20"/>
          <w:szCs w:val="20"/>
          <w:color w:val="auto"/>
        </w:rPr>
        <w:tab/>
      </w:r>
      <w:r>
        <w:rPr>
          <w:rFonts w:ascii="Arial" w:cs="Arial" w:eastAsia="Arial" w:hAnsi="Arial"/>
          <w:sz w:val="13"/>
          <w:szCs w:val="13"/>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-76200</wp:posOffset>
            </wp:positionV>
            <wp:extent cx="4718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jc w:val="both"/>
        <w:ind w:left="820" w:right="40"/>
        <w:spacing w:after="0" w:line="258" w:lineRule="auto"/>
        <w:rPr>
          <w:sz w:val="20"/>
          <w:szCs w:val="20"/>
          <w:color w:val="auto"/>
        </w:rPr>
      </w:pPr>
      <w:r>
        <w:rPr>
          <w:rFonts w:ascii="Arial" w:cs="Arial" w:eastAsia="Arial" w:hAnsi="Arial"/>
          <w:sz w:val="18"/>
          <w:szCs w:val="18"/>
          <w:color w:val="auto"/>
        </w:rPr>
        <w:t>transitioned to a new role with the Company in March 2023 and is no longer serving as an executive officer. Due to Ms. Nagy not being aware of the purchases, the transactions were not timely reported on a Form 4 but upon discovery were reported on a Form 4 in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104140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OFFICERS</w:t>
      </w:r>
    </w:p>
    <w:p>
      <w:pPr>
        <w:spacing w:after="0" w:line="118" w:lineRule="exact"/>
        <w:rPr>
          <w:sz w:val="20"/>
          <w:szCs w:val="20"/>
          <w:color w:val="auto"/>
        </w:rPr>
      </w:pPr>
    </w:p>
    <w:p>
      <w:pPr>
        <w:jc w:val="both"/>
        <w:ind w:left="820" w:right="60"/>
        <w:spacing w:after="0" w:line="249" w:lineRule="auto"/>
        <w:rPr>
          <w:sz w:val="20"/>
          <w:szCs w:val="20"/>
          <w:color w:val="auto"/>
        </w:rPr>
      </w:pPr>
      <w:r>
        <w:rPr>
          <w:rFonts w:ascii="Arial" w:cs="Arial" w:eastAsia="Arial" w:hAnsi="Arial"/>
          <w:sz w:val="18"/>
          <w:szCs w:val="18"/>
          <w:color w:val="auto"/>
        </w:rPr>
        <w:t>The following is a listing of our current executive officers, their ages and their business experience for the past five years (other than Mr. Fish, whose age, experience and qualifications are included in the director nominees section of this Proxy Statement). Unless otherwise specified, all prior positions listed below were with our Company.</w:t>
      </w:r>
    </w:p>
    <w:tbl>
      <w:tblPr>
        <w:tblLayout w:type="fixed"/>
        <w:tblInd w:w="820" w:type="dxa"/>
        <w:tblCellMar>
          <w:top w:w="0" w:type="dxa"/>
          <w:left w:w="0" w:type="dxa"/>
          <w:bottom w:w="0" w:type="dxa"/>
          <w:right w:w="0" w:type="dxa"/>
        </w:tblCellMar>
      </w:tblPr>
      <w:tr>
        <w:trPr>
          <w:trHeight w:val="307"/>
        </w:trPr>
        <w:tc>
          <w:tcPr>
            <w:tcW w:w="2040" w:type="dxa"/>
            <w:vAlign w:val="bottom"/>
          </w:tcPr>
          <w:p>
            <w:pPr>
              <w:ind w:left="20"/>
              <w:spacing w:after="0" w:line="308" w:lineRule="exact"/>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1000" w:type="dxa"/>
            <w:vAlign w:val="bottom"/>
          </w:tcPr>
          <w:p>
            <w:pPr>
              <w:jc w:val="right"/>
              <w:ind w:right="34"/>
              <w:spacing w:after="0" w:line="308" w:lineRule="exact"/>
              <w:rPr>
                <w:sz w:val="20"/>
                <w:szCs w:val="20"/>
                <w:color w:val="auto"/>
              </w:rPr>
            </w:pPr>
            <w:r>
              <w:rPr>
                <w:rFonts w:ascii="Arial" w:cs="Arial" w:eastAsia="Arial" w:hAnsi="Arial"/>
                <w:sz w:val="14"/>
                <w:szCs w:val="14"/>
                <w:b w:val="1"/>
                <w:bCs w:val="1"/>
                <w:color w:val="457157"/>
              </w:rPr>
              <w:t>​ ​</w:t>
            </w:r>
            <w:r>
              <w:rPr>
                <w:rFonts w:ascii="Arial" w:cs="Arial" w:eastAsia="Arial" w:hAnsi="Arial"/>
                <w:sz w:val="28"/>
                <w:szCs w:val="28"/>
                <w:b w:val="1"/>
                <w:bCs w:val="1"/>
                <w:color w:val="457157"/>
                <w:vertAlign w:val="superscript"/>
              </w:rPr>
              <w:t>Age</w:t>
            </w:r>
            <w:r>
              <w:rPr>
                <w:rFonts w:ascii="Arial" w:cs="Arial" w:eastAsia="Arial" w:hAnsi="Arial"/>
                <w:sz w:val="14"/>
                <w:szCs w:val="14"/>
                <w:b w:val="1"/>
                <w:bCs w:val="1"/>
                <w:color w:val="457157"/>
              </w:rPr>
              <w:t xml:space="preserve"> ​ ​</w:t>
            </w:r>
          </w:p>
        </w:tc>
        <w:tc>
          <w:tcPr>
            <w:tcW w:w="5960" w:type="dxa"/>
            <w:vAlign w:val="bottom"/>
          </w:tcPr>
          <w:p>
            <w:pPr>
              <w:ind w:left="660"/>
              <w:spacing w:after="0"/>
              <w:rPr>
                <w:sz w:val="20"/>
                <w:szCs w:val="20"/>
                <w:color w:val="auto"/>
              </w:rPr>
            </w:pPr>
            <w:r>
              <w:rPr>
                <w:rFonts w:ascii="Arial" w:cs="Arial" w:eastAsia="Arial" w:hAnsi="Arial"/>
                <w:sz w:val="14"/>
                <w:szCs w:val="14"/>
                <w:b w:val="1"/>
                <w:bCs w:val="1"/>
                <w:color w:val="457157"/>
              </w:rPr>
              <w:t>Positions Held and Business Experience for Past Five Years</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r>
      <w:tr>
        <w:trPr>
          <w:trHeight w:val="231"/>
        </w:trPr>
        <w:tc>
          <w:tcPr>
            <w:tcW w:w="2040" w:type="dxa"/>
            <w:vAlign w:val="bottom"/>
            <w:tcBorders>
              <w:top w:val="single" w:sz="8" w:color="457157"/>
            </w:tcBorders>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Charles C. Boettcher</w:t>
            </w:r>
          </w:p>
        </w:tc>
        <w:tc>
          <w:tcPr>
            <w:tcW w:w="1000" w:type="dxa"/>
            <w:vAlign w:val="bottom"/>
            <w:tcBorders>
              <w:top w:val="single" w:sz="8" w:color="457157"/>
            </w:tcBorders>
          </w:tcPr>
          <w:p>
            <w:pPr>
              <w:jc w:val="right"/>
              <w:spacing w:after="0" w:line="23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6"/>
                <w:szCs w:val="26"/>
                <w:color w:val="auto"/>
                <w:vertAlign w:val="subscript"/>
              </w:rPr>
              <w:t>50</w:t>
            </w:r>
            <w:r>
              <w:rPr>
                <w:rFonts w:ascii="Arial" w:cs="Arial" w:eastAsia="Arial" w:hAnsi="Arial"/>
                <w:sz w:val="15"/>
                <w:szCs w:val="15"/>
                <w:color w:val="auto"/>
              </w:rPr>
              <w:t xml:space="preserve"> ​ ​ </w:t>
            </w:r>
            <w:r>
              <w:rPr>
                <w:rFonts w:ascii="Arial" w:cs="Arial" w:eastAsia="Arial" w:hAnsi="Arial"/>
                <w:sz w:val="26"/>
                <w:szCs w:val="26"/>
                <w:color w:val="457157"/>
                <w:vertAlign w:val="subscript"/>
              </w:rPr>
              <w:t>•</w:t>
            </w:r>
          </w:p>
        </w:tc>
        <w:tc>
          <w:tcPr>
            <w:tcW w:w="6020" w:type="dxa"/>
            <w:vAlign w:val="bottom"/>
            <w:tcBorders>
              <w:top w:val="single" w:sz="8" w:color="457157"/>
            </w:tcBorders>
            <w:gridSpan w:val="2"/>
          </w:tcPr>
          <w:p>
            <w:pPr>
              <w:ind w:left="60"/>
              <w:spacing w:after="0" w:line="231" w:lineRule="exact"/>
              <w:rPr>
                <w:sz w:val="20"/>
                <w:szCs w:val="20"/>
                <w:color w:val="auto"/>
              </w:rPr>
            </w:pPr>
            <w:r>
              <w:rPr>
                <w:rFonts w:ascii="Arial" w:cs="Arial" w:eastAsia="Arial" w:hAnsi="Arial"/>
                <w:sz w:val="15"/>
                <w:szCs w:val="15"/>
                <w:color w:val="auto"/>
              </w:rPr>
              <w:t>Executive Vice President, Corporate Development and Chief Legal</w:t>
            </w:r>
            <w:r>
              <w:rPr>
                <w:rFonts w:ascii="Arial" w:cs="Arial" w:eastAsia="Arial" w:hAnsi="Arial"/>
                <w:sz w:val="26"/>
                <w:szCs w:val="26"/>
                <w:color w:val="auto"/>
                <w:vertAlign w:val="superscript"/>
              </w:rPr>
              <w:t>​</w:t>
            </w:r>
          </w:p>
        </w:tc>
        <w:tc>
          <w:tcPr>
            <w:tcW w:w="20" w:type="dxa"/>
            <w:vAlign w:val="bottom"/>
          </w:tcPr>
          <w:p>
            <w:pPr>
              <w:spacing w:after="0"/>
              <w:rPr>
                <w:sz w:val="20"/>
                <w:szCs w:val="20"/>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Officer since 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Corporate Development and Chief Legal</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Officer from May 2019 to 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Legal Officer from 2017 to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May 2019.</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40" w:type="dxa"/>
            <w:vAlign w:val="bottom"/>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Rafael E. Carrasco</w:t>
            </w:r>
          </w:p>
        </w:tc>
        <w:tc>
          <w:tcPr>
            <w:tcW w:w="1000" w:type="dxa"/>
            <w:vAlign w:val="bottom"/>
          </w:tcPr>
          <w:p>
            <w:pPr>
              <w:jc w:val="right"/>
              <w:spacing w:after="0" w:line="210"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 xml:space="preserve"> 52 </w:t>
            </w:r>
            <w:r>
              <w:rPr>
                <w:rFonts w:ascii="Arial" w:cs="Arial" w:eastAsia="Arial" w:hAnsi="Arial"/>
                <w:sz w:val="24"/>
                <w:szCs w:val="24"/>
                <w:color w:val="auto"/>
                <w:vertAlign w:val="superscript"/>
              </w:rPr>
              <w:t>​ ​</w:t>
            </w:r>
            <w:r>
              <w:rPr>
                <w:rFonts w:ascii="Arial" w:cs="Arial" w:eastAsia="Arial" w:hAnsi="Arial"/>
                <w:sz w:val="14"/>
                <w:szCs w:val="14"/>
                <w:color w:val="auto"/>
              </w:rPr>
              <w:t xml:space="preserve"> </w:t>
            </w:r>
            <w:r>
              <w:rPr>
                <w:rFonts w:ascii="Arial" w:cs="Arial" w:eastAsia="Arial" w:hAnsi="Arial"/>
                <w:sz w:val="14"/>
                <w:szCs w:val="14"/>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Enterprise Strategy since</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September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from July 2021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September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Vice President — Greater Mid-Atlantic Area from 2017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040" w:type="dxa"/>
            <w:vAlign w:val="bottom"/>
            <w:tcBorders>
              <w:bottom w:val="single" w:sz="8" w:color="457157"/>
            </w:tcBorders>
          </w:tcPr>
          <w:p>
            <w:pPr>
              <w:spacing w:after="0"/>
              <w:rPr>
                <w:sz w:val="17"/>
                <w:szCs w:val="17"/>
                <w:color w:val="auto"/>
              </w:rPr>
            </w:pPr>
          </w:p>
        </w:tc>
        <w:tc>
          <w:tcPr>
            <w:tcW w:w="1000" w:type="dxa"/>
            <w:vAlign w:val="bottom"/>
            <w:tcBorders>
              <w:bottom w:val="single" w:sz="8" w:color="457157"/>
            </w:tcBorders>
          </w:tcPr>
          <w:p>
            <w:pPr>
              <w:spacing w:after="0"/>
              <w:rPr>
                <w:sz w:val="17"/>
                <w:szCs w:val="17"/>
                <w:color w:val="auto"/>
              </w:rPr>
            </w:pPr>
          </w:p>
        </w:tc>
        <w:tc>
          <w:tcPr>
            <w:tcW w:w="5960" w:type="dxa"/>
            <w:vAlign w:val="bottom"/>
            <w:tcBorders>
              <w:bottom w:val="single" w:sz="8" w:color="457157"/>
            </w:tcBorders>
          </w:tcPr>
          <w:p>
            <w:pPr>
              <w:ind w:left="60"/>
              <w:spacing w:after="0" w:line="202" w:lineRule="exact"/>
              <w:rPr>
                <w:sz w:val="20"/>
                <w:szCs w:val="20"/>
                <w:color w:val="auto"/>
              </w:rPr>
            </w:pPr>
            <w:r>
              <w:rPr>
                <w:rFonts w:ascii="Arial" w:cs="Arial" w:eastAsia="Arial" w:hAnsi="Arial"/>
                <w:sz w:val="18"/>
                <w:szCs w:val="18"/>
                <w:color w:val="auto"/>
              </w:rPr>
              <w:t>June 2021.</w:t>
            </w:r>
          </w:p>
        </w:tc>
        <w:tc>
          <w:tcPr>
            <w:tcW w:w="60" w:type="dxa"/>
            <w:vAlign w:val="bottom"/>
            <w:tcBorders>
              <w:bottom w:val="single" w:sz="8" w:color="457157"/>
            </w:tcBorders>
          </w:tcPr>
          <w:p>
            <w:pPr>
              <w:spacing w:after="0"/>
              <w:rPr>
                <w:sz w:val="17"/>
                <w:szCs w:val="17"/>
                <w:color w:val="auto"/>
              </w:rPr>
            </w:pPr>
          </w:p>
        </w:tc>
        <w:tc>
          <w:tcPr>
            <w:tcW w:w="20" w:type="dxa"/>
            <w:vAlign w:val="bottom"/>
          </w:tcPr>
          <w:p>
            <w:pPr>
              <w:spacing w:after="0"/>
              <w:rPr>
                <w:sz w:val="17"/>
                <w:szCs w:val="17"/>
                <w:color w:val="auto"/>
              </w:rPr>
            </w:pPr>
          </w:p>
        </w:tc>
      </w:tr>
      <w:tr>
        <w:trPr>
          <w:trHeight w:val="312"/>
        </w:trPr>
        <w:tc>
          <w:tcPr>
            <w:tcW w:w="2040" w:type="dxa"/>
            <w:vAlign w:val="bottom"/>
          </w:tcPr>
          <w:p>
            <w:pPr>
              <w:spacing w:after="0" w:line="312"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John A. Carroll</w:t>
            </w:r>
          </w:p>
        </w:tc>
        <w:tc>
          <w:tcPr>
            <w:tcW w:w="1000" w:type="dxa"/>
            <w:vAlign w:val="bottom"/>
          </w:tcPr>
          <w:p>
            <w:pPr>
              <w:jc w:val="right"/>
              <w:spacing w:after="0"/>
              <w:rPr>
                <w:sz w:val="20"/>
                <w:szCs w:val="20"/>
                <w:color w:val="auto"/>
              </w:rPr>
            </w:pPr>
            <w:r>
              <w:rPr>
                <w:rFonts w:ascii="Arial" w:cs="Arial" w:eastAsia="Arial" w:hAnsi="Arial"/>
                <w:sz w:val="18"/>
                <w:szCs w:val="18"/>
                <w:color w:val="auto"/>
              </w:rPr>
              <w:t xml:space="preserve">​ ​ 51 ​ ​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and Chief Accounting Officer since March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9"/>
        </w:trPr>
        <w:tc>
          <w:tcPr>
            <w:tcW w:w="20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9" w:lineRule="exact"/>
              <w:rPr>
                <w:sz w:val="20"/>
                <w:szCs w:val="20"/>
                <w:color w:val="auto"/>
              </w:rPr>
            </w:pPr>
            <w:r>
              <w:rPr>
                <w:rFonts w:ascii="Arial" w:cs="Arial" w:eastAsia="Arial" w:hAnsi="Arial"/>
                <w:sz w:val="18"/>
                <w:szCs w:val="18"/>
                <w:color w:val="auto"/>
              </w:rPr>
              <w:t>Vice President, Internal Audit and Controls from 2018 to</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March 2023.</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254"/>
        </w:trPr>
        <w:tc>
          <w:tcPr>
            <w:tcW w:w="3040" w:type="dxa"/>
            <w:vAlign w:val="bottom"/>
            <w:gridSpan w:val="2"/>
          </w:tcPr>
          <w:p>
            <w:pPr>
              <w:spacing w:after="0"/>
              <w:rPr>
                <w:sz w:val="20"/>
                <w:szCs w:val="20"/>
                <w:color w:val="auto"/>
              </w:rPr>
            </w:pPr>
            <w:r>
              <w:rPr>
                <w:rFonts w:ascii="Arial" w:cs="Arial" w:eastAsia="Arial" w:hAnsi="Arial"/>
                <w:sz w:val="18"/>
                <w:szCs w:val="18"/>
                <w:color w:val="auto"/>
              </w:rPr>
              <w:t xml:space="preserve">​Christopher P. DeSantis ​ ​ 60 ​ ​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October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66"/>
        </w:trPr>
        <w:tc>
          <w:tcPr>
            <w:tcW w:w="2040" w:type="dxa"/>
            <w:vAlign w:val="bottom"/>
            <w:tcBorders>
              <w:bottom w:val="single" w:sz="8" w:color="457157"/>
            </w:tcBorders>
          </w:tcPr>
          <w:p>
            <w:pPr>
              <w:spacing w:after="0"/>
              <w:rPr>
                <w:sz w:val="23"/>
                <w:szCs w:val="23"/>
                <w:color w:val="auto"/>
              </w:rPr>
            </w:pPr>
          </w:p>
        </w:tc>
        <w:tc>
          <w:tcPr>
            <w:tcW w:w="100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Area Vice President — New England from 2009 to October 2023.</w:t>
            </w:r>
          </w:p>
        </w:tc>
        <w:tc>
          <w:tcPr>
            <w:tcW w:w="60" w:type="dxa"/>
            <w:vAlign w:val="bottom"/>
            <w:tcBorders>
              <w:bottom w:val="single" w:sz="8" w:color="457157"/>
            </w:tcBorders>
          </w:tcPr>
          <w:p>
            <w:pPr>
              <w:spacing w:after="0"/>
              <w:rPr>
                <w:sz w:val="23"/>
                <w:szCs w:val="23"/>
                <w:color w:val="auto"/>
              </w:rPr>
            </w:pPr>
          </w:p>
        </w:tc>
        <w:tc>
          <w:tcPr>
            <w:tcW w:w="20" w:type="dxa"/>
            <w:vAlign w:val="bottom"/>
          </w:tcPr>
          <w:p>
            <w:pPr>
              <w:spacing w:after="0"/>
              <w:rPr>
                <w:sz w:val="23"/>
                <w:szCs w:val="23"/>
                <w:color w:val="auto"/>
              </w:rPr>
            </w:pPr>
          </w:p>
        </w:tc>
      </w:tr>
      <w:tr>
        <w:trPr>
          <w:trHeight w:val="196"/>
        </w:trPr>
        <w:tc>
          <w:tcPr>
            <w:tcW w:w="2040" w:type="dxa"/>
            <w:vAlign w:val="bottom"/>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Tara J. Hemmer</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 ​ 51 ​ ​ </w:t>
            </w:r>
            <w:r>
              <w:rPr>
                <w:rFonts w:ascii="Arial" w:cs="Arial" w:eastAsia="Arial" w:hAnsi="Arial"/>
                <w:sz w:val="18"/>
                <w:szCs w:val="18"/>
                <w:color w:val="457157"/>
              </w:rPr>
              <w:t>•</w:t>
            </w:r>
          </w:p>
        </w:tc>
        <w:tc>
          <w:tcPr>
            <w:tcW w:w="5960" w:type="dxa"/>
            <w:vAlign w:val="bottom"/>
          </w:tcPr>
          <w:p>
            <w:pPr>
              <w:ind w:left="60"/>
              <w:spacing w:after="0" w:line="196" w:lineRule="exact"/>
              <w:rPr>
                <w:sz w:val="20"/>
                <w:szCs w:val="20"/>
                <w:color w:val="auto"/>
              </w:rPr>
            </w:pPr>
            <w:r>
              <w:rPr>
                <w:rFonts w:ascii="Arial" w:cs="Arial" w:eastAsia="Arial" w:hAnsi="Arial"/>
                <w:sz w:val="18"/>
                <w:szCs w:val="18"/>
                <w:color w:val="auto"/>
              </w:rPr>
              <w:t>Senior Vice President and Chief Sustainability Officer since</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July 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from January 2019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040" w:type="dxa"/>
            <w:vAlign w:val="bottom"/>
            <w:tcBorders>
              <w:bottom w:val="single" w:sz="8" w:color="457157"/>
            </w:tcBorders>
          </w:tcPr>
          <w:p>
            <w:pPr>
              <w:spacing w:after="0"/>
              <w:rPr>
                <w:sz w:val="17"/>
                <w:szCs w:val="17"/>
                <w:color w:val="auto"/>
              </w:rPr>
            </w:pPr>
          </w:p>
        </w:tc>
        <w:tc>
          <w:tcPr>
            <w:tcW w:w="1000" w:type="dxa"/>
            <w:vAlign w:val="bottom"/>
            <w:tcBorders>
              <w:bottom w:val="single" w:sz="8" w:color="457157"/>
            </w:tcBorders>
          </w:tcPr>
          <w:p>
            <w:pPr>
              <w:spacing w:after="0"/>
              <w:rPr>
                <w:sz w:val="17"/>
                <w:szCs w:val="17"/>
                <w:color w:val="auto"/>
              </w:rPr>
            </w:pPr>
          </w:p>
        </w:tc>
        <w:tc>
          <w:tcPr>
            <w:tcW w:w="5960" w:type="dxa"/>
            <w:vAlign w:val="bottom"/>
            <w:tcBorders>
              <w:bottom w:val="single" w:sz="8" w:color="457157"/>
            </w:tcBorders>
          </w:tcPr>
          <w:p>
            <w:pPr>
              <w:ind w:left="60"/>
              <w:spacing w:after="0" w:line="202" w:lineRule="exact"/>
              <w:rPr>
                <w:sz w:val="20"/>
                <w:szCs w:val="20"/>
                <w:color w:val="auto"/>
              </w:rPr>
            </w:pPr>
            <w:r>
              <w:rPr>
                <w:rFonts w:ascii="Arial" w:cs="Arial" w:eastAsia="Arial" w:hAnsi="Arial"/>
                <w:sz w:val="18"/>
                <w:szCs w:val="18"/>
                <w:color w:val="auto"/>
              </w:rPr>
              <w:t>June 2021.</w:t>
            </w:r>
          </w:p>
        </w:tc>
        <w:tc>
          <w:tcPr>
            <w:tcW w:w="60" w:type="dxa"/>
            <w:vAlign w:val="bottom"/>
            <w:tcBorders>
              <w:bottom w:val="single" w:sz="8" w:color="457157"/>
            </w:tcBorders>
          </w:tcPr>
          <w:p>
            <w:pPr>
              <w:spacing w:after="0"/>
              <w:rPr>
                <w:sz w:val="17"/>
                <w:szCs w:val="17"/>
                <w:color w:val="auto"/>
              </w:rPr>
            </w:pPr>
          </w:p>
        </w:tc>
        <w:tc>
          <w:tcPr>
            <w:tcW w:w="20" w:type="dxa"/>
            <w:vAlign w:val="bottom"/>
          </w:tcPr>
          <w:p>
            <w:pPr>
              <w:spacing w:after="0"/>
              <w:rPr>
                <w:sz w:val="17"/>
                <w:szCs w:val="17"/>
                <w:color w:val="auto"/>
              </w:rPr>
            </w:pPr>
          </w:p>
        </w:tc>
      </w:tr>
      <w:tr>
        <w:trPr>
          <w:trHeight w:val="191"/>
        </w:trPr>
        <w:tc>
          <w:tcPr>
            <w:tcW w:w="2040" w:type="dxa"/>
            <w:vAlign w:val="bottom"/>
          </w:tcPr>
          <w:p>
            <w:pPr>
              <w:spacing w:after="0" w:line="190"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John J. Morris, Jr.</w:t>
            </w:r>
          </w:p>
        </w:tc>
        <w:tc>
          <w:tcPr>
            <w:tcW w:w="1000" w:type="dxa"/>
            <w:vAlign w:val="bottom"/>
          </w:tcPr>
          <w:p>
            <w:pPr>
              <w:jc w:val="right"/>
              <w:spacing w:after="0" w:line="19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22"/>
                <w:szCs w:val="22"/>
                <w:color w:val="auto"/>
                <w:vertAlign w:val="subscript"/>
              </w:rPr>
              <w:t>54</w:t>
            </w:r>
            <w:r>
              <w:rPr>
                <w:rFonts w:ascii="Arial" w:cs="Arial" w:eastAsia="Arial" w:hAnsi="Arial"/>
                <w:sz w:val="13"/>
                <w:szCs w:val="13"/>
                <w:color w:val="auto"/>
              </w:rPr>
              <w:t xml:space="preserve"> ​ ​ </w:t>
            </w:r>
            <w:r>
              <w:rPr>
                <w:rFonts w:ascii="Arial" w:cs="Arial" w:eastAsia="Arial" w:hAnsi="Arial"/>
                <w:sz w:val="22"/>
                <w:szCs w:val="22"/>
                <w:color w:val="457157"/>
                <w:vertAlign w:val="subscript"/>
              </w:rPr>
              <w:t>•</w:t>
            </w:r>
          </w:p>
        </w:tc>
        <w:tc>
          <w:tcPr>
            <w:tcW w:w="5960" w:type="dxa"/>
            <w:vAlign w:val="bottom"/>
          </w:tcPr>
          <w:p>
            <w:pPr>
              <w:ind w:left="60"/>
              <w:spacing w:after="0" w:line="191" w:lineRule="exact"/>
              <w:rPr>
                <w:sz w:val="20"/>
                <w:szCs w:val="20"/>
                <w:color w:val="auto"/>
              </w:rPr>
            </w:pPr>
            <w:r>
              <w:rPr>
                <w:rFonts w:ascii="Arial" w:cs="Arial" w:eastAsia="Arial" w:hAnsi="Arial"/>
                <w:sz w:val="18"/>
                <w:szCs w:val="18"/>
                <w:color w:val="auto"/>
              </w:rPr>
              <w:t>Executive Vice President and Chief Operating Officer since</w:t>
            </w:r>
          </w:p>
        </w:tc>
        <w:tc>
          <w:tcPr>
            <w:tcW w:w="60" w:type="dxa"/>
            <w:vAlign w:val="bottom"/>
          </w:tcPr>
          <w:p>
            <w:pPr>
              <w:jc w:val="right"/>
              <w:spacing w:after="0" w:line="19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January 2019.</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40" w:type="dxa"/>
            <w:vAlign w:val="bottom"/>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Devina A. Rankin</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 ​ 48 ​ ​ </w:t>
            </w:r>
            <w:r>
              <w:rPr>
                <w:rFonts w:ascii="Arial" w:cs="Arial" w:eastAsia="Arial" w:hAnsi="Arial"/>
                <w:sz w:val="18"/>
                <w:szCs w:val="18"/>
                <w:color w:val="457157"/>
              </w:rPr>
              <w:t>•</w:t>
            </w:r>
          </w:p>
        </w:tc>
        <w:tc>
          <w:tcPr>
            <w:tcW w:w="5960" w:type="dxa"/>
            <w:vAlign w:val="bottom"/>
          </w:tcPr>
          <w:p>
            <w:pPr>
              <w:ind w:left="60"/>
              <w:spacing w:after="0" w:line="196" w:lineRule="exact"/>
              <w:rPr>
                <w:sz w:val="20"/>
                <w:szCs w:val="20"/>
                <w:color w:val="auto"/>
              </w:rPr>
            </w:pPr>
            <w:r>
              <w:rPr>
                <w:rFonts w:ascii="Arial" w:cs="Arial" w:eastAsia="Arial" w:hAnsi="Arial"/>
                <w:sz w:val="18"/>
                <w:szCs w:val="18"/>
                <w:color w:val="auto"/>
              </w:rPr>
              <w:t>Executive Vice President and Chief Financial Officer since</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February 2020.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20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Financial Officer from 2017 to</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2040" w:type="dxa"/>
            <w:vAlign w:val="bottom"/>
            <w:tcBorders>
              <w:bottom w:val="single" w:sz="8" w:color="457157"/>
            </w:tcBorders>
          </w:tcPr>
          <w:p>
            <w:pPr>
              <w:spacing w:after="0"/>
              <w:rPr>
                <w:sz w:val="17"/>
                <w:szCs w:val="17"/>
                <w:color w:val="auto"/>
              </w:rPr>
            </w:pPr>
          </w:p>
        </w:tc>
        <w:tc>
          <w:tcPr>
            <w:tcW w:w="1000" w:type="dxa"/>
            <w:vAlign w:val="bottom"/>
            <w:tcBorders>
              <w:bottom w:val="single" w:sz="8" w:color="457157"/>
            </w:tcBorders>
          </w:tcPr>
          <w:p>
            <w:pPr>
              <w:spacing w:after="0"/>
              <w:rPr>
                <w:sz w:val="17"/>
                <w:szCs w:val="17"/>
                <w:color w:val="auto"/>
              </w:rPr>
            </w:pPr>
          </w:p>
        </w:tc>
        <w:tc>
          <w:tcPr>
            <w:tcW w:w="5960" w:type="dxa"/>
            <w:vAlign w:val="bottom"/>
            <w:tcBorders>
              <w:bottom w:val="single" w:sz="8" w:color="457157"/>
            </w:tcBorders>
          </w:tcPr>
          <w:p>
            <w:pPr>
              <w:ind w:left="60"/>
              <w:spacing w:after="0" w:line="202" w:lineRule="exact"/>
              <w:rPr>
                <w:sz w:val="20"/>
                <w:szCs w:val="20"/>
                <w:color w:val="auto"/>
              </w:rPr>
            </w:pPr>
            <w:r>
              <w:rPr>
                <w:rFonts w:ascii="Arial" w:cs="Arial" w:eastAsia="Arial" w:hAnsi="Arial"/>
                <w:sz w:val="18"/>
                <w:szCs w:val="18"/>
                <w:color w:val="auto"/>
              </w:rPr>
              <w:t>February 2020.</w:t>
            </w:r>
          </w:p>
        </w:tc>
        <w:tc>
          <w:tcPr>
            <w:tcW w:w="60" w:type="dxa"/>
            <w:vAlign w:val="bottom"/>
            <w:tcBorders>
              <w:bottom w:val="single" w:sz="8" w:color="457157"/>
            </w:tcBorders>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40" w:type="dxa"/>
            <w:vAlign w:val="bottom"/>
          </w:tcPr>
          <w:p>
            <w:pPr>
              <w:spacing w:after="0" w:line="217"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Kelly C. Rooney</w:t>
            </w:r>
          </w:p>
        </w:tc>
        <w:tc>
          <w:tcPr>
            <w:tcW w:w="1000" w:type="dxa"/>
            <w:vAlign w:val="bottom"/>
          </w:tcPr>
          <w:p>
            <w:pPr>
              <w:jc w:val="right"/>
              <w:spacing w:after="0" w:line="217"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5"/>
                <w:szCs w:val="25"/>
                <w:color w:val="auto"/>
                <w:vertAlign w:val="subscript"/>
              </w:rPr>
              <w:t>50</w:t>
            </w:r>
            <w:r>
              <w:rPr>
                <w:rFonts w:ascii="Arial" w:cs="Arial" w:eastAsia="Arial" w:hAnsi="Arial"/>
                <w:sz w:val="14"/>
                <w:szCs w:val="14"/>
                <w:color w:val="auto"/>
              </w:rPr>
              <w:t xml:space="preserve"> ​ ​ </w:t>
            </w:r>
            <w:r>
              <w:rPr>
                <w:rFonts w:ascii="Arial" w:cs="Arial" w:eastAsia="Arial" w:hAnsi="Arial"/>
                <w:sz w:val="25"/>
                <w:szCs w:val="25"/>
                <w:color w:val="457157"/>
                <w:vertAlign w:val="subscript"/>
              </w:rPr>
              <w:t>•</w:t>
            </w:r>
          </w:p>
        </w:tc>
        <w:tc>
          <w:tcPr>
            <w:tcW w:w="6020" w:type="dxa"/>
            <w:vAlign w:val="bottom"/>
            <w:gridSpan w:val="2"/>
          </w:tcPr>
          <w:p>
            <w:pPr>
              <w:ind w:left="60"/>
              <w:spacing w:after="0" w:line="217" w:lineRule="exact"/>
              <w:rPr>
                <w:sz w:val="20"/>
                <w:szCs w:val="20"/>
                <w:color w:val="auto"/>
              </w:rPr>
            </w:pPr>
            <w:r>
              <w:rPr>
                <w:rFonts w:ascii="Arial" w:cs="Arial" w:eastAsia="Arial" w:hAnsi="Arial"/>
                <w:sz w:val="14"/>
                <w:szCs w:val="14"/>
                <w:color w:val="auto"/>
              </w:rPr>
              <w:t>Senior Vice President and Chief Human Resources and Diversity</w:t>
            </w:r>
            <w:r>
              <w:rPr>
                <w:rFonts w:ascii="Arial" w:cs="Arial" w:eastAsia="Arial" w:hAnsi="Arial"/>
                <w:sz w:val="25"/>
                <w:szCs w:val="25"/>
                <w:color w:val="auto"/>
                <w:vertAlign w:val="superscript"/>
              </w:rPr>
              <w:t>​</w:t>
            </w:r>
          </w:p>
        </w:tc>
        <w:tc>
          <w:tcPr>
            <w:tcW w:w="20" w:type="dxa"/>
            <w:vAlign w:val="bottom"/>
          </w:tcPr>
          <w:p>
            <w:pPr>
              <w:spacing w:after="0"/>
              <w:rPr>
                <w:sz w:val="18"/>
                <w:szCs w:val="18"/>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&amp; Inclusion Officer since February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People Officer from August 2022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 February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 People Solutions from September 2021 to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August 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1"/>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General Manager from July 2020 to September 2021.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Director Collection Operations from April 2019 to July 2020.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Regional Manager, Advanced Disposal Services, Inc. (a waste and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2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environmental  services  company  acquired  by  our  Company  in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2020), from 2015 to April 2019.</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312"/>
        </w:trPr>
        <w:tc>
          <w:tcPr>
            <w:tcW w:w="2040" w:type="dxa"/>
            <w:vAlign w:val="bottom"/>
          </w:tcPr>
          <w:p>
            <w:pPr>
              <w:spacing w:after="0" w:line="312"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Donald J. Smith</w:t>
            </w:r>
          </w:p>
        </w:tc>
        <w:tc>
          <w:tcPr>
            <w:tcW w:w="1000" w:type="dxa"/>
            <w:vAlign w:val="bottom"/>
          </w:tcPr>
          <w:p>
            <w:pPr>
              <w:jc w:val="right"/>
              <w:spacing w:after="0"/>
              <w:rPr>
                <w:sz w:val="20"/>
                <w:szCs w:val="20"/>
                <w:color w:val="auto"/>
              </w:rPr>
            </w:pPr>
            <w:r>
              <w:rPr>
                <w:rFonts w:ascii="Arial" w:cs="Arial" w:eastAsia="Arial" w:hAnsi="Arial"/>
                <w:sz w:val="18"/>
                <w:szCs w:val="18"/>
                <w:color w:val="auto"/>
              </w:rPr>
              <w:t xml:space="preserve">​ ​ 57 ​ ​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January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9"/>
        </w:trPr>
        <w:tc>
          <w:tcPr>
            <w:tcW w:w="20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9" w:lineRule="exact"/>
              <w:rPr>
                <w:sz w:val="20"/>
                <w:szCs w:val="20"/>
                <w:color w:val="auto"/>
              </w:rPr>
            </w:pPr>
            <w:r>
              <w:rPr>
                <w:rFonts w:ascii="Arial" w:cs="Arial" w:eastAsia="Arial" w:hAnsi="Arial"/>
                <w:sz w:val="18"/>
                <w:szCs w:val="18"/>
                <w:color w:val="auto"/>
              </w:rPr>
              <w:t>Area Vice President — Texas &amp; Oklahoma Area from 2012 to</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2040" w:type="dxa"/>
            <w:vAlign w:val="bottom"/>
            <w:tcBorders>
              <w:bottom w:val="single" w:sz="8" w:color="457157"/>
            </w:tcBorders>
          </w:tcPr>
          <w:p>
            <w:pPr>
              <w:spacing w:after="0"/>
              <w:rPr>
                <w:sz w:val="18"/>
                <w:szCs w:val="18"/>
                <w:color w:val="auto"/>
              </w:rPr>
            </w:pPr>
          </w:p>
        </w:tc>
        <w:tc>
          <w:tcPr>
            <w:tcW w:w="1000" w:type="dxa"/>
            <w:vAlign w:val="bottom"/>
            <w:tcBorders>
              <w:bottom w:val="single" w:sz="8" w:color="457157"/>
            </w:tcBorders>
          </w:tcPr>
          <w:p>
            <w:pPr>
              <w:spacing w:after="0"/>
              <w:rPr>
                <w:sz w:val="18"/>
                <w:szCs w:val="18"/>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December 2022.</w:t>
            </w:r>
          </w:p>
        </w:tc>
        <w:tc>
          <w:tcPr>
            <w:tcW w:w="60" w:type="dxa"/>
            <w:vAlign w:val="bottom"/>
            <w:tcBorders>
              <w:bottom w:val="single" w:sz="8" w:color="457157"/>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40" w:type="dxa"/>
            <w:vAlign w:val="bottom"/>
          </w:tcPr>
          <w:p>
            <w:pPr>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Johnson Varkey</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 ​ 52 ​ ​ </w:t>
            </w:r>
            <w:r>
              <w:rPr>
                <w:rFonts w:ascii="Arial" w:cs="Arial" w:eastAsia="Arial" w:hAnsi="Arial"/>
                <w:sz w:val="18"/>
                <w:szCs w:val="18"/>
                <w:color w:val="457157"/>
              </w:rPr>
              <w:t>•</w:t>
            </w:r>
          </w:p>
        </w:tc>
        <w:tc>
          <w:tcPr>
            <w:tcW w:w="5960" w:type="dxa"/>
            <w:vAlign w:val="bottom"/>
          </w:tcPr>
          <w:p>
            <w:pPr>
              <w:ind w:left="60"/>
              <w:spacing w:after="0" w:line="196" w:lineRule="exact"/>
              <w:rPr>
                <w:sz w:val="20"/>
                <w:szCs w:val="20"/>
                <w:color w:val="auto"/>
              </w:rPr>
            </w:pPr>
            <w:r>
              <w:rPr>
                <w:rFonts w:ascii="Arial" w:cs="Arial" w:eastAsia="Arial" w:hAnsi="Arial"/>
                <w:sz w:val="18"/>
                <w:szCs w:val="18"/>
                <w:color w:val="auto"/>
              </w:rPr>
              <w:t>Senior Vice President and Chief Information Officer since</w:t>
            </w: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January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5"/>
        </w:trPr>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and Chief Information Officer from March 2023 to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December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 Enterprise Digital Services from September 2019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 March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and Chief Information Officer, Centrica (an</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2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international energy and services company) from March 2019 to</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August 2019.</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040" w:type="dxa"/>
            <w:vAlign w:val="bottom"/>
            <w:tcBorders>
              <w:bottom w:val="single" w:sz="8" w:color="457157"/>
            </w:tcBorders>
          </w:tcPr>
          <w:p>
            <w:pPr>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Michael J. Watson</w:t>
            </w:r>
          </w:p>
        </w:tc>
        <w:tc>
          <w:tcPr>
            <w:tcW w:w="1000" w:type="dxa"/>
            <w:vAlign w:val="bottom"/>
            <w:tcBorders>
              <w:bottom w:val="single" w:sz="8" w:color="457157"/>
            </w:tcBorders>
          </w:tcPr>
          <w:p>
            <w:pPr>
              <w:jc w:val="right"/>
              <w:spacing w:after="0" w:line="210"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4"/>
                <w:szCs w:val="24"/>
                <w:color w:val="auto"/>
                <w:vertAlign w:val="subscript"/>
              </w:rPr>
              <w:t>54</w:t>
            </w:r>
            <w:r>
              <w:rPr>
                <w:rFonts w:ascii="Arial" w:cs="Arial" w:eastAsia="Arial" w:hAnsi="Arial"/>
                <w:sz w:val="14"/>
                <w:szCs w:val="14"/>
                <w:color w:val="auto"/>
              </w:rPr>
              <w:t xml:space="preserve"> ​ ​ </w:t>
            </w:r>
            <w:r>
              <w:rPr>
                <w:rFonts w:ascii="Arial" w:cs="Arial" w:eastAsia="Arial" w:hAnsi="Arial"/>
                <w:sz w:val="24"/>
                <w:szCs w:val="24"/>
                <w:color w:val="457157"/>
                <w:vertAlign w:val="subscript"/>
              </w:rPr>
              <w:t>•</w:t>
            </w: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Senior Vice President and Chief Customer Officer since 2018.</w:t>
            </w:r>
          </w:p>
        </w:tc>
        <w:tc>
          <w:tcPr>
            <w:tcW w:w="60" w:type="dxa"/>
            <w:vAlign w:val="bottom"/>
            <w:tcBorders>
              <w:bottom w:val="single" w:sz="8" w:color="457157"/>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6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609"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COMPENSATION</w:t>
      </w:r>
      <w:r>
        <w:rPr>
          <w:rFonts w:ascii="Times New Roman" w:cs="Times New Roman" w:eastAsia="Times New Roman" w:hAnsi="Times New Roman"/>
          <w:sz w:val="64"/>
          <w:szCs w:val="64"/>
          <w:color w:val="000000"/>
        </w:rPr>
        <w:t>​</w:t>
      </w:r>
    </w:p>
    <w:p>
      <w:pPr>
        <w:spacing w:after="0" w:line="95" w:lineRule="exact"/>
        <w:rPr>
          <w:sz w:val="20"/>
          <w:szCs w:val="20"/>
          <w:color w:val="auto"/>
        </w:rPr>
      </w:pPr>
    </w:p>
    <w:p>
      <w:pPr>
        <w:ind w:left="820" w:right="3880"/>
        <w:spacing w:after="0" w:line="339" w:lineRule="auto"/>
        <w:rPr>
          <w:sz w:val="20"/>
          <w:szCs w:val="20"/>
          <w:color w:val="auto"/>
        </w:rPr>
      </w:pPr>
      <w:r>
        <w:rPr>
          <w:rFonts w:ascii="Arial" w:cs="Arial" w:eastAsia="Arial" w:hAnsi="Arial"/>
          <w:sz w:val="22"/>
          <w:szCs w:val="22"/>
          <w:b w:val="1"/>
          <w:bCs w:val="1"/>
          <w:color w:val="457157"/>
        </w:rPr>
        <w:t>COMPENSATION DISCUSSION AND ANALYSIS Introduction</w:t>
      </w:r>
    </w:p>
    <w:p>
      <w:pPr>
        <w:spacing w:after="0" w:line="2"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2023 aligned with the Company’s 2023 financial goals and performance. The Compensation Discussion and Analysis helps readers better understand the information found in the Summary Compensation Table and other accompanying tables included in this Proxy Statement.</w:t>
      </w:r>
    </w:p>
    <w:p>
      <w:pPr>
        <w:spacing w:after="0" w:line="74" w:lineRule="exact"/>
        <w:rPr>
          <w:sz w:val="20"/>
          <w:szCs w:val="20"/>
          <w:color w:val="auto"/>
        </w:rPr>
      </w:pPr>
    </w:p>
    <w:p>
      <w:pPr>
        <w:jc w:val="both"/>
        <w:ind w:left="820"/>
        <w:spacing w:after="0" w:line="278"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during 2023, whom we refer to as the “named executive officers” or “named executives”:</w:t>
      </w:r>
    </w:p>
    <w:p>
      <w:pPr>
        <w:spacing w:after="0" w:line="276" w:lineRule="exact"/>
        <w:rPr>
          <w:sz w:val="20"/>
          <w:szCs w:val="20"/>
          <w:color w:val="auto"/>
        </w:rPr>
      </w:pPr>
    </w:p>
    <w:p>
      <w:pPr>
        <w:ind w:left="1360" w:hanging="184"/>
        <w:spacing w:after="0"/>
        <w:tabs>
          <w:tab w:leader="none" w:pos="1360" w:val="left"/>
        </w:tabs>
        <w:numPr>
          <w:ilvl w:val="0"/>
          <w:numId w:val="21"/>
        </w:numPr>
        <w:rPr>
          <w:rFonts w:ascii="Arial" w:cs="Arial" w:eastAsia="Arial" w:hAnsi="Arial"/>
          <w:sz w:val="18"/>
          <w:szCs w:val="18"/>
          <w:color w:val="457157"/>
        </w:rPr>
      </w:pPr>
      <w:r>
        <w:rPr>
          <w:rFonts w:ascii="Arial" w:cs="Arial" w:eastAsia="Arial" w:hAnsi="Arial"/>
          <w:sz w:val="18"/>
          <w:szCs w:val="18"/>
          <w:color w:val="auto"/>
        </w:rPr>
        <w:t>Mr. James C. Fish, Jr. — President and Chief Executive Officer since November 2016.</w:t>
      </w:r>
    </w:p>
    <w:p>
      <w:pPr>
        <w:spacing w:after="0" w:line="117" w:lineRule="exact"/>
        <w:rPr>
          <w:rFonts w:ascii="Arial" w:cs="Arial" w:eastAsia="Arial" w:hAnsi="Arial"/>
          <w:sz w:val="18"/>
          <w:szCs w:val="18"/>
          <w:color w:val="457157"/>
        </w:rPr>
      </w:pPr>
    </w:p>
    <w:p>
      <w:pPr>
        <w:ind w:left="1360" w:right="1200" w:hanging="184"/>
        <w:spacing w:after="0" w:line="287" w:lineRule="auto"/>
        <w:tabs>
          <w:tab w:leader="none" w:pos="1360" w:val="left"/>
        </w:tabs>
        <w:numPr>
          <w:ilvl w:val="0"/>
          <w:numId w:val="21"/>
        </w:numPr>
        <w:rPr>
          <w:rFonts w:ascii="Arial" w:cs="Arial" w:eastAsia="Arial" w:hAnsi="Arial"/>
          <w:sz w:val="18"/>
          <w:szCs w:val="18"/>
          <w:color w:val="457157"/>
        </w:rPr>
      </w:pPr>
      <w:r>
        <w:rPr>
          <w:rFonts w:ascii="Arial" w:cs="Arial" w:eastAsia="Arial" w:hAnsi="Arial"/>
          <w:sz w:val="18"/>
          <w:szCs w:val="18"/>
          <w:color w:val="auto"/>
        </w:rPr>
        <w:t>Ms. Devina A. Rankin — Executive Vice President and Chief Financial Officer since February 2020.</w:t>
      </w:r>
    </w:p>
    <w:p>
      <w:pPr>
        <w:spacing w:after="0" w:line="44" w:lineRule="exact"/>
        <w:rPr>
          <w:rFonts w:ascii="Arial" w:cs="Arial" w:eastAsia="Arial" w:hAnsi="Arial"/>
          <w:sz w:val="18"/>
          <w:szCs w:val="18"/>
          <w:color w:val="457157"/>
        </w:rPr>
      </w:pPr>
    </w:p>
    <w:p>
      <w:pPr>
        <w:ind w:left="1360" w:right="1120" w:hanging="184"/>
        <w:spacing w:after="0" w:line="287" w:lineRule="auto"/>
        <w:tabs>
          <w:tab w:leader="none" w:pos="1360" w:val="left"/>
        </w:tabs>
        <w:numPr>
          <w:ilvl w:val="0"/>
          <w:numId w:val="21"/>
        </w:numPr>
        <w:rPr>
          <w:rFonts w:ascii="Arial" w:cs="Arial" w:eastAsia="Arial" w:hAnsi="Arial"/>
          <w:sz w:val="18"/>
          <w:szCs w:val="18"/>
          <w:color w:val="457157"/>
        </w:rPr>
      </w:pPr>
      <w:r>
        <w:rPr>
          <w:rFonts w:ascii="Arial" w:cs="Arial" w:eastAsia="Arial" w:hAnsi="Arial"/>
          <w:sz w:val="18"/>
          <w:szCs w:val="18"/>
          <w:color w:val="auto"/>
        </w:rPr>
        <w:t>Mr. John J. Morris, Jr. — Executive Vice President and Chief Operating Officer since January 2019.</w:t>
      </w:r>
    </w:p>
    <w:p>
      <w:pPr>
        <w:spacing w:after="0" w:line="44" w:lineRule="exact"/>
        <w:rPr>
          <w:rFonts w:ascii="Arial" w:cs="Arial" w:eastAsia="Arial" w:hAnsi="Arial"/>
          <w:sz w:val="18"/>
          <w:szCs w:val="18"/>
          <w:color w:val="457157"/>
        </w:rPr>
      </w:pPr>
    </w:p>
    <w:p>
      <w:pPr>
        <w:ind w:left="1360" w:hanging="184"/>
        <w:spacing w:after="0" w:line="287" w:lineRule="auto"/>
        <w:tabs>
          <w:tab w:leader="none" w:pos="1360" w:val="left"/>
        </w:tabs>
        <w:numPr>
          <w:ilvl w:val="0"/>
          <w:numId w:val="21"/>
        </w:numPr>
        <w:rPr>
          <w:rFonts w:ascii="Arial" w:cs="Arial" w:eastAsia="Arial" w:hAnsi="Arial"/>
          <w:sz w:val="18"/>
          <w:szCs w:val="18"/>
          <w:color w:val="457157"/>
        </w:rPr>
      </w:pPr>
      <w:r>
        <w:rPr>
          <w:rFonts w:ascii="Arial" w:cs="Arial" w:eastAsia="Arial" w:hAnsi="Arial"/>
          <w:sz w:val="18"/>
          <w:szCs w:val="18"/>
          <w:color w:val="auto"/>
        </w:rPr>
        <w:t>Mr. Rafael E. Carrasco — Senior Vice President — Operations from July 2021 to September 2023; Senior Vice President — Enterprise Strategy since September 2023.</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21"/>
        </w:numPr>
        <w:rPr>
          <w:rFonts w:ascii="Arial" w:cs="Arial" w:eastAsia="Arial" w:hAnsi="Arial"/>
          <w:sz w:val="18"/>
          <w:szCs w:val="18"/>
          <w:color w:val="457157"/>
        </w:rPr>
      </w:pPr>
      <w:r>
        <w:rPr>
          <w:rFonts w:ascii="Arial" w:cs="Arial" w:eastAsia="Arial" w:hAnsi="Arial"/>
          <w:sz w:val="18"/>
          <w:szCs w:val="18"/>
          <w:color w:val="auto"/>
        </w:rPr>
        <w:t>Ms. Tara J. Hemmer — Senior Vice President and Chief Sustainability Officer since July 2021.</w:t>
      </w:r>
    </w:p>
    <w:p>
      <w:pPr>
        <w:spacing w:after="0" w:line="117" w:lineRule="exact"/>
        <w:rPr>
          <w:sz w:val="20"/>
          <w:szCs w:val="20"/>
          <w:color w:val="auto"/>
        </w:rPr>
      </w:pPr>
    </w:p>
    <w:p>
      <w:pPr>
        <w:jc w:val="both"/>
        <w:ind w:left="820" w:right="20"/>
        <w:spacing w:after="0" w:line="287" w:lineRule="auto"/>
        <w:rPr>
          <w:sz w:val="20"/>
          <w:szCs w:val="20"/>
          <w:color w:val="auto"/>
        </w:rPr>
      </w:pPr>
      <w:r>
        <w:rPr>
          <w:rFonts w:ascii="Arial" w:cs="Arial" w:eastAsia="Arial" w:hAnsi="Arial"/>
          <w:sz w:val="18"/>
          <w:szCs w:val="18"/>
          <w:color w:val="auto"/>
        </w:rPr>
        <w:t>For additional information about the named executives’ background and prior experience with the Company, see “Executive Officers” above.</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Executive Summary</w:t>
      </w:r>
    </w:p>
    <w:p>
      <w:pPr>
        <w:spacing w:after="0" w:line="126"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288" w:lineRule="exact"/>
        <w:rPr>
          <w:sz w:val="20"/>
          <w:szCs w:val="20"/>
          <w:color w:val="auto"/>
        </w:rPr>
      </w:pPr>
    </w:p>
    <w:p>
      <w:pPr>
        <w:jc w:val="both"/>
        <w:ind w:left="820"/>
        <w:spacing w:after="0" w:line="254" w:lineRule="auto"/>
        <w:rPr>
          <w:sz w:val="20"/>
          <w:szCs w:val="20"/>
          <w:color w:val="auto"/>
        </w:rPr>
      </w:pPr>
      <w:r>
        <w:rPr>
          <w:rFonts w:ascii="Arial" w:cs="Arial" w:eastAsia="Arial" w:hAnsi="Arial"/>
          <w:sz w:val="18"/>
          <w:szCs w:val="18"/>
          <w:color w:val="auto"/>
        </w:rPr>
        <w:t>We have enabled a people-first, technology-led focus to deliver on our brand promise, ALWAYS WORKING FOR A SUSTAINAIBLE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are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We believe our Company would not be successful, on financial performance measures or otherwise, without our industry-leading focus on sustainability.</w:t>
      </w:r>
    </w:p>
    <w:p>
      <w:pPr>
        <w:spacing w:after="0" w:line="200" w:lineRule="exact"/>
        <w:rPr>
          <w:sz w:val="20"/>
          <w:szCs w:val="20"/>
          <w:color w:val="auto"/>
        </w:rPr>
      </w:pPr>
    </w:p>
    <w:p>
      <w:pPr>
        <w:spacing w:after="0" w:line="312" w:lineRule="exact"/>
        <w:rPr>
          <w:sz w:val="20"/>
          <w:szCs w:val="20"/>
          <w:color w:val="auto"/>
        </w:rPr>
      </w:pPr>
    </w:p>
    <w:p>
      <w:pPr>
        <w:jc w:val="both"/>
        <w:ind w:left="820"/>
        <w:spacing w:after="0" w:line="263" w:lineRule="auto"/>
        <w:rPr>
          <w:sz w:val="20"/>
          <w:szCs w:val="20"/>
          <w:color w:val="auto"/>
        </w:rPr>
      </w:pPr>
      <w:r>
        <w:rPr>
          <w:rFonts w:ascii="Arial" w:cs="Arial" w:eastAsia="Arial" w:hAnsi="Arial"/>
          <w:sz w:val="18"/>
          <w:szCs w:val="18"/>
          <w:color w:val="auto"/>
        </w:rPr>
        <w:t>The following key structural elements and policies further the objective of our executive compensation program:</w:t>
      </w:r>
    </w:p>
    <w:p>
      <w:pPr>
        <w:spacing w:after="0" w:line="313" w:lineRule="exact"/>
        <w:rPr>
          <w:sz w:val="20"/>
          <w:szCs w:val="20"/>
          <w:color w:val="auto"/>
        </w:rPr>
      </w:pPr>
    </w:p>
    <w:p>
      <w:pPr>
        <w:jc w:val="both"/>
        <w:ind w:left="1360" w:hanging="184"/>
        <w:spacing w:after="0" w:line="259"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a substantial majority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equity awards with a three-year performance period ended 2023 and the 2023 annual cash incentive award;</w:t>
      </w:r>
    </w:p>
    <w:p>
      <w:pPr>
        <w:spacing w:after="0" w:line="71" w:lineRule="exact"/>
        <w:rPr>
          <w:rFonts w:ascii="Arial" w:cs="Arial" w:eastAsia="Arial" w:hAnsi="Arial"/>
          <w:sz w:val="18"/>
          <w:szCs w:val="18"/>
          <w:color w:val="457157"/>
        </w:rPr>
      </w:pPr>
    </w:p>
    <w:p>
      <w:pPr>
        <w:jc w:val="both"/>
        <w:ind w:left="1360" w:hanging="184"/>
        <w:spacing w:after="0" w:line="265" w:lineRule="auto"/>
        <w:tabs>
          <w:tab w:leader="none" w:pos="1360" w:val="left"/>
        </w:tabs>
        <w:numPr>
          <w:ilvl w:val="0"/>
          <w:numId w:val="22"/>
        </w:numPr>
        <w:rPr>
          <w:rFonts w:ascii="Arial" w:cs="Arial" w:eastAsia="Arial" w:hAnsi="Arial"/>
          <w:sz w:val="18"/>
          <w:szCs w:val="18"/>
          <w:color w:val="457157"/>
        </w:rPr>
      </w:pPr>
      <w:r>
        <w:rPr>
          <w:rFonts w:ascii="Arial" w:cs="Arial" w:eastAsia="Arial" w:hAnsi="Arial"/>
          <w:sz w:val="18"/>
          <w:szCs w:val="18"/>
          <w:color w:val="auto"/>
        </w:rPr>
        <w:t>at target, 73% of total compensation of our President and Chief Executive Officer was tied to long-term equity awards, and 61% of total compensation of our other named executives, on average, was tied to long-term equity awards, which aligns executives’ interests with those of stockholders;</w:t>
      </w:r>
    </w:p>
    <w:p>
      <w:pPr>
        <w:spacing w:after="0" w:line="200" w:lineRule="exact"/>
        <w:rPr>
          <w:sz w:val="20"/>
          <w:szCs w:val="20"/>
          <w:color w:val="auto"/>
        </w:rPr>
      </w:pPr>
    </w:p>
    <w:p>
      <w:pPr>
        <w:spacing w:after="0" w:line="26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ind w:left="1360" w:right="60" w:hanging="184"/>
        <w:spacing w:after="0" w:line="287"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44"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76"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44"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287" w:lineRule="exact"/>
        <w:rPr>
          <w:rFonts w:ascii="Arial" w:cs="Arial" w:eastAsia="Arial" w:hAnsi="Arial"/>
          <w:sz w:val="18"/>
          <w:szCs w:val="18"/>
          <w:color w:val="457157"/>
        </w:rPr>
      </w:pPr>
    </w:p>
    <w:p>
      <w:pPr>
        <w:jc w:val="both"/>
        <w:ind w:left="1360" w:right="60" w:hanging="184"/>
        <w:spacing w:after="0" w:line="278"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(the “Severance Limitation Policy”); and</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3"/>
        </w:numPr>
        <w:rPr>
          <w:rFonts w:ascii="Arial" w:cs="Arial" w:eastAsia="Arial" w:hAnsi="Arial"/>
          <w:sz w:val="18"/>
          <w:szCs w:val="18"/>
          <w:color w:val="457157"/>
        </w:rPr>
      </w:pPr>
      <w:r>
        <w:rPr>
          <w:rFonts w:ascii="Arial" w:cs="Arial" w:eastAsia="Arial" w:hAnsi="Arial"/>
          <w:sz w:val="18"/>
          <w:szCs w:val="18"/>
          <w:color w:val="auto"/>
        </w:rPr>
        <w:t>the Company has adopted a policy that prohibits it from entering into agreements with executive officers that provide for certain death benefits or tax gross-up payments.</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2023 Compensation Program Results and Company Performance</w:t>
      </w:r>
    </w:p>
    <w:p>
      <w:pPr>
        <w:spacing w:after="0" w:line="112"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During 2023, we continued to focus on our priorities to advance our strategy — enhancing employee engagement, permanently reducing our cost to serve through the use of technology and automation, and investing in growth through our recycling and renewable energy businesses. This strategic focus, combined with strong operational execution, resulted in increased revenue, income from operations and income from operations margin. We remain diligent in offering a competitive and differentiated service that meets the needs of our customers, and we are focused on driving operating efficiencies and reducing discretionary spend. We continue to invest in our people through market wage adjustments, investments in our digital platform and training for our team members. We also continue to make investments in automation and optimization to enhance our operational efficiency and improve labor productivity for all lines of business. The Company allocated $2.438 billion of available cash to our shareholders during 2023 through dividends and Common Stock repurchases. During 2023, the Company allocated $2.895 billion of available cash to capital expenditures. The increase in capital spending continues to be driven in large part by our acceleration of investments in our recycling and renewable energy businesses.</w:t>
      </w:r>
    </w:p>
    <w:p>
      <w:pPr>
        <w:spacing w:after="0" w:line="200" w:lineRule="exact"/>
        <w:rPr>
          <w:sz w:val="20"/>
          <w:szCs w:val="20"/>
          <w:color w:val="auto"/>
        </w:rPr>
      </w:pP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Following is a summary of the 2023 compensation program results:</w:t>
      </w:r>
    </w:p>
    <w:p>
      <w:pPr>
        <w:spacing w:after="0" w:line="227"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Total Shareholder Return</w:t>
      </w:r>
    </w:p>
    <w:p>
      <w:pPr>
        <w:spacing w:after="0" w:line="115"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With respect to the half of the performance share units (“PSUs”) granted in 2021 with a three-year performance period ended December 31, 2023 that was subject to total shareholder return relative to the S&amp;P 500 (“TSR PSUs”), the performance of the Company’s Common Stock on this measure translated into a percentile rank relative to the S&amp;P 500 of 77.27%, resulting in a maximum 200% payout on these PSUs in shares of Common Stock. This performance directly benefited our stockholders, delivering total shareholder return of 58.25% over the three-year performance period.</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Cash Flow Generation</w:t>
      </w:r>
    </w:p>
    <w:p>
      <w:pPr>
        <w:spacing w:after="0" w:line="115"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2021, of $7.789 billion, exceeding the target performance level of $7.032 billion and the maximum performance level of $7.50 billion for the three-year performance period ended December 31, 2023. These results exclude the impact of $1.325 billion of incremental sustainability growth investments in 2022 and 2023, as such capital expenditures were not contemplated at the time this performance measure was established but were subsequently approved by our Board in furtherance of the Company’s strategy. This performance resulted in a 200% payout on these PSUs in shares of Common Stock. The robust</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cash flow generation of our business over the three-year performance period has allowed the Company to fulfill its priorities of investing in the business, funding acquisitions with strong returns, and returning available cash to stockholders through dividend growth and Common Stock repurchases.</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Annual Cash Incentive Performance Measures</w:t>
      </w:r>
    </w:p>
    <w:p>
      <w:pPr>
        <w:spacing w:after="0" w:line="115"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Company performance on annual cash incentive performance measures for named executive officers is set forth below. Additional information about the definition and calculation of these performance measures is below under “Named Executives’ 2023 Compensation Program and Results — Annual Cash Incentive.” Based on these financial results, the named executives earned an annual cash incentive payment for 2023 equal to 117.85% of target.</w:t>
      </w:r>
    </w:p>
    <w:p>
      <w:pPr>
        <w:spacing w:after="0" w:line="71" w:lineRule="exact"/>
        <w:rPr>
          <w:sz w:val="20"/>
          <w:szCs w:val="20"/>
          <w:color w:val="auto"/>
        </w:rPr>
      </w:pPr>
    </w:p>
    <w:p>
      <w:pPr>
        <w:jc w:val="both"/>
        <w:ind w:left="1180" w:right="60"/>
        <w:spacing w:after="0" w:line="261" w:lineRule="auto"/>
        <w:rPr>
          <w:sz w:val="20"/>
          <w:szCs w:val="20"/>
          <w:color w:val="auto"/>
        </w:rPr>
      </w:pPr>
      <w:r>
        <w:rPr>
          <w:rFonts w:ascii="Arial" w:cs="Arial" w:eastAsia="Arial" w:hAnsi="Arial"/>
          <w:sz w:val="18"/>
          <w:szCs w:val="18"/>
          <w:b w:val="1"/>
          <w:bCs w:val="1"/>
          <w:i w:val="1"/>
          <w:iCs w:val="1"/>
          <w:color w:val="auto"/>
        </w:rPr>
        <w:t xml:space="preserve">Operating EBITDA </w:t>
      </w:r>
      <w:r>
        <w:rPr>
          <w:rFonts w:ascii="Arial" w:cs="Arial" w:eastAsia="Arial" w:hAnsi="Arial"/>
          <w:sz w:val="18"/>
          <w:szCs w:val="18"/>
          <w:color w:val="auto"/>
        </w:rPr>
        <w:t>(generally defined as the Company’s income from operations,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depletion and amortization, “Restructuring” and “(Gain) Loss from Divestitures, Asset Impairments and Unusual Items, Net” reported in our Annual Report on Form 10- K, and also excluding the impacts of our recycling brokerage business) — </w:t>
      </w:r>
      <w:r>
        <w:rPr>
          <w:rFonts w:ascii="Arial" w:cs="Arial" w:eastAsia="Arial" w:hAnsi="Arial"/>
          <w:sz w:val="18"/>
          <w:szCs w:val="18"/>
          <w:i w:val="1"/>
          <w:iCs w:val="1"/>
          <w:color w:val="auto"/>
        </w:rPr>
        <w:t>$5.892 billion, yielding a payout of</w:t>
      </w:r>
      <w:r>
        <w:rPr>
          <w:rFonts w:ascii="Arial" w:cs="Arial" w:eastAsia="Arial" w:hAnsi="Arial"/>
          <w:sz w:val="18"/>
          <w:szCs w:val="18"/>
          <w:color w:val="auto"/>
        </w:rPr>
        <w:t xml:space="preserve"> </w:t>
      </w:r>
      <w:r>
        <w:rPr>
          <w:rFonts w:ascii="Arial" w:cs="Arial" w:eastAsia="Arial" w:hAnsi="Arial"/>
          <w:sz w:val="18"/>
          <w:szCs w:val="18"/>
          <w:i w:val="1"/>
          <w:iCs w:val="1"/>
          <w:color w:val="auto"/>
        </w:rPr>
        <w:t>98.98%</w:t>
      </w:r>
    </w:p>
    <w:p>
      <w:pPr>
        <w:spacing w:after="0" w:line="288" w:lineRule="exact"/>
        <w:rPr>
          <w:sz w:val="20"/>
          <w:szCs w:val="20"/>
          <w:color w:val="auto"/>
        </w:rPr>
      </w:pPr>
    </w:p>
    <w:p>
      <w:pPr>
        <w:jc w:val="both"/>
        <w:ind w:left="1180" w:right="60"/>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Margin </w:t>
      </w:r>
      <w:r>
        <w:rPr>
          <w:rFonts w:ascii="Arial" w:cs="Arial" w:eastAsia="Arial" w:hAnsi="Arial"/>
          <w:sz w:val="18"/>
          <w:szCs w:val="18"/>
          <w:color w:val="auto"/>
        </w:rPr>
        <w:t>(generally defined as the Company’s income from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excluding “Restructuring” and “(Gain) Loss from Divestitures, Asset Impairments and Unusual Items, Net” reported in our Annual Report on Form 10- K, as a percentage of revenue, also excluding the impacts of our recycling brokerage business from both income from operations and revenue) —  </w:t>
      </w:r>
      <w:r>
        <w:rPr>
          <w:rFonts w:ascii="Arial" w:cs="Arial" w:eastAsia="Arial" w:hAnsi="Arial"/>
          <w:sz w:val="18"/>
          <w:szCs w:val="18"/>
          <w:i w:val="1"/>
          <w:iCs w:val="1"/>
          <w:color w:val="auto"/>
        </w:rPr>
        <w:t>19.30%, yielding a payout of 133.46%</w:t>
      </w:r>
    </w:p>
    <w:p>
      <w:pPr>
        <w:spacing w:after="0" w:line="71" w:lineRule="exact"/>
        <w:rPr>
          <w:sz w:val="20"/>
          <w:szCs w:val="20"/>
          <w:color w:val="auto"/>
        </w:rPr>
      </w:pPr>
    </w:p>
    <w:p>
      <w:pPr>
        <w:jc w:val="both"/>
        <w:ind w:left="1180" w:right="60"/>
        <w:spacing w:after="0" w:line="268" w:lineRule="auto"/>
        <w:rPr>
          <w:sz w:val="20"/>
          <w:szCs w:val="20"/>
          <w:color w:val="auto"/>
        </w:rPr>
      </w:pPr>
      <w:r>
        <w:rPr>
          <w:rFonts w:ascii="Arial" w:cs="Arial" w:eastAsia="Arial" w:hAnsi="Arial"/>
          <w:sz w:val="18"/>
          <w:szCs w:val="18"/>
          <w:b w:val="1"/>
          <w:bCs w:val="1"/>
          <w:i w:val="1"/>
          <w:iCs w:val="1"/>
          <w:color w:val="auto"/>
        </w:rPr>
        <w:t xml:space="preserve">Internal Revenue Growth </w:t>
      </w:r>
      <w:r>
        <w:rPr>
          <w:rFonts w:ascii="Arial" w:cs="Arial" w:eastAsia="Arial" w:hAnsi="Arial"/>
          <w:sz w:val="18"/>
          <w:szCs w:val="18"/>
          <w:color w:val="auto"/>
        </w:rPr>
        <w:t>(defined as internal revenue growth from yield, plus internal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from volume, at the consolidated level for the collection and disposal business) — </w:t>
      </w:r>
      <w:r>
        <w:rPr>
          <w:rFonts w:ascii="Arial" w:cs="Arial" w:eastAsia="Arial" w:hAnsi="Arial"/>
          <w:sz w:val="18"/>
          <w:szCs w:val="18"/>
          <w:i w:val="1"/>
          <w:iCs w:val="1"/>
          <w:color w:val="auto"/>
        </w:rPr>
        <w:t>5.96%,</w:t>
      </w:r>
      <w:r>
        <w:rPr>
          <w:rFonts w:ascii="Arial" w:cs="Arial" w:eastAsia="Arial" w:hAnsi="Arial"/>
          <w:sz w:val="18"/>
          <w:szCs w:val="18"/>
          <w:color w:val="auto"/>
        </w:rPr>
        <w:t xml:space="preserve"> </w:t>
      </w:r>
      <w:r>
        <w:rPr>
          <w:rFonts w:ascii="Arial" w:cs="Arial" w:eastAsia="Arial" w:hAnsi="Arial"/>
          <w:sz w:val="18"/>
          <w:szCs w:val="18"/>
          <w:i w:val="1"/>
          <w:iCs w:val="1"/>
          <w:color w:val="auto"/>
        </w:rPr>
        <w:t>yielding a payout of 139.99%.</w:t>
      </w:r>
    </w:p>
    <w:p>
      <w:pPr>
        <w:spacing w:after="0" w:line="6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Incentive compensation measures presented in this proxy statement are defined differently than corresponding measures reported in the Company’s quarterly earnings press release. See Appendix A for additional information and reconciliations of non-GAAP measures to the most comparable GAAP measures.</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Sustainability Modifier to Annual Cash Incentive Awards</w:t>
      </w:r>
    </w:p>
    <w:p>
      <w:pPr>
        <w:spacing w:after="0" w:line="115"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Beginning in 2023, the MD&amp;C Committee has incorporated a sustainability modifier into the annual cash incentive program. As a result, annual cash incentive payouts to executive officers for 2023 were eligible to be increased, or decreased, up to 5% depending on achievement calculated using a sustainability scorecard. The 2023 sustainability scorecard contained quantifiable performance measures in the areas of safety; diversity &amp; inclusion (“D&amp;I”); circularity and climate. As discussed further below under “Named Executives’ 2023 Compensation Program and Results — Annual Cash Incentive,” the Company earned sufficient points on the sustainability scorecard to correlate to a 2% increase to the annual cash incentive payment for 2023 otherwise earned.</w:t>
      </w:r>
    </w:p>
    <w:p>
      <w:pPr>
        <w:spacing w:after="0" w:line="291"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In 2023, each of the executive compensation incentive awards continued to demonstrate strong alignment between executive pay and Company performance. The payouts on the PSUs granted in 2021 correlate with outstanding cash flow generation and total shareholder return over the three-year performance period. Additionally, the above-target combined results on our annual cash incentive performance measures are reflective of another year of strong business growth and overall financial performance. The Company’s results on each of the performance measures evidence that our executives have taken the right actions to deliver on operational, strategic and financial priorities in the face of broader macroeconomic pressures, including inflation, supply chain disruption, labor market constraints, rising interest rates and commodity price volatility. Management continues to successfully develop and advance strategic initiatives to grow our business while driving efficiencies. As a result, both stockholders and executives were rewarded by above-target results on executive compensation financial performance measures in 2023, coupled with positive results on the sustainability scorecard.</w:t>
      </w:r>
    </w:p>
    <w:p>
      <w:pPr>
        <w:spacing w:after="0" w:line="200" w:lineRule="exact"/>
        <w:rPr>
          <w:sz w:val="20"/>
          <w:szCs w:val="20"/>
          <w:color w:val="auto"/>
        </w:rPr>
      </w:pPr>
    </w:p>
    <w:p>
      <w:pPr>
        <w:spacing w:after="0" w:line="35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3549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6072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Consideration of Stockholder Advisory Vote</w:t>
      </w:r>
    </w:p>
    <w:p>
      <w:pPr>
        <w:spacing w:after="0" w:line="112"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When establishing 2023 compensation for the named executives, the MD&amp;C Committee noted the results of the 2022 advisory stockholder vote on executive compensation, with more than 90% of shares present and entitled to vote at the annual meeting voting in favor of the Company’s executive compensation. Accordingly, the results of the stockholder advisory vote did not cause the MD&amp;C Committee to make any changes to executive compensation practices for 2023, although the MD&amp;C Committee does consider feedback received by the Company through stockholder engagement throughout the year.</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2024 Compensation Program Preview</w:t>
      </w:r>
    </w:p>
    <w:p>
      <w:pPr>
        <w:spacing w:after="0" w:line="99"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2024 long-term incentive program design for stock options and PSUs consistent with prior years.</w:t>
      </w:r>
    </w:p>
    <w:p>
      <w:pPr>
        <w:spacing w:after="0" w:line="50"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As disclosed last year, with respect to the Cash Flow PSUs granted in 2022 with a performance period ended December 31, 2024, the MD&amp;C Committee has considered the impact of the Company’s strategy to accelerate investments in recycling and renewable energy growth projects on the cash flow generation performance measure. Consistent with calculation of the performance results for the Cash Flow PSUs granted in 2021, discussed above, the MD&amp;C Committee anticipates that it will be appropriate to exclude the impact of incremental strategic capital investments that were approved by the Board after the applicable cash flow generation performance measures were established for the Cash Flow PSUs granted in 2022. The MD&amp;C Committee also anticipates a corresponding exclusion of the benefits resulting from such incremental strategic capital expenditures that were not anticipated when the performance measures were established. The MD&amp;C Committee believes that these exclusions are supportive of positive actions by management to advance sustainable growth.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has approved an annual cash incentive program for 2024 with the same performance measures and weighting as the 2023 annual cash incentive program. The MD&amp;C Committee has also approved continued use of a sustainability modifier applicable to this program and has increased the weighting of the sustainability modifier. Annual cash incentive payouts to executive officers for 2024 may be increased, or decreased, up to 10% depending on achievement calculated using the 2024 sustainability scorecard. The 2024 sustainability scorecard contains quantifiable performance measures in the areas of safety; employee engagement; circularity and climate. The MD&amp;C Committee believes that these performance measures align with the Company’s commitments and values, sustainability growth strategy and 2030 goals presented in the Company’s Sustainability Report.</w:t>
      </w:r>
    </w:p>
    <w:p>
      <w:pPr>
        <w:spacing w:after="0" w:line="27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Our Compensation Philosophy for Named Executive Officers</w:t>
      </w:r>
    </w:p>
    <w:p>
      <w:pPr>
        <w:spacing w:after="0" w:line="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compensation philosophy is designed to:</w:t>
      </w:r>
    </w:p>
    <w:p>
      <w:pPr>
        <w:spacing w:after="0" w:line="104" w:lineRule="exact"/>
        <w:rPr>
          <w:sz w:val="20"/>
          <w:szCs w:val="20"/>
          <w:color w:val="auto"/>
        </w:rPr>
      </w:pPr>
    </w:p>
    <w:p>
      <w:pPr>
        <w:ind w:left="1360" w:hanging="184"/>
        <w:spacing w:after="0"/>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Attract and retain exceptional employees through competitive compensation opportunities;</w:t>
      </w:r>
    </w:p>
    <w:p>
      <w:pPr>
        <w:spacing w:after="0" w:line="90"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31"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4"/>
        </w:numPr>
        <w:rPr>
          <w:rFonts w:ascii="Arial" w:cs="Arial" w:eastAsia="Arial" w:hAnsi="Arial"/>
          <w:sz w:val="18"/>
          <w:szCs w:val="18"/>
          <w:color w:val="457157"/>
        </w:rPr>
      </w:pPr>
      <w:r>
        <w:rPr>
          <w:rFonts w:ascii="Arial" w:cs="Arial" w:eastAsia="Arial" w:hAnsi="Arial"/>
          <w:sz w:val="18"/>
          <w:szCs w:val="18"/>
          <w:color w:val="auto"/>
        </w:rPr>
        <w:t>Align our decision makers’ long-term interests with those of our stockholders through emphasis on equity ownership.</w:t>
      </w:r>
    </w:p>
    <w:p>
      <w:pPr>
        <w:spacing w:after="0" w:line="45"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276"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generally be in a range around the competitive median according to the following:</w:t>
      </w:r>
    </w:p>
    <w:p>
      <w:pPr>
        <w:spacing w:after="0" w:line="263" w:lineRule="exact"/>
        <w:rPr>
          <w:sz w:val="20"/>
          <w:szCs w:val="20"/>
          <w:color w:val="auto"/>
        </w:rPr>
      </w:pPr>
    </w:p>
    <w:p>
      <w:pPr>
        <w:jc w:val="both"/>
        <w:ind w:left="1360" w:right="60" w:hanging="184"/>
        <w:spacing w:after="0" w:line="268"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35"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Target short-term and long-term incentive opportunities should generally be set at the competitive median; and</w:t>
      </w:r>
    </w:p>
    <w:p>
      <w:pPr>
        <w:spacing w:after="0" w:line="31"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Overview of Elements of Our 2023 Executive Compensation Program</w:t>
      </w:r>
    </w:p>
    <w:p>
      <w:pPr>
        <w:sectPr>
          <w:pgSz w:w="11900" w:h="16838" w:orient="portrait"/>
          <w:cols w:equalWidth="0" w:num="1">
            <w:col w:w="9940"/>
          </w:cols>
          <w:pgMar w:left="580" w:top="97" w:right="1379" w:bottom="1440" w:gutter="0" w:footer="0" w:header="0"/>
        </w:sectPr>
      </w:pPr>
    </w:p>
    <w:p>
      <w:pPr>
        <w:spacing w:after="0" w:line="25"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980" w:type="dxa"/>
            <w:vAlign w:val="bottom"/>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Timing</w:t>
            </w:r>
          </w:p>
        </w:tc>
        <w:tc>
          <w:tcPr>
            <w:tcW w:w="1660" w:type="dxa"/>
            <w:vAlign w:val="bottom"/>
            <w:gridSpan w:val="2"/>
          </w:tcPr>
          <w:p>
            <w:pPr>
              <w:ind w:left="360"/>
              <w:spacing w:after="0"/>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Component</w:t>
            </w:r>
          </w:p>
        </w:tc>
        <w:tc>
          <w:tcPr>
            <w:tcW w:w="400" w:type="dxa"/>
            <w:vAlign w:val="bottom"/>
            <w:gridSpan w:val="2"/>
          </w:tcPr>
          <w:p>
            <w:pPr>
              <w:ind w:left="220"/>
              <w:spacing w:after="0"/>
              <w:rPr>
                <w:sz w:val="20"/>
                <w:szCs w:val="20"/>
                <w:color w:val="auto"/>
              </w:rPr>
            </w:pPr>
            <w:r>
              <w:rPr>
                <w:rFonts w:ascii="Arial" w:cs="Arial" w:eastAsia="Arial" w:hAnsi="Arial"/>
                <w:sz w:val="14"/>
                <w:szCs w:val="14"/>
                <w:b w:val="1"/>
                <w:bCs w:val="1"/>
                <w:color w:val="457157"/>
              </w:rPr>
              <w:t>​ ​</w:t>
            </w:r>
          </w:p>
        </w:tc>
        <w:tc>
          <w:tcPr>
            <w:tcW w:w="1700" w:type="dxa"/>
            <w:vAlign w:val="bottom"/>
          </w:tcPr>
          <w:p>
            <w:pPr>
              <w:ind w:left="40"/>
              <w:spacing w:after="0"/>
              <w:rPr>
                <w:sz w:val="20"/>
                <w:szCs w:val="20"/>
                <w:color w:val="auto"/>
              </w:rPr>
            </w:pPr>
            <w:r>
              <w:rPr>
                <w:rFonts w:ascii="Arial" w:cs="Arial" w:eastAsia="Arial" w:hAnsi="Arial"/>
                <w:sz w:val="14"/>
                <w:szCs w:val="14"/>
                <w:b w:val="1"/>
                <w:bCs w:val="1"/>
                <w:color w:val="457157"/>
              </w:rPr>
              <w:t>Purpose</w:t>
            </w:r>
          </w:p>
        </w:tc>
        <w:tc>
          <w:tcPr>
            <w:tcW w:w="420" w:type="dxa"/>
            <w:vAlign w:val="bottom"/>
            <w:gridSpan w:val="2"/>
          </w:tcPr>
          <w:p>
            <w:pPr>
              <w:ind w:left="240"/>
              <w:spacing w:after="0"/>
              <w:rPr>
                <w:sz w:val="20"/>
                <w:szCs w:val="20"/>
                <w:color w:val="auto"/>
              </w:rPr>
            </w:pPr>
            <w:r>
              <w:rPr>
                <w:rFonts w:ascii="Arial" w:cs="Arial" w:eastAsia="Arial" w:hAnsi="Arial"/>
                <w:sz w:val="14"/>
                <w:szCs w:val="14"/>
                <w:b w:val="1"/>
                <w:bCs w:val="1"/>
                <w:color w:val="457157"/>
              </w:rPr>
              <w:t>​ ​</w:t>
            </w:r>
          </w:p>
        </w:tc>
        <w:tc>
          <w:tcPr>
            <w:tcW w:w="3680" w:type="dxa"/>
            <w:vAlign w:val="bottom"/>
          </w:tcPr>
          <w:p>
            <w:pPr>
              <w:ind w:left="40"/>
              <w:spacing w:after="0"/>
              <w:rPr>
                <w:sz w:val="20"/>
                <w:szCs w:val="20"/>
                <w:color w:val="auto"/>
              </w:rPr>
            </w:pPr>
            <w:r>
              <w:rPr>
                <w:rFonts w:ascii="Arial" w:cs="Arial" w:eastAsia="Arial" w:hAnsi="Arial"/>
                <w:sz w:val="14"/>
                <w:szCs w:val="14"/>
                <w:b w:val="1"/>
                <w:bCs w:val="1"/>
                <w:color w:val="457157"/>
              </w:rPr>
              <w:t>Key Features</w:t>
            </w:r>
          </w:p>
        </w:tc>
      </w:tr>
      <w:tr>
        <w:trPr>
          <w:trHeight w:val="180"/>
        </w:trPr>
        <w:tc>
          <w:tcPr>
            <w:tcW w:w="980" w:type="dxa"/>
            <w:vAlign w:val="bottom"/>
            <w:shd w:val="clear" w:color="auto" w:fill="E5E5E5"/>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b w:val="1"/>
                <w:bCs w:val="1"/>
                <w:color w:val="auto"/>
              </w:rPr>
              <w:t>Current</w:t>
            </w:r>
          </w:p>
        </w:tc>
        <w:tc>
          <w:tcPr>
            <w:tcW w:w="48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Base Salary</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E5E5E5"/>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To attract and retain</w:t>
            </w:r>
          </w:p>
        </w:tc>
        <w:tc>
          <w:tcPr>
            <w:tcW w:w="340" w:type="dxa"/>
            <w:vAlign w:val="bottom"/>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3760" w:type="dxa"/>
            <w:vAlign w:val="bottom"/>
            <w:gridSpan w:val="2"/>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Adjustments to base salary primarily consider</w:t>
            </w:r>
          </w:p>
        </w:tc>
      </w:tr>
      <w:tr>
        <w:trPr>
          <w:trHeight w:val="162"/>
        </w:trPr>
        <w:tc>
          <w:tcPr>
            <w:tcW w:w="98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executives with a</w:t>
            </w:r>
          </w:p>
        </w:tc>
        <w:tc>
          <w:tcPr>
            <w:tcW w:w="340" w:type="dxa"/>
            <w:vAlign w:val="bottom"/>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competitive market data and the executive’s tenure,</w:t>
            </w:r>
          </w:p>
        </w:tc>
      </w:tr>
      <w:tr>
        <w:trPr>
          <w:trHeight w:val="162"/>
        </w:trPr>
        <w:tc>
          <w:tcPr>
            <w:tcW w:w="98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competitive level of</w:t>
            </w:r>
          </w:p>
        </w:tc>
        <w:tc>
          <w:tcPr>
            <w:tcW w:w="340" w:type="dxa"/>
            <w:vAlign w:val="bottom"/>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individual performance and responsibilities.</w:t>
            </w:r>
          </w:p>
        </w:tc>
      </w:tr>
      <w:tr>
        <w:trPr>
          <w:trHeight w:val="198"/>
        </w:trPr>
        <w:tc>
          <w:tcPr>
            <w:tcW w:w="9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regular income</w:t>
            </w:r>
          </w:p>
        </w:tc>
        <w:tc>
          <w:tcPr>
            <w:tcW w:w="340" w:type="dxa"/>
            <w:vAlign w:val="bottom"/>
            <w:shd w:val="clear" w:color="auto" w:fill="E5E5E5"/>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-445135</wp:posOffset>
            </wp:positionV>
            <wp:extent cx="5760720" cy="79724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0720" cy="7972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457157"/>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537" w:lineRule="exact"/>
        <w:rPr>
          <w:sz w:val="20"/>
          <w:szCs w:val="20"/>
          <w:color w:val="auto"/>
        </w:rPr>
      </w:pPr>
    </w:p>
    <w:p>
      <w:pPr>
        <w:sectPr>
          <w:pgSz w:w="11900" w:h="16838" w:orient="portrait"/>
          <w:cols w:equalWidth="0" w:num="2">
            <w:col w:w="9660" w:space="160"/>
            <w:col w:w="12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133"/>
        </w:trPr>
        <w:tc>
          <w:tcPr>
            <w:tcW w:w="40" w:type="dxa"/>
            <w:vAlign w:val="bottom"/>
            <w:tcBorders>
              <w:top w:val="single" w:sz="8" w:color="457157"/>
            </w:tcBorders>
          </w:tcPr>
          <w:p>
            <w:pPr>
              <w:spacing w:after="0" w:line="133"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457157"/>
            </w:tcBorders>
            <w:shd w:val="clear" w:color="auto" w:fill="E5E5E5"/>
          </w:tcPr>
          <w:p>
            <w:pPr>
              <w:ind w:left="20"/>
              <w:spacing w:after="0" w:line="133" w:lineRule="exact"/>
              <w:rPr>
                <w:sz w:val="20"/>
                <w:szCs w:val="20"/>
                <w:color w:val="auto"/>
              </w:rPr>
            </w:pPr>
            <w:r>
              <w:rPr>
                <w:rFonts w:ascii="Arial" w:cs="Arial" w:eastAsia="Arial" w:hAnsi="Arial"/>
                <w:sz w:val="14"/>
                <w:szCs w:val="14"/>
                <w:b w:val="1"/>
                <w:bCs w:val="1"/>
                <w:color w:val="auto"/>
              </w:rPr>
              <w:t>Short-Term</w:t>
            </w:r>
          </w:p>
        </w:tc>
        <w:tc>
          <w:tcPr>
            <w:tcW w:w="280" w:type="dxa"/>
            <w:vAlign w:val="bottom"/>
            <w:tcBorders>
              <w:top w:val="single" w:sz="8" w:color="457157"/>
            </w:tcBorders>
            <w:shd w:val="clear" w:color="auto" w:fill="E5E5E5"/>
          </w:tcPr>
          <w:p>
            <w:pPr>
              <w:ind w:left="160"/>
              <w:spacing w:after="0" w:line="133"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457157"/>
            </w:tcBorders>
          </w:tcPr>
          <w:p>
            <w:pPr>
              <w:spacing w:after="0" w:line="133" w:lineRule="exact"/>
              <w:rPr>
                <w:sz w:val="20"/>
                <w:szCs w:val="20"/>
                <w:color w:val="auto"/>
              </w:rPr>
            </w:pPr>
            <w:r>
              <w:rPr>
                <w:rFonts w:ascii="Arial" w:cs="Arial" w:eastAsia="Arial" w:hAnsi="Arial"/>
                <w:sz w:val="14"/>
                <w:szCs w:val="14"/>
                <w:color w:val="auto"/>
              </w:rPr>
              <w:t>​ Annual Cash</w:t>
            </w:r>
          </w:p>
        </w:tc>
        <w:tc>
          <w:tcPr>
            <w:tcW w:w="380" w:type="dxa"/>
            <w:vAlign w:val="bottom"/>
            <w:tcBorders>
              <w:top w:val="single" w:sz="8" w:color="457157"/>
            </w:tcBorders>
          </w:tcPr>
          <w:p>
            <w:pPr>
              <w:ind w:left="160"/>
              <w:spacing w:after="0" w:line="133" w:lineRule="exact"/>
              <w:rPr>
                <w:sz w:val="20"/>
                <w:szCs w:val="20"/>
                <w:color w:val="auto"/>
              </w:rPr>
            </w:pPr>
            <w:r>
              <w:rPr>
                <w:rFonts w:ascii="Arial" w:cs="Arial" w:eastAsia="Arial" w:hAnsi="Arial"/>
                <w:sz w:val="14"/>
                <w:szCs w:val="14"/>
                <w:color w:val="auto"/>
              </w:rPr>
              <w:t>​ ​</w:t>
            </w:r>
          </w:p>
        </w:tc>
        <w:tc>
          <w:tcPr>
            <w:tcW w:w="190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To encourage and reward</w:t>
            </w:r>
          </w:p>
        </w:tc>
        <w:tc>
          <w:tcPr>
            <w:tcW w:w="10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w:t>
            </w:r>
          </w:p>
        </w:tc>
        <w:tc>
          <w:tcPr>
            <w:tcW w:w="3980" w:type="dxa"/>
            <w:vAlign w:val="bottom"/>
            <w:tcBorders>
              <w:top w:val="single" w:sz="8" w:color="457157"/>
            </w:tcBorders>
            <w:gridSpan w:val="2"/>
          </w:tcPr>
          <w:p>
            <w:pPr>
              <w:spacing w:after="0" w:line="133" w:lineRule="exact"/>
              <w:rPr>
                <w:sz w:val="20"/>
                <w:szCs w:val="20"/>
                <w:color w:val="auto"/>
              </w:rPr>
            </w:pPr>
            <w:r>
              <w:rPr>
                <w:rFonts w:ascii="Arial" w:cs="Arial" w:eastAsia="Arial" w:hAnsi="Arial"/>
                <w:sz w:val="14"/>
                <w:szCs w:val="14"/>
                <w:color w:val="auto"/>
              </w:rPr>
              <w:t>​ Cash incentives are targeted at a percentage of base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Performance</w:t>
            </w:r>
          </w:p>
        </w:tc>
        <w:tc>
          <w:tcPr>
            <w:tcW w:w="280" w:type="dxa"/>
            <w:vAlign w:val="bottom"/>
            <w:shd w:val="clear" w:color="auto" w:fill="E5E5E5"/>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380" w:type="dxa"/>
            <w:vAlign w:val="bottom"/>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contributions to our annual</w:t>
            </w:r>
          </w:p>
        </w:tc>
        <w:tc>
          <w:tcPr>
            <w:tcW w:w="100" w:type="dxa"/>
            <w:vAlign w:val="bottom"/>
            <w:shd w:val="clear" w:color="auto" w:fill="E5E5E5"/>
          </w:tcPr>
          <w:p>
            <w:pPr>
              <w:spacing w:after="0"/>
              <w:rPr>
                <w:sz w:val="15"/>
                <w:szCs w:val="15"/>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salary and range from zero to 200% of target based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Incentive</w:t>
            </w: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financial objectives</w:t>
            </w: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on the following performance measures: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through performance-</w:t>
            </w:r>
          </w:p>
        </w:tc>
        <w:tc>
          <w:tcPr>
            <w:tcW w:w="100" w:type="dxa"/>
            <w:vAlign w:val="bottom"/>
            <w:shd w:val="clear" w:color="auto" w:fill="E5E5E5"/>
          </w:tcPr>
          <w:p>
            <w:pPr>
              <w:spacing w:after="0"/>
              <w:rPr>
                <w:sz w:val="14"/>
                <w:szCs w:val="14"/>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457157"/>
              </w:rPr>
              <w:t>•</w:t>
            </w:r>
          </w:p>
        </w:tc>
        <w:tc>
          <w:tcPr>
            <w:tcW w:w="3760" w:type="dxa"/>
            <w:vAlign w:val="bottom"/>
            <w:vMerge w:val="restart"/>
          </w:tcPr>
          <w:p>
            <w:pPr>
              <w:ind w:left="40"/>
              <w:spacing w:after="0"/>
              <w:rPr>
                <w:sz w:val="20"/>
                <w:szCs w:val="20"/>
                <w:color w:val="auto"/>
              </w:rPr>
            </w:pPr>
            <w:r>
              <w:rPr>
                <w:rFonts w:ascii="Arial" w:cs="Arial" w:eastAsia="Arial" w:hAnsi="Arial"/>
                <w:sz w:val="14"/>
                <w:szCs w:val="14"/>
                <w:color w:val="auto"/>
              </w:rPr>
              <w:t>Operating EBITDA — designed to encourage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shd w:val="clear" w:color="auto" w:fill="E5E5E5"/>
          </w:tcPr>
          <w:p>
            <w:pPr>
              <w:spacing w:after="0" w:line="145" w:lineRule="exact"/>
              <w:rPr>
                <w:sz w:val="20"/>
                <w:szCs w:val="20"/>
                <w:color w:val="auto"/>
              </w:rPr>
            </w:pPr>
            <w:r>
              <w:rPr>
                <w:rFonts w:ascii="Arial" w:cs="Arial" w:eastAsia="Arial" w:hAnsi="Arial"/>
                <w:sz w:val="14"/>
                <w:szCs w:val="14"/>
                <w:color w:val="auto"/>
              </w:rPr>
              <w:t>based compensation</w:t>
            </w:r>
          </w:p>
        </w:tc>
        <w:tc>
          <w:tcPr>
            <w:tcW w:w="100" w:type="dxa"/>
            <w:vAlign w:val="bottom"/>
            <w:shd w:val="clear" w:color="auto" w:fill="E5E5E5"/>
          </w:tcPr>
          <w:p>
            <w:pPr>
              <w:spacing w:after="0"/>
              <w:rPr>
                <w:sz w:val="12"/>
                <w:szCs w:val="12"/>
                <w:color w:val="auto"/>
              </w:rPr>
            </w:pPr>
          </w:p>
        </w:tc>
        <w:tc>
          <w:tcPr>
            <w:tcW w:w="220" w:type="dxa"/>
            <w:vAlign w:val="bottom"/>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subject to challenging, yet</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balanced growth and profitability and assess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attainable, objective and</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financial outcome from execution of strategic</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transparent metrics</w:t>
            </w:r>
          </w:p>
        </w:tc>
        <w:tc>
          <w:tcPr>
            <w:tcW w:w="100" w:type="dxa"/>
            <w:vAlign w:val="bottom"/>
            <w:shd w:val="clear" w:color="auto" w:fill="E5E5E5"/>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priorities (weighted 50%);</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60" w:type="dxa"/>
            <w:vAlign w:val="bottom"/>
          </w:tcPr>
          <w:p>
            <w:pPr>
              <w:ind w:left="40"/>
              <w:spacing w:after="0"/>
              <w:rPr>
                <w:sz w:val="20"/>
                <w:szCs w:val="20"/>
                <w:color w:val="auto"/>
              </w:rPr>
            </w:pPr>
            <w:r>
              <w:rPr>
                <w:rFonts w:ascii="Arial" w:cs="Arial" w:eastAsia="Arial" w:hAnsi="Arial"/>
                <w:sz w:val="14"/>
                <w:szCs w:val="14"/>
                <w:color w:val="auto"/>
              </w:rPr>
              <w:t>Income from Operations Margin — designed to</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motivate pursuit of high margin revenue growth</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while also controlling costs and operating efficiently</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(weighted 25%); and</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60" w:type="dxa"/>
            <w:vAlign w:val="bottom"/>
          </w:tcPr>
          <w:p>
            <w:pPr>
              <w:ind w:left="40"/>
              <w:spacing w:after="0"/>
              <w:rPr>
                <w:sz w:val="20"/>
                <w:szCs w:val="20"/>
                <w:color w:val="auto"/>
              </w:rPr>
            </w:pPr>
            <w:r>
              <w:rPr>
                <w:rFonts w:ascii="Arial" w:cs="Arial" w:eastAsia="Arial" w:hAnsi="Arial"/>
                <w:sz w:val="14"/>
                <w:szCs w:val="14"/>
                <w:color w:val="auto"/>
              </w:rPr>
              <w:t>Internal Revenue Growth — targeted at executing</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on pricing strategy and appropriate volume growth</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aligned with strategic growth goals (weighted 25%).</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Payouts of cash incentives based on the performance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measures above can be increased or decreased by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up to 5%, depending on achievement calculated</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using the sustainability scorecard.</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114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The MD&amp;C Committee has discretion to increase or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decrease an individual’s cash incentive payment by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up to 25% based on individual performance, but such</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modifier has never been used to increase a payment</w:t>
            </w:r>
          </w:p>
        </w:tc>
        <w:tc>
          <w:tcPr>
            <w:tcW w:w="0" w:type="dxa"/>
            <w:vAlign w:val="bottom"/>
          </w:tcPr>
          <w:p>
            <w:pPr>
              <w:spacing w:after="0"/>
              <w:rPr>
                <w:sz w:val="1"/>
                <w:szCs w:val="1"/>
                <w:color w:val="auto"/>
              </w:rPr>
            </w:pPr>
          </w:p>
        </w:tc>
      </w:tr>
      <w:tr>
        <w:trPr>
          <w:trHeight w:val="194"/>
        </w:trPr>
        <w:tc>
          <w:tcPr>
            <w:tcW w:w="40" w:type="dxa"/>
            <w:vAlign w:val="bottom"/>
            <w:tcBorders>
              <w:bottom w:val="single" w:sz="8" w:color="457157"/>
            </w:tcBorders>
          </w:tcPr>
          <w:p>
            <w:pPr>
              <w:spacing w:after="0"/>
              <w:rPr>
                <w:sz w:val="16"/>
                <w:szCs w:val="16"/>
                <w:color w:val="auto"/>
              </w:rPr>
            </w:pPr>
          </w:p>
        </w:tc>
        <w:tc>
          <w:tcPr>
            <w:tcW w:w="1140" w:type="dxa"/>
            <w:vAlign w:val="bottom"/>
            <w:tcBorders>
              <w:bottom w:val="single" w:sz="8" w:color="457157"/>
            </w:tcBorders>
            <w:shd w:val="clear" w:color="auto" w:fill="E5E5E5"/>
          </w:tcPr>
          <w:p>
            <w:pPr>
              <w:spacing w:after="0"/>
              <w:rPr>
                <w:sz w:val="16"/>
                <w:szCs w:val="16"/>
                <w:color w:val="auto"/>
              </w:rPr>
            </w:pPr>
          </w:p>
        </w:tc>
        <w:tc>
          <w:tcPr>
            <w:tcW w:w="280" w:type="dxa"/>
            <w:vAlign w:val="bottom"/>
            <w:tcBorders>
              <w:bottom w:val="single" w:sz="8" w:color="457157"/>
            </w:tcBorders>
            <w:shd w:val="clear" w:color="auto" w:fill="E5E5E5"/>
          </w:tcPr>
          <w:p>
            <w:pPr>
              <w:spacing w:after="0"/>
              <w:rPr>
                <w:sz w:val="16"/>
                <w:szCs w:val="16"/>
                <w:color w:val="auto"/>
              </w:rPr>
            </w:pPr>
          </w:p>
        </w:tc>
        <w:tc>
          <w:tcPr>
            <w:tcW w:w="1240" w:type="dxa"/>
            <w:vAlign w:val="bottom"/>
            <w:tcBorders>
              <w:bottom w:val="single" w:sz="8" w:color="457157"/>
            </w:tcBorders>
          </w:tcPr>
          <w:p>
            <w:pPr>
              <w:spacing w:after="0"/>
              <w:rPr>
                <w:sz w:val="16"/>
                <w:szCs w:val="16"/>
                <w:color w:val="auto"/>
              </w:rPr>
            </w:pPr>
          </w:p>
        </w:tc>
        <w:tc>
          <w:tcPr>
            <w:tcW w:w="380" w:type="dxa"/>
            <w:vAlign w:val="bottom"/>
            <w:tcBorders>
              <w:bottom w:val="single" w:sz="8" w:color="457157"/>
            </w:tcBorders>
          </w:tcPr>
          <w:p>
            <w:pPr>
              <w:spacing w:after="0"/>
              <w:rPr>
                <w:sz w:val="16"/>
                <w:szCs w:val="16"/>
                <w:color w:val="auto"/>
              </w:rPr>
            </w:pPr>
          </w:p>
        </w:tc>
        <w:tc>
          <w:tcPr>
            <w:tcW w:w="1900" w:type="dxa"/>
            <w:vAlign w:val="bottom"/>
            <w:tcBorders>
              <w:bottom w:val="single" w:sz="8" w:color="457157"/>
            </w:tcBorders>
            <w:shd w:val="clear" w:color="auto" w:fill="E5E5E5"/>
          </w:tcPr>
          <w:p>
            <w:pPr>
              <w:spacing w:after="0"/>
              <w:rPr>
                <w:sz w:val="16"/>
                <w:szCs w:val="16"/>
                <w:color w:val="auto"/>
              </w:rPr>
            </w:pPr>
          </w:p>
        </w:tc>
        <w:tc>
          <w:tcPr>
            <w:tcW w:w="100" w:type="dxa"/>
            <w:vAlign w:val="bottom"/>
            <w:tcBorders>
              <w:bottom w:val="single" w:sz="8" w:color="457157"/>
            </w:tcBorders>
            <w:shd w:val="clear" w:color="auto" w:fill="E5E5E5"/>
          </w:tcPr>
          <w:p>
            <w:pPr>
              <w:spacing w:after="0"/>
              <w:rPr>
                <w:sz w:val="16"/>
                <w:szCs w:val="16"/>
                <w:color w:val="auto"/>
              </w:rPr>
            </w:pPr>
          </w:p>
        </w:tc>
        <w:tc>
          <w:tcPr>
            <w:tcW w:w="3980" w:type="dxa"/>
            <w:vAlign w:val="bottom"/>
            <w:tcBorders>
              <w:bottom w:val="single" w:sz="8" w:color="457157"/>
            </w:tcBorders>
            <w:gridSpan w:val="2"/>
          </w:tcPr>
          <w:p>
            <w:pPr>
              <w:ind w:left="120"/>
              <w:spacing w:after="0"/>
              <w:rPr>
                <w:sz w:val="20"/>
                <w:szCs w:val="20"/>
                <w:color w:val="auto"/>
              </w:rPr>
            </w:pPr>
            <w:r>
              <w:rPr>
                <w:rFonts w:ascii="Arial" w:cs="Arial" w:eastAsia="Arial" w:hAnsi="Arial"/>
                <w:sz w:val="14"/>
                <w:szCs w:val="14"/>
                <w:color w:val="auto"/>
              </w:rPr>
              <w:t>to a named executive.</w:t>
            </w:r>
          </w:p>
        </w:tc>
        <w:tc>
          <w:tcPr>
            <w:tcW w:w="0" w:type="dxa"/>
            <w:vAlign w:val="bottom"/>
          </w:tcPr>
          <w:p>
            <w:pPr>
              <w:spacing w:after="0"/>
              <w:rPr>
                <w:sz w:val="1"/>
                <w:szCs w:val="1"/>
                <w:color w:val="auto"/>
              </w:rPr>
            </w:pPr>
          </w:p>
        </w:tc>
      </w:tr>
      <w:tr>
        <w:trPr>
          <w:trHeight w:val="137"/>
        </w:trPr>
        <w:tc>
          <w:tcPr>
            <w:tcW w:w="4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11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Long-Term</w:t>
            </w:r>
          </w:p>
        </w:tc>
        <w:tc>
          <w:tcPr>
            <w:tcW w:w="280" w:type="dxa"/>
            <w:vAlign w:val="bottom"/>
          </w:tcPr>
          <w:p>
            <w:pPr>
              <w:ind w:left="160"/>
              <w:spacing w:after="0" w:line="137" w:lineRule="exact"/>
              <w:rPr>
                <w:sz w:val="20"/>
                <w:szCs w:val="20"/>
                <w:color w:val="auto"/>
              </w:rPr>
            </w:pPr>
            <w:r>
              <w:rPr>
                <w:rFonts w:ascii="Arial" w:cs="Arial" w:eastAsia="Arial" w:hAnsi="Arial"/>
                <w:sz w:val="14"/>
                <w:szCs w:val="14"/>
                <w:color w:val="auto"/>
              </w:rPr>
              <w:t>​</w:t>
            </w:r>
          </w:p>
        </w:tc>
        <w:tc>
          <w:tcPr>
            <w:tcW w:w="1240" w:type="dxa"/>
            <w:vAlign w:val="bottom"/>
          </w:tcPr>
          <w:p>
            <w:pPr>
              <w:spacing w:after="0" w:line="137" w:lineRule="exact"/>
              <w:rPr>
                <w:sz w:val="20"/>
                <w:szCs w:val="20"/>
                <w:color w:val="auto"/>
              </w:rPr>
            </w:pPr>
            <w:r>
              <w:rPr>
                <w:rFonts w:ascii="Arial" w:cs="Arial" w:eastAsia="Arial" w:hAnsi="Arial"/>
                <w:sz w:val="14"/>
                <w:szCs w:val="14"/>
                <w:color w:val="auto"/>
              </w:rPr>
              <w:t>​ Performance</w:t>
            </w:r>
          </w:p>
        </w:tc>
        <w:tc>
          <w:tcPr>
            <w:tcW w:w="380" w:type="dxa"/>
            <w:vAlign w:val="bottom"/>
          </w:tcPr>
          <w:p>
            <w:pPr>
              <w:ind w:left="160"/>
              <w:spacing w:after="0" w:line="137" w:lineRule="exact"/>
              <w:rPr>
                <w:sz w:val="20"/>
                <w:szCs w:val="20"/>
                <w:color w:val="auto"/>
              </w:rPr>
            </w:pPr>
            <w:r>
              <w:rPr>
                <w:rFonts w:ascii="Arial" w:cs="Arial" w:eastAsia="Arial" w:hAnsi="Arial"/>
                <w:sz w:val="14"/>
                <w:szCs w:val="14"/>
                <w:color w:val="auto"/>
              </w:rPr>
              <w:t>​ ​</w:t>
            </w:r>
          </w:p>
        </w:tc>
        <w:tc>
          <w:tcPr>
            <w:tcW w:w="1900" w:type="dxa"/>
            <w:vAlign w:val="bottom"/>
          </w:tcPr>
          <w:p>
            <w:pPr>
              <w:spacing w:after="0" w:line="137" w:lineRule="exact"/>
              <w:rPr>
                <w:sz w:val="20"/>
                <w:szCs w:val="20"/>
                <w:color w:val="auto"/>
              </w:rPr>
            </w:pPr>
            <w:r>
              <w:rPr>
                <w:rFonts w:ascii="Arial" w:cs="Arial" w:eastAsia="Arial" w:hAnsi="Arial"/>
                <w:sz w:val="14"/>
                <w:szCs w:val="14"/>
                <w:color w:val="auto"/>
              </w:rPr>
              <w:t>To encourage and reward</w:t>
            </w:r>
          </w:p>
        </w:tc>
        <w:tc>
          <w:tcPr>
            <w:tcW w:w="100" w:type="dxa"/>
            <w:vAlign w:val="bottom"/>
          </w:tcPr>
          <w:p>
            <w:pPr>
              <w:spacing w:after="0" w:line="137" w:lineRule="exact"/>
              <w:rPr>
                <w:sz w:val="20"/>
                <w:szCs w:val="20"/>
                <w:color w:val="auto"/>
              </w:rPr>
            </w:pPr>
            <w:r>
              <w:rPr>
                <w:rFonts w:ascii="Arial" w:cs="Arial" w:eastAsia="Arial" w:hAnsi="Arial"/>
                <w:sz w:val="14"/>
                <w:szCs w:val="14"/>
                <w:color w:val="auto"/>
              </w:rPr>
              <w:t>​</w:t>
            </w:r>
          </w:p>
        </w:tc>
        <w:tc>
          <w:tcPr>
            <w:tcW w:w="3980" w:type="dxa"/>
            <w:vAlign w:val="bottom"/>
            <w:gridSpan w:val="2"/>
          </w:tcPr>
          <w:p>
            <w:pPr>
              <w:spacing w:after="0" w:line="137" w:lineRule="exact"/>
              <w:rPr>
                <w:sz w:val="20"/>
                <w:szCs w:val="20"/>
                <w:color w:val="auto"/>
              </w:rPr>
            </w:pPr>
            <w:r>
              <w:rPr>
                <w:rFonts w:ascii="Arial" w:cs="Arial" w:eastAsia="Arial" w:hAnsi="Arial"/>
                <w:sz w:val="14"/>
                <w:szCs w:val="14"/>
                <w:color w:val="auto"/>
              </w:rPr>
              <w:t>​ Number of shares delivered range from zero to 200%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Share Units</w:t>
            </w: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building long-term</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initial target grant based on performance over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Incentives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stockholder value through</w:t>
            </w:r>
          </w:p>
        </w:tc>
        <w:tc>
          <w:tcPr>
            <w:tcW w:w="100" w:type="dxa"/>
            <w:vAlign w:val="bottom"/>
          </w:tcPr>
          <w:p>
            <w:pPr>
              <w:spacing w:after="0"/>
              <w:rPr>
                <w:sz w:val="15"/>
                <w:szCs w:val="15"/>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 three-year performance period.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successful strategy</w:t>
            </w:r>
          </w:p>
        </w:tc>
        <w:tc>
          <w:tcPr>
            <w:tcW w:w="100" w:type="dxa"/>
            <w:vAlign w:val="bottom"/>
          </w:tcPr>
          <w:p>
            <w:pPr>
              <w:spacing w:after="0"/>
              <w:rPr>
                <w:sz w:val="14"/>
                <w:szCs w:val="1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Payout on half of each executive’s PSUs granted in</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execution;</w:t>
            </w:r>
          </w:p>
        </w:tc>
        <w:tc>
          <w:tcPr>
            <w:tcW w:w="100" w:type="dxa"/>
            <w:vAlign w:val="bottom"/>
          </w:tcPr>
          <w:p>
            <w:pPr>
              <w:spacing w:after="0"/>
              <w:rPr>
                <w:sz w:val="9"/>
                <w:szCs w:val="9"/>
                <w:color w:val="auto"/>
              </w:rPr>
            </w:pP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2023 is dependent on cash flow generation, defined</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as net cash flow provided by operating activities, less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capital expenditures, with certain exclusions, which</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continues our focus on capital discipline, while also</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alignment through</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aligning the Company with stockholders’ free cash</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executives’ stock</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flow expectations. We refer to these as Cash Flow</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ownership</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Payout on the remaining half of the PSUs granted in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2023 is dependent on total shareholder return relative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to other companies in the S&amp;P 500 over the three-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year performance period. We refer to these as TSR</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 earn dividend equivalents that are paid at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end of the performance period based on the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shares earned. Recipients can defer the receipt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shares, in which case such shares of Common Stock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will be paid out, without interest, at the end of the</w:t>
            </w:r>
          </w:p>
        </w:tc>
        <w:tc>
          <w:tcPr>
            <w:tcW w:w="0" w:type="dxa"/>
            <w:vAlign w:val="bottom"/>
          </w:tcPr>
          <w:p>
            <w:pPr>
              <w:spacing w:after="0"/>
              <w:rPr>
                <w:sz w:val="1"/>
                <w:szCs w:val="1"/>
                <w:color w:val="auto"/>
              </w:rPr>
            </w:pPr>
          </w:p>
        </w:tc>
      </w:tr>
      <w:tr>
        <w:trPr>
          <w:trHeight w:val="190"/>
        </w:trPr>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deferral period.</w:t>
            </w:r>
          </w:p>
        </w:tc>
        <w:tc>
          <w:tcPr>
            <w:tcW w:w="0" w:type="dxa"/>
            <w:vAlign w:val="bottom"/>
          </w:tcPr>
          <w:p>
            <w:pPr>
              <w:spacing w:after="0"/>
              <w:rPr>
                <w:sz w:val="1"/>
                <w:szCs w:val="1"/>
                <w:color w:val="auto"/>
              </w:rPr>
            </w:pPr>
          </w:p>
        </w:tc>
      </w:tr>
      <w:tr>
        <w:trPr>
          <w:trHeight w:val="22"/>
        </w:trPr>
        <w:tc>
          <w:tcPr>
            <w:tcW w:w="1180" w:type="dxa"/>
            <w:vAlign w:val="bottom"/>
            <w:gridSpan w:val="2"/>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tcBorders>
              <w:bottom w:val="single" w:sz="8" w:color="457157"/>
            </w:tcBorders>
          </w:tcPr>
          <w:p>
            <w:pPr>
              <w:spacing w:after="0" w:line="20" w:lineRule="exact"/>
              <w:rPr>
                <w:sz w:val="1"/>
                <w:szCs w:val="1"/>
                <w:color w:val="auto"/>
              </w:rPr>
            </w:pPr>
          </w:p>
        </w:tc>
        <w:tc>
          <w:tcPr>
            <w:tcW w:w="2280" w:type="dxa"/>
            <w:vAlign w:val="bottom"/>
            <w:tcBorders>
              <w:bottom w:val="single" w:sz="8" w:color="457157"/>
            </w:tcBorders>
            <w:gridSpan w:val="2"/>
          </w:tcPr>
          <w:p>
            <w:pPr>
              <w:spacing w:after="0" w:line="20" w:lineRule="exact"/>
              <w:rPr>
                <w:sz w:val="1"/>
                <w:szCs w:val="1"/>
                <w:color w:val="auto"/>
              </w:rPr>
            </w:pPr>
          </w:p>
        </w:tc>
        <w:tc>
          <w:tcPr>
            <w:tcW w:w="4080" w:type="dxa"/>
            <w:vAlign w:val="bottom"/>
            <w:tcBorders>
              <w:bottom w:val="single" w:sz="8" w:color="457157"/>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240" w:type="dxa"/>
            <w:vAlign w:val="bottom"/>
          </w:tcPr>
          <w:p>
            <w:pPr>
              <w:spacing w:after="0" w:line="133" w:lineRule="exact"/>
              <w:rPr>
                <w:sz w:val="20"/>
                <w:szCs w:val="20"/>
                <w:color w:val="auto"/>
              </w:rPr>
            </w:pPr>
            <w:r>
              <w:rPr>
                <w:rFonts w:ascii="Arial" w:cs="Arial" w:eastAsia="Arial" w:hAnsi="Arial"/>
                <w:sz w:val="14"/>
                <w:szCs w:val="14"/>
                <w:color w:val="auto"/>
              </w:rPr>
              <w:t>​ Stock Options</w:t>
            </w:r>
          </w:p>
        </w:tc>
        <w:tc>
          <w:tcPr>
            <w:tcW w:w="228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 ​ To support the growth</w:t>
            </w:r>
          </w:p>
        </w:tc>
        <w:tc>
          <w:tcPr>
            <w:tcW w:w="4080" w:type="dxa"/>
            <w:vAlign w:val="bottom"/>
            <w:gridSpan w:val="3"/>
          </w:tcPr>
          <w:p>
            <w:pPr>
              <w:spacing w:after="0" w:line="133" w:lineRule="exact"/>
              <w:rPr>
                <w:sz w:val="20"/>
                <w:szCs w:val="20"/>
                <w:color w:val="auto"/>
              </w:rPr>
            </w:pPr>
            <w:r>
              <w:rPr>
                <w:rFonts w:ascii="Arial" w:cs="Arial" w:eastAsia="Arial" w:hAnsi="Arial"/>
                <w:sz w:val="14"/>
                <w:szCs w:val="14"/>
                <w:color w:val="auto"/>
              </w:rPr>
              <w:t>​ ​ Stock options granted in 2023 vest ratably in three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element of the Company’s</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annual increments, beginning on the first anniversary</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strategy and encourage</w:t>
            </w:r>
          </w:p>
        </w:tc>
        <w:tc>
          <w:tcPr>
            <w:tcW w:w="100" w:type="dxa"/>
            <w:vAlign w:val="bottom"/>
          </w:tcPr>
          <w:p>
            <w:pPr>
              <w:spacing w:after="0"/>
              <w:rPr>
                <w:sz w:val="15"/>
                <w:szCs w:val="15"/>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date of grant.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and reward stock price</w:t>
            </w:r>
          </w:p>
        </w:tc>
        <w:tc>
          <w:tcPr>
            <w:tcW w:w="100" w:type="dxa"/>
            <w:vAlign w:val="bottom"/>
          </w:tcPr>
          <w:p>
            <w:pPr>
              <w:spacing w:after="0"/>
              <w:rPr>
                <w:sz w:val="14"/>
                <w:szCs w:val="1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The option exercise price is the average of the high</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appreciation over the long-</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and low market price of our Common Stock on the</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term;</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date of grant.</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Stock options have a term of 10 years.</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alignment through</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executives’ 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ownership</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sectPr>
          <w:pgSz w:w="11900" w:h="16838" w:orient="portrait"/>
          <w:cols w:equalWidth="0" w:num="1">
            <w:col w:w="9940"/>
          </w:cols>
          <w:pgMar w:left="580" w:top="97" w:right="1379" w:bottom="1440" w:gutter="0" w:footer="0" w:header="0"/>
          <w:type w:val="continuous"/>
        </w:sectPr>
      </w:pPr>
    </w:p>
    <w:p>
      <w:pPr>
        <w:ind w:left="2380" w:hanging="1564"/>
        <w:spacing w:after="0" w:line="305" w:lineRule="auto"/>
        <w:tabs>
          <w:tab w:leader="none" w:pos="2164" w:val="left"/>
        </w:tabs>
        <w:numPr>
          <w:ilvl w:val="0"/>
          <w:numId w:val="26"/>
        </w:numPr>
        <w:rPr>
          <w:rFonts w:ascii="Arial" w:cs="Arial" w:eastAsia="Arial" w:hAnsi="Arial"/>
          <w:sz w:val="14"/>
          <w:szCs w:val="14"/>
          <w:color w:val="auto"/>
        </w:rPr>
      </w:pPr>
      <w:r>
        <w:rPr>
          <w:rFonts w:ascii="Arial" w:cs="Arial" w:eastAsia="Arial" w:hAnsi="Arial"/>
          <w:sz w:val="14"/>
          <w:szCs w:val="14"/>
          <w:color w:val="auto"/>
        </w:rPr>
        <w:t>​ ​ Restricted Stock Units (“RSUs”)</w:t>
      </w:r>
    </w:p>
    <w:p>
      <w:pPr>
        <w:spacing w:after="0" w:line="20" w:lineRule="exact"/>
        <w:rPr>
          <w:sz w:val="20"/>
          <w:szCs w:val="20"/>
          <w:color w:val="auto"/>
        </w:rPr>
      </w:pPr>
      <w:r>
        <w:rPr>
          <w:sz w:val="20"/>
          <w:szCs w:val="20"/>
          <w:color w:val="auto"/>
        </w:rPr>
        <w:br w:type="column"/>
      </w:r>
    </w:p>
    <w:p>
      <w:pPr>
        <w:ind w:left="222" w:hanging="222"/>
        <w:spacing w:after="0" w:line="250" w:lineRule="auto"/>
        <w:tabs>
          <w:tab w:leader="none" w:pos="114" w:val="left"/>
        </w:tabs>
        <w:numPr>
          <w:ilvl w:val="0"/>
          <w:numId w:val="27"/>
        </w:numPr>
        <w:rPr>
          <w:rFonts w:ascii="Arial" w:cs="Arial" w:eastAsia="Arial" w:hAnsi="Arial"/>
          <w:sz w:val="14"/>
          <w:szCs w:val="14"/>
          <w:color w:val="auto"/>
        </w:rPr>
      </w:pPr>
      <w:r>
        <w:rPr>
          <w:rFonts w:ascii="Arial" w:cs="Arial" w:eastAsia="Arial" w:hAnsi="Arial"/>
          <w:sz w:val="14"/>
          <w:szCs w:val="14"/>
          <w:color w:val="auto"/>
        </w:rPr>
        <w:t>​ Used on a limited basis (e.g. promotion, new hire, special recognition) to make awards that encourage and reward long-term performance and increase alignment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186055</wp:posOffset>
            </wp:positionV>
            <wp:extent cx="57607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960" w:type="dxa"/>
            <w:vAlign w:val="bottom"/>
          </w:tcPr>
          <w:p>
            <w:pPr>
              <w:spacing w:after="0"/>
              <w:rPr>
                <w:sz w:val="20"/>
                <w:szCs w:val="20"/>
                <w:color w:val="auto"/>
              </w:rPr>
            </w:pPr>
            <w:r>
              <w:rPr>
                <w:rFonts w:ascii="Arial" w:cs="Arial" w:eastAsia="Arial" w:hAnsi="Arial"/>
                <w:sz w:val="14"/>
                <w:szCs w:val="14"/>
                <w:color w:val="auto"/>
              </w:rPr>
              <w:t>​ ​ RSUs are not routinely an element of executive</w:t>
            </w:r>
          </w:p>
        </w:tc>
        <w:tc>
          <w:tcPr>
            <w:tcW w:w="10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162"/>
        </w:trPr>
        <w:tc>
          <w:tcPr>
            <w:tcW w:w="3960" w:type="dxa"/>
            <w:vAlign w:val="bottom"/>
          </w:tcPr>
          <w:p>
            <w:pPr>
              <w:ind w:left="220"/>
              <w:spacing w:after="0"/>
              <w:rPr>
                <w:sz w:val="20"/>
                <w:szCs w:val="20"/>
                <w:color w:val="auto"/>
              </w:rPr>
            </w:pPr>
            <w:r>
              <w:rPr>
                <w:rFonts w:ascii="Arial" w:cs="Arial" w:eastAsia="Arial" w:hAnsi="Arial"/>
                <w:sz w:val="14"/>
                <w:szCs w:val="14"/>
                <w:color w:val="auto"/>
              </w:rPr>
              <w:t>compensation, but grants are made in certain</w:t>
            </w:r>
          </w:p>
        </w:tc>
        <w:tc>
          <w:tcPr>
            <w:tcW w:w="100" w:type="dxa"/>
            <w:vAlign w:val="bottom"/>
          </w:tcPr>
          <w:p>
            <w:pPr>
              <w:spacing w:after="0"/>
              <w:rPr>
                <w:sz w:val="14"/>
                <w:szCs w:val="14"/>
                <w:color w:val="auto"/>
              </w:rPr>
            </w:pPr>
          </w:p>
        </w:tc>
      </w:tr>
      <w:tr>
        <w:trPr>
          <w:trHeight w:val="162"/>
        </w:trPr>
        <w:tc>
          <w:tcPr>
            <w:tcW w:w="3960" w:type="dxa"/>
            <w:vAlign w:val="bottom"/>
          </w:tcPr>
          <w:p>
            <w:pPr>
              <w:ind w:left="220"/>
              <w:spacing w:after="0"/>
              <w:rPr>
                <w:sz w:val="20"/>
                <w:szCs w:val="20"/>
                <w:color w:val="auto"/>
              </w:rPr>
            </w:pPr>
            <w:r>
              <w:rPr>
                <w:rFonts w:ascii="Arial" w:cs="Arial" w:eastAsia="Arial" w:hAnsi="Arial"/>
                <w:sz w:val="14"/>
                <w:szCs w:val="14"/>
                <w:color w:val="auto"/>
              </w:rPr>
              <w:t>circumstances, including in recognition of significant</w:t>
            </w:r>
          </w:p>
        </w:tc>
        <w:tc>
          <w:tcPr>
            <w:tcW w:w="100" w:type="dxa"/>
            <w:vAlign w:val="bottom"/>
          </w:tcPr>
          <w:p>
            <w:pPr>
              <w:spacing w:after="0"/>
              <w:rPr>
                <w:sz w:val="14"/>
                <w:szCs w:val="14"/>
                <w:color w:val="auto"/>
              </w:rPr>
            </w:pPr>
          </w:p>
        </w:tc>
      </w:tr>
      <w:tr>
        <w:trPr>
          <w:trHeight w:val="190"/>
        </w:trPr>
        <w:tc>
          <w:tcPr>
            <w:tcW w:w="3960" w:type="dxa"/>
            <w:vAlign w:val="bottom"/>
          </w:tcPr>
          <w:p>
            <w:pPr>
              <w:ind w:left="220"/>
              <w:spacing w:after="0"/>
              <w:rPr>
                <w:sz w:val="20"/>
                <w:szCs w:val="20"/>
                <w:color w:val="auto"/>
              </w:rPr>
            </w:pPr>
            <w:r>
              <w:rPr>
                <w:rFonts w:ascii="Arial" w:cs="Arial" w:eastAsia="Arial" w:hAnsi="Arial"/>
                <w:sz w:val="14"/>
                <w:szCs w:val="14"/>
                <w:color w:val="auto"/>
              </w:rPr>
              <w:t>promotions and contributions.</w:t>
            </w:r>
          </w:p>
        </w:tc>
        <w:tc>
          <w:tcPr>
            <w:tcW w:w="100" w:type="dxa"/>
            <w:vAlign w:val="bottom"/>
          </w:tcPr>
          <w:p>
            <w:pPr>
              <w:spacing w:after="0"/>
              <w:rPr>
                <w:sz w:val="16"/>
                <w:szCs w:val="16"/>
                <w:color w:val="auto"/>
              </w:rPr>
            </w:pPr>
          </w:p>
        </w:tc>
      </w:tr>
    </w:tbl>
    <w:p>
      <w:pPr>
        <w:spacing w:after="0" w:line="80" w:lineRule="exact"/>
        <w:rPr>
          <w:sz w:val="20"/>
          <w:szCs w:val="20"/>
          <w:color w:val="auto"/>
        </w:rPr>
      </w:pPr>
    </w:p>
    <w:p>
      <w:pPr>
        <w:ind w:left="220" w:right="200"/>
        <w:spacing w:after="0" w:line="258" w:lineRule="auto"/>
        <w:rPr>
          <w:sz w:val="20"/>
          <w:szCs w:val="20"/>
          <w:color w:val="auto"/>
        </w:rPr>
      </w:pPr>
      <w:r>
        <w:rPr>
          <w:rFonts w:ascii="Arial" w:cs="Arial" w:eastAsia="Arial" w:hAnsi="Arial"/>
          <w:sz w:val="14"/>
          <w:szCs w:val="14"/>
          <w:color w:val="auto"/>
        </w:rPr>
        <w:t>RSUs typically vest in full three years after the date of grant. Time- based vesting aids retention. Dividend equivalents on RSUs accrue and are paid in cash upon vesting.</w:t>
      </w:r>
    </w:p>
    <w:p>
      <w:pPr>
        <w:spacing w:after="0" w:line="200" w:lineRule="exact"/>
        <w:rPr>
          <w:sz w:val="20"/>
          <w:szCs w:val="20"/>
          <w:color w:val="auto"/>
        </w:rPr>
      </w:pPr>
    </w:p>
    <w:p>
      <w:pPr>
        <w:sectPr>
          <w:pgSz w:w="11900" w:h="16838" w:orient="portrait"/>
          <w:cols w:equalWidth="0" w:num="3">
            <w:col w:w="3540" w:space="138"/>
            <w:col w:w="2022" w:space="100"/>
            <w:col w:w="4140"/>
          </w:cols>
          <w:pgMar w:left="580" w:top="97" w:right="1379" w:bottom="1440" w:gutter="0" w:footer="0" w:header="0"/>
          <w:type w:val="continuous"/>
        </w:sectPr>
      </w:pPr>
    </w:p>
    <w:p>
      <w:pPr>
        <w:spacing w:after="0" w:line="380"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may elect to 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details on the 409A Deferral Plan can be found in the Nonqualified Deferred Compensation in 2023 table and accompanying disclosure.</w:t>
      </w:r>
    </w:p>
    <w:p>
      <w:pPr>
        <w:spacing w:after="0" w:line="293"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very limited perquisites or personal benefits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including cost to the Company for guest participation in corporate events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 of the MD&amp;C Committee. In 2023, our President and Chief Executive Officer had 13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 (4) to the Summary Compensation Table below for additional information about this calculation.</w:t>
      </w:r>
    </w:p>
    <w:p>
      <w:pPr>
        <w:spacing w:after="0" w:line="284" w:lineRule="exact"/>
        <w:rPr>
          <w:sz w:val="20"/>
          <w:szCs w:val="20"/>
          <w:color w:val="auto"/>
        </w:rPr>
      </w:pPr>
    </w:p>
    <w:p>
      <w:pPr>
        <w:ind w:left="820"/>
        <w:spacing w:after="0"/>
        <w:tabs>
          <w:tab w:leader="none" w:pos="2500" w:val="left"/>
          <w:tab w:leader="none" w:pos="2960" w:val="left"/>
          <w:tab w:leader="none" w:pos="3780" w:val="left"/>
          <w:tab w:leader="none" w:pos="4080" w:val="left"/>
          <w:tab w:leader="none" w:pos="4860" w:val="left"/>
          <w:tab w:leader="none" w:pos="6600" w:val="left"/>
          <w:tab w:leader="none" w:pos="7080" w:val="left"/>
          <w:tab w:leader="none" w:pos="8060" w:val="left"/>
          <w:tab w:leader="none" w:pos="8940" w:val="left"/>
        </w:tabs>
        <w:rPr>
          <w:sz w:val="20"/>
          <w:szCs w:val="20"/>
          <w:color w:val="auto"/>
        </w:rPr>
      </w:pPr>
      <w:r>
        <w:rPr>
          <w:rFonts w:ascii="Arial" w:cs="Arial" w:eastAsia="Arial" w:hAnsi="Arial"/>
          <w:sz w:val="18"/>
          <w:szCs w:val="18"/>
          <w:i w:val="1"/>
          <w:iCs w:val="1"/>
          <w:u w:val="single" w:color="auto"/>
          <w:color w:val="auto"/>
        </w:rPr>
        <w:t>Post-Employment</w:t>
      </w:r>
      <w:r>
        <w:rPr>
          <w:sz w:val="20"/>
          <w:szCs w:val="20"/>
          <w:color w:val="auto"/>
        </w:rPr>
        <w:tab/>
      </w:r>
      <w:r>
        <w:rPr>
          <w:rFonts w:ascii="Arial" w:cs="Arial" w:eastAsia="Arial" w:hAnsi="Arial"/>
          <w:sz w:val="18"/>
          <w:szCs w:val="18"/>
          <w:i w:val="1"/>
          <w:iCs w:val="1"/>
          <w:u w:val="single" w:color="auto"/>
          <w:color w:val="auto"/>
        </w:rPr>
        <w:t>and</w:t>
        <w:tab/>
        <w:t>Change</w:t>
        <w:tab/>
        <w:t>in</w:t>
        <w:tab/>
        <w:t>Control</w:t>
        <w:tab/>
        <w:t>Compensation.</w:t>
      </w:r>
      <w:r>
        <w:rPr>
          <w:sz w:val="20"/>
          <w:szCs w:val="20"/>
          <w:color w:val="auto"/>
        </w:rPr>
        <w:tab/>
      </w:r>
      <w:r>
        <w:rPr>
          <w:rFonts w:ascii="Arial" w:cs="Arial" w:eastAsia="Arial" w:hAnsi="Arial"/>
          <w:sz w:val="18"/>
          <w:szCs w:val="18"/>
          <w:color w:val="auto"/>
        </w:rPr>
        <w:t>The</w:t>
        <w:tab/>
        <w:t>Company</w:t>
        <w:tab/>
        <w:t>provides</w:t>
        <w:tab/>
        <w:t>severance</w:t>
      </w:r>
    </w:p>
    <w:p>
      <w:pPr>
        <w:spacing w:after="0" w:line="2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protections that aid in retention 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How Named Executive Officer Compensation Decisions are Made</w:t>
      </w:r>
    </w:p>
    <w:p>
      <w:pPr>
        <w:spacing w:after="0" w:line="12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regularly scheduled meetings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PSU payouts; determines the performance measures and individual annual cash incentive targets for the current year as a percent of base salary for each of the named executive officers; and makes decisions on the design and grants of long-term equity awards.</w:t>
      </w:r>
    </w:p>
    <w:p>
      <w:pPr>
        <w:spacing w:after="0" w:line="295"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compensation 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 -employee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w:t>
      </w:r>
    </w:p>
    <w:p>
      <w:pPr>
        <w:spacing w:after="0" w:line="200" w:lineRule="exact"/>
        <w:rPr>
          <w:sz w:val="20"/>
          <w:szCs w:val="20"/>
          <w:color w:val="auto"/>
        </w:rPr>
      </w:pPr>
    </w:p>
    <w:p>
      <w:pPr>
        <w:spacing w:after="0" w:line="26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987"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listing standards. In connection with this process, the MD&amp;C Committee has reviewed, among other items, a letter from FW Cook addressing the independence of FW Cook and the members of the consulting team serving the MD&amp;C Committee, including the following factors: (a) other services provided to us by FW Cook; (b) fees paid by us as a percentage of FW Cook’s total revenue;</w:t>
      </w:r>
    </w:p>
    <w:p>
      <w:pPr>
        <w:spacing w:after="0" w:line="3" w:lineRule="exact"/>
        <w:rPr>
          <w:sz w:val="20"/>
          <w:szCs w:val="20"/>
          <w:color w:val="auto"/>
        </w:rPr>
      </w:pPr>
    </w:p>
    <w:p>
      <w:pPr>
        <w:jc w:val="both"/>
        <w:ind w:left="820" w:right="60" w:hanging="4"/>
        <w:spacing w:after="0" w:line="265" w:lineRule="auto"/>
        <w:tabs>
          <w:tab w:leader="none" w:pos="11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307"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i w:val="1"/>
          <w:iCs w:val="1"/>
          <w:u w:val="single" w:color="auto"/>
          <w:color w:val="auto"/>
        </w:rPr>
        <w:t>Role of our CEO and our Human Resources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contributes to compensation 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63" w:lineRule="exact"/>
        <w:rPr>
          <w:sz w:val="20"/>
          <w:szCs w:val="20"/>
          <w:color w:val="auto"/>
        </w:rPr>
      </w:pPr>
    </w:p>
    <w:p>
      <w:pPr>
        <w:jc w:val="both"/>
        <w:ind w:left="820" w:right="60"/>
        <w:spacing w:after="0" w:line="270" w:lineRule="auto"/>
        <w:rPr>
          <w:sz w:val="20"/>
          <w:szCs w:val="20"/>
          <w:color w:val="auto"/>
        </w:rPr>
      </w:pPr>
      <w:r>
        <w:rPr>
          <w:rFonts w:ascii="Arial" w:cs="Arial" w:eastAsia="Arial" w:hAnsi="Arial"/>
          <w:sz w:val="18"/>
          <w:szCs w:val="18"/>
          <w:i w:val="1"/>
          <w:iCs w:val="1"/>
          <w:u w:val="single" w:color="auto"/>
          <w:color w:val="auto"/>
        </w:rPr>
        <w:t>Peer Company Comparisons.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compensation information of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groups of companies to gauge the competitive market, which is relevant for attracting and retaining key talent and for ensuring that the Company’s compensation practices are aligned with prevalent practices. For purposes of establishing the 2023 executive compensation program, the MD&amp;C Committee considered a competitive analysis of total direct compensation levels and compensation mix for our executive officers during the second half of 2022, using information from:</w:t>
      </w:r>
    </w:p>
    <w:p>
      <w:pPr>
        <w:spacing w:after="0" w:line="88" w:lineRule="exact"/>
        <w:rPr>
          <w:sz w:val="20"/>
          <w:szCs w:val="20"/>
          <w:color w:val="auto"/>
        </w:rPr>
      </w:pPr>
    </w:p>
    <w:p>
      <w:pPr>
        <w:jc w:val="both"/>
        <w:ind w:left="1360" w:right="60" w:hanging="184"/>
        <w:spacing w:after="0" w:line="255"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Size-adjusted median compensation data from two general industry surveys in which management annually participates; the 2021 Aon Radford Global Compensation Executive Data (as the 2022 Aon Radford Global Compensation Executive Data was not yet available) and the Willis Towers Watson 2022 Executive Compensation Database Survey. The 2021 Aon Radford Global Compensation Executive Data included 1,109 organizations ranging in size from less than $10 million to $560 billion in annual revenue, and the 2022 Willis Towers Watson Executive Compensation Database Survey included 797 organizations ranging in size from approximately $20 million to $575 billion in annual revenue. Data selected from these surveys is scoped based on Company revenue; and</w:t>
      </w:r>
    </w:p>
    <w:p>
      <w:pPr>
        <w:spacing w:after="0" w:line="319" w:lineRule="exact"/>
        <w:rPr>
          <w:rFonts w:ascii="Arial" w:cs="Arial" w:eastAsia="Arial" w:hAnsi="Arial"/>
          <w:sz w:val="18"/>
          <w:szCs w:val="18"/>
          <w:color w:val="457157"/>
        </w:rPr>
      </w:pPr>
    </w:p>
    <w:p>
      <w:pPr>
        <w:ind w:left="1360" w:right="580" w:hanging="184"/>
        <w:spacing w:after="0" w:line="287"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Median compensation data from a comparison group of 20 publicly traded U.S. companies, described below.</w:t>
      </w:r>
    </w:p>
    <w:p>
      <w:pPr>
        <w:spacing w:after="0" w:line="45"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299"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The following chart sets forth various size comparisons to companies in the comparison group; this table is provided to evidence that the Company was appropriately positioned within its peer group for purposes of developing 2023 compensation recommendations during 2022. All financial and market data are taken from Standard &amp; Poor’s Capital IQ, with financial data as of each company’s 2021 fiscal</w:t>
      </w:r>
    </w:p>
    <w:p>
      <w:pPr>
        <w:ind w:left="820"/>
        <w:spacing w:after="0" w:line="202" w:lineRule="auto"/>
        <w:rPr>
          <w:sz w:val="20"/>
          <w:szCs w:val="20"/>
          <w:color w:val="auto"/>
        </w:rPr>
      </w:pPr>
      <w:r>
        <w:rPr>
          <w:rFonts w:ascii="Arial" w:cs="Arial" w:eastAsia="Arial" w:hAnsi="Arial"/>
          <w:sz w:val="18"/>
          <w:szCs w:val="18"/>
          <w:color w:val="auto"/>
        </w:rPr>
        <w:t>year end and market capitalization as of December 31, 2021.</w:t>
      </w:r>
    </w:p>
    <w:p>
      <w:pPr>
        <w:jc w:val="right"/>
        <w:spacing w:after="0" w:line="228" w:lineRule="auto"/>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-212725</wp:posOffset>
            </wp:positionV>
            <wp:extent cx="471805" cy="128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165735</wp:posOffset>
            </wp:positionV>
            <wp:extent cx="3968750" cy="2974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9687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29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forms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total 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 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9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 -term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29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following charts display the allocation of total 2023 target compensation among base salary, annual cash incentive and annual long-term equity awards for (a) our President and Chief Executive Officer and (b) our other named executives, on average. These charts depict the MD&amp;C Committee’s 2023 desired total mix of target compensation for named executives and reflect that a substantial majority of executive compensation is linked to Company performance, through annual cash incentive performance criteria and long-term equity-based incentive awards. We consider stock options</w:t>
      </w:r>
    </w:p>
    <w:p>
      <w:pPr>
        <w:spacing w:after="0" w:line="25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80"/>
        <w:spacing w:after="0" w:line="287" w:lineRule="auto"/>
        <w:rPr>
          <w:sz w:val="20"/>
          <w:szCs w:val="20"/>
          <w:color w:val="auto"/>
        </w:rPr>
      </w:pPr>
      <w:r>
        <w:rPr>
          <w:rFonts w:ascii="Arial" w:cs="Arial" w:eastAsia="Arial" w:hAnsi="Arial"/>
          <w:sz w:val="18"/>
          <w:szCs w:val="18"/>
          <w:color w:val="auto"/>
        </w:rPr>
        <w:t>granted under our long-term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48895</wp:posOffset>
            </wp:positionV>
            <wp:extent cx="5151755" cy="1774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5175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Internal Pay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differentials between compensation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also reviews compensation comparisons between our President and Chief Executive Officer and the other executive officers, while recognizing the additional responsibilities of our President and Chief Executive Officer and that such differentials will increase in periods of above-target performance and decrease in times of below-target performance. Based on these considerations, the MD&amp;C Committee concluded that the compensation paid to our President and Chief Executive Officer is reasonable compared to that of the other executive officers.</w:t>
      </w:r>
    </w:p>
    <w:p>
      <w:pPr>
        <w:spacing w:after="0" w:line="67"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Tax and Accounting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revision of Section 162(m) of the IRC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generally may no 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285"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We account for equity -based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 -term equity incentive awards. However, because our long-term equity incentive awards are based on a target dollar value established prior to grant (described in further detail under “Named Executives’ 2023 Compensation Program and Results — Long-Term Equity Incentives”), this target dollar value will differ from the grant date fair value of awards calculated pursuant to ASC Topic 718 and reported in the Summary Compensation Table.</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earlier to establish compensation that will provide sufficient incentives for named executive officers to drive results while avoiding unnecessary or excessive risk taking that could harm the long-term value of the Company. During 2023,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85"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that affect 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 -term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w:t>
      </w: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community, except that the MD&amp;C Committee has determined that potential adjustments arising from a single transaction or event generally should be disregarded unless, taken together, they change the calculated award payout by at least 5%. For this reason, actual results reported in this Proxy Statement on financial performance measures may differ from earnings results reported to the investment community.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w:t>
      </w:r>
    </w:p>
    <w:p>
      <w:pPr>
        <w:spacing w:after="0" w:line="39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Named Executives’ 2023 Compensation Program and Results</w:t>
      </w:r>
    </w:p>
    <w:p>
      <w:pPr>
        <w:spacing w:after="0" w:line="128"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Base Salary</w:t>
      </w:r>
    </w:p>
    <w:p>
      <w:pPr>
        <w:spacing w:after="0" w:line="115"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MD&amp;C Committee approved increases to the 2023 base salaries of named executive officers, consistent with our compensation philosophy and driven by competitive market data, internal pay equity considerations and individual performance relative to the executive’s responsibilities and contributions. The table below shows the 2023 annual base salary established by the MD&amp;C Committee for each of our named executive officers.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322"/>
        </w:trPr>
        <w:tc>
          <w:tcPr>
            <w:tcW w:w="3980" w:type="dxa"/>
            <w:vAlign w:val="bottom"/>
            <w:tcBorders>
              <w:bottom w:val="single" w:sz="8" w:color="457157"/>
            </w:tcBorders>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660" w:type="dxa"/>
            <w:vAlign w:val="bottom"/>
            <w:tcBorders>
              <w:bottom w:val="single" w:sz="8" w:color="457157"/>
            </w:tcBorders>
            <w:gridSpan w:val="4"/>
          </w:tcPr>
          <w:p>
            <w:pPr>
              <w:ind w:left="2080"/>
              <w:spacing w:after="0"/>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2023 Base Salary</w:t>
            </w:r>
            <w:r>
              <w:rPr>
                <w:rFonts w:ascii="Arial" w:cs="Arial" w:eastAsia="Arial" w:hAnsi="Arial"/>
                <w:sz w:val="28"/>
                <w:szCs w:val="28"/>
                <w:b w:val="1"/>
                <w:bCs w:val="1"/>
                <w:color w:val="457157"/>
                <w:vertAlign w:val="subscript"/>
              </w:rPr>
              <w:t>​</w:t>
            </w:r>
          </w:p>
        </w:tc>
        <w:tc>
          <w:tcPr>
            <w:tcW w:w="20" w:type="dxa"/>
            <w:vAlign w:val="bottom"/>
          </w:tcPr>
          <w:p>
            <w:pPr>
              <w:spacing w:after="0"/>
              <w:rPr>
                <w:sz w:val="24"/>
                <w:szCs w:val="24"/>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$ 1,400,000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767,600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784,000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645,200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668,700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17" w:lineRule="exact"/>
        <w:rPr>
          <w:sz w:val="20"/>
          <w:szCs w:val="20"/>
          <w:color w:val="auto"/>
        </w:rPr>
      </w:pPr>
    </w:p>
    <w:p>
      <w:pPr>
        <w:ind w:left="1360" w:right="60" w:hanging="184"/>
        <w:spacing w:after="0" w:line="285"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i w:val="1"/>
          <w:iCs w:val="1"/>
          <w:color w:val="auto"/>
        </w:rPr>
        <w:t>Annual cash incentives were dependent on the following performance measures: Operating EBITDA; Income from Operations Margin and Internal Revenue Growth.</w:t>
      </w:r>
    </w:p>
    <w:p>
      <w:pPr>
        <w:spacing w:after="0" w:line="48" w:lineRule="exact"/>
        <w:rPr>
          <w:rFonts w:ascii="Arial" w:cs="Arial" w:eastAsia="Arial" w:hAnsi="Arial"/>
          <w:sz w:val="18"/>
          <w:szCs w:val="18"/>
          <w:color w:val="457157"/>
        </w:rPr>
      </w:pPr>
    </w:p>
    <w:p>
      <w:pPr>
        <w:jc w:val="both"/>
        <w:ind w:left="1360" w:right="60" w:hanging="184"/>
        <w:spacing w:after="0" w:line="277"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i w:val="1"/>
          <w:iCs w:val="1"/>
          <w:color w:val="auto"/>
        </w:rPr>
        <w:t>Payouts of cash incentives based on the performance measures could be increased or decreased by up to 5%, depending on achievement calculated using the 2023 sustainability scorecard.</w:t>
      </w:r>
    </w:p>
    <w:p>
      <w:pPr>
        <w:spacing w:after="0" w:line="278" w:lineRule="exact"/>
        <w:rPr>
          <w:rFonts w:ascii="Arial" w:cs="Arial" w:eastAsia="Arial" w:hAnsi="Arial"/>
          <w:sz w:val="18"/>
          <w:szCs w:val="18"/>
          <w:color w:val="457157"/>
        </w:rPr>
      </w:pPr>
    </w:p>
    <w:p>
      <w:pPr>
        <w:jc w:val="both"/>
        <w:ind w:left="1360" w:right="60" w:hanging="184"/>
        <w:spacing w:after="0" w:line="267"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i w:val="1"/>
          <w:iCs w:val="1"/>
          <w:color w:val="auto"/>
        </w:rPr>
        <w:t>Blended results on the performance measures yielded an annual cash incentive payment for 2023 equal to 117.85% of target, which was then increased by 2% on account of the sustainability modifier, yielding a final payout of 120.21%.</w:t>
      </w:r>
    </w:p>
    <w:p>
      <w:pPr>
        <w:spacing w:after="0" w:line="6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Income from Operations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supported and aligned with the strategy of the Company in 2023, are reflective of the Company’s overall performance, and are appropriate indicators of our progress toward the Company’s goals. See “2023 Compensation Program Results and Company Performance” in the Executive Summary above for further discussion and definitions of the annual cash incentive performance measures.</w:t>
      </w:r>
    </w:p>
    <w:p>
      <w:pPr>
        <w:spacing w:after="0" w:line="293" w:lineRule="exact"/>
        <w:rPr>
          <w:sz w:val="20"/>
          <w:szCs w:val="20"/>
          <w:color w:val="auto"/>
        </w:rPr>
      </w:pPr>
    </w:p>
    <w:p>
      <w:pPr>
        <w:jc w:val="both"/>
        <w:ind w:left="820" w:right="60"/>
        <w:spacing w:after="0" w:line="251" w:lineRule="auto"/>
        <w:rPr>
          <w:sz w:val="20"/>
          <w:szCs w:val="20"/>
          <w:color w:val="auto"/>
        </w:rPr>
      </w:pPr>
      <w:r>
        <w:rPr>
          <w:rFonts w:ascii="Arial" w:cs="Arial" w:eastAsia="Arial" w:hAnsi="Arial"/>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such as the recent inflationary cost pressures. When setting the 2023 performance levels, the MD&amp;C Committee defined the 2023 annual cash incentive awards to exclude the impacts of our recycling brokerage business. While the relatively small and traditionally lower -margin recycling brokerage business is additive to our overall customer value proposition, it can have a distorting effect on results, due in part to commodity price volatility. The table below details the</w:t>
      </w:r>
    </w:p>
    <w:p>
      <w:pPr>
        <w:ind w:left="820"/>
        <w:spacing w:after="0" w:line="189" w:lineRule="auto"/>
        <w:rPr>
          <w:sz w:val="20"/>
          <w:szCs w:val="20"/>
          <w:color w:val="auto"/>
        </w:rPr>
      </w:pPr>
      <w:r>
        <w:rPr>
          <w:rFonts w:ascii="Arial" w:cs="Arial" w:eastAsia="Arial" w:hAnsi="Arial"/>
          <w:sz w:val="3"/>
          <w:szCs w:val="3"/>
          <w:color w:val="auto"/>
        </w:rPr>
        <w:t>performance</w:t>
      </w:r>
      <w:r>
        <w:rPr>
          <w:rFonts w:ascii="Arial" w:cs="Arial" w:eastAsia="Arial" w:hAnsi="Arial"/>
          <w:sz w:val="9"/>
          <w:szCs w:val="9"/>
          <w:b w:val="1"/>
          <w:bCs w:val="1"/>
          <w:color w:val="457157"/>
          <w:vertAlign w:val="superscript"/>
        </w:rPr>
        <w:t>|</w:t>
      </w:r>
      <w:r>
        <w:rPr>
          <w:rFonts w:ascii="Arial" w:cs="Arial" w:eastAsia="Arial" w:hAnsi="Arial"/>
          <w:sz w:val="3"/>
          <w:szCs w:val="3"/>
          <w:color w:val="auto"/>
        </w:rPr>
        <w:t xml:space="preserve"> measures set by the MD&amp;C Committee for purposes of the named executive officers’</w:t>
      </w:r>
    </w:p>
    <w:p>
      <w:pPr>
        <w:ind w:left="820"/>
        <w:spacing w:after="0" w:line="182" w:lineRule="auto"/>
        <w:tabs>
          <w:tab w:leader="none" w:pos="240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-92710</wp:posOffset>
            </wp:positionV>
            <wp:extent cx="4718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color w:val="auto"/>
        </w:rPr>
        <w:t>annual cash incentive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379095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96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457157"/>
            </w:tcBorders>
          </w:tcPr>
          <w:p>
            <w:pPr>
              <w:spacing w:after="0"/>
              <w:rPr>
                <w:sz w:val="24"/>
                <w:szCs w:val="24"/>
                <w:color w:val="auto"/>
              </w:rPr>
            </w:pPr>
          </w:p>
        </w:tc>
        <w:tc>
          <w:tcPr>
            <w:tcW w:w="3960" w:type="dxa"/>
            <w:vAlign w:val="bottom"/>
            <w:tcBorders>
              <w:top w:val="single" w:sz="8" w:color="457157"/>
            </w:tcBorders>
            <w:gridSpan w:val="5"/>
          </w:tcPr>
          <w:p>
            <w:pPr>
              <w:jc w:val="right"/>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52"/>
        </w:trPr>
        <w:tc>
          <w:tcPr>
            <w:tcW w:w="3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jc w:val="right"/>
              <w:ind w:right="35"/>
              <w:spacing w:after="0"/>
              <w:rPr>
                <w:sz w:val="20"/>
                <w:szCs w:val="20"/>
                <w:color w:val="auto"/>
              </w:rPr>
            </w:pPr>
            <w:r>
              <w:rPr>
                <w:rFonts w:ascii="Arial" w:cs="Arial" w:eastAsia="Arial" w:hAnsi="Arial"/>
                <w:sz w:val="14"/>
                <w:szCs w:val="14"/>
                <w:b w:val="1"/>
                <w:bCs w:val="1"/>
                <w:color w:val="457157"/>
              </w:rPr>
              <w:t>Threshold</w:t>
            </w:r>
          </w:p>
        </w:tc>
        <w:tc>
          <w:tcPr>
            <w:tcW w:w="260" w:type="dxa"/>
            <w:vAlign w:val="bottom"/>
          </w:tcPr>
          <w:p>
            <w:pPr>
              <w:spacing w:after="0"/>
              <w:rPr>
                <w:sz w:val="24"/>
                <w:szCs w:val="24"/>
                <w:color w:val="auto"/>
              </w:rPr>
            </w:pPr>
          </w:p>
        </w:tc>
        <w:tc>
          <w:tcPr>
            <w:tcW w:w="1160" w:type="dxa"/>
            <w:vAlign w:val="bottom"/>
          </w:tcPr>
          <w:p>
            <w:pPr>
              <w:jc w:val="right"/>
              <w:ind w:right="17"/>
              <w:spacing w:after="0"/>
              <w:rPr>
                <w:sz w:val="20"/>
                <w:szCs w:val="20"/>
                <w:color w:val="auto"/>
              </w:rPr>
            </w:pPr>
            <w:r>
              <w:rPr>
                <w:rFonts w:ascii="Arial" w:cs="Arial" w:eastAsia="Arial" w:hAnsi="Arial"/>
                <w:sz w:val="14"/>
                <w:szCs w:val="14"/>
                <w:b w:val="1"/>
                <w:bCs w:val="1"/>
                <w:color w:val="457157"/>
              </w:rPr>
              <w:t>Target</w:t>
            </w:r>
          </w:p>
        </w:tc>
        <w:tc>
          <w:tcPr>
            <w:tcW w:w="260" w:type="dxa"/>
            <w:vAlign w:val="bottom"/>
          </w:tcPr>
          <w:p>
            <w:pPr>
              <w:spacing w:after="0"/>
              <w:rPr>
                <w:sz w:val="24"/>
                <w:szCs w:val="24"/>
                <w:color w:val="auto"/>
              </w:rPr>
            </w:pPr>
          </w:p>
        </w:tc>
        <w:tc>
          <w:tcPr>
            <w:tcW w:w="1180" w:type="dxa"/>
            <w:vAlign w:val="bottom"/>
          </w:tcPr>
          <w:p>
            <w:pPr>
              <w:jc w:val="right"/>
              <w:ind w:right="17"/>
              <w:spacing w:after="0"/>
              <w:rPr>
                <w:sz w:val="20"/>
                <w:szCs w:val="20"/>
                <w:color w:val="auto"/>
              </w:rPr>
            </w:pPr>
            <w:r>
              <w:rPr>
                <w:rFonts w:ascii="Arial" w:cs="Arial" w:eastAsia="Arial" w:hAnsi="Arial"/>
                <w:sz w:val="14"/>
                <w:szCs w:val="14"/>
                <w:b w:val="1"/>
                <w:bCs w:val="1"/>
                <w:color w:val="457157"/>
              </w:rPr>
              <w:t>Maximum</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1140" w:type="dxa"/>
            <w:vAlign w:val="bottom"/>
          </w:tcPr>
          <w:p>
            <w:pPr>
              <w:spacing w:after="0"/>
              <w:rPr>
                <w:sz w:val="12"/>
                <w:szCs w:val="12"/>
                <w:color w:val="auto"/>
              </w:rPr>
            </w:pPr>
          </w:p>
        </w:tc>
        <w:tc>
          <w:tcPr>
            <w:tcW w:w="110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457157"/>
              </w:rPr>
              <w:t>Performance</w:t>
            </w:r>
          </w:p>
        </w:tc>
        <w:tc>
          <w:tcPr>
            <w:tcW w:w="260" w:type="dxa"/>
            <w:vAlign w:val="bottom"/>
          </w:tcPr>
          <w:p>
            <w:pPr>
              <w:spacing w:after="0"/>
              <w:rPr>
                <w:sz w:val="12"/>
                <w:szCs w:val="12"/>
                <w:color w:val="auto"/>
              </w:rPr>
            </w:pPr>
          </w:p>
        </w:tc>
        <w:tc>
          <w:tcPr>
            <w:tcW w:w="11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Performance</w:t>
            </w:r>
          </w:p>
        </w:tc>
        <w:tc>
          <w:tcPr>
            <w:tcW w:w="260" w:type="dxa"/>
            <w:vAlign w:val="bottom"/>
          </w:tcPr>
          <w:p>
            <w:pPr>
              <w:spacing w:after="0"/>
              <w:rPr>
                <w:sz w:val="12"/>
                <w:szCs w:val="12"/>
                <w:color w:val="auto"/>
              </w:rPr>
            </w:pPr>
          </w:p>
        </w:tc>
        <w:tc>
          <w:tcPr>
            <w:tcW w:w="11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Performance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60" w:type="dxa"/>
            <w:vAlign w:val="bottom"/>
            <w:vMerge w:val="continue"/>
          </w:tcPr>
          <w:p>
            <w:pPr>
              <w:spacing w:after="0"/>
              <w:rPr>
                <w:sz w:val="17"/>
                <w:szCs w:val="17"/>
                <w:color w:val="auto"/>
              </w:rPr>
            </w:pPr>
          </w:p>
        </w:tc>
        <w:tc>
          <w:tcPr>
            <w:tcW w:w="2240" w:type="dxa"/>
            <w:vAlign w:val="bottom"/>
            <w:gridSpan w:val="2"/>
          </w:tcPr>
          <w:p>
            <w:pPr>
              <w:ind w:left="96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(60% Payment)</w:t>
            </w:r>
          </w:p>
        </w:tc>
        <w:tc>
          <w:tcPr>
            <w:tcW w:w="142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(100% Payment)</w:t>
            </w:r>
          </w:p>
        </w:tc>
        <w:tc>
          <w:tcPr>
            <w:tcW w:w="1500" w:type="dxa"/>
            <w:vAlign w:val="bottom"/>
            <w:gridSpan w:val="3"/>
          </w:tcPr>
          <w:p>
            <w:pPr>
              <w:ind w:left="8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(200% Payment) </w:t>
            </w:r>
            <w:r>
              <w:rPr>
                <w:rFonts w:ascii="Arial" w:cs="Arial" w:eastAsia="Arial" w:hAnsi="Arial"/>
                <w:sz w:val="22"/>
                <w:szCs w:val="22"/>
                <w:b w:val="1"/>
                <w:bCs w:val="1"/>
                <w:color w:val="457157"/>
                <w:vertAlign w:val="subscript"/>
              </w:rPr>
              <w:t>​</w:t>
            </w:r>
          </w:p>
        </w:tc>
        <w:tc>
          <w:tcPr>
            <w:tcW w:w="0" w:type="dxa"/>
            <w:vAlign w:val="bottom"/>
          </w:tcPr>
          <w:p>
            <w:pPr>
              <w:spacing w:after="0"/>
              <w:rPr>
                <w:sz w:val="1"/>
                <w:szCs w:val="1"/>
                <w:color w:val="auto"/>
              </w:rPr>
            </w:pPr>
          </w:p>
        </w:tc>
      </w:tr>
      <w:tr>
        <w:trPr>
          <w:trHeight w:val="196"/>
        </w:trPr>
        <w:tc>
          <w:tcPr>
            <w:tcW w:w="3960" w:type="dxa"/>
            <w:vAlign w:val="bottom"/>
            <w:tcBorders>
              <w:top w:val="single" w:sz="8" w:color="457157"/>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EBITDA</w:t>
            </w:r>
          </w:p>
        </w:tc>
        <w:tc>
          <w:tcPr>
            <w:tcW w:w="2240" w:type="dxa"/>
            <w:vAlign w:val="bottom"/>
            <w:tcBorders>
              <w:top w:val="single" w:sz="8" w:color="457157"/>
            </w:tcBorders>
            <w:gridSpan w:val="2"/>
            <w:shd w:val="clear" w:color="auto" w:fill="CCEEFF"/>
          </w:tcPr>
          <w:p>
            <w:pPr>
              <w:ind w:left="1100"/>
              <w:spacing w:after="0" w:line="196" w:lineRule="exact"/>
              <w:rPr>
                <w:sz w:val="20"/>
                <w:szCs w:val="20"/>
                <w:color w:val="auto"/>
              </w:rPr>
            </w:pPr>
            <w:r>
              <w:rPr>
                <w:rFonts w:ascii="Arial" w:cs="Arial" w:eastAsia="Arial" w:hAnsi="Arial"/>
                <w:sz w:val="18"/>
                <w:szCs w:val="18"/>
                <w:color w:val="auto"/>
              </w:rPr>
              <w:t>$5.60 billion</w:t>
            </w:r>
          </w:p>
        </w:tc>
        <w:tc>
          <w:tcPr>
            <w:tcW w:w="26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60" w:type="dxa"/>
            <w:vAlign w:val="bottom"/>
            <w:tcBorders>
              <w:top w:val="single" w:sz="8" w:color="457157"/>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 billion</w:t>
            </w:r>
          </w:p>
        </w:tc>
        <w:tc>
          <w:tcPr>
            <w:tcW w:w="260" w:type="dxa"/>
            <w:vAlign w:val="bottom"/>
            <w:tcBorders>
              <w:top w:val="single" w:sz="8" w:color="457157"/>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80" w:type="dxa"/>
            <w:vAlign w:val="bottom"/>
            <w:tcBorders>
              <w:top w:val="single" w:sz="8" w:color="457157"/>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$6.20 billion</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6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shd w:val="clear" w:color="auto" w:fill="CCEEFF"/>
          </w:tcPr>
          <w:p>
            <w:pPr>
              <w:ind w:left="960"/>
              <w:spacing w:after="0" w:line="68" w:lineRule="exact"/>
              <w:rPr>
                <w:sz w:val="20"/>
                <w:szCs w:val="20"/>
                <w:color w:val="auto"/>
              </w:rPr>
            </w:pPr>
            <w:r>
              <w:rPr>
                <w:rFonts w:ascii="Arial" w:cs="Arial" w:eastAsia="Arial" w:hAnsi="Arial"/>
                <w:sz w:val="7"/>
                <w:szCs w:val="7"/>
                <w:color w:val="auto"/>
              </w:rPr>
              <w:t>​ ​</w:t>
            </w:r>
          </w:p>
        </w:tc>
        <w:tc>
          <w:tcPr>
            <w:tcW w:w="110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116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11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Income from Operations Margin</w:t>
            </w:r>
          </w:p>
        </w:tc>
        <w:tc>
          <w:tcPr>
            <w:tcW w:w="1140" w:type="dxa"/>
            <w:vAlign w:val="bottom"/>
            <w:vMerge w:val="restart"/>
          </w:tcPr>
          <w:p>
            <w:pPr>
              <w:ind w:left="96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c>
          <w:tcPr>
            <w:tcW w:w="26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20.3%</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60" w:type="dxa"/>
            <w:vAlign w:val="bottom"/>
            <w:tcBorders>
              <w:bottom w:val="single" w:sz="8" w:color="457157"/>
            </w:tcBorders>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vMerge w:val="continue"/>
          </w:tcPr>
          <w:p>
            <w:pPr>
              <w:spacing w:after="0"/>
              <w:rPr>
                <w:sz w:val="5"/>
                <w:szCs w:val="5"/>
                <w:color w:val="auto"/>
              </w:rPr>
            </w:pPr>
          </w:p>
        </w:tc>
        <w:tc>
          <w:tcPr>
            <w:tcW w:w="1100" w:type="dxa"/>
            <w:vAlign w:val="bottom"/>
            <w:tcBorders>
              <w:bottom w:val="single" w:sz="8" w:color="457157"/>
            </w:tcBorders>
          </w:tcPr>
          <w:p>
            <w:pPr>
              <w:spacing w:after="0"/>
              <w:rPr>
                <w:sz w:val="5"/>
                <w:szCs w:val="5"/>
                <w:color w:val="auto"/>
              </w:rPr>
            </w:pPr>
          </w:p>
        </w:tc>
        <w:tc>
          <w:tcPr>
            <w:tcW w:w="260" w:type="dxa"/>
            <w:vAlign w:val="bottom"/>
            <w:tcBorders>
              <w:bottom w:val="single" w:sz="8" w:color="457157"/>
            </w:tcBorders>
            <w:vMerge w:val="continue"/>
          </w:tcPr>
          <w:p>
            <w:pPr>
              <w:spacing w:after="0"/>
              <w:rPr>
                <w:sz w:val="5"/>
                <w:szCs w:val="5"/>
                <w:color w:val="auto"/>
              </w:rPr>
            </w:pPr>
          </w:p>
        </w:tc>
        <w:tc>
          <w:tcPr>
            <w:tcW w:w="1160" w:type="dxa"/>
            <w:vAlign w:val="bottom"/>
            <w:tcBorders>
              <w:bottom w:val="single" w:sz="8" w:color="457157"/>
            </w:tcBorders>
          </w:tcPr>
          <w:p>
            <w:pPr>
              <w:spacing w:after="0"/>
              <w:rPr>
                <w:sz w:val="5"/>
                <w:szCs w:val="5"/>
                <w:color w:val="auto"/>
              </w:rPr>
            </w:pPr>
          </w:p>
        </w:tc>
        <w:tc>
          <w:tcPr>
            <w:tcW w:w="260" w:type="dxa"/>
            <w:vAlign w:val="bottom"/>
            <w:tcBorders>
              <w:bottom w:val="single" w:sz="8" w:color="457157"/>
            </w:tcBorders>
            <w:vMerge w:val="continue"/>
          </w:tcPr>
          <w:p>
            <w:pPr>
              <w:spacing w:after="0"/>
              <w:rPr>
                <w:sz w:val="5"/>
                <w:szCs w:val="5"/>
                <w:color w:val="auto"/>
              </w:rPr>
            </w:pPr>
          </w:p>
        </w:tc>
        <w:tc>
          <w:tcPr>
            <w:tcW w:w="1180" w:type="dxa"/>
            <w:vAlign w:val="bottom"/>
            <w:tcBorders>
              <w:bottom w:val="single" w:sz="8" w:color="457157"/>
            </w:tcBorders>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Internal Revenue Growth</w:t>
            </w:r>
          </w:p>
        </w:tc>
        <w:tc>
          <w:tcPr>
            <w:tcW w:w="114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6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6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vMerge w:val="continue"/>
            <w:shd w:val="clear" w:color="auto" w:fill="CCEEFF"/>
          </w:tcPr>
          <w:p>
            <w:pPr>
              <w:spacing w:after="0"/>
              <w:rPr>
                <w:sz w:val="5"/>
                <w:szCs w:val="5"/>
                <w:color w:val="auto"/>
              </w:rPr>
            </w:pPr>
          </w:p>
        </w:tc>
        <w:tc>
          <w:tcPr>
            <w:tcW w:w="110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116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11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5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vMerge w:val="restart"/>
          </w:tcPr>
          <w:p>
            <w:pPr>
              <w:jc w:val="center"/>
              <w:ind w:right="168"/>
              <w:spacing w:after="0"/>
              <w:rPr>
                <w:sz w:val="20"/>
                <w:szCs w:val="20"/>
                <w:color w:val="auto"/>
              </w:rPr>
            </w:pPr>
            <w:r>
              <w:rPr>
                <w:rFonts w:ascii="Arial" w:cs="Arial" w:eastAsia="Arial" w:hAnsi="Arial"/>
                <w:sz w:val="14"/>
                <w:szCs w:val="14"/>
                <w:b w:val="1"/>
                <w:bCs w:val="1"/>
                <w:color w:val="457157"/>
              </w:rPr>
              <w:t>Operating EBITDA</w:t>
            </w:r>
          </w:p>
        </w:tc>
        <w:tc>
          <w:tcPr>
            <w:tcW w:w="34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Income from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457157"/>
              </w:rPr>
              <w:t>Internal Revenue</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457157"/>
              </w:rPr>
              <w:t>Operations Margin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left="318"/>
              <w:spacing w:after="0" w:line="149" w:lineRule="exact"/>
              <w:rPr>
                <w:sz w:val="20"/>
                <w:szCs w:val="20"/>
                <w:color w:val="auto"/>
              </w:rPr>
            </w:pPr>
            <w:r>
              <w:rPr>
                <w:rFonts w:ascii="Arial" w:cs="Arial" w:eastAsia="Arial" w:hAnsi="Arial"/>
                <w:sz w:val="14"/>
                <w:szCs w:val="14"/>
                <w:b w:val="1"/>
                <w:bCs w:val="1"/>
                <w:color w:val="457157"/>
              </w:rPr>
              <w:t>Growth</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1880" w:type="dxa"/>
            <w:vAlign w:val="bottom"/>
            <w:gridSpan w:val="4"/>
            <w:vMerge w:val="restart"/>
          </w:tcPr>
          <w:p>
            <w:pPr>
              <w:jc w:val="center"/>
              <w:ind w:right="108"/>
              <w:spacing w:after="0"/>
              <w:rPr>
                <w:sz w:val="20"/>
                <w:szCs w:val="20"/>
                <w:color w:val="auto"/>
              </w:rPr>
            </w:pPr>
            <w:r>
              <w:rPr>
                <w:rFonts w:ascii="Arial" w:cs="Arial" w:eastAsia="Arial" w:hAnsi="Arial"/>
                <w:sz w:val="14"/>
                <w:szCs w:val="14"/>
                <w:b w:val="1"/>
                <w:bCs w:val="1"/>
                <w:color w:val="457157"/>
              </w:rPr>
              <w:t>(weighted 50%)</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  ​</w:t>
            </w:r>
          </w:p>
        </w:tc>
        <w:tc>
          <w:tcPr>
            <w:tcW w:w="15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457157"/>
              </w:rPr>
              <w:t>(weighted 25%)</w:t>
            </w:r>
          </w:p>
        </w:tc>
        <w:tc>
          <w:tcPr>
            <w:tcW w:w="160" w:type="dxa"/>
            <w:vAlign w:val="bottom"/>
            <w:vMerge w:val="restart"/>
          </w:tcPr>
          <w:p>
            <w:pPr>
              <w:ind w:left="100"/>
              <w:spacing w:after="0"/>
              <w:rPr>
                <w:sz w:val="20"/>
                <w:szCs w:val="20"/>
                <w:color w:val="auto"/>
              </w:rPr>
            </w:pPr>
            <w:r>
              <w:rPr>
                <w:rFonts w:ascii="Arial" w:cs="Arial" w:eastAsia="Arial" w:hAnsi="Arial"/>
                <w:sz w:val="14"/>
                <w:szCs w:val="14"/>
                <w:b w:val="1"/>
                <w:bCs w:val="1"/>
                <w:color w:val="457157"/>
              </w:rPr>
              <w:t>​</w:t>
            </w:r>
          </w:p>
        </w:tc>
        <w:tc>
          <w:tcPr>
            <w:tcW w:w="180" w:type="dxa"/>
            <w:vAlign w:val="bottom"/>
            <w:vMerge w:val="restart"/>
          </w:tcPr>
          <w:p>
            <w:pPr>
              <w:ind w:left="100"/>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8"/>
                <w:szCs w:val="8"/>
                <w:color w:val="auto"/>
              </w:rPr>
            </w:pPr>
          </w:p>
        </w:tc>
        <w:tc>
          <w:tcPr>
            <w:tcW w:w="1460" w:type="dxa"/>
            <w:vAlign w:val="bottom"/>
            <w:gridSpan w:val="3"/>
            <w:vMerge w:val="restart"/>
          </w:tcPr>
          <w:p>
            <w:pPr>
              <w:jc w:val="center"/>
              <w:ind w:right="48"/>
              <w:spacing w:after="0"/>
              <w:rPr>
                <w:sz w:val="20"/>
                <w:szCs w:val="20"/>
                <w:color w:val="auto"/>
              </w:rPr>
            </w:pPr>
            <w:r>
              <w:rPr>
                <w:rFonts w:ascii="Arial" w:cs="Arial" w:eastAsia="Arial" w:hAnsi="Arial"/>
                <w:sz w:val="14"/>
                <w:szCs w:val="14"/>
                <w:b w:val="1"/>
                <w:bCs w:val="1"/>
                <w:color w:val="457157"/>
              </w:rPr>
              <w:t>(weighted 25%)</w:t>
            </w:r>
          </w:p>
        </w:tc>
        <w:tc>
          <w:tcPr>
            <w:tcW w:w="3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457157"/>
              </w:rPr>
              <w:t>​</w:t>
            </w:r>
          </w:p>
        </w:tc>
        <w:tc>
          <w:tcPr>
            <w:tcW w:w="12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 w:type="dxa"/>
            <w:vAlign w:val="bottom"/>
            <w:gridSpan w:val="2"/>
            <w:vMerge w:val="continue"/>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2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457157"/>
              </w:rPr>
              <w:t>Payout Earned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00" w:type="dxa"/>
            <w:vAlign w:val="bottom"/>
            <w:tcBorders>
              <w:top w:val="single" w:sz="8" w:color="457157"/>
            </w:tcBorders>
          </w:tcPr>
          <w:p>
            <w:pPr>
              <w:spacing w:after="0"/>
              <w:rPr>
                <w:sz w:val="2"/>
                <w:szCs w:val="2"/>
                <w:color w:val="auto"/>
              </w:rPr>
            </w:pPr>
          </w:p>
        </w:tc>
        <w:tc>
          <w:tcPr>
            <w:tcW w:w="1020" w:type="dxa"/>
            <w:vAlign w:val="bottom"/>
            <w:tcBorders>
              <w:top w:val="single" w:sz="8" w:color="457157"/>
            </w:tcBorders>
          </w:tcPr>
          <w:p>
            <w:pPr>
              <w:spacing w:after="0"/>
              <w:rPr>
                <w:sz w:val="2"/>
                <w:szCs w:val="2"/>
                <w:color w:val="auto"/>
              </w:rPr>
            </w:pPr>
          </w:p>
        </w:tc>
        <w:tc>
          <w:tcPr>
            <w:tcW w:w="280" w:type="dxa"/>
            <w:vAlign w:val="bottom"/>
            <w:tcBorders>
              <w:top w:val="single" w:sz="8" w:color="457157"/>
            </w:tcBorders>
          </w:tcPr>
          <w:p>
            <w:pPr>
              <w:spacing w:after="0"/>
              <w:rPr>
                <w:sz w:val="2"/>
                <w:szCs w:val="2"/>
                <w:color w:val="auto"/>
              </w:rPr>
            </w:pPr>
          </w:p>
        </w:tc>
        <w:tc>
          <w:tcPr>
            <w:tcW w:w="580" w:type="dxa"/>
            <w:vAlign w:val="bottom"/>
            <w:tcBorders>
              <w:top w:val="single" w:sz="8" w:color="457157"/>
            </w:tcBorders>
            <w:gridSpan w:val="2"/>
            <w:vMerge w:val="restart"/>
          </w:tcPr>
          <w:p>
            <w:pPr>
              <w:ind w:left="20"/>
              <w:spacing w:after="0"/>
              <w:rPr>
                <w:sz w:val="20"/>
                <w:szCs w:val="20"/>
                <w:color w:val="auto"/>
              </w:rPr>
            </w:pPr>
            <w:r>
              <w:rPr>
                <w:rFonts w:ascii="Arial" w:cs="Arial" w:eastAsia="Arial" w:hAnsi="Arial"/>
                <w:sz w:val="14"/>
                <w:szCs w:val="14"/>
                <w:b w:val="1"/>
                <w:bCs w:val="1"/>
                <w:color w:val="457157"/>
              </w:rPr>
              <w:t>Payout</w:t>
            </w:r>
          </w:p>
        </w:tc>
        <w:tc>
          <w:tcPr>
            <w:tcW w:w="340" w:type="dxa"/>
            <w:vAlign w:val="bottom"/>
          </w:tcPr>
          <w:p>
            <w:pPr>
              <w:spacing w:after="0"/>
              <w:rPr>
                <w:sz w:val="2"/>
                <w:szCs w:val="2"/>
                <w:color w:val="auto"/>
              </w:rPr>
            </w:pPr>
          </w:p>
        </w:tc>
        <w:tc>
          <w:tcPr>
            <w:tcW w:w="720" w:type="dxa"/>
            <w:vAlign w:val="bottom"/>
            <w:tcBorders>
              <w:top w:val="single" w:sz="8" w:color="457157"/>
            </w:tcBorders>
          </w:tcPr>
          <w:p>
            <w:pPr>
              <w:spacing w:after="0"/>
              <w:rPr>
                <w:sz w:val="2"/>
                <w:szCs w:val="2"/>
                <w:color w:val="auto"/>
              </w:rPr>
            </w:pPr>
          </w:p>
        </w:tc>
        <w:tc>
          <w:tcPr>
            <w:tcW w:w="260" w:type="dxa"/>
            <w:vAlign w:val="bottom"/>
            <w:tcBorders>
              <w:top w:val="single" w:sz="8" w:color="457157"/>
            </w:tcBorders>
          </w:tcPr>
          <w:p>
            <w:pPr>
              <w:spacing w:after="0"/>
              <w:rPr>
                <w:sz w:val="2"/>
                <w:szCs w:val="2"/>
                <w:color w:val="auto"/>
              </w:rPr>
            </w:pPr>
          </w:p>
        </w:tc>
        <w:tc>
          <w:tcPr>
            <w:tcW w:w="600" w:type="dxa"/>
            <w:vAlign w:val="bottom"/>
            <w:tcBorders>
              <w:top w:val="single" w:sz="8" w:color="457157"/>
            </w:tcBorders>
            <w:gridSpan w:val="2"/>
            <w:vMerge w:val="restart"/>
          </w:tcPr>
          <w:p>
            <w:pPr>
              <w:ind w:left="40"/>
              <w:spacing w:after="0"/>
              <w:rPr>
                <w:sz w:val="20"/>
                <w:szCs w:val="20"/>
                <w:color w:val="auto"/>
              </w:rPr>
            </w:pPr>
            <w:r>
              <w:rPr>
                <w:rFonts w:ascii="Arial" w:cs="Arial" w:eastAsia="Arial" w:hAnsi="Arial"/>
                <w:sz w:val="14"/>
                <w:szCs w:val="14"/>
                <w:b w:val="1"/>
                <w:bCs w:val="1"/>
                <w:color w:val="457157"/>
              </w:rPr>
              <w:t>Payout</w:t>
            </w: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457157"/>
            </w:tcBorders>
          </w:tcPr>
          <w:p>
            <w:pPr>
              <w:spacing w:after="0"/>
              <w:rPr>
                <w:sz w:val="2"/>
                <w:szCs w:val="2"/>
                <w:color w:val="auto"/>
              </w:rPr>
            </w:pPr>
          </w:p>
        </w:tc>
        <w:tc>
          <w:tcPr>
            <w:tcW w:w="600" w:type="dxa"/>
            <w:vAlign w:val="bottom"/>
            <w:tcBorders>
              <w:top w:val="single" w:sz="8" w:color="457157"/>
            </w:tcBorders>
          </w:tcPr>
          <w:p>
            <w:pPr>
              <w:spacing w:after="0"/>
              <w:rPr>
                <w:sz w:val="2"/>
                <w:szCs w:val="2"/>
                <w:color w:val="auto"/>
              </w:rPr>
            </w:pPr>
          </w:p>
        </w:tc>
        <w:tc>
          <w:tcPr>
            <w:tcW w:w="860" w:type="dxa"/>
            <w:vAlign w:val="bottom"/>
            <w:tcBorders>
              <w:top w:val="single" w:sz="8" w:color="457157"/>
            </w:tcBorders>
            <w:gridSpan w:val="2"/>
            <w:vMerge w:val="restart"/>
          </w:tcPr>
          <w:p>
            <w:pPr>
              <w:ind w:left="300"/>
              <w:spacing w:after="0"/>
              <w:rPr>
                <w:sz w:val="20"/>
                <w:szCs w:val="20"/>
                <w:color w:val="auto"/>
              </w:rPr>
            </w:pPr>
            <w:r>
              <w:rPr>
                <w:rFonts w:ascii="Arial" w:cs="Arial" w:eastAsia="Arial" w:hAnsi="Arial"/>
                <w:sz w:val="14"/>
                <w:szCs w:val="14"/>
                <w:b w:val="1"/>
                <w:bCs w:val="1"/>
                <w:color w:val="457157"/>
              </w:rPr>
              <w:t>Payout</w:t>
            </w:r>
          </w:p>
        </w:tc>
        <w:tc>
          <w:tcPr>
            <w:tcW w:w="3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Actual</w:t>
            </w:r>
          </w:p>
        </w:tc>
        <w:tc>
          <w:tcPr>
            <w:tcW w:w="2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457157"/>
              </w:rPr>
              <w:t>Actual</w:t>
            </w:r>
          </w:p>
        </w:tc>
        <w:tc>
          <w:tcPr>
            <w:tcW w:w="2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Actual</w:t>
            </w:r>
          </w:p>
        </w:tc>
        <w:tc>
          <w:tcPr>
            <w:tcW w:w="8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(as a percentage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457157"/>
              </w:rPr>
              <w:t>​  ​</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457157"/>
              </w:rPr>
              <w:t>Earned</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w:t>
            </w:r>
          </w:p>
        </w:tc>
        <w:tc>
          <w:tcPr>
            <w:tcW w:w="720" w:type="dxa"/>
            <w:vAlign w:val="bottom"/>
            <w:vMerge w:val="continue"/>
          </w:tcPr>
          <w:p>
            <w:pPr>
              <w:spacing w:after="0"/>
              <w:rPr>
                <w:sz w:val="12"/>
                <w:szCs w:val="12"/>
                <w:color w:val="auto"/>
              </w:rPr>
            </w:pPr>
          </w:p>
        </w:tc>
        <w:tc>
          <w:tcPr>
            <w:tcW w:w="2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457157"/>
              </w:rPr>
              <w:t>​</w:t>
            </w:r>
          </w:p>
        </w:tc>
        <w:tc>
          <w:tcPr>
            <w:tcW w:w="8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20" w:type="dxa"/>
            <w:vAlign w:val="bottom"/>
          </w:tcPr>
          <w:p>
            <w:pPr>
              <w:spacing w:after="0" w:line="149" w:lineRule="exact"/>
              <w:rPr>
                <w:sz w:val="20"/>
                <w:szCs w:val="20"/>
                <w:color w:val="auto"/>
              </w:rPr>
            </w:pPr>
            <w:r>
              <w:rPr>
                <w:rFonts w:ascii="Arial" w:cs="Arial" w:eastAsia="Arial" w:hAnsi="Arial"/>
                <w:sz w:val="14"/>
                <w:szCs w:val="14"/>
                <w:b w:val="1"/>
                <w:bCs w:val="1"/>
                <w:color w:val="457157"/>
              </w:rPr>
              <w:t>Earned</w:t>
            </w:r>
          </w:p>
        </w:tc>
        <w:tc>
          <w:tcPr>
            <w:tcW w:w="16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720" w:type="dxa"/>
            <w:vAlign w:val="bottom"/>
            <w:gridSpan w:val="2"/>
            <w:vMerge w:val="continue"/>
          </w:tcPr>
          <w:p>
            <w:pPr>
              <w:spacing w:after="0"/>
              <w:rPr>
                <w:sz w:val="12"/>
                <w:szCs w:val="12"/>
                <w:color w:val="auto"/>
              </w:rPr>
            </w:pPr>
          </w:p>
        </w:tc>
        <w:tc>
          <w:tcPr>
            <w:tcW w:w="32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   ​</w:t>
            </w:r>
          </w:p>
        </w:tc>
        <w:tc>
          <w:tcPr>
            <w:tcW w:w="540" w:type="dxa"/>
            <w:vAlign w:val="bottom"/>
          </w:tcPr>
          <w:p>
            <w:pPr>
              <w:ind w:left="20"/>
              <w:spacing w:after="0" w:line="149" w:lineRule="exact"/>
              <w:rPr>
                <w:sz w:val="20"/>
                <w:szCs w:val="20"/>
                <w:color w:val="auto"/>
              </w:rPr>
            </w:pPr>
            <w:r>
              <w:rPr>
                <w:rFonts w:ascii="Arial" w:cs="Arial" w:eastAsia="Arial" w:hAnsi="Arial"/>
                <w:sz w:val="14"/>
                <w:szCs w:val="14"/>
                <w:b w:val="1"/>
                <w:bCs w:val="1"/>
                <w:color w:val="457157"/>
              </w:rPr>
              <w:t>Earned</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36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457157"/>
              </w:rPr>
              <w:t>of Target)</w:t>
            </w:r>
          </w:p>
        </w:tc>
        <w:tc>
          <w:tcPr>
            <w:tcW w:w="40" w:type="dxa"/>
            <w:vAlign w:val="bottom"/>
            <w:vMerge w:val="restart"/>
          </w:tcPr>
          <w:p>
            <w:pPr>
              <w:jc w:val="right"/>
              <w:ind w:right="15"/>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00" w:type="dxa"/>
            <w:vAlign w:val="bottom"/>
          </w:tcPr>
          <w:p>
            <w:pPr>
              <w:jc w:val="right"/>
              <w:ind w:right="96"/>
              <w:spacing w:after="0" w:line="54" w:lineRule="exact"/>
              <w:rPr>
                <w:sz w:val="20"/>
                <w:szCs w:val="20"/>
                <w:color w:val="auto"/>
              </w:rPr>
            </w:pPr>
            <w:r>
              <w:rPr>
                <w:rFonts w:ascii="Arial" w:cs="Arial" w:eastAsia="Arial" w:hAnsi="Arial"/>
                <w:sz w:val="6"/>
                <w:szCs w:val="6"/>
                <w:b w:val="1"/>
                <w:bCs w:val="1"/>
                <w:color w:val="457157"/>
              </w:rPr>
              <w:t>​</w:t>
            </w:r>
          </w:p>
        </w:tc>
        <w:tc>
          <w:tcPr>
            <w:tcW w:w="102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720" w:type="dxa"/>
            <w:vAlign w:val="bottom"/>
          </w:tcPr>
          <w:p>
            <w:pPr>
              <w:spacing w:after="0" w:line="54" w:lineRule="exact"/>
              <w:rPr>
                <w:sz w:val="20"/>
                <w:szCs w:val="20"/>
                <w:color w:val="auto"/>
              </w:rPr>
            </w:pPr>
            <w:r>
              <w:rPr>
                <w:rFonts w:ascii="Arial" w:cs="Arial" w:eastAsia="Arial" w:hAnsi="Arial"/>
                <w:sz w:val="6"/>
                <w:szCs w:val="6"/>
                <w:b w:val="1"/>
                <w:bCs w:val="1"/>
                <w:color w:val="457157"/>
              </w:rPr>
              <w:t>​</w:t>
            </w:r>
          </w:p>
        </w:tc>
        <w:tc>
          <w:tcPr>
            <w:tcW w:w="2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 w:type="dxa"/>
            <w:vAlign w:val="bottom"/>
          </w:tcPr>
          <w:p>
            <w:pPr>
              <w:spacing w:after="0" w:line="54" w:lineRule="exact"/>
              <w:rPr>
                <w:sz w:val="20"/>
                <w:szCs w:val="20"/>
                <w:color w:val="auto"/>
              </w:rPr>
            </w:pPr>
            <w:r>
              <w:rPr>
                <w:rFonts w:ascii="Arial" w:cs="Arial" w:eastAsia="Arial" w:hAnsi="Arial"/>
                <w:sz w:val="6"/>
                <w:szCs w:val="6"/>
                <w:b w:val="1"/>
                <w:bCs w:val="1"/>
                <w:color w:val="457157"/>
              </w:rPr>
              <w:t>​</w:t>
            </w:r>
          </w:p>
        </w:tc>
        <w:tc>
          <w:tcPr>
            <w:tcW w:w="6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122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580" w:type="dxa"/>
            <w:vAlign w:val="bottom"/>
            <w:gridSpan w:val="2"/>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760" w:type="dxa"/>
            <w:vAlign w:val="bottom"/>
            <w:gridSpan w:val="3"/>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20" w:type="dxa"/>
            <w:vAlign w:val="bottom"/>
            <w:gridSpan w:val="2"/>
            <w:shd w:val="clear" w:color="auto" w:fill="457157"/>
          </w:tcPr>
          <w:p>
            <w:pPr>
              <w:spacing w:after="0" w:line="20" w:lineRule="exact"/>
              <w:rPr>
                <w:sz w:val="1"/>
                <w:szCs w:val="1"/>
                <w:color w:val="auto"/>
              </w:rPr>
            </w:pPr>
          </w:p>
        </w:tc>
        <w:tc>
          <w:tcPr>
            <w:tcW w:w="1180" w:type="dxa"/>
            <w:vAlign w:val="bottom"/>
            <w:gridSpan w:val="3"/>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$5.892 billion</w:t>
            </w: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92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​98.98%</w:t>
            </w:r>
          </w:p>
        </w:tc>
        <w:tc>
          <w:tcPr>
            <w:tcW w:w="720" w:type="dxa"/>
            <w:vAlign w:val="bottom"/>
          </w:tcPr>
          <w:p>
            <w:pPr>
              <w:spacing w:after="0" w:line="196" w:lineRule="exact"/>
              <w:rPr>
                <w:sz w:val="20"/>
                <w:szCs w:val="20"/>
                <w:color w:val="auto"/>
              </w:rPr>
            </w:pPr>
            <w:r>
              <w:rPr>
                <w:rFonts w:ascii="Arial" w:cs="Arial" w:eastAsia="Arial" w:hAnsi="Arial"/>
                <w:sz w:val="18"/>
                <w:szCs w:val="18"/>
                <w:color w:val="auto"/>
              </w:rPr>
              <w:t>​19.30%</w:t>
            </w:r>
          </w:p>
        </w:tc>
        <w:tc>
          <w:tcPr>
            <w:tcW w:w="26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8"/>
              </w:rPr>
              <w:t>​133.46%</w:t>
            </w:r>
          </w:p>
        </w:tc>
        <w:tc>
          <w:tcPr>
            <w:tcW w:w="180" w:type="dxa"/>
            <w:vAlign w:val="bottom"/>
          </w:tcPr>
          <w:p>
            <w:pPr>
              <w:spacing w:after="0"/>
              <w:rPr>
                <w:sz w:val="17"/>
                <w:szCs w:val="17"/>
                <w:color w:val="auto"/>
              </w:rPr>
            </w:pPr>
          </w:p>
        </w:tc>
        <w:tc>
          <w:tcPr>
            <w:tcW w:w="72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​5.96%</w:t>
            </w:r>
          </w:p>
        </w:tc>
        <w:tc>
          <w:tcPr>
            <w:tcW w:w="1180" w:type="dxa"/>
            <w:vAlign w:val="bottom"/>
            <w:gridSpan w:val="3"/>
          </w:tcPr>
          <w:p>
            <w:pPr>
              <w:jc w:val="right"/>
              <w:ind w:right="101"/>
              <w:spacing w:after="0" w:line="196" w:lineRule="exact"/>
              <w:rPr>
                <w:sz w:val="20"/>
                <w:szCs w:val="20"/>
                <w:color w:val="auto"/>
              </w:rPr>
            </w:pPr>
            <w:r>
              <w:rPr>
                <w:rFonts w:ascii="Arial" w:cs="Arial" w:eastAsia="Arial" w:hAnsi="Arial"/>
                <w:sz w:val="18"/>
                <w:szCs w:val="18"/>
                <w:color w:val="auto"/>
              </w:rPr>
              <w:t>​139.99%</w:t>
            </w:r>
          </w:p>
        </w:tc>
        <w:tc>
          <w:tcPr>
            <w:tcW w:w="1280" w:type="dxa"/>
            <w:vAlign w:val="bottom"/>
          </w:tcPr>
          <w:p>
            <w:pPr>
              <w:jc w:val="right"/>
              <w:ind w:right="71"/>
              <w:spacing w:after="0" w:line="196" w:lineRule="exact"/>
              <w:rPr>
                <w:sz w:val="20"/>
                <w:szCs w:val="20"/>
                <w:color w:val="auto"/>
              </w:rPr>
            </w:pPr>
            <w:r>
              <w:rPr>
                <w:rFonts w:ascii="Arial" w:cs="Arial" w:eastAsia="Arial" w:hAnsi="Arial"/>
                <w:sz w:val="18"/>
                <w:szCs w:val="18"/>
                <w:color w:val="auto"/>
              </w:rPr>
              <w:t>​ 117.85%</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40" w:type="dxa"/>
            <w:vAlign w:val="bottom"/>
            <w:gridSpan w:val="2"/>
          </w:tcPr>
          <w:p>
            <w:pPr>
              <w:jc w:val="right"/>
              <w:ind w:right="96"/>
              <w:spacing w:after="0" w:line="68" w:lineRule="exact"/>
              <w:rPr>
                <w:sz w:val="20"/>
                <w:szCs w:val="20"/>
                <w:color w:val="auto"/>
              </w:rPr>
            </w:pPr>
            <w:r>
              <w:rPr>
                <w:rFonts w:ascii="Arial" w:cs="Arial" w:eastAsia="Arial" w:hAnsi="Arial"/>
                <w:sz w:val="7"/>
                <w:szCs w:val="7"/>
                <w:color w:val="auto"/>
              </w:rPr>
              <w:t>​</w:t>
            </w:r>
          </w:p>
        </w:tc>
        <w:tc>
          <w:tcPr>
            <w:tcW w:w="10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line="68" w:lineRule="exact"/>
              <w:rPr>
                <w:sz w:val="20"/>
                <w:szCs w:val="20"/>
                <w:color w:val="auto"/>
              </w:rPr>
            </w:pPr>
            <w:r>
              <w:rPr>
                <w:rFonts w:ascii="Arial" w:cs="Arial" w:eastAsia="Arial" w:hAnsi="Arial"/>
                <w:sz w:val="7"/>
                <w:szCs w:val="7"/>
                <w:color w:val="auto"/>
              </w:rPr>
              <w:t>​ ​ ​</w:t>
            </w:r>
          </w:p>
        </w:tc>
        <w:tc>
          <w:tcPr>
            <w:tcW w:w="720" w:type="dxa"/>
            <w:vAlign w:val="bottom"/>
          </w:tcPr>
          <w:p>
            <w:pPr>
              <w:ind w:left="480"/>
              <w:spacing w:after="0" w:line="68" w:lineRule="exact"/>
              <w:rPr>
                <w:sz w:val="20"/>
                <w:szCs w:val="20"/>
                <w:color w:val="auto"/>
              </w:rPr>
            </w:pPr>
            <w:r>
              <w:rPr>
                <w:rFonts w:ascii="Arial" w:cs="Arial" w:eastAsia="Arial" w:hAnsi="Arial"/>
                <w:sz w:val="7"/>
                <w:szCs w:val="7"/>
                <w:color w:val="auto"/>
              </w:rPr>
              <w:t>​ ​</w:t>
            </w: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gridSpan w:val="3"/>
          </w:tcPr>
          <w:p>
            <w:pPr>
              <w:spacing w:after="0" w:line="68" w:lineRule="exact"/>
              <w:rPr>
                <w:sz w:val="20"/>
                <w:szCs w:val="20"/>
                <w:color w:val="auto"/>
              </w:rPr>
            </w:pPr>
            <w:r>
              <w:rPr>
                <w:rFonts w:ascii="Arial" w:cs="Arial" w:eastAsia="Arial" w:hAnsi="Arial"/>
                <w:sz w:val="7"/>
                <w:szCs w:val="7"/>
                <w:color w:val="auto"/>
              </w:rPr>
              <w:t>​ ​ ​ ​</w:t>
            </w:r>
          </w:p>
        </w:tc>
        <w:tc>
          <w:tcPr>
            <w:tcW w:w="600" w:type="dxa"/>
            <w:vAlign w:val="bottom"/>
          </w:tcPr>
          <w:p>
            <w:pPr>
              <w:ind w:left="360"/>
              <w:spacing w:after="0" w:line="68" w:lineRule="exact"/>
              <w:rPr>
                <w:sz w:val="20"/>
                <w:szCs w:val="20"/>
                <w:color w:val="auto"/>
              </w:rPr>
            </w:pPr>
            <w:r>
              <w:rPr>
                <w:rFonts w:ascii="Arial" w:cs="Arial" w:eastAsia="Arial" w:hAnsi="Arial"/>
                <w:sz w:val="7"/>
                <w:szCs w:val="7"/>
                <w:color w:val="auto"/>
              </w:rPr>
              <w:t>​ ​</w:t>
            </w:r>
          </w:p>
        </w:tc>
        <w:tc>
          <w:tcPr>
            <w:tcW w:w="860" w:type="dxa"/>
            <w:vAlign w:val="bottom"/>
            <w:gridSpan w:val="2"/>
          </w:tcPr>
          <w:p>
            <w:pPr>
              <w:ind w:left="160"/>
              <w:spacing w:after="0" w:line="68" w:lineRule="exact"/>
              <w:rPr>
                <w:sz w:val="20"/>
                <w:szCs w:val="20"/>
                <w:color w:val="auto"/>
              </w:rPr>
            </w:pPr>
            <w:r>
              <w:rPr>
                <w:rFonts w:ascii="Arial" w:cs="Arial" w:eastAsia="Arial" w:hAnsi="Arial"/>
                <w:sz w:val="7"/>
                <w:szCs w:val="7"/>
                <w:color w:val="auto"/>
              </w:rPr>
              <w:t>​ ​</w:t>
            </w: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 ​</w:t>
            </w:r>
          </w:p>
        </w:tc>
        <w:tc>
          <w:tcPr>
            <w:tcW w:w="1280" w:type="dxa"/>
            <w:vAlign w:val="bottom"/>
          </w:tcPr>
          <w:p>
            <w:pPr>
              <w:jc w:val="right"/>
              <w:ind w:right="851"/>
              <w:spacing w:after="0" w:line="68" w:lineRule="exact"/>
              <w:rPr>
                <w:sz w:val="20"/>
                <w:szCs w:val="20"/>
                <w:color w:val="auto"/>
              </w:rPr>
            </w:pPr>
            <w:r>
              <w:rPr>
                <w:rFonts w:ascii="Arial" w:cs="Arial" w:eastAsia="Arial" w:hAnsi="Arial"/>
                <w:sz w:val="7"/>
                <w:szCs w:val="7"/>
                <w:color w:val="auto"/>
              </w:rPr>
              <w:t>​</w:t>
            </w: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For purposes of the Internal Revenue Growth performance measure target and calculation of results, the Company excluded benefits from Hurricane Ian and prior period recycling rebates, which collectively reduced Internal Revenue Growth performance by 0.18%.</w:t>
      </w:r>
    </w:p>
    <w:p>
      <w:pPr>
        <w:spacing w:after="0" w:line="6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Sustainability Modifier to Annual Cash Incentive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 2023, the MD&amp;C Committee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a sustainability modifier into the annual cash incentive program. As a result, annual cash incentive payouts to executive officers for 2023 were eligible to be increased, or decreased, up to 5% depending on achievement calculated using the sustainability scorecard. Results achieved on each of the four performance measures, and corresponding points earned on a scale of one-to-five, are reported below. The Company earned 13 total points on the 2023 sustainability scorecard, which correlates to a 2% increase to the annual cash incentive payment for 2023 otherwise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85090</wp:posOffset>
            </wp:positionV>
            <wp:extent cx="5674995" cy="20313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7499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The MD&amp;C Committee believes that the quantifiable performance measures for 2023, focusing on the areas of safety, D&amp;I, circularity and climate, aligned well with the Company’s commitments and values, sustainability growth strategy and 2030 goals presented in the Company’s Sustainability Report.</w:t>
      </w:r>
    </w:p>
    <w:p>
      <w:pPr>
        <w:spacing w:after="0" w:line="63"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i w:val="1"/>
          <w:iCs w:val="1"/>
          <w:u w:val="single" w:color="auto"/>
          <w:color w:val="auto"/>
        </w:rPr>
        <w:t>Annual Cash Incentive Payout for 2023.</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cash incentives are a specified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executives’ base salary. The following table shows each named executive’s target percentage of base salary for 2023 and each named executive’s total annual cash incentive for 2023 paid in March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80" w:type="dxa"/>
            <w:vAlign w:val="bottom"/>
            <w:gridSpan w:val="2"/>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1040" w:type="dxa"/>
            <w:vAlign w:val="bottom"/>
            <w:shd w:val="clear" w:color="auto" w:fill="457157"/>
          </w:tcPr>
          <w:p>
            <w:pPr>
              <w:spacing w:after="0"/>
              <w:rPr>
                <w:sz w:val="19"/>
                <w:szCs w:val="19"/>
                <w:color w:val="auto"/>
              </w:rPr>
            </w:pPr>
          </w:p>
        </w:tc>
        <w:tc>
          <w:tcPr>
            <w:tcW w:w="180" w:type="dxa"/>
            <w:vAlign w:val="bottom"/>
            <w:shd w:val="clear" w:color="auto" w:fill="457157"/>
          </w:tcPr>
          <w:p>
            <w:pPr>
              <w:spacing w:after="0"/>
              <w:rPr>
                <w:sz w:val="19"/>
                <w:szCs w:val="19"/>
                <w:color w:val="auto"/>
              </w:rPr>
            </w:pPr>
          </w:p>
        </w:tc>
        <w:tc>
          <w:tcPr>
            <w:tcW w:w="440" w:type="dxa"/>
            <w:vAlign w:val="bottom"/>
            <w:shd w:val="clear" w:color="auto" w:fill="457157"/>
          </w:tcPr>
          <w:p>
            <w:pPr>
              <w:spacing w:after="0"/>
              <w:rPr>
                <w:sz w:val="19"/>
                <w:szCs w:val="19"/>
                <w:color w:val="auto"/>
              </w:rPr>
            </w:pPr>
          </w:p>
        </w:tc>
        <w:tc>
          <w:tcPr>
            <w:tcW w:w="760" w:type="dxa"/>
            <w:vAlign w:val="bottom"/>
            <w:shd w:val="clear" w:color="auto" w:fill="457157"/>
          </w:tcPr>
          <w:p>
            <w:pPr>
              <w:spacing w:after="0"/>
              <w:rPr>
                <w:sz w:val="19"/>
                <w:szCs w:val="19"/>
                <w:color w:val="auto"/>
              </w:rPr>
            </w:pPr>
          </w:p>
        </w:tc>
        <w:tc>
          <w:tcPr>
            <w:tcW w:w="80" w:type="dxa"/>
            <w:vAlign w:val="bottom"/>
            <w:shd w:val="clear" w:color="auto" w:fill="457157"/>
          </w:tcPr>
          <w:p>
            <w:pPr>
              <w:spacing w:after="0"/>
              <w:rPr>
                <w:sz w:val="19"/>
                <w:szCs w:val="19"/>
                <w:color w:val="auto"/>
              </w:rPr>
            </w:pPr>
          </w:p>
        </w:tc>
        <w:tc>
          <w:tcPr>
            <w:tcW w:w="160" w:type="dxa"/>
            <w:vAlign w:val="bottom"/>
            <w:shd w:val="clear" w:color="auto" w:fill="457157"/>
          </w:tcPr>
          <w:p>
            <w:pPr>
              <w:spacing w:after="0"/>
              <w:rPr>
                <w:sz w:val="19"/>
                <w:szCs w:val="19"/>
                <w:color w:val="auto"/>
              </w:rPr>
            </w:pPr>
          </w:p>
        </w:tc>
        <w:tc>
          <w:tcPr>
            <w:tcW w:w="520" w:type="dxa"/>
            <w:vAlign w:val="bottom"/>
            <w:shd w:val="clear" w:color="auto" w:fill="457157"/>
          </w:tcPr>
          <w:p>
            <w:pPr>
              <w:spacing w:after="0"/>
              <w:rPr>
                <w:sz w:val="19"/>
                <w:szCs w:val="19"/>
                <w:color w:val="auto"/>
              </w:rPr>
            </w:pPr>
          </w:p>
        </w:tc>
        <w:tc>
          <w:tcPr>
            <w:tcW w:w="1180" w:type="dxa"/>
            <w:vAlign w:val="bottom"/>
            <w:shd w:val="clear" w:color="auto" w:fill="457157"/>
          </w:tcPr>
          <w:p>
            <w:pPr>
              <w:spacing w:after="0"/>
              <w:rPr>
                <w:sz w:val="19"/>
                <w:szCs w:val="19"/>
                <w:color w:val="auto"/>
              </w:rPr>
            </w:pPr>
          </w:p>
        </w:tc>
        <w:tc>
          <w:tcPr>
            <w:tcW w:w="100" w:type="dxa"/>
            <w:vAlign w:val="bottom"/>
            <w:shd w:val="clear" w:color="auto" w:fill="457157"/>
          </w:tcPr>
          <w:p>
            <w:pPr>
              <w:spacing w:after="0"/>
              <w:rPr>
                <w:sz w:val="19"/>
                <w:szCs w:val="19"/>
                <w:color w:val="auto"/>
              </w:rPr>
            </w:pPr>
          </w:p>
        </w:tc>
        <w:tc>
          <w:tcPr>
            <w:tcW w:w="72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700" w:type="dxa"/>
            <w:vAlign w:val="bottom"/>
          </w:tcPr>
          <w:p>
            <w:pPr>
              <w:spacing w:after="0"/>
              <w:rPr>
                <w:sz w:val="24"/>
                <w:szCs w:val="24"/>
                <w:color w:val="auto"/>
              </w:rPr>
            </w:pPr>
          </w:p>
        </w:tc>
        <w:tc>
          <w:tcPr>
            <w:tcW w:w="318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Named Executive Officer</w:t>
            </w:r>
          </w:p>
        </w:tc>
        <w:tc>
          <w:tcPr>
            <w:tcW w:w="10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Target Percentage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Annual Cash Incentive</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3180" w:type="dxa"/>
            <w:vAlign w:val="bottom"/>
            <w:vMerge w:val="continue"/>
          </w:tcPr>
          <w:p>
            <w:pPr>
              <w:spacing w:after="0"/>
              <w:rPr>
                <w:sz w:val="12"/>
                <w:szCs w:val="12"/>
                <w:color w:val="auto"/>
              </w:rPr>
            </w:pPr>
          </w:p>
        </w:tc>
        <w:tc>
          <w:tcPr>
            <w:tcW w:w="122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457157"/>
              </w:rPr>
              <w:t>​ ​</w:t>
            </w:r>
          </w:p>
        </w:tc>
        <w:tc>
          <w:tcPr>
            <w:tcW w:w="1280" w:type="dxa"/>
            <w:vAlign w:val="bottom"/>
            <w:gridSpan w:val="3"/>
          </w:tcPr>
          <w:p>
            <w:pPr>
              <w:ind w:left="140"/>
              <w:spacing w:after="0" w:line="145" w:lineRule="exact"/>
              <w:rPr>
                <w:sz w:val="20"/>
                <w:szCs w:val="20"/>
                <w:color w:val="auto"/>
              </w:rPr>
            </w:pPr>
            <w:r>
              <w:rPr>
                <w:rFonts w:ascii="Arial" w:cs="Arial" w:eastAsia="Arial" w:hAnsi="Arial"/>
                <w:sz w:val="14"/>
                <w:szCs w:val="14"/>
                <w:b w:val="1"/>
                <w:bCs w:val="1"/>
                <w:color w:val="457157"/>
              </w:rPr>
              <w:t>of Base Salary</w:t>
            </w:r>
          </w:p>
        </w:tc>
        <w:tc>
          <w:tcPr>
            <w:tcW w:w="680" w:type="dxa"/>
            <w:vAlign w:val="bottom"/>
            <w:gridSpan w:val="2"/>
            <w:vMerge w:val="restart"/>
          </w:tcPr>
          <w:p>
            <w:pPr>
              <w:jc w:val="right"/>
              <w:ind w:right="406"/>
              <w:spacing w:after="0"/>
              <w:rPr>
                <w:sz w:val="20"/>
                <w:szCs w:val="20"/>
                <w:color w:val="auto"/>
              </w:rPr>
            </w:pPr>
            <w:r>
              <w:rPr>
                <w:rFonts w:ascii="Arial" w:cs="Arial" w:eastAsia="Arial" w:hAnsi="Arial"/>
                <w:sz w:val="14"/>
                <w:szCs w:val="14"/>
                <w:b w:val="1"/>
                <w:bCs w:val="1"/>
                <w:color w:val="457157"/>
              </w:rPr>
              <w:t>​ ​</w:t>
            </w:r>
          </w:p>
        </w:tc>
        <w:tc>
          <w:tcPr>
            <w:tcW w:w="1280" w:type="dxa"/>
            <w:vAlign w:val="bottom"/>
            <w:gridSpan w:val="2"/>
          </w:tcPr>
          <w:p>
            <w:pPr>
              <w:ind w:left="440"/>
              <w:spacing w:after="0" w:line="145" w:lineRule="exact"/>
              <w:rPr>
                <w:sz w:val="20"/>
                <w:szCs w:val="20"/>
                <w:color w:val="auto"/>
              </w:rPr>
            </w:pPr>
            <w:r>
              <w:rPr>
                <w:rFonts w:ascii="Arial" w:cs="Arial" w:eastAsia="Arial" w:hAnsi="Arial"/>
                <w:sz w:val="14"/>
                <w:szCs w:val="14"/>
                <w:b w:val="1"/>
                <w:bCs w:val="1"/>
                <w:color w:val="457157"/>
              </w:rPr>
              <w:t>For 2023</w:t>
            </w:r>
            <w:r>
              <w:rPr>
                <w:rFonts w:ascii="Arial" w:cs="Arial" w:eastAsia="Arial" w:hAnsi="Arial"/>
                <w:sz w:val="8"/>
                <w:szCs w:val="8"/>
                <w:b w:val="1"/>
                <w:bCs w:val="1"/>
                <w:color w:val="457157"/>
              </w:rPr>
              <w:t>(1)</w:t>
            </w:r>
          </w:p>
        </w:tc>
        <w:tc>
          <w:tcPr>
            <w:tcW w:w="780" w:type="dxa"/>
            <w:vAlign w:val="bottom"/>
            <w:gridSpan w:val="2"/>
            <w:vMerge w:val="restart"/>
          </w:tcPr>
          <w:p>
            <w:pPr>
              <w:jc w:val="right"/>
              <w:ind w:right="659"/>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3180" w:type="dxa"/>
            <w:vAlign w:val="bottom"/>
            <w:tcBorders>
              <w:bottom w:val="single" w:sz="8" w:color="457157"/>
            </w:tcBorders>
          </w:tcPr>
          <w:p>
            <w:pPr>
              <w:ind w:left="60"/>
              <w:spacing w:after="0" w:line="54" w:lineRule="exact"/>
              <w:rPr>
                <w:sz w:val="20"/>
                <w:szCs w:val="20"/>
                <w:color w:val="auto"/>
              </w:rPr>
            </w:pPr>
            <w:r>
              <w:rPr>
                <w:rFonts w:ascii="Arial" w:cs="Arial" w:eastAsia="Arial" w:hAnsi="Arial"/>
                <w:sz w:val="6"/>
                <w:szCs w:val="6"/>
                <w:b w:val="1"/>
                <w:bCs w:val="1"/>
                <w:color w:val="457157"/>
              </w:rPr>
              <w:t>​</w:t>
            </w:r>
          </w:p>
        </w:tc>
        <w:tc>
          <w:tcPr>
            <w:tcW w:w="1220" w:type="dxa"/>
            <w:vAlign w:val="bottom"/>
            <w:tcBorders>
              <w:bottom w:val="single" w:sz="8" w:color="457157"/>
            </w:tcBorders>
            <w:gridSpan w:val="2"/>
            <w:vMerge w:val="continue"/>
          </w:tcPr>
          <w:p>
            <w:pPr>
              <w:spacing w:after="0"/>
              <w:rPr>
                <w:sz w:val="4"/>
                <w:szCs w:val="4"/>
                <w:color w:val="auto"/>
              </w:rPr>
            </w:pPr>
          </w:p>
        </w:tc>
        <w:tc>
          <w:tcPr>
            <w:tcW w:w="44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680" w:type="dxa"/>
            <w:vAlign w:val="bottom"/>
            <w:tcBorders>
              <w:bottom w:val="single" w:sz="8" w:color="457157"/>
            </w:tcBorders>
            <w:gridSpan w:val="2"/>
            <w:vMerge w:val="continue"/>
          </w:tcPr>
          <w:p>
            <w:pPr>
              <w:spacing w:after="0"/>
              <w:rPr>
                <w:sz w:val="4"/>
                <w:szCs w:val="4"/>
                <w:color w:val="auto"/>
              </w:rPr>
            </w:pPr>
          </w:p>
        </w:tc>
        <w:tc>
          <w:tcPr>
            <w:tcW w:w="118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80" w:type="dxa"/>
            <w:vAlign w:val="bottom"/>
          </w:tcPr>
          <w:p>
            <w:pPr>
              <w:ind w:left="60"/>
              <w:spacing w:after="0" w:line="236" w:lineRule="exact"/>
              <w:rPr>
                <w:sz w:val="20"/>
                <w:szCs w:val="20"/>
                <w:color w:val="auto"/>
              </w:rPr>
            </w:pPr>
            <w:r>
              <w:rPr>
                <w:rFonts w:ascii="Arial" w:cs="Arial" w:eastAsia="Arial" w:hAnsi="Arial"/>
                <w:sz w:val="18"/>
                <w:szCs w:val="18"/>
                <w:b w:val="1"/>
                <w:bCs w:val="1"/>
                <w:color w:val="auto"/>
              </w:rPr>
              <w:t>Mr. Fish</w:t>
            </w:r>
            <w:r>
              <w:rPr>
                <w:rFonts w:ascii="Arial" w:cs="Arial" w:eastAsia="Arial" w:hAnsi="Arial"/>
                <w:sz w:val="23"/>
                <w:szCs w:val="23"/>
                <w:b w:val="1"/>
                <w:bCs w:val="1"/>
                <w:color w:val="auto"/>
                <w:vertAlign w:val="superscript"/>
              </w:rPr>
              <w:t>(2)</w:t>
            </w:r>
          </w:p>
        </w:tc>
        <w:tc>
          <w:tcPr>
            <w:tcW w:w="1040" w:type="dxa"/>
            <w:vAlign w:val="bottom"/>
            <w:vMerge w:val="restart"/>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1200" w:type="dxa"/>
            <w:vAlign w:val="bottom"/>
            <w:gridSpan w:val="2"/>
          </w:tcPr>
          <w:p>
            <w:pPr>
              <w:jc w:val="right"/>
              <w:ind w:right="410"/>
              <w:spacing w:after="0"/>
              <w:rPr>
                <w:sz w:val="20"/>
                <w:szCs w:val="20"/>
                <w:color w:val="auto"/>
              </w:rPr>
            </w:pPr>
            <w:r>
              <w:rPr>
                <w:rFonts w:ascii="Arial" w:cs="Arial" w:eastAsia="Arial" w:hAnsi="Arial"/>
                <w:sz w:val="18"/>
                <w:szCs w:val="18"/>
                <w:color w:val="auto"/>
              </w:rPr>
              <w:t>​158</w:t>
            </w:r>
          </w:p>
        </w:tc>
        <w:tc>
          <w:tcPr>
            <w:tcW w:w="240" w:type="dxa"/>
            <w:vAlign w:val="bottom"/>
            <w:gridSpan w:val="2"/>
            <w:vMerge w:val="restart"/>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2,638,116</w:t>
            </w:r>
          </w:p>
        </w:tc>
        <w:tc>
          <w:tcPr>
            <w:tcW w:w="880" w:type="dxa"/>
            <w:vAlign w:val="bottom"/>
            <w:gridSpan w:val="3"/>
            <w:vMerge w:val="restart"/>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31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0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ind w:left="30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20" w:type="dxa"/>
            <w:vAlign w:val="bottom"/>
          </w:tcPr>
          <w:p>
            <w:pPr>
              <w:jc w:val="right"/>
              <w:ind w:right="66"/>
              <w:spacing w:after="0" w:line="68" w:lineRule="exact"/>
              <w:rPr>
                <w:sz w:val="20"/>
                <w:szCs w:val="20"/>
                <w:color w:val="auto"/>
              </w:rPr>
            </w:pPr>
            <w:r>
              <w:rPr>
                <w:rFonts w:ascii="Arial" w:cs="Arial" w:eastAsia="Arial" w:hAnsi="Arial"/>
                <w:sz w:val="7"/>
                <w:szCs w:val="7"/>
                <w:color w:val="auto"/>
              </w:rPr>
              <w:t>​</w:t>
            </w:r>
          </w:p>
        </w:tc>
        <w:tc>
          <w:tcPr>
            <w:tcW w:w="11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0" w:type="dxa"/>
            <w:vAlign w:val="bottom"/>
            <w:gridSpan w:val="2"/>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31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1040" w:type="dxa"/>
            <w:vAlign w:val="bottom"/>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1200" w:type="dxa"/>
            <w:vAlign w:val="bottom"/>
            <w:gridSpan w:val="2"/>
          </w:tcPr>
          <w:p>
            <w:pPr>
              <w:jc w:val="right"/>
              <w:ind w:right="41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915,228</w:t>
            </w:r>
          </w:p>
        </w:tc>
        <w:tc>
          <w:tcPr>
            <w:tcW w:w="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200" w:type="dxa"/>
            <w:vAlign w:val="bottom"/>
            <w:gridSpan w:val="2"/>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spacing w:after="0"/>
              <w:rPr>
                <w:sz w:val="22"/>
                <w:szCs w:val="22"/>
                <w:color w:val="auto"/>
              </w:rPr>
            </w:pPr>
          </w:p>
        </w:tc>
        <w:tc>
          <w:tcPr>
            <w:tcW w:w="31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1040" w:type="dxa"/>
            <w:vAlign w:val="bottom"/>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1200" w:type="dxa"/>
            <w:vAlign w:val="bottom"/>
            <w:gridSpan w:val="2"/>
          </w:tcPr>
          <w:p>
            <w:pPr>
              <w:jc w:val="right"/>
              <w:ind w:right="41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110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1,028,241</w:t>
            </w:r>
          </w:p>
        </w:tc>
        <w:tc>
          <w:tcPr>
            <w:tcW w:w="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31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1040" w:type="dxa"/>
            <w:vAlign w:val="bottom"/>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44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686,538</w:t>
            </w:r>
          </w:p>
        </w:tc>
        <w:tc>
          <w:tcPr>
            <w:tcW w:w="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40" w:type="dxa"/>
            <w:vAlign w:val="bottom"/>
            <w:gridSpan w:val="2"/>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spacing w:after="0"/>
              <w:rPr>
                <w:sz w:val="22"/>
                <w:szCs w:val="22"/>
                <w:color w:val="auto"/>
              </w:rPr>
            </w:pPr>
          </w:p>
        </w:tc>
        <w:tc>
          <w:tcPr>
            <w:tcW w:w="31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1040" w:type="dxa"/>
            <w:vAlign w:val="bottom"/>
          </w:tcPr>
          <w:p>
            <w:pPr>
              <w:ind w:left="9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2"/>
                <w:szCs w:val="22"/>
                <w:color w:val="auto"/>
              </w:rPr>
            </w:pPr>
          </w:p>
        </w:tc>
        <w:tc>
          <w:tcPr>
            <w:tcW w:w="44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spacing w:after="0"/>
              <w:rPr>
                <w:sz w:val="20"/>
                <w:szCs w:val="20"/>
                <w:color w:val="auto"/>
              </w:rPr>
            </w:pPr>
            <w:r>
              <w:rPr>
                <w:rFonts w:ascii="Arial" w:cs="Arial" w:eastAsia="Arial" w:hAnsi="Arial"/>
                <w:sz w:val="18"/>
                <w:szCs w:val="18"/>
                <w:color w:val="auto"/>
              </w:rPr>
              <w:t>​ ​ ​</w:t>
            </w:r>
          </w:p>
        </w:tc>
        <w:tc>
          <w:tcPr>
            <w:tcW w:w="52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717,576</w:t>
            </w:r>
          </w:p>
        </w:tc>
        <w:tc>
          <w:tcPr>
            <w:tcW w:w="8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1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-934085</wp:posOffset>
            </wp:positionV>
            <wp:extent cx="4843145"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43145" cy="2057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29" w:lineRule="exact"/>
        <w:rPr>
          <w:sz w:val="20"/>
          <w:szCs w:val="20"/>
          <w:color w:val="auto"/>
        </w:rPr>
      </w:pPr>
    </w:p>
    <w:p>
      <w:pPr>
        <w:jc w:val="both"/>
        <w:ind w:left="1900" w:right="60" w:hanging="364"/>
        <w:spacing w:after="0" w:line="262" w:lineRule="auto"/>
        <w:tabs>
          <w:tab w:leader="none" w:pos="1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Calculations of annual cash incentive payouts, as a percentage of base salary, were made using the named executive’s actual base salary received in 2023. Such amounts are lower than if calculated using the 2023 base salaries in the table above due to the timing of when base salary increases take effect.</w:t>
      </w:r>
    </w:p>
    <w:p>
      <w:pPr>
        <w:spacing w:after="0" w:line="68" w:lineRule="exact"/>
        <w:rPr>
          <w:rFonts w:ascii="Arial" w:cs="Arial" w:eastAsia="Arial" w:hAnsi="Arial"/>
          <w:sz w:val="18"/>
          <w:szCs w:val="18"/>
          <w:color w:val="auto"/>
        </w:rPr>
      </w:pPr>
    </w:p>
    <w:p>
      <w:pPr>
        <w:ind w:left="1900" w:right="60" w:hanging="364"/>
        <w:spacing w:after="0" w:line="287" w:lineRule="auto"/>
        <w:tabs>
          <w:tab w:leader="none" w:pos="1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March 2023, the target percentage of base salary for Mr. Fish was increased from 150% to 160%, yielding a 158% target percentage of base salary for the full year of 2023.</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15"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2023 annual long-term incentive award, the MD&amp;C Committee decided to grant both PSUs comprising 80% of each named executive’s award and stock options comprising 20% of each named executive’s award, consistent with prior years. Half of each named executives’ PSUs granted in 2023 are Cash Flow PSUs and the remaining half are TSR PSUs. Meanwhile, stock options encourage focus on increasing the market value of our stock. Before determining the actual number of PSUs and stock options that were granted to each of the named executives in 2023,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200" w:lineRule="exact"/>
        <w:rPr>
          <w:sz w:val="20"/>
          <w:szCs w:val="20"/>
          <w:color w:val="auto"/>
        </w:rPr>
      </w:pPr>
    </w:p>
    <w:p>
      <w:pPr>
        <w:spacing w:after="0" w:line="32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00" w:type="dxa"/>
            <w:vAlign w:val="bottom"/>
          </w:tcPr>
          <w:p>
            <w:pPr>
              <w:jc w:val="right"/>
              <w:ind w:right="45"/>
              <w:spacing w:after="0"/>
              <w:rPr>
                <w:sz w:val="20"/>
                <w:szCs w:val="20"/>
                <w:color w:val="auto"/>
              </w:rPr>
            </w:pPr>
            <w:r>
              <w:rPr>
                <w:rFonts w:ascii="Arial" w:cs="Arial" w:eastAsia="Arial" w:hAnsi="Arial"/>
                <w:sz w:val="14"/>
                <w:szCs w:val="14"/>
                <w:b w:val="1"/>
                <w:bCs w:val="1"/>
                <w:color w:val="457157"/>
              </w:rPr>
              <w:t>Dollar Values of 2023</w:t>
            </w: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300" w:type="dxa"/>
            <w:vAlign w:val="bottom"/>
          </w:tcPr>
          <w:p>
            <w:pPr>
              <w:jc w:val="right"/>
              <w:ind w:right="45"/>
              <w:spacing w:after="0" w:line="139" w:lineRule="exact"/>
              <w:rPr>
                <w:sz w:val="20"/>
                <w:szCs w:val="20"/>
                <w:color w:val="auto"/>
              </w:rPr>
            </w:pPr>
            <w:r>
              <w:rPr>
                <w:rFonts w:ascii="Arial" w:cs="Arial" w:eastAsia="Arial" w:hAnsi="Arial"/>
                <w:sz w:val="14"/>
                <w:szCs w:val="14"/>
                <w:b w:val="1"/>
                <w:bCs w:val="1"/>
                <w:color w:val="457157"/>
              </w:rPr>
              <w:t>Long-Term Equity Incentives</w:t>
            </w:r>
          </w:p>
        </w:tc>
        <w:tc>
          <w:tcPr>
            <w:tcW w:w="0" w:type="dxa"/>
            <w:vAlign w:val="bottom"/>
          </w:tcPr>
          <w:p>
            <w:pPr>
              <w:spacing w:after="0"/>
              <w:rPr>
                <w:sz w:val="1"/>
                <w:szCs w:val="1"/>
                <w:color w:val="auto"/>
              </w:rPr>
            </w:pPr>
          </w:p>
        </w:tc>
      </w:tr>
      <w:tr>
        <w:trPr>
          <w:trHeight w:val="144"/>
        </w:trPr>
        <w:tc>
          <w:tcPr>
            <w:tcW w:w="35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1820" w:type="dxa"/>
            <w:vAlign w:val="bottom"/>
          </w:tcPr>
          <w:p>
            <w:pPr>
              <w:spacing w:after="0"/>
              <w:rPr>
                <w:sz w:val="12"/>
                <w:szCs w:val="12"/>
                <w:color w:val="auto"/>
              </w:rPr>
            </w:pPr>
          </w:p>
        </w:tc>
        <w:tc>
          <w:tcPr>
            <w:tcW w:w="2300" w:type="dxa"/>
            <w:vAlign w:val="bottom"/>
          </w:tcPr>
          <w:p>
            <w:pPr>
              <w:jc w:val="right"/>
              <w:ind w:right="45"/>
              <w:spacing w:after="0" w:line="145" w:lineRule="exact"/>
              <w:rPr>
                <w:sz w:val="20"/>
                <w:szCs w:val="20"/>
                <w:color w:val="auto"/>
              </w:rPr>
            </w:pPr>
            <w:r>
              <w:rPr>
                <w:rFonts w:ascii="Arial" w:cs="Arial" w:eastAsia="Arial" w:hAnsi="Arial"/>
                <w:sz w:val="14"/>
                <w:szCs w:val="14"/>
                <w:b w:val="1"/>
                <w:bCs w:val="1"/>
                <w:color w:val="457157"/>
              </w:rPr>
              <w:t>Set by the Committee</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457157"/>
            </w:tcBorders>
            <w:vMerge w:val="continue"/>
          </w:tcPr>
          <w:p>
            <w:pPr>
              <w:spacing w:after="0"/>
              <w:rPr>
                <w:sz w:val="18"/>
                <w:szCs w:val="18"/>
                <w:color w:val="auto"/>
              </w:rPr>
            </w:pP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4"/>
                <w:szCs w:val="14"/>
                <w:b w:val="1"/>
                <w:bCs w:val="1"/>
                <w:color w:val="457157"/>
              </w:rPr>
              <w:t>​ ​</w:t>
            </w:r>
          </w:p>
        </w:tc>
        <w:tc>
          <w:tcPr>
            <w:tcW w:w="2300" w:type="dxa"/>
            <w:vAlign w:val="bottom"/>
            <w:tcBorders>
              <w:bottom w:val="single" w:sz="8" w:color="457157"/>
            </w:tcBorders>
          </w:tcPr>
          <w:p>
            <w:pPr>
              <w:ind w:left="1460"/>
              <w:spacing w:after="0" w:line="216" w:lineRule="exact"/>
              <w:rPr>
                <w:sz w:val="20"/>
                <w:szCs w:val="20"/>
                <w:color w:val="auto"/>
              </w:rPr>
            </w:pPr>
            <w:r>
              <w:rPr>
                <w:rFonts w:ascii="Arial" w:cs="Arial" w:eastAsia="Arial" w:hAnsi="Arial"/>
                <w:sz w:val="13"/>
                <w:szCs w:val="13"/>
                <w:b w:val="1"/>
                <w:bCs w:val="1"/>
                <w:color w:val="457157"/>
              </w:rPr>
              <w:t>(at Target)</w:t>
            </w:r>
            <w:r>
              <w:rPr>
                <w:rFonts w:ascii="Arial" w:cs="Arial" w:eastAsia="Arial" w:hAnsi="Arial"/>
                <w:sz w:val="25"/>
                <w:szCs w:val="25"/>
                <w:b w:val="1"/>
                <w:bCs w:val="1"/>
                <w:color w:val="457157"/>
                <w:vertAlign w:val="subscript"/>
              </w:rPr>
              <w:t>​</w:t>
            </w:r>
          </w:p>
        </w:tc>
        <w:tc>
          <w:tcPr>
            <w:tcW w:w="0" w:type="dxa"/>
            <w:vAlign w:val="bottom"/>
          </w:tcPr>
          <w:p>
            <w:pPr>
              <w:spacing w:after="0"/>
              <w:rPr>
                <w:sz w:val="1"/>
                <w:szCs w:val="1"/>
                <w:color w:val="auto"/>
              </w:rPr>
            </w:pPr>
          </w:p>
        </w:tc>
      </w:tr>
      <w:tr>
        <w:trPr>
          <w:trHeight w:val="263"/>
        </w:trPr>
        <w:tc>
          <w:tcPr>
            <w:tcW w:w="3520" w:type="dxa"/>
            <w:vAlign w:val="bottom"/>
            <w:tcBorders>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64" w:lineRule="exact"/>
              <w:rPr>
                <w:sz w:val="20"/>
                <w:szCs w:val="20"/>
                <w:color w:val="auto"/>
              </w:rPr>
            </w:pPr>
            <w:r>
              <w:rPr>
                <w:rFonts w:ascii="Arial" w:cs="Arial" w:eastAsia="Arial" w:hAnsi="Arial"/>
                <w:sz w:val="16"/>
                <w:szCs w:val="16"/>
                <w:color w:val="auto"/>
              </w:rPr>
              <w:t>$9,750,000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Rankin</w:t>
            </w: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tcPr>
          <w:p>
            <w:pPr>
              <w:ind w:left="1260"/>
              <w:spacing w:after="0" w:line="250" w:lineRule="exact"/>
              <w:rPr>
                <w:sz w:val="20"/>
                <w:szCs w:val="20"/>
                <w:color w:val="auto"/>
              </w:rPr>
            </w:pPr>
            <w:r>
              <w:rPr>
                <w:rFonts w:ascii="Arial" w:cs="Arial" w:eastAsia="Arial" w:hAnsi="Arial"/>
                <w:sz w:val="15"/>
                <w:szCs w:val="15"/>
                <w:color w:val="auto"/>
              </w:rPr>
              <w:t>$2,300,000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shd w:val="clear" w:color="auto" w:fill="CCEEFF"/>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Morris</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50" w:lineRule="exact"/>
              <w:rPr>
                <w:sz w:val="20"/>
                <w:szCs w:val="20"/>
                <w:color w:val="auto"/>
              </w:rPr>
            </w:pPr>
            <w:r>
              <w:rPr>
                <w:rFonts w:ascii="Arial" w:cs="Arial" w:eastAsia="Arial" w:hAnsi="Arial"/>
                <w:sz w:val="15"/>
                <w:szCs w:val="15"/>
                <w:color w:val="auto"/>
              </w:rPr>
              <w:t>$2,700,000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Carrasco</w:t>
            </w: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tcPr>
          <w:p>
            <w:pPr>
              <w:ind w:left="1260"/>
              <w:spacing w:after="0" w:line="250" w:lineRule="exact"/>
              <w:rPr>
                <w:sz w:val="20"/>
                <w:szCs w:val="20"/>
                <w:color w:val="auto"/>
              </w:rPr>
            </w:pPr>
            <w:r>
              <w:rPr>
                <w:rFonts w:ascii="Arial" w:cs="Arial" w:eastAsia="Arial" w:hAnsi="Arial"/>
                <w:sz w:val="15"/>
                <w:szCs w:val="15"/>
                <w:color w:val="auto"/>
              </w:rPr>
              <w:t>$2,000,000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shd w:val="clear" w:color="auto" w:fill="CCEEFF"/>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Hemmer</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50" w:lineRule="exact"/>
              <w:rPr>
                <w:sz w:val="20"/>
                <w:szCs w:val="20"/>
                <w:color w:val="auto"/>
              </w:rPr>
            </w:pPr>
            <w:r>
              <w:rPr>
                <w:rFonts w:ascii="Arial" w:cs="Arial" w:eastAsia="Arial" w:hAnsi="Arial"/>
                <w:sz w:val="15"/>
                <w:szCs w:val="15"/>
                <w:color w:val="auto"/>
              </w:rPr>
              <w:t>$1,800,000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Overview of Performance Share Units.</w:t>
      </w:r>
    </w:p>
    <w:p>
      <w:pPr>
        <w:spacing w:after="0" w:line="117" w:lineRule="exact"/>
        <w:rPr>
          <w:sz w:val="20"/>
          <w:szCs w:val="20"/>
          <w:color w:val="auto"/>
        </w:rPr>
      </w:pPr>
    </w:p>
    <w:p>
      <w:pPr>
        <w:jc w:val="both"/>
        <w:ind w:left="1360" w:right="60" w:hanging="184"/>
        <w:spacing w:after="0" w:line="267" w:lineRule="auto"/>
        <w:tabs>
          <w:tab w:leader="none" w:pos="1360" w:val="left"/>
        </w:tabs>
        <w:numPr>
          <w:ilvl w:val="0"/>
          <w:numId w:val="32"/>
        </w:numPr>
        <w:rPr>
          <w:rFonts w:ascii="Arial" w:cs="Arial" w:eastAsia="Arial" w:hAnsi="Arial"/>
          <w:sz w:val="18"/>
          <w:szCs w:val="18"/>
          <w:color w:val="457157"/>
        </w:rPr>
      </w:pPr>
      <w:r>
        <w:rPr>
          <w:rFonts w:ascii="Arial" w:cs="Arial" w:eastAsia="Arial" w:hAnsi="Arial"/>
          <w:sz w:val="18"/>
          <w:szCs w:val="18"/>
          <w:i w:val="1"/>
          <w:iCs w:val="1"/>
          <w:color w:val="auto"/>
        </w:rPr>
        <w:t>Named executives were granted new PSUs with a three-year performance period ending December 31, 2025. Half of each named executive’s PSUs granted in 2023 are Cash Flow PSUs and the remaining half are TSR PSUs.</w:t>
      </w:r>
    </w:p>
    <w:p>
      <w:pPr>
        <w:spacing w:after="0" w:line="65" w:lineRule="exact"/>
        <w:rPr>
          <w:rFonts w:ascii="Arial" w:cs="Arial" w:eastAsia="Arial" w:hAnsi="Arial"/>
          <w:sz w:val="18"/>
          <w:szCs w:val="18"/>
          <w:color w:val="457157"/>
        </w:rPr>
      </w:pPr>
    </w:p>
    <w:p>
      <w:pPr>
        <w:jc w:val="both"/>
        <w:ind w:left="1360" w:right="60" w:hanging="184"/>
        <w:spacing w:after="0" w:line="267" w:lineRule="auto"/>
        <w:tabs>
          <w:tab w:leader="none" w:pos="1360" w:val="left"/>
        </w:tabs>
        <w:numPr>
          <w:ilvl w:val="0"/>
          <w:numId w:val="32"/>
        </w:numPr>
        <w:rPr>
          <w:rFonts w:ascii="Arial" w:cs="Arial" w:eastAsia="Arial" w:hAnsi="Arial"/>
          <w:sz w:val="18"/>
          <w:szCs w:val="18"/>
          <w:color w:val="457157"/>
        </w:rPr>
      </w:pPr>
      <w:r>
        <w:rPr>
          <w:rFonts w:ascii="Arial" w:cs="Arial" w:eastAsia="Arial" w:hAnsi="Arial"/>
          <w:sz w:val="18"/>
          <w:szCs w:val="18"/>
          <w:i w:val="1"/>
          <w:iCs w:val="1"/>
          <w:color w:val="auto"/>
        </w:rPr>
        <w:t>Named executives received a payout of 200% of the PSUs granted in 2021 with a three-year performance period ended December 31, 2023. The Company exceeded the maximum level of performance for the Cash Flow PSUs and the TSR PSUs.</w:t>
      </w:r>
    </w:p>
    <w:p>
      <w:pPr>
        <w:spacing w:after="0" w:line="6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PSUs Granted in 2023.</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are granted to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to align 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w:t>
      </w:r>
    </w:p>
    <w:p>
      <w:pPr>
        <w:spacing w:after="0" w:line="25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number of shares ranging from 0% to 200% of the initial number of PSUs granted, depending on the Company’s three-year performance against pre-established targets.</w:t>
      </w:r>
    </w:p>
    <w:p>
      <w:pPr>
        <w:spacing w:after="0" w:line="45"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The MD&amp;C Committee determined the number of PSUs that were granted to each of the named executives in 2023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2023 are shown in the table below.</w:t>
      </w:r>
    </w:p>
    <w:p>
      <w:pPr>
        <w:spacing w:after="0" w:line="308" w:lineRule="exact"/>
        <w:rPr>
          <w:sz w:val="20"/>
          <w:szCs w:val="20"/>
          <w:color w:val="auto"/>
        </w:rPr>
      </w:pPr>
    </w:p>
    <w:tbl>
      <w:tblPr>
        <w:tblLayout w:type="fixed"/>
        <w:tblInd w:w="1520" w:type="dxa"/>
        <w:tblCellMar>
          <w:top w:w="0" w:type="dxa"/>
          <w:left w:w="0" w:type="dxa"/>
          <w:bottom w:w="0" w:type="dxa"/>
          <w:right w:w="0" w:type="dxa"/>
        </w:tblCellMar>
      </w:tblPr>
      <w:tr>
        <w:trPr>
          <w:trHeight w:val="168"/>
        </w:trPr>
        <w:tc>
          <w:tcPr>
            <w:tcW w:w="43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340" w:type="dxa"/>
            <w:vAlign w:val="bottom"/>
            <w:gridSpan w:val="2"/>
          </w:tcPr>
          <w:p>
            <w:pPr>
              <w:jc w:val="center"/>
              <w:ind w:left="2403"/>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198"/>
        </w:trPr>
        <w:tc>
          <w:tcPr>
            <w:tcW w:w="4320" w:type="dxa"/>
            <w:vAlign w:val="bottom"/>
            <w:tcBorders>
              <w:bottom w:val="single" w:sz="8" w:color="457157"/>
            </w:tcBorders>
            <w:vMerge w:val="continue"/>
          </w:tcPr>
          <w:p>
            <w:pPr>
              <w:spacing w:after="0"/>
              <w:rPr>
                <w:sz w:val="17"/>
                <w:szCs w:val="17"/>
                <w:color w:val="auto"/>
              </w:rPr>
            </w:pPr>
          </w:p>
        </w:tc>
        <w:tc>
          <w:tcPr>
            <w:tcW w:w="3320" w:type="dxa"/>
            <w:vAlign w:val="bottom"/>
            <w:tcBorders>
              <w:bottom w:val="single" w:sz="8" w:color="457157"/>
            </w:tcBorders>
          </w:tcPr>
          <w:p>
            <w:pPr>
              <w:ind w:left="240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of PSUs</w:t>
            </w:r>
            <w:r>
              <w:rPr>
                <w:rFonts w:ascii="Arial" w:cs="Arial" w:eastAsia="Arial" w:hAnsi="Arial"/>
                <w:sz w:val="22"/>
                <w:szCs w:val="22"/>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51,316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12,106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14,210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10,526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3340" w:type="dxa"/>
            <w:vAlign w:val="bottom"/>
            <w:gridSpan w:val="2"/>
          </w:tcPr>
          <w:p>
            <w:pPr>
              <w:jc w:val="center"/>
              <w:ind w:left="2383"/>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9,474</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12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Half of each named executive’s PSUs included in the table above are Cash Flow PSUs; the cash flow generation performance measure requires focus on capital discipline and strengthens alignment with stockholders’ free cash flow expectations. For purposes of these PSUs, we define cash flow as net cash provided by operating activities, less capital expenditures, with the following adjustments:</w:t>
      </w:r>
    </w:p>
    <w:p>
      <w:pPr>
        <w:spacing w:after="0" w:line="2" w:lineRule="exact"/>
        <w:rPr>
          <w:sz w:val="20"/>
          <w:szCs w:val="20"/>
          <w:color w:val="auto"/>
        </w:rPr>
      </w:pPr>
    </w:p>
    <w:p>
      <w:pPr>
        <w:jc w:val="both"/>
        <w:ind w:left="820" w:right="60" w:hanging="4"/>
        <w:spacing w:after="0" w:line="253" w:lineRule="auto"/>
        <w:tabs>
          <w:tab w:leader="none" w:pos="11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and (d) cash proceeds from divestitures of any other businesses and assets are included (the “Cash Flow PSU Definition”). The table below shows the required achievement of the cash flow generation performance measure and the corresponding potential payouts under our Cash Flow PSUs granted in 2023.</w:t>
      </w:r>
    </w:p>
    <w:p>
      <w:pPr>
        <w:spacing w:after="0" w:line="327"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060" w:type="dxa"/>
            <w:vAlign w:val="bottom"/>
          </w:tcPr>
          <w:p>
            <w:pPr>
              <w:jc w:val="right"/>
              <w:ind w:right="1913"/>
              <w:spacing w:after="0"/>
              <w:rPr>
                <w:sz w:val="20"/>
                <w:szCs w:val="20"/>
                <w:color w:val="auto"/>
              </w:rPr>
            </w:pPr>
            <w:r>
              <w:rPr>
                <w:rFonts w:ascii="Arial" w:cs="Arial" w:eastAsia="Arial" w:hAnsi="Arial"/>
                <w:sz w:val="14"/>
                <w:szCs w:val="14"/>
                <w:b w:val="1"/>
                <w:bCs w:val="1"/>
                <w:color w:val="457157"/>
              </w:rPr>
              <w:t>​​</w:t>
            </w:r>
          </w:p>
        </w:tc>
        <w:tc>
          <w:tcPr>
            <w:tcW w:w="1200" w:type="dxa"/>
            <w:vAlign w:val="bottom"/>
          </w:tcPr>
          <w:p>
            <w:pPr>
              <w:ind w:left="1060"/>
              <w:spacing w:after="0"/>
              <w:rPr>
                <w:sz w:val="20"/>
                <w:szCs w:val="20"/>
                <w:color w:val="auto"/>
              </w:rPr>
            </w:pPr>
            <w:r>
              <w:rPr>
                <w:rFonts w:ascii="Arial" w:cs="Arial" w:eastAsia="Arial" w:hAnsi="Arial"/>
                <w:sz w:val="14"/>
                <w:szCs w:val="14"/>
                <w:b w:val="1"/>
                <w:bCs w:val="1"/>
                <w:color w:val="457157"/>
              </w:rPr>
              <w:t>​ ​</w:t>
            </w:r>
          </w:p>
        </w:tc>
        <w:tc>
          <w:tcPr>
            <w:tcW w:w="60" w:type="dxa"/>
            <w:vAlign w:val="bottom"/>
            <w:tcBorders>
              <w:bottom w:val="single" w:sz="8" w:color="457157"/>
            </w:tcBorders>
          </w:tcPr>
          <w:p>
            <w:pPr>
              <w:spacing w:after="0"/>
              <w:rPr>
                <w:sz w:val="18"/>
                <w:szCs w:val="18"/>
                <w:color w:val="auto"/>
              </w:rPr>
            </w:pPr>
          </w:p>
        </w:tc>
        <w:tc>
          <w:tcPr>
            <w:tcW w:w="1300" w:type="dxa"/>
            <w:vAlign w:val="bottom"/>
            <w:tcBorders>
              <w:bottom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Threshold</w:t>
            </w:r>
          </w:p>
        </w:tc>
        <w:tc>
          <w:tcPr>
            <w:tcW w:w="280" w:type="dxa"/>
            <w:vAlign w:val="bottom"/>
            <w:tcBorders>
              <w:bottom w:val="single" w:sz="8" w:color="457157"/>
            </w:tcBorders>
          </w:tcPr>
          <w:p>
            <w:pPr>
              <w:spacing w:after="0"/>
              <w:rPr>
                <w:sz w:val="18"/>
                <w:szCs w:val="18"/>
                <w:color w:val="auto"/>
              </w:rPr>
            </w:pPr>
          </w:p>
        </w:tc>
        <w:tc>
          <w:tcPr>
            <w:tcW w:w="180" w:type="dxa"/>
            <w:vAlign w:val="bottom"/>
            <w:tcBorders>
              <w:bottom w:val="single" w:sz="8" w:color="457157"/>
            </w:tcBorders>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4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040" w:type="dxa"/>
            <w:vAlign w:val="bottom"/>
            <w:tcBorders>
              <w:bottom w:val="single" w:sz="8" w:color="457157"/>
            </w:tcBorders>
            <w:gridSpan w:val="2"/>
          </w:tcPr>
          <w:p>
            <w:pPr>
              <w:ind w:left="540"/>
              <w:spacing w:after="0"/>
              <w:rPr>
                <w:sz w:val="20"/>
                <w:szCs w:val="20"/>
                <w:color w:val="auto"/>
              </w:rPr>
            </w:pPr>
            <w:r>
              <w:rPr>
                <w:rFonts w:ascii="Arial" w:cs="Arial" w:eastAsia="Arial" w:hAnsi="Arial"/>
                <w:sz w:val="14"/>
                <w:szCs w:val="14"/>
                <w:b w:val="1"/>
                <w:bCs w:val="1"/>
                <w:color w:val="457157"/>
              </w:rPr>
              <w:t>Target</w:t>
            </w:r>
          </w:p>
        </w:tc>
        <w:tc>
          <w:tcPr>
            <w:tcW w:w="160" w:type="dxa"/>
            <w:vAlign w:val="bottom"/>
            <w:tcBorders>
              <w:bottom w:val="single" w:sz="8" w:color="457157"/>
            </w:tcBorders>
          </w:tcPr>
          <w:p>
            <w:pPr>
              <w:spacing w:after="0"/>
              <w:rPr>
                <w:sz w:val="18"/>
                <w:szCs w:val="18"/>
                <w:color w:val="auto"/>
              </w:rPr>
            </w:pPr>
          </w:p>
        </w:tc>
        <w:tc>
          <w:tcPr>
            <w:tcW w:w="48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1240" w:type="dxa"/>
            <w:vAlign w:val="bottom"/>
            <w:tcBorders>
              <w:bottom w:val="single" w:sz="8" w:color="457157"/>
            </w:tcBorders>
            <w:gridSpan w:val="2"/>
          </w:tcPr>
          <w:p>
            <w:pPr>
              <w:ind w:left="520"/>
              <w:spacing w:after="0"/>
              <w:rPr>
                <w:sz w:val="20"/>
                <w:szCs w:val="20"/>
                <w:color w:val="auto"/>
              </w:rPr>
            </w:pPr>
            <w:r>
              <w:rPr>
                <w:rFonts w:ascii="Arial" w:cs="Arial" w:eastAsia="Arial" w:hAnsi="Arial"/>
                <w:sz w:val="14"/>
                <w:szCs w:val="14"/>
                <w:b w:val="1"/>
                <w:bCs w:val="1"/>
                <w:color w:val="457157"/>
              </w:rPr>
              <w:t>Maximum</w:t>
            </w:r>
          </w:p>
        </w:tc>
        <w:tc>
          <w:tcPr>
            <w:tcW w:w="540" w:type="dxa"/>
            <w:vAlign w:val="bottom"/>
            <w:tcBorders>
              <w:bottom w:val="single" w:sz="8" w:color="457157"/>
            </w:tcBorders>
          </w:tcPr>
          <w:p>
            <w:pPr>
              <w:spacing w:after="0"/>
              <w:rPr>
                <w:sz w:val="18"/>
                <w:szCs w:val="18"/>
                <w:color w:val="auto"/>
              </w:rPr>
            </w:pPr>
          </w:p>
        </w:tc>
        <w:tc>
          <w:tcPr>
            <w:tcW w:w="40" w:type="dxa"/>
            <w:vAlign w:val="bottom"/>
          </w:tcPr>
          <w:p>
            <w:pPr>
              <w:jc w:val="right"/>
              <w:ind w:right="15"/>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236"/>
        </w:trPr>
        <w:tc>
          <w:tcPr>
            <w:tcW w:w="2060" w:type="dxa"/>
            <w:vAlign w:val="bottom"/>
          </w:tcPr>
          <w:p>
            <w:pPr>
              <w:jc w:val="right"/>
              <w:ind w:right="1913"/>
              <w:spacing w:after="0"/>
              <w:rPr>
                <w:sz w:val="20"/>
                <w:szCs w:val="20"/>
                <w:color w:val="auto"/>
              </w:rPr>
            </w:pPr>
            <w:r>
              <w:rPr>
                <w:rFonts w:ascii="Arial" w:cs="Arial" w:eastAsia="Arial" w:hAnsi="Arial"/>
                <w:sz w:val="14"/>
                <w:szCs w:val="14"/>
                <w:b w:val="1"/>
                <w:bCs w:val="1"/>
                <w:color w:val="457157"/>
              </w:rPr>
              <w:t>​</w:t>
            </w:r>
          </w:p>
        </w:tc>
        <w:tc>
          <w:tcPr>
            <w:tcW w:w="1260" w:type="dxa"/>
            <w:vAlign w:val="bottom"/>
            <w:gridSpan w:val="2"/>
          </w:tcPr>
          <w:p>
            <w:pPr>
              <w:ind w:left="1100"/>
              <w:spacing w:after="0"/>
              <w:rPr>
                <w:sz w:val="20"/>
                <w:szCs w:val="20"/>
                <w:color w:val="auto"/>
              </w:rPr>
            </w:pPr>
            <w:r>
              <w:rPr>
                <w:rFonts w:ascii="Arial" w:cs="Arial" w:eastAsia="Arial" w:hAnsi="Arial"/>
                <w:sz w:val="14"/>
                <w:szCs w:val="14"/>
                <w:b w:val="1"/>
                <w:bCs w:val="1"/>
                <w:color w:val="457157"/>
              </w:rPr>
              <w:t>​ ​</w:t>
            </w:r>
          </w:p>
        </w:tc>
        <w:tc>
          <w:tcPr>
            <w:tcW w:w="1020" w:type="dxa"/>
            <w:vAlign w:val="bottom"/>
          </w:tcPr>
          <w:p>
            <w:pPr>
              <w:ind w:left="60"/>
              <w:spacing w:after="0"/>
              <w:rPr>
                <w:sz w:val="20"/>
                <w:szCs w:val="20"/>
                <w:color w:val="auto"/>
              </w:rPr>
            </w:pPr>
            <w:r>
              <w:rPr>
                <w:rFonts w:ascii="Arial" w:cs="Arial" w:eastAsia="Arial" w:hAnsi="Arial"/>
                <w:sz w:val="14"/>
                <w:szCs w:val="14"/>
                <w:b w:val="1"/>
                <w:bCs w:val="1"/>
                <w:color w:val="457157"/>
              </w:rPr>
              <w:t>Performance</w:t>
            </w:r>
          </w:p>
        </w:tc>
        <w:tc>
          <w:tcPr>
            <w:tcW w:w="980" w:type="dxa"/>
            <w:vAlign w:val="bottom"/>
            <w:gridSpan w:val="5"/>
          </w:tcPr>
          <w:p>
            <w:pPr>
              <w:ind w:left="12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457157"/>
              </w:rPr>
              <w:t>Performance</w:t>
            </w:r>
          </w:p>
        </w:tc>
        <w:tc>
          <w:tcPr>
            <w:tcW w:w="80" w:type="dxa"/>
            <w:vAlign w:val="bottom"/>
          </w:tcPr>
          <w:p>
            <w:pPr>
              <w:spacing w:after="0"/>
              <w:rPr>
                <w:sz w:val="20"/>
                <w:szCs w:val="20"/>
                <w:color w:val="auto"/>
              </w:rPr>
            </w:pPr>
          </w:p>
        </w:tc>
        <w:tc>
          <w:tcPr>
            <w:tcW w:w="640" w:type="dxa"/>
            <w:vAlign w:val="bottom"/>
            <w:gridSpan w:val="2"/>
          </w:tcPr>
          <w:p>
            <w:pPr>
              <w:ind w:left="2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Payout</w:t>
            </w:r>
          </w:p>
        </w:tc>
        <w:tc>
          <w:tcPr>
            <w:tcW w:w="20" w:type="dxa"/>
            <w:vAlign w:val="bottom"/>
          </w:tcPr>
          <w:p>
            <w:pPr>
              <w:spacing w:after="0"/>
              <w:rPr>
                <w:sz w:val="20"/>
                <w:szCs w:val="20"/>
                <w:color w:val="auto"/>
              </w:rPr>
            </w:pPr>
          </w:p>
        </w:tc>
        <w:tc>
          <w:tcPr>
            <w:tcW w:w="1180" w:type="dxa"/>
            <w:vAlign w:val="bottom"/>
            <w:gridSpan w:val="2"/>
          </w:tcPr>
          <w:p>
            <w:pPr>
              <w:ind w:left="10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Performance</w:t>
            </w:r>
          </w:p>
        </w:tc>
        <w:tc>
          <w:tcPr>
            <w:tcW w:w="820" w:type="dxa"/>
            <w:vAlign w:val="bottom"/>
            <w:gridSpan w:val="3"/>
          </w:tcPr>
          <w:p>
            <w:pPr>
              <w:jc w:val="right"/>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196"/>
        </w:trPr>
        <w:tc>
          <w:tcPr>
            <w:tcW w:w="2060" w:type="dxa"/>
            <w:vAlign w:val="bottom"/>
            <w:tcBorders>
              <w:top w:val="single" w:sz="8" w:color="457157"/>
            </w:tcBorders>
          </w:tcPr>
          <w:p>
            <w:pPr>
              <w:jc w:val="right"/>
              <w:ind w:right="993"/>
              <w:spacing w:after="0" w:line="196" w:lineRule="exact"/>
              <w:rPr>
                <w:sz w:val="20"/>
                <w:szCs w:val="20"/>
                <w:color w:val="auto"/>
              </w:rPr>
            </w:pPr>
            <w:r>
              <w:rPr>
                <w:rFonts w:ascii="Arial" w:cs="Arial" w:eastAsia="Arial" w:hAnsi="Arial"/>
                <w:sz w:val="18"/>
                <w:szCs w:val="18"/>
                <w:b w:val="1"/>
                <w:bCs w:val="1"/>
                <w:color w:val="auto"/>
              </w:rPr>
              <w:t>Cash Flow</w:t>
            </w:r>
          </w:p>
        </w:tc>
        <w:tc>
          <w:tcPr>
            <w:tcW w:w="1260" w:type="dxa"/>
            <w:vAlign w:val="bottom"/>
            <w:tcBorders>
              <w:top w:val="single" w:sz="8" w:color="457157"/>
            </w:tcBorders>
            <w:gridSpan w:val="2"/>
            <w:vMerge w:val="restart"/>
          </w:tcPr>
          <w:p>
            <w:pPr>
              <w:ind w:left="1060"/>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$6.60 billion</w:t>
            </w:r>
          </w:p>
        </w:tc>
        <w:tc>
          <w:tcPr>
            <w:tcW w:w="28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 ​</w:t>
            </w:r>
          </w:p>
        </w:tc>
        <w:tc>
          <w:tcPr>
            <w:tcW w:w="700" w:type="dxa"/>
            <w:vAlign w:val="bottom"/>
            <w:tcBorders>
              <w:top w:val="single" w:sz="8" w:color="457157"/>
            </w:tcBorders>
            <w:gridSpan w:val="4"/>
          </w:tcPr>
          <w:p>
            <w:pPr>
              <w:ind w:left="80"/>
              <w:spacing w:after="0" w:line="196" w:lineRule="exact"/>
              <w:rPr>
                <w:sz w:val="20"/>
                <w:szCs w:val="20"/>
                <w:color w:val="auto"/>
              </w:rPr>
            </w:pPr>
            <w:r>
              <w:rPr>
                <w:rFonts w:ascii="Arial" w:cs="Arial" w:eastAsia="Arial" w:hAnsi="Arial"/>
                <w:sz w:val="18"/>
                <w:szCs w:val="18"/>
                <w:color w:val="auto"/>
              </w:rPr>
              <w:t>​50%</w:t>
            </w:r>
          </w:p>
        </w:tc>
        <w:tc>
          <w:tcPr>
            <w:tcW w:w="1040" w:type="dxa"/>
            <w:vAlign w:val="bottom"/>
            <w:tcBorders>
              <w:top w:val="single" w:sz="8" w:color="457157"/>
            </w:tcBorders>
            <w:gridSpan w:val="2"/>
          </w:tcPr>
          <w:p>
            <w:pPr>
              <w:ind w:left="40"/>
              <w:spacing w:after="0" w:line="196" w:lineRule="exact"/>
              <w:rPr>
                <w:sz w:val="20"/>
                <w:szCs w:val="20"/>
                <w:color w:val="auto"/>
              </w:rPr>
            </w:pPr>
            <w:r>
              <w:rPr>
                <w:rFonts w:ascii="Arial" w:cs="Arial" w:eastAsia="Arial" w:hAnsi="Arial"/>
                <w:sz w:val="18"/>
                <w:szCs w:val="18"/>
                <w:color w:val="auto"/>
              </w:rPr>
              <w:t>$7.30 billion</w:t>
            </w:r>
          </w:p>
        </w:tc>
        <w:tc>
          <w:tcPr>
            <w:tcW w:w="240" w:type="dxa"/>
            <w:vAlign w:val="bottom"/>
            <w:tcBorders>
              <w:top w:val="single" w:sz="8" w:color="457157"/>
            </w:tcBorders>
            <w:gridSpan w:val="2"/>
            <w:vMerge w:val="restart"/>
          </w:tcPr>
          <w:p>
            <w:pPr>
              <w:spacing w:after="0"/>
              <w:rPr>
                <w:sz w:val="20"/>
                <w:szCs w:val="20"/>
                <w:color w:val="auto"/>
              </w:rPr>
            </w:pPr>
            <w:r>
              <w:rPr>
                <w:rFonts w:ascii="Arial" w:cs="Arial" w:eastAsia="Arial" w:hAnsi="Arial"/>
                <w:sz w:val="18"/>
                <w:szCs w:val="18"/>
                <w:color w:val="auto"/>
              </w:rPr>
              <w:t>​​ ​</w:t>
            </w:r>
          </w:p>
        </w:tc>
        <w:tc>
          <w:tcPr>
            <w:tcW w:w="680" w:type="dxa"/>
            <w:vAlign w:val="bottom"/>
            <w:tcBorders>
              <w:top w:val="single" w:sz="8" w:color="457157"/>
            </w:tcBorders>
            <w:gridSpan w:val="3"/>
          </w:tcPr>
          <w:p>
            <w:pPr>
              <w:ind w:left="40"/>
              <w:spacing w:after="0" w:line="196" w:lineRule="exact"/>
              <w:rPr>
                <w:sz w:val="20"/>
                <w:szCs w:val="20"/>
                <w:color w:val="auto"/>
              </w:rPr>
            </w:pPr>
            <w:r>
              <w:rPr>
                <w:rFonts w:ascii="Arial" w:cs="Arial" w:eastAsia="Arial" w:hAnsi="Arial"/>
                <w:sz w:val="18"/>
                <w:szCs w:val="18"/>
                <w:color w:val="auto"/>
              </w:rPr>
              <w:t>​100%</w:t>
            </w:r>
          </w:p>
        </w:tc>
        <w:tc>
          <w:tcPr>
            <w:tcW w:w="1000" w:type="dxa"/>
            <w:vAlign w:val="bottom"/>
            <w:tcBorders>
              <w:top w:val="single" w:sz="8" w:color="457157"/>
            </w:tcBorders>
          </w:tcPr>
          <w:p>
            <w:pPr>
              <w:ind w:left="80"/>
              <w:spacing w:after="0" w:line="196" w:lineRule="exact"/>
              <w:rPr>
                <w:sz w:val="20"/>
                <w:szCs w:val="20"/>
                <w:color w:val="auto"/>
              </w:rPr>
            </w:pPr>
            <w:r>
              <w:rPr>
                <w:rFonts w:ascii="Arial" w:cs="Arial" w:eastAsia="Arial" w:hAnsi="Arial"/>
                <w:sz w:val="18"/>
                <w:szCs w:val="18"/>
                <w:color w:val="auto"/>
              </w:rPr>
              <w:t>$8.0 billion</w:t>
            </w:r>
          </w:p>
        </w:tc>
        <w:tc>
          <w:tcPr>
            <w:tcW w:w="24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457157"/>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60" w:type="dxa"/>
            <w:vAlign w:val="bottom"/>
          </w:tcPr>
          <w:p>
            <w:pPr>
              <w:jc w:val="right"/>
              <w:ind w:right="1933"/>
              <w:spacing w:after="0" w:line="68" w:lineRule="exact"/>
              <w:rPr>
                <w:sz w:val="20"/>
                <w:szCs w:val="20"/>
                <w:color w:val="auto"/>
              </w:rPr>
            </w:pPr>
            <w:r>
              <w:rPr>
                <w:rFonts w:ascii="Arial" w:cs="Arial" w:eastAsia="Arial" w:hAnsi="Arial"/>
                <w:sz w:val="7"/>
                <w:szCs w:val="7"/>
                <w:color w:val="auto"/>
              </w:rPr>
              <w:t>​</w:t>
            </w:r>
          </w:p>
        </w:tc>
        <w:tc>
          <w:tcPr>
            <w:tcW w:w="1260" w:type="dxa"/>
            <w:vAlign w:val="bottom"/>
            <w:gridSpan w:val="2"/>
            <w:vMerge w:val="continue"/>
          </w:tcPr>
          <w:p>
            <w:pPr>
              <w:spacing w:after="0"/>
              <w:rPr>
                <w:sz w:val="5"/>
                <w:szCs w:val="5"/>
                <w:color w:val="auto"/>
              </w:rPr>
            </w:pPr>
          </w:p>
        </w:tc>
        <w:tc>
          <w:tcPr>
            <w:tcW w:w="1020" w:type="dxa"/>
            <w:vAlign w:val="bottom"/>
          </w:tcPr>
          <w:p>
            <w:pPr>
              <w:spacing w:after="0" w:line="68" w:lineRule="exact"/>
              <w:rPr>
                <w:sz w:val="20"/>
                <w:szCs w:val="20"/>
                <w:color w:val="auto"/>
              </w:rPr>
            </w:pPr>
            <w:r>
              <w:rPr>
                <w:rFonts w:ascii="Arial" w:cs="Arial" w:eastAsia="Arial" w:hAnsi="Arial"/>
                <w:sz w:val="7"/>
                <w:szCs w:val="7"/>
                <w:color w:val="auto"/>
              </w:rPr>
              <w:t>​</w:t>
            </w:r>
          </w:p>
        </w:tc>
        <w:tc>
          <w:tcPr>
            <w:tcW w:w="280" w:type="dxa"/>
            <w:vAlign w:val="bottom"/>
            <w:vMerge w:val="continue"/>
          </w:tcPr>
          <w:p>
            <w:pPr>
              <w:spacing w:after="0"/>
              <w:rPr>
                <w:sz w:val="5"/>
                <w:szCs w:val="5"/>
                <w:color w:val="auto"/>
              </w:rPr>
            </w:pPr>
          </w:p>
        </w:tc>
        <w:tc>
          <w:tcPr>
            <w:tcW w:w="28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20" w:type="dxa"/>
            <w:vAlign w:val="bottom"/>
            <w:gridSpan w:val="3"/>
          </w:tcPr>
          <w:p>
            <w:pPr>
              <w:jc w:val="right"/>
              <w:ind w:right="40"/>
              <w:spacing w:after="0" w:line="68" w:lineRule="exact"/>
              <w:rPr>
                <w:sz w:val="20"/>
                <w:szCs w:val="20"/>
                <w:color w:val="auto"/>
              </w:rPr>
            </w:pPr>
            <w:r>
              <w:rPr>
                <w:rFonts w:ascii="Arial" w:cs="Arial" w:eastAsia="Arial" w:hAnsi="Arial"/>
                <w:sz w:val="7"/>
                <w:szCs w:val="7"/>
                <w:color w:val="auto"/>
              </w:rPr>
              <w:t>​​ ​</w:t>
            </w:r>
          </w:p>
        </w:tc>
        <w:tc>
          <w:tcPr>
            <w:tcW w:w="8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gridSpan w:val="3"/>
          </w:tcPr>
          <w:p>
            <w:pPr>
              <w:spacing w:after="0" w:line="68" w:lineRule="exact"/>
              <w:rPr>
                <w:sz w:val="20"/>
                <w:szCs w:val="20"/>
                <w:color w:val="auto"/>
              </w:rPr>
            </w:pPr>
            <w:r>
              <w:rPr>
                <w:rFonts w:ascii="Arial" w:cs="Arial" w:eastAsia="Arial" w:hAnsi="Arial"/>
                <w:sz w:val="7"/>
                <w:szCs w:val="7"/>
                <w:color w:val="auto"/>
              </w:rPr>
              <w:t>​​ ​ ​</w:t>
            </w:r>
          </w:p>
        </w:tc>
        <w:tc>
          <w:tcPr>
            <w:tcW w:w="240" w:type="dxa"/>
            <w:vAlign w:val="bottom"/>
            <w:vMerge w:val="continue"/>
          </w:tcPr>
          <w:p>
            <w:pPr>
              <w:spacing w:after="0"/>
              <w:rPr>
                <w:sz w:val="5"/>
                <w:szCs w:val="5"/>
                <w:color w:val="auto"/>
              </w:rPr>
            </w:pPr>
          </w:p>
        </w:tc>
        <w:tc>
          <w:tcPr>
            <w:tcW w:w="58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2060" w:type="dxa"/>
            <w:vAlign w:val="bottom"/>
            <w:shd w:val="clear" w:color="auto" w:fill="457157"/>
          </w:tcPr>
          <w:p>
            <w:pPr>
              <w:spacing w:after="0" w:line="20" w:lineRule="exact"/>
              <w:rPr>
                <w:sz w:val="1"/>
                <w:szCs w:val="1"/>
                <w:color w:val="auto"/>
              </w:rPr>
            </w:pPr>
          </w:p>
        </w:tc>
        <w:tc>
          <w:tcPr>
            <w:tcW w:w="120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4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2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2023.</w:t>
      </w:r>
    </w:p>
    <w:p>
      <w:pPr>
        <w:spacing w:after="0" w:line="111"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98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260" w:type="dxa"/>
            <w:vAlign w:val="bottom"/>
            <w:tcBorders>
              <w:bottom w:val="single" w:sz="8" w:color="457157"/>
            </w:tcBorders>
            <w:gridSpan w:val="2"/>
          </w:tcPr>
          <w:p>
            <w:pPr>
              <w:ind w:left="960"/>
              <w:spacing w:after="0"/>
              <w:rPr>
                <w:sz w:val="20"/>
                <w:szCs w:val="20"/>
                <w:color w:val="auto"/>
              </w:rPr>
            </w:pPr>
            <w:r>
              <w:rPr>
                <w:rFonts w:ascii="Arial" w:cs="Arial" w:eastAsia="Arial" w:hAnsi="Arial"/>
                <w:sz w:val="14"/>
                <w:szCs w:val="14"/>
                <w:b w:val="1"/>
                <w:bCs w:val="1"/>
                <w:color w:val="457157"/>
              </w:rPr>
              <w:t>Total Shareholder Return Relative to the S&amp;P 500</w:t>
            </w:r>
          </w:p>
        </w:tc>
        <w:tc>
          <w:tcPr>
            <w:tcW w:w="800" w:type="dxa"/>
            <w:vAlign w:val="bottom"/>
            <w:tcBorders>
              <w:bottom w:val="single" w:sz="8" w:color="457157"/>
            </w:tcBorders>
          </w:tcPr>
          <w:p>
            <w:pPr>
              <w:spacing w:after="0"/>
              <w:rPr>
                <w:sz w:val="18"/>
                <w:szCs w:val="18"/>
                <w:color w:val="auto"/>
              </w:rPr>
            </w:pPr>
          </w:p>
        </w:tc>
        <w:tc>
          <w:tcPr>
            <w:tcW w:w="160" w:type="dxa"/>
            <w:vAlign w:val="bottom"/>
            <w:tcBorders>
              <w:bottom w:val="single" w:sz="8" w:color="457157"/>
            </w:tcBorders>
          </w:tcPr>
          <w:p>
            <w:pPr>
              <w:spacing w:after="0"/>
              <w:rPr>
                <w:sz w:val="18"/>
                <w:szCs w:val="18"/>
                <w:color w:val="auto"/>
              </w:rPr>
            </w:pPr>
          </w:p>
        </w:tc>
        <w:tc>
          <w:tcPr>
            <w:tcW w:w="340" w:type="dxa"/>
            <w:vAlign w:val="bottom"/>
            <w:tcBorders>
              <w:bottom w:val="single" w:sz="8" w:color="457157"/>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457157"/>
              </w:rPr>
              <w:t>​</w:t>
            </w:r>
          </w:p>
        </w:tc>
        <w:tc>
          <w:tcPr>
            <w:tcW w:w="1620" w:type="dxa"/>
            <w:vAlign w:val="bottom"/>
          </w:tcPr>
          <w:p>
            <w:pPr>
              <w:spacing w:after="0"/>
              <w:rPr>
                <w:sz w:val="20"/>
                <w:szCs w:val="20"/>
                <w:color w:val="auto"/>
              </w:rPr>
            </w:pPr>
          </w:p>
        </w:tc>
        <w:tc>
          <w:tcPr>
            <w:tcW w:w="3640" w:type="dxa"/>
            <w:vAlign w:val="bottom"/>
          </w:tcPr>
          <w:p>
            <w:pPr>
              <w:jc w:val="center"/>
              <w:ind w:right="1956"/>
              <w:spacing w:after="0"/>
              <w:rPr>
                <w:sz w:val="20"/>
                <w:szCs w:val="20"/>
                <w:color w:val="auto"/>
              </w:rPr>
            </w:pPr>
            <w:r>
              <w:rPr>
                <w:rFonts w:ascii="Arial" w:cs="Arial" w:eastAsia="Arial" w:hAnsi="Arial"/>
                <w:sz w:val="14"/>
                <w:szCs w:val="14"/>
                <w:b w:val="1"/>
                <w:bCs w:val="1"/>
                <w:color w:val="457157"/>
              </w:rPr>
              <w:t>Performance</w:t>
            </w:r>
          </w:p>
        </w:tc>
        <w:tc>
          <w:tcPr>
            <w:tcW w:w="1380" w:type="dxa"/>
            <w:vAlign w:val="bottom"/>
            <w:gridSpan w:val="4"/>
          </w:tcPr>
          <w:p>
            <w:pPr>
              <w:ind w:left="60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 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237"/>
        </w:trPr>
        <w:tc>
          <w:tcPr>
            <w:tcW w:w="40" w:type="dxa"/>
            <w:vAlign w:val="bottom"/>
            <w:tcBorders>
              <w:top w:val="single" w:sz="8" w:color="457157"/>
            </w:tcBorders>
          </w:tcPr>
          <w:p>
            <w:pPr>
              <w:spacing w:after="0"/>
              <w:rPr>
                <w:sz w:val="20"/>
                <w:szCs w:val="20"/>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80"/>
              <w:spacing w:after="0" w:line="236" w:lineRule="exact"/>
              <w:rPr>
                <w:sz w:val="20"/>
                <w:szCs w:val="20"/>
                <w:color w:val="auto"/>
              </w:rPr>
            </w:pPr>
            <w:r>
              <w:rPr>
                <w:rFonts w:ascii="Arial" w:cs="Arial" w:eastAsia="Arial" w:hAnsi="Arial"/>
                <w:sz w:val="18"/>
                <w:szCs w:val="18"/>
                <w:color w:val="auto"/>
                <w:w w:val="97"/>
              </w:rPr>
              <w:t>75</w:t>
            </w:r>
            <w:r>
              <w:rPr>
                <w:rFonts w:ascii="Arial" w:cs="Arial" w:eastAsia="Arial" w:hAnsi="Arial"/>
                <w:sz w:val="23"/>
                <w:szCs w:val="23"/>
                <w:color w:val="auto"/>
                <w:w w:val="97"/>
                <w:vertAlign w:val="superscript"/>
              </w:rPr>
              <w:t>th</w:t>
            </w:r>
          </w:p>
        </w:tc>
        <w:tc>
          <w:tcPr>
            <w:tcW w:w="364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auto"/>
              </w:rPr>
              <w:t>percentile (Maximum)</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457157"/>
            </w:tcBorders>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5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vMerge w:val="restart"/>
          </w:tcPr>
          <w:p>
            <w:pPr>
              <w:spacing w:after="0"/>
              <w:rPr>
                <w:sz w:val="20"/>
                <w:szCs w:val="20"/>
                <w:color w:val="auto"/>
              </w:rPr>
            </w:pPr>
            <w:r>
              <w:rPr>
                <w:rFonts w:ascii="Arial" w:cs="Arial" w:eastAsia="Arial" w:hAnsi="Arial"/>
                <w:sz w:val="18"/>
                <w:szCs w:val="18"/>
                <w:color w:val="auto"/>
              </w:rPr>
              <w:t>​</w:t>
            </w:r>
          </w:p>
        </w:tc>
        <w:tc>
          <w:tcPr>
            <w:tcW w:w="5260" w:type="dxa"/>
            <w:vAlign w:val="bottom"/>
            <w:gridSpan w:val="2"/>
          </w:tcPr>
          <w:p>
            <w:pPr>
              <w:jc w:val="center"/>
              <w:ind w:right="336"/>
              <w:spacing w:after="0" w:line="223" w:lineRule="exact"/>
              <w:rPr>
                <w:sz w:val="20"/>
                <w:szCs w:val="20"/>
                <w:color w:val="auto"/>
              </w:rPr>
            </w:pPr>
            <w:r>
              <w:rPr>
                <w:rFonts w:ascii="Arial" w:cs="Arial" w:eastAsia="Arial" w:hAnsi="Arial"/>
                <w:sz w:val="18"/>
                <w:szCs w:val="18"/>
                <w:color w:val="auto"/>
              </w:rPr>
              <w:t>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percentile (Target)</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23"/>
        </w:trPr>
        <w:tc>
          <w:tcPr>
            <w:tcW w:w="40" w:type="dxa"/>
            <w:vAlign w:val="bottom"/>
            <w:tcBorders>
              <w:top w:val="single" w:sz="8" w:color="457157"/>
            </w:tcBorders>
          </w:tcPr>
          <w:p>
            <w:pPr>
              <w:spacing w:after="0"/>
              <w:rPr>
                <w:sz w:val="19"/>
                <w:szCs w:val="19"/>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60"/>
              <w:spacing w:after="0" w:line="223" w:lineRule="exact"/>
              <w:rPr>
                <w:sz w:val="20"/>
                <w:szCs w:val="20"/>
                <w:color w:val="auto"/>
              </w:rPr>
            </w:pPr>
            <w:r>
              <w:rPr>
                <w:rFonts w:ascii="Arial" w:cs="Arial" w:eastAsia="Arial" w:hAnsi="Arial"/>
                <w:sz w:val="18"/>
                <w:szCs w:val="18"/>
                <w:color w:val="auto"/>
              </w:rPr>
              <w:t>25</w:t>
            </w:r>
            <w:r>
              <w:rPr>
                <w:rFonts w:ascii="Arial" w:cs="Arial" w:eastAsia="Arial" w:hAnsi="Arial"/>
                <w:sz w:val="23"/>
                <w:szCs w:val="23"/>
                <w:color w:val="auto"/>
                <w:vertAlign w:val="superscript"/>
              </w:rPr>
              <w:t>th</w:t>
            </w:r>
          </w:p>
        </w:tc>
        <w:tc>
          <w:tcPr>
            <w:tcW w:w="3640" w:type="dxa"/>
            <w:vAlign w:val="bottom"/>
            <w:tcBorders>
              <w:top w:val="single" w:sz="8" w:color="457157"/>
            </w:tcBorders>
          </w:tcPr>
          <w:p>
            <w:pPr>
              <w:ind w:left="20"/>
              <w:spacing w:after="0"/>
              <w:rPr>
                <w:sz w:val="20"/>
                <w:szCs w:val="20"/>
                <w:color w:val="auto"/>
              </w:rPr>
            </w:pPr>
            <w:r>
              <w:rPr>
                <w:rFonts w:ascii="Arial" w:cs="Arial" w:eastAsia="Arial" w:hAnsi="Arial"/>
                <w:sz w:val="18"/>
                <w:szCs w:val="18"/>
                <w:color w:val="auto"/>
              </w:rPr>
              <w:t>percentile (Threshold)</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-608330</wp:posOffset>
            </wp:positionV>
            <wp:extent cx="4843145" cy="205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43145" cy="2057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-205105</wp:posOffset>
            </wp:positionV>
            <wp:extent cx="4843145" cy="196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43145" cy="196850"/>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30" w:lineRule="auto"/>
        <w:rPr>
          <w:sz w:val="20"/>
          <w:szCs w:val="20"/>
          <w:color w:val="auto"/>
        </w:rPr>
      </w:pPr>
      <w:r>
        <w:rPr>
          <w:rFonts w:ascii="Arial" w:cs="Arial" w:eastAsia="Arial" w:hAnsi="Arial"/>
          <w:sz w:val="18"/>
          <w:szCs w:val="18"/>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2023 and beyond, including macroeconomic and market conditions and economic indicators for future periods, to align the cash flow targets with the Company’s long-range strategic plan. The 2023 cash</w:t>
      </w:r>
      <w:r>
        <w:rPr>
          <w:rFonts w:ascii="Arial" w:cs="Arial" w:eastAsia="Arial" w:hAnsi="Arial"/>
          <w:sz w:val="32"/>
          <w:szCs w:val="32"/>
          <w:b w:val="1"/>
          <w:bCs w:val="1"/>
          <w:color w:val="457157"/>
        </w:rPr>
        <w:t>|</w:t>
      </w:r>
      <w:r>
        <w:rPr>
          <w:rFonts w:ascii="Arial" w:cs="Arial" w:eastAsia="Arial" w:hAnsi="Arial"/>
          <w:sz w:val="18"/>
          <w:szCs w:val="18"/>
          <w:color w:val="auto"/>
        </w:rPr>
        <w:t xml:space="preserve">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-38735</wp:posOffset>
            </wp:positionV>
            <wp:extent cx="471805"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7"/>
          <w:szCs w:val="17"/>
          <w:color w:val="auto"/>
        </w:rPr>
        <w:t>targets are also reflective of planned increases in capital spending to 2024accelerateProxy Statementoursustainability45​</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293370</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2023</w:t>
      </w:r>
      <w:r>
        <w:rPr>
          <w:rFonts w:ascii="Arial" w:cs="Arial" w:eastAsia="Arial" w:hAnsi="Arial"/>
          <w:sz w:val="18"/>
          <w:szCs w:val="18"/>
          <w:color w:val="auto"/>
        </w:rPr>
        <w:t>. Half of the PSUs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2021 with the performance period ended December 31, 2023 were TSR PSUs, and the remaining half of the PSUs granted in 2021 were Cash Flow PSUs. With respect to the TSR PSUs with a three-year performance period ended December 31, 2023, the performance of the Company’s Common Stock on this measure translated into a percentile rank relative to the S&amp;P 500 of 77.27%, resulting in a maximum 200% payout in shares of Common Stock that were issued in February 2024.</w:t>
      </w:r>
    </w:p>
    <w:p>
      <w:pPr>
        <w:spacing w:after="0" w:line="74"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For purposes of the Cash Flow PSUs with a three-year performance period ended December 31, 2023, the Company generated net cash flow from operating activities, less capital expenditures, of $7.789 billion, exceeding the target criteria of $7.032 billion and the maximum criteria of $7.50 billion; this performance level yielded a 200% payout in shares of Common Stock that were issued in February 2024. This performance was calculated in accordance with the Cash Flow PSU Definition above. Additionally, in line with the MD&amp;C Committee’s policy on calculation adjustments discussed above, the MD&amp;C Committee approved an adjustment to the measurement of performance on the cash flow measure to exclude the impact of $1.325 billion of capital expenditures allocated to strategic investments in recycling and renewable energy that were not contemplated at the time the performance measures were established. These strategic investments did not have a material impact on any of the other 2023 executive compensation performance measures.</w:t>
      </w:r>
    </w:p>
    <w:p>
      <w:pPr>
        <w:spacing w:after="0" w:line="29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element of the Company’s strategy. The grant of options made to the named executive officers in the first quarter of 2022 in connection with the annual grant of long-term equity awards was based on the targeted dollar amounts established for total long -term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307" w:lineRule="exact"/>
        <w:rPr>
          <w:sz w:val="20"/>
          <w:szCs w:val="20"/>
          <w:color w:val="auto"/>
        </w:rPr>
      </w:pPr>
    </w:p>
    <w:tbl>
      <w:tblPr>
        <w:tblLayout w:type="fixed"/>
        <w:tblInd w:w="1520" w:type="dxa"/>
        <w:tblCellMar>
          <w:top w:w="0" w:type="dxa"/>
          <w:left w:w="0" w:type="dxa"/>
          <w:bottom w:w="0" w:type="dxa"/>
          <w:right w:w="0" w:type="dxa"/>
        </w:tblCellMar>
      </w:tblPr>
      <w:tr>
        <w:trPr>
          <w:trHeight w:val="168"/>
        </w:trPr>
        <w:tc>
          <w:tcPr>
            <w:tcW w:w="424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457157"/>
            </w:tcBorders>
            <w:vMerge w:val="continue"/>
          </w:tcPr>
          <w:p>
            <w:pPr>
              <w:spacing w:after="0"/>
              <w:rPr>
                <w:sz w:val="17"/>
                <w:szCs w:val="17"/>
                <w:color w:val="auto"/>
              </w:rPr>
            </w:pPr>
          </w:p>
        </w:tc>
        <w:tc>
          <w:tcPr>
            <w:tcW w:w="3400" w:type="dxa"/>
            <w:vAlign w:val="bottom"/>
            <w:tcBorders>
              <w:bottom w:val="single" w:sz="8" w:color="457157"/>
            </w:tcBorders>
            <w:gridSpan w:val="2"/>
          </w:tcPr>
          <w:p>
            <w:pPr>
              <w:ind w:left="232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of Options</w:t>
            </w:r>
            <w:r>
              <w:rPr>
                <w:rFonts w:ascii="Arial" w:cs="Arial" w:eastAsia="Arial" w:hAnsi="Arial"/>
                <w:sz w:val="22"/>
                <w:szCs w:val="22"/>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42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59,415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14,016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16,453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12,188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3300" w:type="dxa"/>
            <w:vAlign w:val="bottom"/>
          </w:tcPr>
          <w:p>
            <w:pPr>
              <w:ind w:left="2380"/>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10,969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33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The stock options granted in 2023 vest ratably in three annual increments, beginning on the first anniversary of the date of grant. The exercise price of the options granted in 2023 is $ 150.115, which is the average of the high and low market price of our Common Stock on the date of grant, and the options have a term of 10 years. We account for our employee stock options under ASC Topic 718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291"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did not grant any RSUs to the named executives in 2023.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named executives, other than Mr. Fish, holds outstanding RSUs that were granted in 2022 in connection with achievement of targeted synergies from the Company’s 2020 acquisition of Advanced Disposal Services, Inc. Mr. Carrasco also had RSUs vest in 2023, and will have RSUs vest in 2024, that were granted prior to his promotion to the senior leadership team.</w:t>
      </w:r>
    </w:p>
    <w:p>
      <w:pPr>
        <w:spacing w:after="0" w:line="71"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RSUs vest in full on the third anniversary of the date of grant. Dividends on the RSUs will accrue and be paid in cash upon vesting. The RSUs may not be voted or sold until vested. Unvested RSUs are subject to forfeiture in the event of voluntary or for-cause termination. RSUs will be prorated upon involuntary termination other than for cause, and RSUs immediately vest in the event of an employee’s death or disability.</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MD&amp;C Committee anticipates that grants of RSUs to named executives will continue to be made</w:t>
      </w:r>
    </w:p>
    <w:p>
      <w:pPr>
        <w:jc w:val="both"/>
        <w:ind w:left="820" w:right="60"/>
        <w:spacing w:after="0" w:line="216" w:lineRule="auto"/>
        <w:rPr>
          <w:sz w:val="20"/>
          <w:szCs w:val="20"/>
          <w:color w:val="auto"/>
        </w:rPr>
      </w:pPr>
      <w:r>
        <w:rPr>
          <w:rFonts w:ascii="Arial" w:cs="Arial" w:eastAsia="Arial" w:hAnsi="Arial"/>
          <w:sz w:val="18"/>
          <w:szCs w:val="18"/>
          <w:color w:val="auto"/>
        </w:rPr>
        <w:t>46on a</w:t>
      </w:r>
      <w:r>
        <w:rPr>
          <w:rFonts w:ascii="Arial" w:cs="Arial" w:eastAsia="Arial" w:hAnsi="Arial"/>
          <w:sz w:val="32"/>
          <w:szCs w:val="32"/>
          <w:b w:val="1"/>
          <w:bCs w:val="1"/>
          <w:color w:val="457157"/>
        </w:rPr>
        <w:t>|</w:t>
      </w:r>
      <w:r>
        <w:rPr>
          <w:rFonts w:ascii="Arial" w:cs="Arial" w:eastAsia="Arial" w:hAnsi="Arial"/>
          <w:sz w:val="18"/>
          <w:szCs w:val="18"/>
          <w:color w:val="auto"/>
        </w:rPr>
        <w:t xml:space="preserve"> limited basis2024in Proxycases Statementsuchas a significant promotion, increased responsibilities, special recognition and to attract new hires, and that RSUs will not be a routine component of named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183515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-429260</wp:posOffset>
            </wp:positionV>
            <wp:extent cx="471805"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Post-Employment and Change in Control Compensation; Clawback Policies</w:t>
      </w:r>
    </w:p>
    <w:p>
      <w:pPr>
        <w:spacing w:after="0" w:line="12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2017, we adopted an Executive 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“Severance 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served to transition the Company’s severance protections away from contract-based protections and onto a standardized and flexible plan -based approach. Going forward, the Company does not anticipate entering into new employment agreements with our executive officers, and neither Mr. Carrasco nor Ms. Hemmer is a party to an employment agreement with the Company.</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Post-Employment Covenants and Clawback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noncompetition and 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29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equity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298"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In 2023, the MD&amp;C Committee adopted the executive compensation clawback policy mandated by the New York Stock Exchange, which is accessible through the Exhibit List to the Company’s Annual Report on Form 10-K. This clawback policy provides for the recovery of erroneously awarded incentive -based compensation received by current and former executive officers in connection with a financial restatement, regardless of fault or misconduct. No obligation has arisen to recover executive compensation pursuant to this policy.</w:t>
      </w:r>
    </w:p>
    <w:p>
      <w:pPr>
        <w:spacing w:after="0" w:line="39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Other Compensation Policies and Practices</w:t>
      </w:r>
    </w:p>
    <w:p>
      <w:pPr>
        <w:spacing w:after="0" w:line="112"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may not enter into severance arrangements with its executive officers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w:t>
      </w:r>
    </w:p>
    <w:p>
      <w:pPr>
        <w:spacing w:after="0" w:line="206" w:lineRule="exact"/>
        <w:rPr>
          <w:sz w:val="20"/>
          <w:szCs w:val="20"/>
          <w:color w:val="auto"/>
        </w:rPr>
      </w:pPr>
    </w:p>
    <w:p>
      <w:pPr>
        <w:ind w:left="820"/>
        <w:spacing w:after="0" w:line="191" w:lineRule="auto"/>
        <w:rPr>
          <w:sz w:val="20"/>
          <w:szCs w:val="20"/>
          <w:color w:val="auto"/>
        </w:rPr>
      </w:pPr>
      <w:r>
        <w:rPr>
          <w:rFonts w:ascii="Arial" w:cs="Arial" w:eastAsia="Arial" w:hAnsi="Arial"/>
          <w:sz w:val="17"/>
          <w:szCs w:val="17"/>
          <w:color w:val="auto"/>
        </w:rPr>
        <w:t>employees and any payment in reasonable settlement of a legal claim. Additionally, “Death Benefits” under the policy does not include deferred compensation, retirement benefits2024orProxyacceleratedStatementvesting</w:t>
      </w:r>
      <w:r>
        <w:rPr>
          <w:rFonts w:ascii="Arial" w:cs="Arial" w:eastAsia="Arial" w:hAnsi="Arial"/>
          <w:sz w:val="30"/>
          <w:szCs w:val="30"/>
          <w:b w:val="1"/>
          <w:bCs w:val="1"/>
          <w:color w:val="457157"/>
        </w:rPr>
        <w:t>|</w:t>
      </w:r>
      <w:r>
        <w:rPr>
          <w:rFonts w:ascii="Arial" w:cs="Arial" w:eastAsia="Arial" w:hAnsi="Arial"/>
          <w:sz w:val="17"/>
          <w:szCs w:val="17"/>
          <w:color w:val="auto"/>
        </w:rPr>
        <w:t xml:space="preserve"> 47​or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-151765</wp:posOffset>
            </wp:positionV>
            <wp:extent cx="471805" cy="1282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jc w:val="both"/>
        <w:ind w:left="820" w:right="60"/>
        <w:spacing w:after="0" w:line="257" w:lineRule="auto"/>
        <w:rPr>
          <w:sz w:val="20"/>
          <w:szCs w:val="20"/>
          <w:color w:val="auto"/>
        </w:rPr>
      </w:pPr>
      <w:r>
        <w:rPr>
          <w:rFonts w:ascii="Arial" w:cs="Arial" w:eastAsia="Arial" w:hAnsi="Arial"/>
          <w:sz w:val="18"/>
          <w:szCs w:val="18"/>
          <w:color w:val="auto"/>
        </w:rPr>
        <w:t>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28575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0" w:name="page51"/>
    <w:bookmarkEnd w:id="50"/>
    <w:p>
      <w:pPr>
        <w:spacing w:after="0" w:line="188" w:lineRule="auto"/>
        <w:framePr w:w="2020" w:h="163" w:wrap="auto" w:vAnchor="page" w:hAnchor="page" w:x="2960" w:y="13113"/>
        <w:rPr>
          <w:rFonts w:ascii="Arial" w:cs="Arial" w:eastAsia="Arial" w:hAnsi="Arial"/>
          <w:sz w:val="18"/>
          <w:szCs w:val="18"/>
          <w:color w:val="auto"/>
        </w:rPr>
      </w:pPr>
      <w:r>
        <w:rPr>
          <w:rFonts w:ascii="Arial" w:cs="Arial" w:eastAsia="Arial" w:hAnsi="Arial"/>
          <w:sz w:val="18"/>
          <w:szCs w:val="18"/>
          <w:color w:val="auto"/>
        </w:rPr>
        <w:t>2024 Proxy Statement</w:t>
      </w:r>
    </w:p>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rFonts w:ascii="Arial" w:cs="Arial" w:eastAsia="Arial" w:hAnsi="Arial"/>
          <w:sz w:val="18"/>
          <w:szCs w:val="18"/>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rFonts w:ascii="Arial" w:cs="Arial" w:eastAsia="Arial" w:hAnsi="Arial"/>
          <w:sz w:val="18"/>
          <w:szCs w:val="18"/>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stock ownership guidelines. We instituted stock ownership guidelines because we believe that ownership of Company stock demonstrates a commitment to, and confidence in, the Company’s long -term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298" w:lineRule="exact"/>
        <w:rPr>
          <w:rFonts w:ascii="Arial" w:cs="Arial" w:eastAsia="Arial" w:hAnsi="Arial"/>
          <w:sz w:val="18"/>
          <w:szCs w:val="18"/>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regularly reviews the ownership guidelines to ensure that the appropriate share ownership levels are in place. Guidelines are expressed as a multiple of base salary and are calculated annually based on the average closing price of our Common Stock for the 20 trading days preceding April 1. Each named executive’s ownership guideline multiple of base salary and ownership multiple of base salary attained as of March 5, 2024, using the closing price of our Common Stock on such date and base salaries in effect on December 31, 2023, are set forth below. Shares owned outright, vested equity awards that have been deferred, Common Stock equivalents based on holdings in the Company’s 401(k) Retirement Savings Plan and phantom stock held in the Company’s 409A Deferral Plan count toward meeting the ownership guidelines. Stock options, PSUs, RSUs and restricted stock, if any, do not count toward meeting the ownership guidelines until they are vested or earned.</w:t>
      </w:r>
    </w:p>
    <w:p>
      <w:pPr>
        <w:spacing w:after="0" w:line="318" w:lineRule="exact"/>
        <w:rPr>
          <w:rFonts w:ascii="Arial" w:cs="Arial" w:eastAsia="Arial" w:hAnsi="Arial"/>
          <w:sz w:val="18"/>
          <w:szCs w:val="18"/>
          <w:color w:val="auto"/>
        </w:rPr>
      </w:pPr>
    </w:p>
    <w:tbl>
      <w:tblPr>
        <w:tblLayout w:type="fixed"/>
        <w:tblInd w:w="634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457157"/>
              </w:rPr>
              <w:t>Ownership</w:t>
            </w:r>
          </w:p>
        </w:tc>
        <w:tc>
          <w:tcPr>
            <w:tcW w:w="0" w:type="dxa"/>
            <w:vAlign w:val="bottom"/>
          </w:tcPr>
          <w:p>
            <w:pPr>
              <w:spacing w:after="0"/>
              <w:rPr>
                <w:sz w:val="1"/>
                <w:szCs w:val="1"/>
                <w:color w:val="auto"/>
              </w:rPr>
            </w:pPr>
          </w:p>
        </w:tc>
      </w:tr>
      <w:tr>
        <w:trPr>
          <w:trHeight w:val="144"/>
        </w:trPr>
        <w:tc>
          <w:tcPr>
            <w:tcW w:w="1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457157"/>
              </w:rPr>
              <w:t>Ownership</w:t>
            </w: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Multiple of</w:t>
            </w:r>
          </w:p>
        </w:tc>
        <w:tc>
          <w:tcPr>
            <w:tcW w:w="0" w:type="dxa"/>
            <w:vAlign w:val="bottom"/>
          </w:tcPr>
          <w:p>
            <w:pPr>
              <w:spacing w:after="0"/>
              <w:rPr>
                <w:sz w:val="1"/>
                <w:szCs w:val="1"/>
                <w:color w:val="auto"/>
              </w:rPr>
            </w:pPr>
          </w:p>
        </w:tc>
      </w:tr>
      <w:tr>
        <w:trPr>
          <w:trHeight w:val="139"/>
        </w:trPr>
        <w:tc>
          <w:tcPr>
            <w:tcW w:w="1520" w:type="dxa"/>
            <w:vAlign w:val="bottom"/>
            <w:vMerge w:val="continue"/>
          </w:tcPr>
          <w:p>
            <w:pPr>
              <w:spacing w:after="0"/>
              <w:rPr>
                <w:sz w:val="12"/>
                <w:szCs w:val="12"/>
                <w:color w:val="auto"/>
              </w:rPr>
            </w:pPr>
          </w:p>
        </w:tc>
        <w:tc>
          <w:tcPr>
            <w:tcW w:w="118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Base Salary</w:t>
            </w:r>
          </w:p>
        </w:tc>
        <w:tc>
          <w:tcPr>
            <w:tcW w:w="0" w:type="dxa"/>
            <w:vAlign w:val="bottom"/>
          </w:tcPr>
          <w:p>
            <w:pPr>
              <w:spacing w:after="0"/>
              <w:rPr>
                <w:sz w:val="1"/>
                <w:szCs w:val="1"/>
                <w:color w:val="auto"/>
              </w:rPr>
            </w:pPr>
          </w:p>
        </w:tc>
      </w:tr>
      <w:tr>
        <w:trPr>
          <w:trHeight w:val="149"/>
        </w:trPr>
        <w:tc>
          <w:tcPr>
            <w:tcW w:w="15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457157"/>
              </w:rPr>
              <w:t>Guideline Multiple</w:t>
            </w: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Attained as of</w:t>
            </w:r>
          </w:p>
        </w:tc>
        <w:tc>
          <w:tcPr>
            <w:tcW w:w="0" w:type="dxa"/>
            <w:vAlign w:val="bottom"/>
          </w:tcPr>
          <w:p>
            <w:pPr>
              <w:spacing w:after="0"/>
              <w:rPr>
                <w:sz w:val="1"/>
                <w:szCs w:val="1"/>
                <w:color w:val="auto"/>
              </w:rPr>
            </w:pPr>
          </w:p>
        </w:tc>
      </w:tr>
    </w:tbl>
    <w:p>
      <w:pPr>
        <w:spacing w:after="0" w:line="1" w:lineRule="exact"/>
        <w:rPr>
          <w:rFonts w:ascii="Arial" w:cs="Arial" w:eastAsia="Arial" w:hAnsi="Arial"/>
          <w:sz w:val="18"/>
          <w:szCs w:val="18"/>
          <w:color w:val="auto"/>
        </w:rPr>
      </w:pPr>
    </w:p>
    <w:tbl>
      <w:tblPr>
        <w:tblLayout w:type="fixed"/>
        <w:tblInd w:w="1520" w:type="dxa"/>
        <w:tblCellMar>
          <w:top w:w="0" w:type="dxa"/>
          <w:left w:w="0" w:type="dxa"/>
          <w:bottom w:w="0" w:type="dxa"/>
          <w:right w:w="0" w:type="dxa"/>
        </w:tblCellMar>
      </w:tblPr>
      <w:tr>
        <w:trPr>
          <w:trHeight w:val="198"/>
        </w:trPr>
        <w:tc>
          <w:tcPr>
            <w:tcW w:w="296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2040" w:type="dxa"/>
            <w:vAlign w:val="bottom"/>
          </w:tcPr>
          <w:p>
            <w:pPr>
              <w:ind w:left="1760"/>
              <w:spacing w:after="0"/>
              <w:rPr>
                <w:sz w:val="20"/>
                <w:szCs w:val="20"/>
                <w:color w:val="auto"/>
              </w:rPr>
            </w:pPr>
            <w:r>
              <w:rPr>
                <w:rFonts w:ascii="Arial" w:cs="Arial" w:eastAsia="Arial" w:hAnsi="Arial"/>
                <w:sz w:val="14"/>
                <w:szCs w:val="14"/>
                <w:b w:val="1"/>
                <w:bCs w:val="1"/>
                <w:color w:val="457157"/>
              </w:rPr>
              <w:t>​ ​</w:t>
            </w:r>
          </w:p>
        </w:tc>
        <w:tc>
          <w:tcPr>
            <w:tcW w:w="2680" w:type="dxa"/>
            <w:vAlign w:val="bottom"/>
            <w:gridSpan w:val="6"/>
          </w:tcPr>
          <w:p>
            <w:pPr>
              <w:ind w:left="160"/>
              <w:spacing w:after="0" w:line="198" w:lineRule="exact"/>
              <w:rPr>
                <w:sz w:val="20"/>
                <w:szCs w:val="20"/>
                <w:color w:val="auto"/>
              </w:rPr>
            </w:pPr>
            <w:r>
              <w:rPr>
                <w:rFonts w:ascii="Arial" w:cs="Arial" w:eastAsia="Arial" w:hAnsi="Arial"/>
                <w:sz w:val="12"/>
                <w:szCs w:val="12"/>
                <w:b w:val="1"/>
                <w:bCs w:val="1"/>
                <w:color w:val="457157"/>
              </w:rPr>
              <w:t xml:space="preserve">of Base Salary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March 5, 2024 </w:t>
            </w:r>
            <w:r>
              <w:rPr>
                <w:rFonts w:ascii="Arial" w:cs="Arial" w:eastAsia="Arial" w:hAnsi="Arial"/>
                <w:sz w:val="22"/>
                <w:szCs w:val="22"/>
                <w:b w:val="1"/>
                <w:bCs w:val="1"/>
                <w:color w:val="457157"/>
                <w:vertAlign w:val="subscript"/>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​6x</w:t>
            </w:r>
          </w:p>
        </w:tc>
        <w:tc>
          <w:tcPr>
            <w:tcW w:w="700" w:type="dxa"/>
            <w:vAlign w:val="bottom"/>
          </w:tcPr>
          <w:p>
            <w:pPr>
              <w:ind w:left="280"/>
              <w:spacing w:after="0"/>
              <w:rPr>
                <w:sz w:val="20"/>
                <w:szCs w:val="20"/>
                <w:color w:val="auto"/>
              </w:rPr>
            </w:pPr>
            <w:r>
              <w:rPr>
                <w:rFonts w:ascii="Arial" w:cs="Arial" w:eastAsia="Arial" w:hAnsi="Arial"/>
                <w:sz w:val="18"/>
                <w:szCs w:val="18"/>
                <w:color w:val="auto"/>
              </w:rPr>
              <w:t>​ ​ ​</w:t>
            </w:r>
          </w:p>
        </w:tc>
        <w:tc>
          <w:tcPr>
            <w:tcW w:w="280" w:type="dxa"/>
            <w:vAlign w:val="bottom"/>
          </w:tcPr>
          <w:p>
            <w:pPr>
              <w:ind w:left="1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44x</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00" w:type="dxa"/>
            <w:vAlign w:val="bottom"/>
          </w:tcPr>
          <w:p>
            <w:pPr>
              <w:ind w:left="280"/>
              <w:spacing w:after="0"/>
              <w:rPr>
                <w:sz w:val="20"/>
                <w:szCs w:val="20"/>
                <w:color w:val="auto"/>
              </w:rPr>
            </w:pPr>
            <w:r>
              <w:rPr>
                <w:rFonts w:ascii="Arial" w:cs="Arial" w:eastAsia="Arial" w:hAnsi="Arial"/>
                <w:sz w:val="18"/>
                <w:szCs w:val="18"/>
                <w:color w:val="auto"/>
              </w:rPr>
              <w:t>​ ​ ​</w:t>
            </w:r>
          </w:p>
        </w:tc>
        <w:tc>
          <w:tcPr>
            <w:tcW w:w="280" w:type="dxa"/>
            <w:vAlign w:val="bottom"/>
          </w:tcPr>
          <w:p>
            <w:pPr>
              <w:ind w:left="1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16x</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00" w:type="dxa"/>
            <w:vAlign w:val="bottom"/>
          </w:tcPr>
          <w:p>
            <w:pPr>
              <w:ind w:left="280"/>
              <w:spacing w:after="0"/>
              <w:rPr>
                <w:sz w:val="20"/>
                <w:szCs w:val="20"/>
                <w:color w:val="auto"/>
              </w:rPr>
            </w:pPr>
            <w:r>
              <w:rPr>
                <w:rFonts w:ascii="Arial" w:cs="Arial" w:eastAsia="Arial" w:hAnsi="Arial"/>
                <w:sz w:val="18"/>
                <w:szCs w:val="18"/>
                <w:color w:val="auto"/>
              </w:rPr>
              <w:t>​ ​ ​</w:t>
            </w:r>
          </w:p>
        </w:tc>
        <w:tc>
          <w:tcPr>
            <w:tcW w:w="28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24x</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00" w:type="dxa"/>
            <w:vAlign w:val="bottom"/>
          </w:tcPr>
          <w:p>
            <w:pPr>
              <w:ind w:left="280"/>
              <w:spacing w:after="0"/>
              <w:rPr>
                <w:sz w:val="20"/>
                <w:szCs w:val="20"/>
                <w:color w:val="auto"/>
              </w:rPr>
            </w:pPr>
            <w:r>
              <w:rPr>
                <w:rFonts w:ascii="Arial" w:cs="Arial" w:eastAsia="Arial" w:hAnsi="Arial"/>
                <w:sz w:val="18"/>
                <w:szCs w:val="18"/>
                <w:color w:val="auto"/>
              </w:rPr>
              <w:t>​ ​ ​</w:t>
            </w:r>
          </w:p>
        </w:tc>
        <w:tc>
          <w:tcPr>
            <w:tcW w:w="28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4x</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6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040" w:type="dxa"/>
            <w:vAlign w:val="bottom"/>
          </w:tcPr>
          <w:p>
            <w:pPr>
              <w:ind w:left="1700"/>
              <w:spacing w:after="0"/>
              <w:rPr>
                <w:sz w:val="20"/>
                <w:szCs w:val="20"/>
                <w:color w:val="auto"/>
              </w:rPr>
            </w:pPr>
            <w:r>
              <w:rPr>
                <w:rFonts w:ascii="Arial" w:cs="Arial" w:eastAsia="Arial" w:hAnsi="Arial"/>
                <w:sz w:val="18"/>
                <w:szCs w:val="18"/>
                <w:color w:val="auto"/>
              </w:rPr>
              <w:t>​ ​</w:t>
            </w:r>
          </w:p>
        </w:tc>
        <w:tc>
          <w:tcPr>
            <w:tcW w:w="920" w:type="dxa"/>
            <w:vAlign w:val="bottom"/>
          </w:tcPr>
          <w:p>
            <w:pPr>
              <w:ind w:left="3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00" w:type="dxa"/>
            <w:vAlign w:val="bottom"/>
          </w:tcPr>
          <w:p>
            <w:pPr>
              <w:ind w:left="280"/>
              <w:spacing w:after="0"/>
              <w:rPr>
                <w:sz w:val="20"/>
                <w:szCs w:val="20"/>
                <w:color w:val="auto"/>
              </w:rPr>
            </w:pPr>
            <w:r>
              <w:rPr>
                <w:rFonts w:ascii="Arial" w:cs="Arial" w:eastAsia="Arial" w:hAnsi="Arial"/>
                <w:sz w:val="18"/>
                <w:szCs w:val="18"/>
                <w:color w:val="auto"/>
              </w:rPr>
              <w:t>​ ​ ​</w:t>
            </w:r>
          </w:p>
        </w:tc>
        <w:tc>
          <w:tcPr>
            <w:tcW w:w="280" w:type="dxa"/>
            <w:vAlign w:val="bottom"/>
          </w:tcPr>
          <w:p>
            <w:pPr>
              <w:ind w:left="1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16x</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shd w:val="clear" w:color="auto" w:fill="457157"/>
          </w:tcPr>
          <w:p>
            <w:pPr>
              <w:spacing w:after="0" w:line="20" w:lineRule="exact"/>
              <w:rPr>
                <w:sz w:val="1"/>
                <w:szCs w:val="1"/>
                <w:color w:val="auto"/>
              </w:rPr>
            </w:pPr>
          </w:p>
        </w:tc>
        <w:tc>
          <w:tcPr>
            <w:tcW w:w="20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56" w:lineRule="exact"/>
        <w:rPr>
          <w:rFonts w:ascii="Arial" w:cs="Arial" w:eastAsia="Arial" w:hAnsi="Arial"/>
          <w:sz w:val="18"/>
          <w:szCs w:val="18"/>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286" w:lineRule="exact"/>
        <w:rPr>
          <w:rFonts w:ascii="Arial" w:cs="Arial" w:eastAsia="Arial" w:hAnsi="Arial"/>
          <w:sz w:val="18"/>
          <w:szCs w:val="18"/>
          <w:color w:val="auto"/>
        </w:rPr>
      </w:pPr>
    </w:p>
    <w:p>
      <w:pPr>
        <w:jc w:val="both"/>
        <w:ind w:left="820" w:right="60"/>
        <w:spacing w:after="0" w:line="252" w:lineRule="auto"/>
        <w:rPr>
          <w:sz w:val="20"/>
          <w:szCs w:val="20"/>
          <w:color w:val="auto"/>
        </w:rPr>
      </w:pPr>
      <w:r>
        <w:rPr>
          <w:rFonts w:ascii="Arial" w:cs="Arial" w:eastAsia="Arial" w:hAnsi="Arial"/>
          <w:sz w:val="18"/>
          <w:szCs w:val="18"/>
          <w:i w:val="1"/>
          <w:iCs w:val="1"/>
          <w:u w:val="single" w:color="auto"/>
          <w:color w:val="auto"/>
        </w:rPr>
        <w:t>Insider Trading; Prohibition of Hedging and Pledging Company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and executive officers may not pledge Company securities or hold Company securities in a</w:t>
      </w:r>
    </w:p>
    <w:p>
      <w:pPr>
        <w:spacing w:after="0" w:line="215" w:lineRule="exact"/>
        <w:rPr>
          <w:rFonts w:ascii="Arial" w:cs="Arial" w:eastAsia="Arial" w:hAnsi="Arial"/>
          <w:sz w:val="18"/>
          <w:szCs w:val="18"/>
          <w:color w:val="auto"/>
        </w:rPr>
      </w:pPr>
    </w:p>
    <w:p>
      <w:pPr>
        <w:ind w:left="820" w:right="7720"/>
        <w:spacing w:after="0"/>
        <w:rPr>
          <w:sz w:val="20"/>
          <w:szCs w:val="20"/>
          <w:color w:val="auto"/>
        </w:rPr>
      </w:pPr>
      <w:r>
        <w:rPr>
          <w:rFonts w:ascii="Arial" w:cs="Arial" w:eastAsia="Arial" w:hAnsi="Arial"/>
          <w:sz w:val="15"/>
          <w:szCs w:val="15"/>
          <w:color w:val="auto"/>
        </w:rPr>
        <w:t>margin</w:t>
      </w:r>
      <w:r>
        <w:rPr>
          <w:rFonts w:ascii="Arial" w:cs="Arial" w:eastAsia="Arial" w:hAnsi="Arial"/>
          <w:sz w:val="26"/>
          <w:szCs w:val="26"/>
          <w:b w:val="1"/>
          <w:bCs w:val="1"/>
          <w:color w:val="457157"/>
        </w:rPr>
        <w:t>|</w:t>
      </w:r>
      <w:r>
        <w:rPr>
          <w:rFonts w:ascii="Arial" w:cs="Arial" w:eastAsia="Arial" w:hAnsi="Arial"/>
          <w:sz w:val="15"/>
          <w:szCs w:val="15"/>
          <w:color w:val="auto"/>
        </w:rPr>
        <w:t xml:space="preserve"> account. 48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474980</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-137160</wp:posOffset>
            </wp:positionV>
            <wp:extent cx="471805" cy="1282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EXECUTIVE COMPENSATION TABLES</w:t>
      </w:r>
    </w:p>
    <w:p>
      <w:pPr>
        <w:spacing w:after="0" w:line="121"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contains a discussion that should be read in conjunction with these tables to gain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executive compensation philosophy, programs and decisions.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SUMMARY COMPENSATION TABLE</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Stock</w:t>
            </w:r>
          </w:p>
        </w:tc>
        <w:tc>
          <w:tcPr>
            <w:tcW w:w="180" w:type="dxa"/>
            <w:vAlign w:val="bottom"/>
          </w:tcPr>
          <w:p>
            <w:pPr>
              <w:spacing w:after="0"/>
              <w:rPr>
                <w:sz w:val="14"/>
                <w:szCs w:val="14"/>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457157"/>
              </w:rPr>
              <w:t>Option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457157"/>
              </w:rPr>
              <w:t>Non-Equity</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All Other</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457157"/>
              </w:rPr>
              <w:t>Salary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Incentive Plan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6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Year</w:t>
            </w:r>
          </w:p>
        </w:tc>
        <w:tc>
          <w:tcPr>
            <w:tcW w:w="3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Awards</w:t>
            </w:r>
          </w:p>
        </w:tc>
        <w:tc>
          <w:tcPr>
            <w:tcW w:w="180" w:type="dxa"/>
            <w:vAlign w:val="bottom"/>
          </w:tcPr>
          <w:p>
            <w:pPr>
              <w:spacing w:after="0"/>
              <w:rPr>
                <w:sz w:val="12"/>
                <w:szCs w:val="12"/>
                <w:color w:val="auto"/>
              </w:rPr>
            </w:pPr>
          </w:p>
        </w:tc>
        <w:tc>
          <w:tcPr>
            <w:tcW w:w="1840" w:type="dxa"/>
            <w:vAlign w:val="bottom"/>
            <w:gridSpan w:val="4"/>
          </w:tcPr>
          <w:p>
            <w:pPr>
              <w:jc w:val="right"/>
              <w:spacing w:after="0" w:line="145" w:lineRule="exact"/>
              <w:rPr>
                <w:sz w:val="20"/>
                <w:szCs w:val="20"/>
                <w:color w:val="auto"/>
              </w:rPr>
            </w:pPr>
            <w:r>
              <w:rPr>
                <w:rFonts w:ascii="Arial" w:cs="Arial" w:eastAsia="Arial" w:hAnsi="Arial"/>
                <w:sz w:val="14"/>
                <w:szCs w:val="14"/>
                <w:b w:val="1"/>
                <w:bCs w:val="1"/>
                <w:color w:val="457157"/>
              </w:rPr>
              <w:t>Awards  Compensation</w:t>
            </w:r>
          </w:p>
        </w:tc>
        <w:tc>
          <w:tcPr>
            <w:tcW w:w="60" w:type="dxa"/>
            <w:vAlign w:val="bottom"/>
          </w:tcPr>
          <w:p>
            <w:pPr>
              <w:spacing w:after="0"/>
              <w:rPr>
                <w:sz w:val="12"/>
                <w:szCs w:val="12"/>
                <w:color w:val="auto"/>
              </w:rPr>
            </w:pPr>
          </w:p>
        </w:tc>
        <w:tc>
          <w:tcPr>
            <w:tcW w:w="120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Compensation</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vMerge w:val="continue"/>
          </w:tcPr>
          <w:p>
            <w:pPr>
              <w:spacing w:after="0"/>
              <w:rPr>
                <w:sz w:val="12"/>
                <w:szCs w:val="12"/>
                <w:color w:val="auto"/>
              </w:rPr>
            </w:pPr>
          </w:p>
        </w:tc>
        <w:tc>
          <w:tcPr>
            <w:tcW w:w="3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457157"/>
              </w:rPr>
              <w:t>​ ​</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w:t>
            </w:r>
          </w:p>
        </w:tc>
        <w:tc>
          <w:tcPr>
            <w:tcW w:w="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620" w:type="dxa"/>
            <w:vAlign w:val="bottom"/>
          </w:tcPr>
          <w:p>
            <w:pPr>
              <w:jc w:val="right"/>
              <w:spacing w:after="0" w:line="149" w:lineRule="exact"/>
              <w:rPr>
                <w:sz w:val="20"/>
                <w:szCs w:val="20"/>
                <w:color w:val="auto"/>
              </w:rPr>
            </w:pPr>
            <w:r>
              <w:rPr>
                <w:rFonts w:ascii="Arial" w:cs="Arial" w:eastAsia="Arial" w:hAnsi="Arial"/>
                <w:sz w:val="17"/>
                <w:szCs w:val="17"/>
                <w:b w:val="1"/>
                <w:bCs w:val="1"/>
                <w:color w:val="457157"/>
                <w:vertAlign w:val="subscript"/>
              </w:rPr>
              <w:t>($)</w:t>
            </w:r>
            <w:r>
              <w:rPr>
                <w:rFonts w:ascii="Arial" w:cs="Arial" w:eastAsia="Arial" w:hAnsi="Arial"/>
                <w:sz w:val="7"/>
                <w:szCs w:val="7"/>
                <w:b w:val="1"/>
                <w:bCs w:val="1"/>
                <w:color w:val="457157"/>
              </w:rPr>
              <w:t>(1)</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640" w:type="dxa"/>
            <w:vAlign w:val="bottom"/>
          </w:tcPr>
          <w:p>
            <w:pPr>
              <w:jc w:val="right"/>
              <w:spacing w:after="0" w:line="149" w:lineRule="exact"/>
              <w:rPr>
                <w:sz w:val="20"/>
                <w:szCs w:val="20"/>
                <w:color w:val="auto"/>
              </w:rPr>
            </w:pPr>
            <w:r>
              <w:rPr>
                <w:rFonts w:ascii="Arial" w:cs="Arial" w:eastAsia="Arial" w:hAnsi="Arial"/>
                <w:sz w:val="17"/>
                <w:szCs w:val="17"/>
                <w:b w:val="1"/>
                <w:bCs w:val="1"/>
                <w:color w:val="457157"/>
                <w:vertAlign w:val="subscript"/>
              </w:rPr>
              <w:t>($)</w:t>
            </w:r>
            <w:r>
              <w:rPr>
                <w:rFonts w:ascii="Arial" w:cs="Arial" w:eastAsia="Arial" w:hAnsi="Arial"/>
                <w:sz w:val="7"/>
                <w:szCs w:val="7"/>
                <w:b w:val="1"/>
                <w:bCs w:val="1"/>
                <w:color w:val="457157"/>
              </w:rPr>
              <w:t>(2)</w:t>
            </w:r>
          </w:p>
        </w:tc>
        <w:tc>
          <w:tcPr>
            <w:tcW w:w="3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457157"/>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(3)</w:t>
            </w: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7"/>
                <w:szCs w:val="17"/>
                <w:b w:val="1"/>
                <w:bCs w:val="1"/>
                <w:color w:val="457157"/>
                <w:vertAlign w:val="subscript"/>
              </w:rPr>
              <w:t>($)</w:t>
            </w:r>
            <w:r>
              <w:rPr>
                <w:rFonts w:ascii="Arial" w:cs="Arial" w:eastAsia="Arial" w:hAnsi="Arial"/>
                <w:sz w:val="7"/>
                <w:szCs w:val="7"/>
                <w:b w:val="1"/>
                <w:bCs w:val="1"/>
                <w:color w:val="457157"/>
              </w:rPr>
              <w:t>(4)</w:t>
            </w:r>
          </w:p>
        </w:tc>
        <w:tc>
          <w:tcPr>
            <w:tcW w:w="3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w:t>
            </w:r>
          </w:p>
        </w:tc>
        <w:tc>
          <w:tcPr>
            <w:tcW w:w="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296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360" w:type="dxa"/>
            <w:vAlign w:val="bottom"/>
            <w:tcBorders>
              <w:bottom w:val="single" w:sz="8" w:color="457157"/>
            </w:tcBorders>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280" w:type="dxa"/>
            <w:vAlign w:val="bottom"/>
            <w:tcBorders>
              <w:bottom w:val="single" w:sz="8" w:color="457157"/>
            </w:tcBorders>
            <w:gridSpan w:val="2"/>
            <w:vMerge w:val="continue"/>
          </w:tcPr>
          <w:p>
            <w:pPr>
              <w:spacing w:after="0"/>
              <w:rPr>
                <w:sz w:val="4"/>
                <w:szCs w:val="4"/>
                <w:color w:val="auto"/>
              </w:rPr>
            </w:pPr>
          </w:p>
        </w:tc>
        <w:tc>
          <w:tcPr>
            <w:tcW w:w="62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64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2"/>
            <w:vMerge w:val="continue"/>
          </w:tcPr>
          <w:p>
            <w:pPr>
              <w:spacing w:after="0"/>
              <w:rPr>
                <w:sz w:val="4"/>
                <w:szCs w:val="4"/>
                <w:color w:val="auto"/>
              </w:rPr>
            </w:pPr>
          </w:p>
        </w:tc>
        <w:tc>
          <w:tcPr>
            <w:tcW w:w="88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22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300" w:type="dxa"/>
            <w:vAlign w:val="bottom"/>
            <w:tcBorders>
              <w:bottom w:val="single" w:sz="8" w:color="457157"/>
            </w:tcBorders>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James C. Fish, Jr.</w:t>
            </w: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20" w:type="dxa"/>
            <w:vAlign w:val="bottom"/>
            <w:tcBorders>
              <w:bottom w:val="single" w:sz="8" w:color="457157"/>
            </w:tcBorders>
            <w:gridSpan w:val="2"/>
            <w:shd w:val="clear" w:color="auto" w:fill="CCEEFF"/>
          </w:tcPr>
          <w:p>
            <w:pPr>
              <w:spacing w:after="0" w:line="22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President and Chief Executive Officer </w:t>
            </w:r>
            <w:r>
              <w:rPr>
                <w:rFonts w:ascii="Arial" w:cs="Arial" w:eastAsia="Arial" w:hAnsi="Arial"/>
                <w:sz w:val="25"/>
                <w:szCs w:val="25"/>
                <w:b w:val="1"/>
                <w:bCs w:val="1"/>
                <w:color w:val="auto"/>
                <w:vertAlign w:val="subscript"/>
              </w:rPr>
              <w:t>​ ​​</w:t>
            </w:r>
          </w:p>
        </w:tc>
        <w:tc>
          <w:tcPr>
            <w:tcW w:w="580" w:type="dxa"/>
            <w:vAlign w:val="bottom"/>
            <w:tcBorders>
              <w:bottom w:val="single" w:sz="8" w:color="457157"/>
            </w:tcBorders>
            <w:shd w:val="clear" w:color="auto" w:fill="CCEEFF"/>
          </w:tcPr>
          <w:p>
            <w:pPr>
              <w:spacing w:after="0"/>
              <w:rPr>
                <w:sz w:val="19"/>
                <w:szCs w:val="19"/>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60" w:type="dxa"/>
            <w:vAlign w:val="bottom"/>
          </w:tcPr>
          <w:p>
            <w:pPr>
              <w:jc w:val="right"/>
              <w:ind w:right="2512"/>
              <w:spacing w:after="0" w:line="169" w:lineRule="exact"/>
              <w:rPr>
                <w:sz w:val="20"/>
                <w:szCs w:val="20"/>
                <w:color w:val="auto"/>
              </w:rPr>
            </w:pPr>
            <w:r>
              <w:rPr>
                <w:rFonts w:ascii="Arial" w:cs="Arial" w:eastAsia="Arial" w:hAnsi="Arial"/>
                <w:sz w:val="15"/>
                <w:szCs w:val="15"/>
                <w:color w:val="auto"/>
              </w:rPr>
              <w:t>2023</w:t>
            </w:r>
          </w:p>
        </w:tc>
        <w:tc>
          <w:tcPr>
            <w:tcW w:w="1080" w:type="dxa"/>
            <w:vAlign w:val="bottom"/>
            <w:gridSpan w:val="3"/>
          </w:tcPr>
          <w:p>
            <w:pPr>
              <w:jc w:val="center"/>
              <w:ind w:left="193"/>
              <w:spacing w:after="0" w:line="169" w:lineRule="exact"/>
              <w:rPr>
                <w:sz w:val="20"/>
                <w:szCs w:val="20"/>
                <w:color w:val="auto"/>
              </w:rPr>
            </w:pPr>
            <w:r>
              <w:rPr>
                <w:rFonts w:ascii="Arial" w:cs="Arial" w:eastAsia="Arial" w:hAnsi="Arial"/>
                <w:sz w:val="15"/>
                <w:szCs w:val="15"/>
                <w:color w:val="auto"/>
                <w:w w:val="99"/>
              </w:rPr>
              <w:t>​1,388,461</w:t>
            </w:r>
            <w:r>
              <w:rPr>
                <w:rFonts w:ascii="Arial" w:cs="Arial" w:eastAsia="Arial" w:hAnsi="Arial"/>
                <w:sz w:val="19"/>
                <w:szCs w:val="19"/>
                <w:color w:val="auto"/>
                <w:w w:val="99"/>
                <w:vertAlign w:val="superscript"/>
              </w:rPr>
              <w:t>(5)</w:t>
            </w:r>
          </w:p>
        </w:tc>
        <w:tc>
          <w:tcPr>
            <w:tcW w:w="7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​8,405,433</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​1,950,000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2,638,116</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7"/>
              <w:spacing w:after="0" w:line="169" w:lineRule="exact"/>
              <w:rPr>
                <w:sz w:val="20"/>
                <w:szCs w:val="20"/>
                <w:color w:val="auto"/>
              </w:rPr>
            </w:pPr>
            <w:r>
              <w:rPr>
                <w:rFonts w:ascii="Arial" w:cs="Arial" w:eastAsia="Arial" w:hAnsi="Arial"/>
                <w:sz w:val="15"/>
                <w:szCs w:val="15"/>
                <w:color w:val="auto"/>
              </w:rPr>
              <w:t>​ 246,844</w:t>
            </w:r>
          </w:p>
        </w:tc>
        <w:tc>
          <w:tcPr>
            <w:tcW w:w="60" w:type="dxa"/>
            <w:vAlign w:val="bottom"/>
          </w:tcPr>
          <w:p>
            <w:pPr>
              <w:spacing w:after="0"/>
              <w:rPr>
                <w:sz w:val="14"/>
                <w:szCs w:val="14"/>
                <w:color w:val="auto"/>
              </w:rPr>
            </w:pP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​14,628,854</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960" w:type="dxa"/>
            <w:vAlign w:val="bottom"/>
          </w:tcPr>
          <w:p>
            <w:pPr>
              <w:spacing w:after="0" w:line="68" w:lineRule="exact"/>
              <w:rPr>
                <w:sz w:val="20"/>
                <w:szCs w:val="20"/>
                <w:color w:val="auto"/>
              </w:rPr>
            </w:pPr>
            <w:r>
              <w:rPr>
                <w:rFonts w:ascii="Arial" w:cs="Arial" w:eastAsia="Arial" w:hAnsi="Arial"/>
                <w:sz w:val="7"/>
                <w:szCs w:val="7"/>
                <w:color w:val="auto"/>
              </w:rPr>
              <w:t>​</w:t>
            </w:r>
          </w:p>
        </w:tc>
        <w:tc>
          <w:tcPr>
            <w:tcW w:w="36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Pr>
          <w:p>
            <w:pPr>
              <w:spacing w:after="0"/>
              <w:rPr>
                <w:sz w:val="5"/>
                <w:szCs w:val="5"/>
                <w:color w:val="auto"/>
              </w:rPr>
            </w:pPr>
          </w:p>
        </w:tc>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36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60" w:type="dxa"/>
            <w:vAlign w:val="bottom"/>
            <w:tcBorders>
              <w:top w:val="single" w:sz="8" w:color="457157"/>
            </w:tcBorders>
            <w:shd w:val="clear" w:color="auto" w:fill="CCEEFF"/>
          </w:tcPr>
          <w:p>
            <w:pPr>
              <w:jc w:val="right"/>
              <w:ind w:right="2512"/>
              <w:spacing w:after="0" w:line="169" w:lineRule="exact"/>
              <w:rPr>
                <w:sz w:val="20"/>
                <w:szCs w:val="20"/>
                <w:color w:val="auto"/>
              </w:rPr>
            </w:pPr>
            <w:r>
              <w:rPr>
                <w:rFonts w:ascii="Arial" w:cs="Arial" w:eastAsia="Arial" w:hAnsi="Arial"/>
                <w:sz w:val="15"/>
                <w:szCs w:val="15"/>
                <w:color w:val="auto"/>
              </w:rPr>
              <w:t>2022</w:t>
            </w:r>
          </w:p>
        </w:tc>
        <w:tc>
          <w:tcPr>
            <w:tcW w:w="1080" w:type="dxa"/>
            <w:vAlign w:val="bottom"/>
            <w:tcBorders>
              <w:top w:val="single" w:sz="8" w:color="457157"/>
            </w:tcBorders>
            <w:gridSpan w:val="3"/>
            <w:shd w:val="clear" w:color="auto" w:fill="CCEEFF"/>
          </w:tcPr>
          <w:p>
            <w:pPr>
              <w:jc w:val="center"/>
              <w:ind w:left="193"/>
              <w:spacing w:after="0" w:line="169" w:lineRule="exact"/>
              <w:rPr>
                <w:sz w:val="20"/>
                <w:szCs w:val="20"/>
                <w:color w:val="auto"/>
              </w:rPr>
            </w:pPr>
            <w:r>
              <w:rPr>
                <w:rFonts w:ascii="Arial" w:cs="Arial" w:eastAsia="Arial" w:hAnsi="Arial"/>
                <w:sz w:val="15"/>
                <w:szCs w:val="15"/>
                <w:color w:val="auto"/>
                <w:w w:val="99"/>
              </w:rPr>
              <w:t>​1,338,462</w:t>
            </w:r>
            <w:r>
              <w:rPr>
                <w:rFonts w:ascii="Arial" w:cs="Arial" w:eastAsia="Arial" w:hAnsi="Arial"/>
                <w:sz w:val="19"/>
                <w:szCs w:val="19"/>
                <w:color w:val="auto"/>
                <w:w w:val="99"/>
                <w:vertAlign w:val="superscript"/>
              </w:rPr>
              <w:t>(5)</w:t>
            </w:r>
          </w:p>
        </w:tc>
        <w:tc>
          <w:tcPr>
            <w:tcW w:w="76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​8,023,256</w:t>
            </w:r>
          </w:p>
        </w:tc>
        <w:tc>
          <w:tcPr>
            <w:tcW w:w="82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​1,750,011</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457157"/>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457157"/>
            </w:tcBorders>
            <w:shd w:val="clear" w:color="auto" w:fill="CCEEFF"/>
          </w:tcPr>
          <w:p>
            <w:pPr>
              <w:jc w:val="right"/>
              <w:ind w:right="44"/>
              <w:spacing w:after="0" w:line="169" w:lineRule="exact"/>
              <w:rPr>
                <w:sz w:val="20"/>
                <w:szCs w:val="20"/>
                <w:color w:val="auto"/>
              </w:rPr>
            </w:pPr>
            <w:r>
              <w:rPr>
                <w:rFonts w:ascii="Arial" w:cs="Arial" w:eastAsia="Arial" w:hAnsi="Arial"/>
                <w:sz w:val="15"/>
                <w:szCs w:val="15"/>
                <w:color w:val="auto"/>
              </w:rPr>
              <w:t>3,459,049</w:t>
            </w:r>
          </w:p>
        </w:tc>
        <w:tc>
          <w:tcPr>
            <w:tcW w:w="280" w:type="dxa"/>
            <w:vAlign w:val="bottom"/>
            <w:tcBorders>
              <w:top w:val="single" w:sz="8" w:color="457157"/>
            </w:tcBorders>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457157"/>
            </w:tcBorders>
            <w:gridSpan w:val="2"/>
            <w:shd w:val="clear" w:color="auto" w:fill="CCEEFF"/>
          </w:tcPr>
          <w:p>
            <w:pPr>
              <w:jc w:val="right"/>
              <w:ind w:right="147"/>
              <w:spacing w:after="0" w:line="169" w:lineRule="exact"/>
              <w:rPr>
                <w:sz w:val="20"/>
                <w:szCs w:val="20"/>
                <w:color w:val="auto"/>
              </w:rPr>
            </w:pPr>
            <w:r>
              <w:rPr>
                <w:rFonts w:ascii="Arial" w:cs="Arial" w:eastAsia="Arial" w:hAnsi="Arial"/>
                <w:sz w:val="15"/>
                <w:szCs w:val="15"/>
                <w:color w:val="auto"/>
              </w:rPr>
              <w:t>​ 249,906</w:t>
            </w:r>
          </w:p>
        </w:tc>
        <w:tc>
          <w:tcPr>
            <w:tcW w:w="60" w:type="dxa"/>
            <w:vAlign w:val="bottom"/>
            <w:tcBorders>
              <w:top w:val="single" w:sz="8" w:color="457157"/>
            </w:tcBorders>
            <w:shd w:val="clear" w:color="auto" w:fill="CCEEFF"/>
          </w:tcPr>
          <w:p>
            <w:pPr>
              <w:spacing w:after="0"/>
              <w:rPr>
                <w:sz w:val="14"/>
                <w:szCs w:val="14"/>
                <w:color w:val="auto"/>
              </w:rPr>
            </w:pPr>
          </w:p>
        </w:tc>
        <w:tc>
          <w:tcPr>
            <w:tcW w:w="88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​14,820,684</w:t>
            </w:r>
          </w:p>
        </w:tc>
        <w:tc>
          <w:tcPr>
            <w:tcW w:w="40" w:type="dxa"/>
            <w:vAlign w:val="bottom"/>
            <w:tcBorders>
              <w:top w:val="single" w:sz="8" w:color="457157"/>
            </w:tcBorders>
            <w:vMerge w:val="restart"/>
            <w:shd w:val="clear" w:color="auto" w:fill="CCEEFF"/>
          </w:tcPr>
          <w:p>
            <w:pPr>
              <w:spacing w:after="0"/>
              <w:rPr>
                <w:sz w:val="20"/>
                <w:szCs w:val="20"/>
                <w:color w:val="auto"/>
              </w:rPr>
            </w:pPr>
            <w:r>
              <w:rPr>
                <w:rFonts w:ascii="Arial" w:cs="Arial" w:eastAsia="Arial" w:hAnsi="Arial"/>
                <w:sz w:val="1"/>
                <w:szCs w:val="1"/>
                <w:color w:val="auto"/>
                <w:w w:val="42949422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96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36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gridSpan w:val="2"/>
            <w:vMerge w:val="continue"/>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gridSpan w:val="2"/>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457157"/>
            </w:tcBorders>
            <w:shd w:val="clear" w:color="auto" w:fill="CCEEFF"/>
          </w:tcPr>
          <w:p>
            <w:pPr>
              <w:spacing w:after="0"/>
              <w:rPr>
                <w:sz w:val="5"/>
                <w:szCs w:val="5"/>
                <w:color w:val="auto"/>
              </w:rPr>
            </w:pPr>
          </w:p>
        </w:tc>
        <w:tc>
          <w:tcPr>
            <w:tcW w:w="40" w:type="dxa"/>
            <w:vAlign w:val="bottom"/>
            <w:tcBorders>
              <w:bottom w:val="single" w:sz="8" w:color="457157"/>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60" w:type="dxa"/>
            <w:vAlign w:val="bottom"/>
          </w:tcPr>
          <w:p>
            <w:pPr>
              <w:jc w:val="right"/>
              <w:ind w:right="2512"/>
              <w:spacing w:after="0" w:line="169" w:lineRule="exact"/>
              <w:rPr>
                <w:sz w:val="20"/>
                <w:szCs w:val="20"/>
                <w:color w:val="auto"/>
              </w:rPr>
            </w:pPr>
            <w:r>
              <w:rPr>
                <w:rFonts w:ascii="Arial" w:cs="Arial" w:eastAsia="Arial" w:hAnsi="Arial"/>
                <w:sz w:val="15"/>
                <w:szCs w:val="15"/>
                <w:color w:val="auto"/>
              </w:rPr>
              <w:t>2021</w:t>
            </w:r>
          </w:p>
        </w:tc>
        <w:tc>
          <w:tcPr>
            <w:tcW w:w="1080" w:type="dxa"/>
            <w:vAlign w:val="bottom"/>
            <w:gridSpan w:val="3"/>
          </w:tcPr>
          <w:p>
            <w:pPr>
              <w:jc w:val="center"/>
              <w:ind w:left="193"/>
              <w:spacing w:after="0" w:line="169" w:lineRule="exact"/>
              <w:rPr>
                <w:sz w:val="20"/>
                <w:szCs w:val="20"/>
                <w:color w:val="auto"/>
              </w:rPr>
            </w:pPr>
            <w:r>
              <w:rPr>
                <w:rFonts w:ascii="Arial" w:cs="Arial" w:eastAsia="Arial" w:hAnsi="Arial"/>
                <w:sz w:val="15"/>
                <w:szCs w:val="15"/>
                <w:color w:val="auto"/>
                <w:w w:val="99"/>
              </w:rPr>
              <w:t>​1,294,231</w:t>
            </w:r>
            <w:r>
              <w:rPr>
                <w:rFonts w:ascii="Arial" w:cs="Arial" w:eastAsia="Arial" w:hAnsi="Arial"/>
                <w:sz w:val="19"/>
                <w:szCs w:val="19"/>
                <w:color w:val="auto"/>
                <w:w w:val="99"/>
                <w:vertAlign w:val="superscript"/>
              </w:rPr>
              <w:t>(5)</w:t>
            </w:r>
          </w:p>
        </w:tc>
        <w:tc>
          <w:tcPr>
            <w:tcW w:w="76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​7,312,195</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​1,700,005</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2,656,497</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100"/>
              <w:spacing w:after="0" w:line="169"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147"/>
              <w:spacing w:after="0" w:line="169" w:lineRule="exact"/>
              <w:rPr>
                <w:sz w:val="20"/>
                <w:szCs w:val="20"/>
                <w:color w:val="auto"/>
              </w:rPr>
            </w:pPr>
            <w:r>
              <w:rPr>
                <w:rFonts w:ascii="Arial" w:cs="Arial" w:eastAsia="Arial" w:hAnsi="Arial"/>
                <w:sz w:val="15"/>
                <w:szCs w:val="15"/>
                <w:color w:val="auto"/>
              </w:rPr>
              <w:t>94,435</w:t>
            </w:r>
          </w:p>
        </w:tc>
        <w:tc>
          <w:tcPr>
            <w:tcW w:w="60" w:type="dxa"/>
            <w:vAlign w:val="bottom"/>
          </w:tcPr>
          <w:p>
            <w:pPr>
              <w:spacing w:after="0"/>
              <w:rPr>
                <w:sz w:val="14"/>
                <w:szCs w:val="14"/>
                <w:color w:val="auto"/>
              </w:rPr>
            </w:pP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​13,057,363</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960" w:type="dxa"/>
            <w:vAlign w:val="bottom"/>
          </w:tcPr>
          <w:p>
            <w:pPr>
              <w:spacing w:after="0" w:line="68" w:lineRule="exact"/>
              <w:rPr>
                <w:sz w:val="20"/>
                <w:szCs w:val="20"/>
                <w:color w:val="auto"/>
              </w:rPr>
            </w:pPr>
            <w:r>
              <w:rPr>
                <w:rFonts w:ascii="Arial" w:cs="Arial" w:eastAsia="Arial" w:hAnsi="Arial"/>
                <w:sz w:val="7"/>
                <w:szCs w:val="7"/>
                <w:color w:val="auto"/>
              </w:rPr>
              <w:t>​</w:t>
            </w:r>
          </w:p>
        </w:tc>
        <w:tc>
          <w:tcPr>
            <w:tcW w:w="36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Pr>
          <w:p>
            <w:pPr>
              <w:spacing w:after="0"/>
              <w:rPr>
                <w:sz w:val="5"/>
                <w:szCs w:val="5"/>
                <w:color w:val="auto"/>
              </w:rPr>
            </w:pPr>
          </w:p>
        </w:tc>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2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36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96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Devina A. Rankin</w:t>
            </w:r>
          </w:p>
        </w:tc>
        <w:tc>
          <w:tcPr>
            <w:tcW w:w="36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62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Executive Vice President and Chief</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Financial Officer</w:t>
            </w:r>
          </w:p>
        </w:tc>
        <w:tc>
          <w:tcPr>
            <w:tcW w:w="3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760,792</w:t>
            </w:r>
            <w:r>
              <w:rPr>
                <w:rFonts w:ascii="Arial" w:cs="Arial" w:eastAsia="Arial" w:hAnsi="Arial"/>
                <w:sz w:val="27"/>
                <w:szCs w:val="27"/>
                <w:color w:val="auto"/>
                <w:vertAlign w:val="subscript"/>
              </w:rPr>
              <w:t>​​ ​​</w:t>
            </w:r>
            <w:r>
              <w:rPr>
                <w:rFonts w:ascii="Arial" w:cs="Arial" w:eastAsia="Arial" w:hAnsi="Arial"/>
                <w:sz w:val="14"/>
                <w:szCs w:val="14"/>
                <w:color w:val="auto"/>
              </w:rPr>
              <w:t>​1,982,933</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460,005</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915,228</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95,142</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4,214,100</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2960" w:type="dxa"/>
            <w:vAlign w:val="bottom"/>
            <w:tcBorders>
              <w:top w:val="single" w:sz="8" w:color="457157"/>
              <w:bottom w:val="single" w:sz="8" w:color="457157"/>
            </w:tcBorders>
            <w:shd w:val="clear" w:color="auto" w:fill="CCEEFF"/>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6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730,288</w:t>
            </w:r>
            <w:r>
              <w:rPr>
                <w:rFonts w:ascii="Arial" w:cs="Arial" w:eastAsia="Arial" w:hAnsi="Arial"/>
                <w:sz w:val="27"/>
                <w:szCs w:val="27"/>
                <w:color w:val="auto"/>
                <w:vertAlign w:val="subscript"/>
              </w:rPr>
              <w:t>​​ ​​</w:t>
            </w:r>
            <w:r>
              <w:rPr>
                <w:rFonts w:ascii="Arial" w:cs="Arial" w:eastAsia="Arial" w:hAnsi="Arial"/>
                <w:sz w:val="14"/>
                <w:szCs w:val="14"/>
                <w:color w:val="auto"/>
              </w:rPr>
              <w:t>​3,008,095</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439,988</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1,258,404</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7"/>
              <w:spacing w:after="0"/>
              <w:rPr>
                <w:sz w:val="20"/>
                <w:szCs w:val="20"/>
                <w:color w:val="auto"/>
              </w:rPr>
            </w:pPr>
            <w:r>
              <w:rPr>
                <w:rFonts w:ascii="Arial" w:cs="Arial" w:eastAsia="Arial" w:hAnsi="Arial"/>
                <w:sz w:val="15"/>
                <w:szCs w:val="15"/>
                <w:color w:val="auto"/>
              </w:rPr>
              <w:t>98,980</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5,535,755</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700,671</w:t>
            </w:r>
            <w:r>
              <w:rPr>
                <w:rFonts w:ascii="Arial" w:cs="Arial" w:eastAsia="Arial" w:hAnsi="Arial"/>
                <w:sz w:val="27"/>
                <w:szCs w:val="27"/>
                <w:color w:val="auto"/>
                <w:vertAlign w:val="subscript"/>
              </w:rPr>
              <w:t>​​ ​​</w:t>
            </w:r>
            <w:r>
              <w:rPr>
                <w:rFonts w:ascii="Arial" w:cs="Arial" w:eastAsia="Arial" w:hAnsi="Arial"/>
                <w:sz w:val="14"/>
                <w:szCs w:val="14"/>
                <w:color w:val="auto"/>
              </w:rPr>
              <w:t>​1,806,413</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420,003</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958,821</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56,094</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3,942,002</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6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John J. Morris, Jr.</w:t>
            </w:r>
          </w:p>
        </w:tc>
        <w:tc>
          <w:tcPr>
            <w:tcW w:w="36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62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Executive Vice President and Chief</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Operating Officer</w:t>
            </w:r>
          </w:p>
        </w:tc>
        <w:tc>
          <w:tcPr>
            <w:tcW w:w="3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777,031</w:t>
            </w:r>
            <w:r>
              <w:rPr>
                <w:rFonts w:ascii="Arial" w:cs="Arial" w:eastAsia="Arial" w:hAnsi="Arial"/>
                <w:sz w:val="27"/>
                <w:szCs w:val="27"/>
                <w:color w:val="auto"/>
                <w:vertAlign w:val="subscript"/>
              </w:rPr>
              <w:t>​​ ​​</w:t>
            </w:r>
            <w:r>
              <w:rPr>
                <w:rFonts w:ascii="Arial" w:cs="Arial" w:eastAsia="Arial" w:hAnsi="Arial"/>
                <w:sz w:val="14"/>
                <w:szCs w:val="14"/>
                <w:color w:val="auto"/>
              </w:rPr>
              <w:t>​2,327,562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539,987</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1,028,241</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144,151</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4,816,972</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2960" w:type="dxa"/>
            <w:vAlign w:val="bottom"/>
            <w:tcBorders>
              <w:top w:val="single" w:sz="8" w:color="457157"/>
              <w:bottom w:val="single" w:sz="8" w:color="457157"/>
            </w:tcBorders>
            <w:shd w:val="clear" w:color="auto" w:fill="CCEEFF"/>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6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748,736</w:t>
            </w:r>
            <w:r>
              <w:rPr>
                <w:rFonts w:ascii="Arial" w:cs="Arial" w:eastAsia="Arial" w:hAnsi="Arial"/>
                <w:sz w:val="27"/>
                <w:szCs w:val="27"/>
                <w:color w:val="auto"/>
                <w:vertAlign w:val="subscript"/>
              </w:rPr>
              <w:t>​​ ​​</w:t>
            </w:r>
            <w:r>
              <w:rPr>
                <w:rFonts w:ascii="Arial" w:cs="Arial" w:eastAsia="Arial" w:hAnsi="Arial"/>
                <w:sz w:val="14"/>
                <w:szCs w:val="14"/>
                <w:color w:val="auto"/>
              </w:rPr>
              <w:t>​3,870,479</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519,995</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1,391,871</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457157"/>
              <w:bottom w:val="single" w:sz="8" w:color="457157"/>
            </w:tcBorders>
            <w:gridSpan w:val="2"/>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131,155</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6,662,236</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728,138</w:t>
            </w:r>
            <w:r>
              <w:rPr>
                <w:rFonts w:ascii="Arial" w:cs="Arial" w:eastAsia="Arial" w:hAnsi="Arial"/>
                <w:sz w:val="27"/>
                <w:szCs w:val="27"/>
                <w:color w:val="auto"/>
                <w:vertAlign w:val="subscript"/>
              </w:rPr>
              <w:t>​​ ​​</w:t>
            </w:r>
            <w:r>
              <w:rPr>
                <w:rFonts w:ascii="Arial" w:cs="Arial" w:eastAsia="Arial" w:hAnsi="Arial"/>
                <w:sz w:val="14"/>
                <w:szCs w:val="14"/>
                <w:color w:val="auto"/>
              </w:rPr>
              <w:t>​1,978,522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460,006</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996,408</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67,420</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4,230,494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6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Rafael E. Carrasco</w:t>
            </w:r>
          </w:p>
        </w:tc>
        <w:tc>
          <w:tcPr>
            <w:tcW w:w="36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62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Senior Vice President — Enterprise</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Strategy</w:t>
            </w:r>
          </w:p>
        </w:tc>
        <w:tc>
          <w:tcPr>
            <w:tcW w:w="3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633,592</w:t>
            </w:r>
            <w:r>
              <w:rPr>
                <w:rFonts w:ascii="Arial" w:cs="Arial" w:eastAsia="Arial" w:hAnsi="Arial"/>
                <w:sz w:val="27"/>
                <w:szCs w:val="27"/>
                <w:color w:val="auto"/>
                <w:vertAlign w:val="subscript"/>
              </w:rPr>
              <w:t>​​ ​​</w:t>
            </w:r>
            <w:r>
              <w:rPr>
                <w:rFonts w:ascii="Arial" w:cs="Arial" w:eastAsia="Arial" w:hAnsi="Arial"/>
                <w:sz w:val="14"/>
                <w:szCs w:val="14"/>
                <w:color w:val="auto"/>
              </w:rPr>
              <w:t>​1,724,132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400,010</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686,538</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16,036</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3,460,308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6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Tara J. Hemmer</w:t>
            </w:r>
          </w:p>
        </w:tc>
        <w:tc>
          <w:tcPr>
            <w:tcW w:w="36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62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6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Senior Vice President and Chief</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6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Sustainability Officer</w:t>
            </w:r>
          </w:p>
        </w:tc>
        <w:tc>
          <w:tcPr>
            <w:tcW w:w="3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62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662,769</w:t>
            </w:r>
            <w:r>
              <w:rPr>
                <w:rFonts w:ascii="Arial" w:cs="Arial" w:eastAsia="Arial" w:hAnsi="Arial"/>
                <w:sz w:val="27"/>
                <w:szCs w:val="27"/>
                <w:color w:val="auto"/>
                <w:vertAlign w:val="subscript"/>
              </w:rPr>
              <w:t>​​ ​​</w:t>
            </w:r>
            <w:r>
              <w:rPr>
                <w:rFonts w:ascii="Arial" w:cs="Arial" w:eastAsia="Arial" w:hAnsi="Arial"/>
                <w:sz w:val="14"/>
                <w:szCs w:val="14"/>
                <w:color w:val="auto"/>
              </w:rPr>
              <w:t>​1,551,818</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360,003</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717,576</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102,639</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3,394,805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2960" w:type="dxa"/>
            <w:vAlign w:val="bottom"/>
            <w:tcBorders>
              <w:top w:val="single" w:sz="8" w:color="457157"/>
              <w:bottom w:val="single" w:sz="8" w:color="457157"/>
            </w:tcBorders>
            <w:shd w:val="clear" w:color="auto" w:fill="CCEEFF"/>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36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tcBorders>
              <w:top w:val="single" w:sz="8" w:color="457157"/>
              <w:bottom w:val="single" w:sz="8" w:color="457157"/>
            </w:tcBorders>
            <w:gridSpan w:val="5"/>
            <w:shd w:val="clear" w:color="auto" w:fill="CCEEFF"/>
          </w:tcPr>
          <w:p>
            <w:pPr>
              <w:jc w:val="right"/>
              <w:spacing w:after="0" w:line="236" w:lineRule="exact"/>
              <w:rPr>
                <w:sz w:val="20"/>
                <w:szCs w:val="20"/>
                <w:color w:val="auto"/>
              </w:rPr>
            </w:pPr>
            <w:r>
              <w:rPr>
                <w:rFonts w:ascii="Arial" w:cs="Arial" w:eastAsia="Arial" w:hAnsi="Arial"/>
                <w:sz w:val="14"/>
                <w:szCs w:val="14"/>
                <w:color w:val="auto"/>
              </w:rPr>
              <w:t>630,506</w:t>
            </w:r>
            <w:r>
              <w:rPr>
                <w:rFonts w:ascii="Arial" w:cs="Arial" w:eastAsia="Arial" w:hAnsi="Arial"/>
                <w:sz w:val="27"/>
                <w:szCs w:val="27"/>
                <w:color w:val="auto"/>
                <w:vertAlign w:val="subscript"/>
              </w:rPr>
              <w:t>​​ ​​</w:t>
            </w:r>
            <w:r>
              <w:rPr>
                <w:rFonts w:ascii="Arial" w:cs="Arial" w:eastAsia="Arial" w:hAnsi="Arial"/>
                <w:sz w:val="14"/>
                <w:szCs w:val="14"/>
                <w:color w:val="auto"/>
              </w:rPr>
              <w:t>​2,302,032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339,992</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978,476</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7"/>
              <w:spacing w:after="0"/>
              <w:rPr>
                <w:sz w:val="20"/>
                <w:szCs w:val="20"/>
                <w:color w:val="auto"/>
              </w:rPr>
            </w:pPr>
            <w:r>
              <w:rPr>
                <w:rFonts w:ascii="Arial" w:cs="Arial" w:eastAsia="Arial" w:hAnsi="Arial"/>
                <w:sz w:val="15"/>
                <w:szCs w:val="15"/>
                <w:color w:val="auto"/>
              </w:rPr>
              <w:t>70,648</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4,321,654</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tcPr>
          <w:p>
            <w:pPr>
              <w:jc w:val="right"/>
              <w:ind w:right="251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36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66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585,868</w:t>
            </w:r>
            <w:r>
              <w:rPr>
                <w:rFonts w:ascii="Arial" w:cs="Arial" w:eastAsia="Arial" w:hAnsi="Arial"/>
                <w:sz w:val="27"/>
                <w:szCs w:val="27"/>
                <w:color w:val="auto"/>
                <w:vertAlign w:val="subscript"/>
              </w:rPr>
              <w:t>​​ ​​</w:t>
            </w:r>
            <w:r>
              <w:rPr>
                <w:rFonts w:ascii="Arial" w:cs="Arial" w:eastAsia="Arial" w:hAnsi="Arial"/>
                <w:sz w:val="14"/>
                <w:szCs w:val="14"/>
                <w:color w:val="auto"/>
              </w:rPr>
              <w:t>​1,462,439</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339,998</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721,549</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7"/>
              <w:spacing w:after="0"/>
              <w:rPr>
                <w:sz w:val="20"/>
                <w:szCs w:val="20"/>
                <w:color w:val="auto"/>
              </w:rPr>
            </w:pPr>
            <w:r>
              <w:rPr>
                <w:rFonts w:ascii="Arial" w:cs="Arial" w:eastAsia="Arial" w:hAnsi="Arial"/>
                <w:sz w:val="15"/>
                <w:szCs w:val="15"/>
                <w:color w:val="auto"/>
              </w:rPr>
              <w:t>45,601</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3,155,455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0"/>
        </w:trPr>
        <w:tc>
          <w:tcPr>
            <w:tcW w:w="29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4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left="1180" w:right="60" w:hanging="364"/>
        <w:spacing w:after="0" w:line="253"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The grant date fair values were calculated in accordance with ASC Topic 718, as further described in Note 14 in the Notes to the Consolidated Financial Statements in our 2023 Annual Report on Form 10-K. The grant date fair value of a TSR PSU granted in 2023, based on a multifactor Monte Carlo model, is $177.48, and because total shareholder return is a market condition, projected achievement is embedded in the grant date fair value. The grant date fair value of a Cash Flow PSU granted in 2023 is $150.115, which is the average of the high and low market price of our Common Stock on the date of the grant, in accordance with our 2014 Stock Incentive Plan. The table below shows (a)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382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1780" w:type="dxa"/>
            <w:vAlign w:val="bottom"/>
            <w:tcBorders>
              <w:top w:val="single" w:sz="8" w:color="457157"/>
            </w:tcBorders>
          </w:tcPr>
          <w:p>
            <w:pPr>
              <w:spacing w:after="0"/>
              <w:rPr>
                <w:sz w:val="14"/>
                <w:szCs w:val="14"/>
                <w:color w:val="auto"/>
              </w:rPr>
            </w:pPr>
          </w:p>
        </w:tc>
        <w:tc>
          <w:tcPr>
            <w:tcW w:w="320" w:type="dxa"/>
            <w:vAlign w:val="bottom"/>
            <w:tcBorders>
              <w:top w:val="single" w:sz="8" w:color="457157"/>
            </w:tcBorders>
          </w:tcPr>
          <w:p>
            <w:pPr>
              <w:spacing w:after="0"/>
              <w:rPr>
                <w:sz w:val="14"/>
                <w:szCs w:val="14"/>
                <w:color w:val="auto"/>
              </w:rPr>
            </w:pPr>
          </w:p>
        </w:tc>
        <w:tc>
          <w:tcPr>
            <w:tcW w:w="1180" w:type="dxa"/>
            <w:vAlign w:val="bottom"/>
            <w:tcBorders>
              <w:top w:val="single" w:sz="8" w:color="457157"/>
            </w:tcBorders>
          </w:tcPr>
          <w:p>
            <w:pPr>
              <w:spacing w:after="0"/>
              <w:rPr>
                <w:sz w:val="14"/>
                <w:szCs w:val="14"/>
                <w:color w:val="auto"/>
              </w:rPr>
            </w:pPr>
          </w:p>
        </w:tc>
        <w:tc>
          <w:tcPr>
            <w:tcW w:w="380" w:type="dxa"/>
            <w:vAlign w:val="bottom"/>
            <w:tcBorders>
              <w:top w:val="single" w:sz="8" w:color="457157"/>
            </w:tcBorders>
          </w:tcPr>
          <w:p>
            <w:pPr>
              <w:spacing w:after="0"/>
              <w:rPr>
                <w:sz w:val="14"/>
                <w:szCs w:val="14"/>
                <w:color w:val="auto"/>
              </w:rPr>
            </w:pPr>
          </w:p>
        </w:tc>
        <w:tc>
          <w:tcPr>
            <w:tcW w:w="300" w:type="dxa"/>
            <w:vAlign w:val="bottom"/>
            <w:tcBorders>
              <w:top w:val="single" w:sz="8" w:color="457157"/>
            </w:tcBorders>
          </w:tcPr>
          <w:p>
            <w:pPr>
              <w:spacing w:after="0"/>
              <w:rPr>
                <w:sz w:val="14"/>
                <w:szCs w:val="14"/>
                <w:color w:val="auto"/>
              </w:rPr>
            </w:pPr>
          </w:p>
        </w:tc>
        <w:tc>
          <w:tcPr>
            <w:tcW w:w="118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382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17"/>
        </w:trPr>
        <w:tc>
          <w:tcPr>
            <w:tcW w:w="3820" w:type="dxa"/>
            <w:vAlign w:val="bottom"/>
          </w:tcPr>
          <w:p>
            <w:pPr>
              <w:spacing w:after="0"/>
              <w:rPr>
                <w:sz w:val="18"/>
                <w:szCs w:val="18"/>
                <w:color w:val="auto"/>
              </w:rPr>
            </w:pPr>
          </w:p>
        </w:tc>
        <w:tc>
          <w:tcPr>
            <w:tcW w:w="32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49"/>
        </w:trPr>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380" w:type="dxa"/>
            <w:vAlign w:val="bottom"/>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38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0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457157"/>
              </w:rPr>
              <w:t>Assuming Target</w:t>
            </w:r>
          </w:p>
        </w:tc>
        <w:tc>
          <w:tcPr>
            <w:tcW w:w="380" w:type="dxa"/>
            <w:vAlign w:val="bottom"/>
          </w:tcPr>
          <w:p>
            <w:pPr>
              <w:spacing w:after="0"/>
              <w:rPr>
                <w:sz w:val="12"/>
                <w:szCs w:val="12"/>
                <w:color w:val="auto"/>
              </w:rPr>
            </w:pPr>
          </w:p>
        </w:tc>
        <w:tc>
          <w:tcPr>
            <w:tcW w:w="148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Assuming Highest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820" w:type="dxa"/>
            <w:vAlign w:val="bottom"/>
          </w:tcPr>
          <w:p>
            <w:pPr>
              <w:spacing w:after="0"/>
              <w:rPr>
                <w:sz w:val="12"/>
                <w:szCs w:val="12"/>
                <w:color w:val="auto"/>
              </w:rPr>
            </w:pPr>
          </w:p>
        </w:tc>
        <w:tc>
          <w:tcPr>
            <w:tcW w:w="328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86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9"/>
        </w:trPr>
        <w:tc>
          <w:tcPr>
            <w:tcW w:w="38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1780" w:type="dxa"/>
            <w:vAlign w:val="bottom"/>
          </w:tcPr>
          <w:p>
            <w:pPr>
              <w:ind w:left="920"/>
              <w:spacing w:after="0" w:line="189" w:lineRule="exact"/>
              <w:rPr>
                <w:sz w:val="20"/>
                <w:szCs w:val="20"/>
                <w:color w:val="auto"/>
              </w:rPr>
            </w:pPr>
            <w:r>
              <w:rPr>
                <w:rFonts w:ascii="Arial" w:cs="Arial" w:eastAsia="Arial" w:hAnsi="Arial"/>
                <w:sz w:val="12"/>
                <w:szCs w:val="12"/>
                <w:b w:val="1"/>
                <w:bCs w:val="1"/>
                <w:color w:val="457157"/>
              </w:rPr>
              <w:t xml:space="preserve">​ ​ </w:t>
            </w:r>
            <w:r>
              <w:rPr>
                <w:rFonts w:ascii="Arial" w:cs="Arial" w:eastAsia="Arial" w:hAnsi="Arial"/>
                <w:sz w:val="21"/>
                <w:szCs w:val="21"/>
                <w:b w:val="1"/>
                <w:bCs w:val="1"/>
                <w:color w:val="457157"/>
                <w:vertAlign w:val="superscript"/>
              </w:rPr>
              <w:t>Year</w:t>
            </w:r>
            <w:r>
              <w:rPr>
                <w:rFonts w:ascii="Arial" w:cs="Arial" w:eastAsia="Arial" w:hAnsi="Arial"/>
                <w:sz w:val="12"/>
                <w:szCs w:val="12"/>
                <w:b w:val="1"/>
                <w:bCs w:val="1"/>
                <w:color w:val="457157"/>
              </w:rPr>
              <w:t xml:space="preserve">  ​ ​</w:t>
            </w:r>
          </w:p>
        </w:tc>
        <w:tc>
          <w:tcPr>
            <w:tcW w:w="320" w:type="dxa"/>
            <w:vAlign w:val="bottom"/>
          </w:tcPr>
          <w:p>
            <w:pPr>
              <w:spacing w:after="0"/>
              <w:rPr>
                <w:sz w:val="16"/>
                <w:szCs w:val="16"/>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457157"/>
              </w:rPr>
              <w:t>Achieved ($)  ​ ​</w:t>
            </w:r>
          </w:p>
        </w:tc>
        <w:tc>
          <w:tcPr>
            <w:tcW w:w="3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Achieved ($) ​</w:t>
            </w:r>
          </w:p>
        </w:tc>
      </w:tr>
      <w:tr>
        <w:trPr>
          <w:trHeight w:val="223"/>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3,851,651</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7,703,302</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3,468,403</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6,936,806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3,304,908</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6,609,816</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908,646</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1,817,292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871,981</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1,743,962</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816,448</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1,632,896</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0"/>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1,066,567</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2,133,134</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1,030,615</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2,061,230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0"/>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894,237</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1,788,474</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9"/>
        </w:trPr>
        <w:tc>
          <w:tcPr>
            <w:tcW w:w="38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Rafael E. Carrasco</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790,055</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1,580,110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09"/>
        </w:trPr>
        <w:tc>
          <w:tcPr>
            <w:tcW w:w="38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711,095</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1,422,190</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673,869</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1,347,738</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tcBorders>
              <w:top w:val="single" w:sz="8" w:color="457157"/>
              <w:bottom w:val="single" w:sz="8" w:color="457157"/>
            </w:tcBorders>
            <w:shd w:val="clear" w:color="auto" w:fill="CCEEFF"/>
          </w:tcPr>
          <w:p>
            <w:pPr>
              <w:ind w:left="20"/>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780" w:type="dxa"/>
            <w:vAlign w:val="bottom"/>
            <w:tcBorders>
              <w:top w:val="single" w:sz="8" w:color="457157"/>
              <w:bottom w:val="single" w:sz="8" w:color="457157"/>
            </w:tcBorders>
            <w:shd w:val="clear" w:color="auto" w:fill="CCEEFF"/>
          </w:tcPr>
          <w:p>
            <w:pPr>
              <w:ind w:left="8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2021​​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660,982</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1,321,963</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49" w:lineRule="exact"/>
        <w:rPr>
          <w:sz w:val="20"/>
          <w:szCs w:val="20"/>
          <w:color w:val="auto"/>
        </w:rPr>
      </w:pPr>
    </w:p>
    <w:p>
      <w:pPr>
        <w:jc w:val="both"/>
        <w:ind w:left="1180" w:right="60" w:hanging="364"/>
        <w:spacing w:after="0" w:line="261"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annually, in accordance with ASC Topic 718. The grant date fair value of the options granted in 2023, calculated using a Black-Scholes option pricing model, is $32.82 per option. See Note 14 in the Notes to the Consolidated Financial Statements in our 2023 Annual Report on Form 10-K for additional information.</w:t>
      </w:r>
    </w:p>
    <w:p>
      <w:pPr>
        <w:spacing w:after="0" w:line="274" w:lineRule="exact"/>
        <w:rPr>
          <w:rFonts w:ascii="Arial" w:cs="Arial" w:eastAsia="Arial" w:hAnsi="Arial"/>
          <w:sz w:val="18"/>
          <w:szCs w:val="18"/>
          <w:color w:val="auto"/>
        </w:rPr>
      </w:pPr>
    </w:p>
    <w:p>
      <w:pPr>
        <w:jc w:val="both"/>
        <w:ind w:left="1180" w:right="60" w:hanging="364"/>
        <w:spacing w:after="0" w:line="265"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in this column represent cash incentive awards earned and paid based on the achievement of performance criteria. See “Compensation Discussion and Analysis — Named Executive’s 2023 Compensation Program and Results — Annual Cash Incentive” for additional information.</w:t>
      </w:r>
    </w:p>
    <w:p>
      <w:pPr>
        <w:spacing w:after="0" w:line="272" w:lineRule="exact"/>
        <w:rPr>
          <w:rFonts w:ascii="Arial" w:cs="Arial" w:eastAsia="Arial" w:hAnsi="Arial"/>
          <w:sz w:val="18"/>
          <w:szCs w:val="18"/>
          <w:color w:val="auto"/>
        </w:rPr>
      </w:pPr>
    </w:p>
    <w:p>
      <w:pPr>
        <w:ind w:left="1180" w:hanging="364"/>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2023 are shown below (in dollars):</w:t>
      </w:r>
    </w:p>
    <w:p>
      <w:pPr>
        <w:spacing w:after="0" w:line="8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57157"/>
              </w:rPr>
              <w:t>401(k) Plan</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409A Deferral</w:t>
            </w:r>
          </w:p>
        </w:tc>
        <w:tc>
          <w:tcPr>
            <w:tcW w:w="1300" w:type="dxa"/>
            <w:vAlign w:val="bottom"/>
            <w:gridSpan w:val="2"/>
            <w:vMerge w:val="restart"/>
          </w:tcPr>
          <w:p>
            <w:pPr>
              <w:jc w:val="center"/>
              <w:ind w:left="93"/>
              <w:spacing w:after="0"/>
              <w:rPr>
                <w:sz w:val="20"/>
                <w:szCs w:val="20"/>
                <w:color w:val="auto"/>
              </w:rPr>
            </w:pPr>
            <w:r>
              <w:rPr>
                <w:rFonts w:ascii="Arial" w:cs="Arial" w:eastAsia="Arial" w:hAnsi="Arial"/>
                <w:sz w:val="14"/>
                <w:szCs w:val="14"/>
                <w:b w:val="1"/>
                <w:bCs w:val="1"/>
                <w:color w:val="457157"/>
              </w:rPr>
              <w:t>Life Insurance</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457157"/>
              </w:rPr>
              <w:t>Perquisites and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Matching</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Plan Matching</w:t>
            </w: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Other Personal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3120" w:type="dxa"/>
            <w:vAlign w:val="bottom"/>
            <w:gridSpan w:val="6"/>
          </w:tcPr>
          <w:p>
            <w:pPr>
              <w:ind w:left="38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Contributions </w:t>
            </w: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Contributions </w:t>
            </w:r>
            <w:r>
              <w:rPr>
                <w:rFonts w:ascii="Arial" w:cs="Arial" w:eastAsia="Arial" w:hAnsi="Arial"/>
                <w:sz w:val="23"/>
                <w:szCs w:val="23"/>
                <w:b w:val="1"/>
                <w:bCs w:val="1"/>
                <w:color w:val="457157"/>
                <w:vertAlign w:val="subscript"/>
              </w:rPr>
              <w:t>​ ​</w:t>
            </w:r>
          </w:p>
        </w:tc>
        <w:tc>
          <w:tcPr>
            <w:tcW w:w="1180" w:type="dxa"/>
            <w:vAlign w:val="bottom"/>
            <w:gridSpan w:val="2"/>
          </w:tcPr>
          <w:p>
            <w:pPr>
              <w:ind w:left="220"/>
              <w:spacing w:after="0" w:line="202" w:lineRule="exact"/>
              <w:rPr>
                <w:sz w:val="20"/>
                <w:szCs w:val="20"/>
                <w:color w:val="auto"/>
              </w:rPr>
            </w:pPr>
            <w:r>
              <w:rPr>
                <w:rFonts w:ascii="Arial" w:cs="Arial" w:eastAsia="Arial" w:hAnsi="Arial"/>
                <w:sz w:val="13"/>
                <w:szCs w:val="13"/>
                <w:b w:val="1"/>
                <w:bCs w:val="1"/>
                <w:color w:val="457157"/>
              </w:rPr>
              <w:t xml:space="preserve">Premiums </w:t>
            </w:r>
            <w:r>
              <w:rPr>
                <w:rFonts w:ascii="Arial" w:cs="Arial" w:eastAsia="Arial" w:hAnsi="Arial"/>
                <w:sz w:val="23"/>
                <w:szCs w:val="23"/>
                <w:b w:val="1"/>
                <w:bCs w:val="1"/>
                <w:color w:val="457157"/>
                <w:vertAlign w:val="subscript"/>
              </w:rPr>
              <w:t>​ ​</w:t>
            </w:r>
          </w:p>
        </w:tc>
        <w:tc>
          <w:tcPr>
            <w:tcW w:w="36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3"/>
                <w:szCs w:val="13"/>
                <w:b w:val="1"/>
                <w:bCs w:val="1"/>
                <w:color w:val="457157"/>
              </w:rPr>
              <w:t>Benefits</w:t>
            </w:r>
            <w:r>
              <w:rPr>
                <w:rFonts w:ascii="Arial" w:cs="Arial" w:eastAsia="Arial" w:hAnsi="Arial"/>
                <w:sz w:val="15"/>
                <w:szCs w:val="15"/>
                <w:b w:val="1"/>
                <w:bCs w:val="1"/>
                <w:color w:val="457157"/>
                <w:vertAlign w:val="superscript"/>
              </w:rPr>
              <w:t>(a)</w:t>
            </w:r>
            <w:r>
              <w:rPr>
                <w:rFonts w:ascii="Arial" w:cs="Arial" w:eastAsia="Arial" w:hAnsi="Arial"/>
                <w:sz w:val="13"/>
                <w:szCs w:val="13"/>
                <w:b w:val="1"/>
                <w:bCs w:val="1"/>
                <w:color w:val="457157"/>
              </w:rPr>
              <w:t xml:space="preserve"> </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James C. Fish, Jr.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5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191,240</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2,467</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7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38,287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Devina A. Rankin</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78,835</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1,457</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ind w:left="2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John J. Morris, Jr.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82,751</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1,497</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7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45,053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Rafael E. Carrasco</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1,186</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ind w:left="2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Tara J. Hemmer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14,850</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59,006</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82"/>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1,280</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79"/>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27,503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15" w:lineRule="exact"/>
        <w:rPr>
          <w:sz w:val="20"/>
          <w:szCs w:val="20"/>
          <w:color w:val="auto"/>
        </w:rPr>
      </w:pPr>
    </w:p>
    <w:p>
      <w:pPr>
        <w:jc w:val="both"/>
        <w:ind w:left="1900" w:right="60" w:hanging="364"/>
        <w:spacing w:after="0" w:line="252" w:lineRule="auto"/>
        <w:tabs>
          <w:tab w:leader="none" w:pos="1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This column includes perquisites and personal benefits received by a named executive officer in 2023, to the extent that the total incremental cost of such perquisites and personal benefits was at least $10,000, consisting of (i) incremental cost for personal use of Company aircraft in the following amounts: Mr. Fish — $34,930, Mr. Morris — $41,696 and Ms. Hemmer — $24,146 and (ii) $3,357 of income that was imputed for the cost of the executive’s guest’s participation in Company events.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unusual event that a deadhead flight is required to position the aircraft to serve personal needs. We own and operate our aircraft primarily for business use; therefore, we do not include purchase costs or other fixed costs associated with our aircraft in the direct operating cost.</w:t>
      </w: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jc w:val="both"/>
        <w:ind w:left="1180" w:right="60" w:hanging="364"/>
        <w:spacing w:after="0" w:line="268"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$100,000 of base salary in each of 2021 and 2022 and $200,000 of base salary in 2023 to which Mr. Fish was entitled but voluntarily relinquished to fund scholarships and other programs that benefit Company employees.</w:t>
      </w:r>
    </w:p>
    <w:p>
      <w:pPr>
        <w:spacing w:after="0" w:line="24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GRANT OF PLAN-BASED AWARDS IN 2023</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457157"/>
              </w:rPr>
              <w:t>All other</w:t>
            </w: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All 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4"/>
                <w:szCs w:val="14"/>
                <w:b w:val="1"/>
                <w:bCs w:val="1"/>
                <w:color w:val="457157"/>
              </w:rPr>
              <w:t>Grant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457157"/>
              </w:rPr>
              <w:t>Estimated Possible Payouts</w:t>
            </w:r>
          </w:p>
        </w:tc>
        <w:tc>
          <w:tcPr>
            <w:tcW w:w="21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457157"/>
              </w:rPr>
              <w:t>Estimated Future Payouts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2"/>
                <w:szCs w:val="12"/>
                <w:color w:val="auto"/>
              </w:rPr>
            </w:pPr>
          </w:p>
        </w:tc>
        <w:tc>
          <w:tcPr>
            <w:tcW w:w="2240" w:type="dxa"/>
            <w:vAlign w:val="bottom"/>
            <w:gridSpan w:val="5"/>
          </w:tcPr>
          <w:p>
            <w:pPr>
              <w:jc w:val="right"/>
              <w:spacing w:after="0" w:line="149" w:lineRule="exact"/>
              <w:rPr>
                <w:sz w:val="20"/>
                <w:szCs w:val="20"/>
                <w:color w:val="auto"/>
              </w:rPr>
            </w:pPr>
            <w:r>
              <w:rPr>
                <w:rFonts w:ascii="Arial" w:cs="Arial" w:eastAsia="Arial" w:hAnsi="Arial"/>
                <w:sz w:val="14"/>
                <w:szCs w:val="14"/>
                <w:b w:val="1"/>
                <w:bCs w:val="1"/>
                <w:color w:val="457157"/>
              </w:rPr>
              <w:t>Option Exercise  Closing</w:t>
            </w:r>
          </w:p>
        </w:tc>
        <w:tc>
          <w:tcPr>
            <w:tcW w:w="120" w:type="dxa"/>
            <w:vAlign w:val="bottom"/>
          </w:tcPr>
          <w:p>
            <w:pPr>
              <w:spacing w:after="0"/>
              <w:rPr>
                <w:sz w:val="12"/>
                <w:szCs w:val="12"/>
                <w:color w:val="auto"/>
              </w:rPr>
            </w:pPr>
          </w:p>
        </w:tc>
        <w:tc>
          <w:tcPr>
            <w:tcW w:w="780" w:type="dxa"/>
            <w:vAlign w:val="bottom"/>
            <w:gridSpan w:val="2"/>
          </w:tcPr>
          <w:p>
            <w:pPr>
              <w:jc w:val="right"/>
              <w:ind w:right="17"/>
              <w:spacing w:after="0" w:line="149" w:lineRule="exact"/>
              <w:rPr>
                <w:sz w:val="20"/>
                <w:szCs w:val="20"/>
                <w:color w:val="auto"/>
              </w:rPr>
            </w:pPr>
            <w:r>
              <w:rPr>
                <w:rFonts w:ascii="Arial" w:cs="Arial" w:eastAsia="Arial" w:hAnsi="Arial"/>
                <w:sz w:val="14"/>
                <w:szCs w:val="14"/>
                <w:b w:val="1"/>
                <w:bCs w:val="1"/>
                <w:color w:val="457157"/>
              </w:rPr>
              <w:t>Date Fair</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10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457157"/>
              </w:rPr>
              <w:t>Awards:</w:t>
            </w:r>
          </w:p>
        </w:tc>
        <w:tc>
          <w:tcPr>
            <w:tcW w:w="80" w:type="dxa"/>
            <w:vAlign w:val="bottom"/>
          </w:tcPr>
          <w:p>
            <w:pPr>
              <w:spacing w:after="0"/>
              <w:rPr>
                <w:sz w:val="7"/>
                <w:szCs w:val="7"/>
                <w:color w:val="auto"/>
              </w:rPr>
            </w:pPr>
          </w:p>
        </w:tc>
        <w:tc>
          <w:tcPr>
            <w:tcW w:w="840" w:type="dxa"/>
            <w:vAlign w:val="bottom"/>
            <w:gridSpan w:val="2"/>
            <w:vMerge w:val="restart"/>
          </w:tcPr>
          <w:p>
            <w:pPr>
              <w:jc w:val="right"/>
              <w:spacing w:after="0" w:line="139" w:lineRule="exact"/>
              <w:rPr>
                <w:sz w:val="20"/>
                <w:szCs w:val="20"/>
                <w:color w:val="auto"/>
              </w:rPr>
            </w:pPr>
            <w:r>
              <w:rPr>
                <w:rFonts w:ascii="Arial" w:cs="Arial" w:eastAsia="Arial" w:hAnsi="Arial"/>
                <w:sz w:val="14"/>
                <w:szCs w:val="14"/>
                <w:b w:val="1"/>
                <w:bCs w:val="1"/>
                <w:color w:val="457157"/>
              </w:rPr>
              <w:t>Awards:</w:t>
            </w:r>
          </w:p>
        </w:tc>
        <w:tc>
          <w:tcPr>
            <w:tcW w:w="120" w:type="dxa"/>
            <w:vAlign w:val="bottom"/>
          </w:tcPr>
          <w:p>
            <w:pPr>
              <w:spacing w:after="0"/>
              <w:rPr>
                <w:sz w:val="7"/>
                <w:szCs w:val="7"/>
                <w:color w:val="auto"/>
              </w:rPr>
            </w:pPr>
          </w:p>
        </w:tc>
        <w:tc>
          <w:tcPr>
            <w:tcW w:w="720" w:type="dxa"/>
            <w:vAlign w:val="bottom"/>
            <w:vMerge w:val="restart"/>
          </w:tcPr>
          <w:p>
            <w:pPr>
              <w:jc w:val="right"/>
              <w:ind w:right="61"/>
              <w:spacing w:after="0" w:line="139" w:lineRule="exact"/>
              <w:rPr>
                <w:sz w:val="20"/>
                <w:szCs w:val="20"/>
                <w:color w:val="auto"/>
              </w:rPr>
            </w:pPr>
            <w:r>
              <w:rPr>
                <w:rFonts w:ascii="Arial" w:cs="Arial" w:eastAsia="Arial" w:hAnsi="Arial"/>
                <w:sz w:val="14"/>
                <w:szCs w:val="14"/>
                <w:b w:val="1"/>
                <w:bCs w:val="1"/>
                <w:color w:val="457157"/>
              </w:rPr>
              <w:t>or Base</w:t>
            </w:r>
          </w:p>
        </w:tc>
        <w:tc>
          <w:tcPr>
            <w:tcW w:w="560" w:type="dxa"/>
            <w:vAlign w:val="bottom"/>
            <w:vMerge w:val="restart"/>
          </w:tcPr>
          <w:p>
            <w:pPr>
              <w:jc w:val="right"/>
              <w:spacing w:after="0" w:line="139" w:lineRule="exact"/>
              <w:rPr>
                <w:sz w:val="20"/>
                <w:szCs w:val="20"/>
                <w:color w:val="auto"/>
              </w:rPr>
            </w:pPr>
            <w:r>
              <w:rPr>
                <w:rFonts w:ascii="Arial" w:cs="Arial" w:eastAsia="Arial" w:hAnsi="Arial"/>
                <w:sz w:val="14"/>
                <w:szCs w:val="14"/>
                <w:b w:val="1"/>
                <w:bCs w:val="1"/>
                <w:color w:val="457157"/>
              </w:rPr>
              <w:t>Market</w:t>
            </w:r>
          </w:p>
        </w:tc>
        <w:tc>
          <w:tcPr>
            <w:tcW w:w="120" w:type="dxa"/>
            <w:vAlign w:val="bottom"/>
          </w:tcPr>
          <w:p>
            <w:pPr>
              <w:spacing w:after="0"/>
              <w:rPr>
                <w:sz w:val="7"/>
                <w:szCs w:val="7"/>
                <w:color w:val="auto"/>
              </w:rPr>
            </w:pPr>
          </w:p>
        </w:tc>
        <w:tc>
          <w:tcPr>
            <w:tcW w:w="780" w:type="dxa"/>
            <w:vAlign w:val="bottom"/>
            <w:gridSpan w:val="2"/>
            <w:vMerge w:val="restart"/>
          </w:tcPr>
          <w:p>
            <w:pPr>
              <w:jc w:val="right"/>
              <w:ind w:right="17"/>
              <w:spacing w:after="0" w:line="139" w:lineRule="exact"/>
              <w:rPr>
                <w:sz w:val="20"/>
                <w:szCs w:val="20"/>
                <w:color w:val="auto"/>
              </w:rPr>
            </w:pPr>
            <w:r>
              <w:rPr>
                <w:rFonts w:ascii="Arial" w:cs="Arial" w:eastAsia="Arial" w:hAnsi="Arial"/>
                <w:sz w:val="14"/>
                <w:szCs w:val="14"/>
                <w:b w:val="1"/>
                <w:bCs w:val="1"/>
                <w:color w:val="457157"/>
              </w:rPr>
              <w:t>Value of</w:t>
            </w: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00" w:type="dxa"/>
            <w:vAlign w:val="bottom"/>
            <w:gridSpan w:val="3"/>
            <w:vMerge w:val="restart"/>
          </w:tcPr>
          <w:p>
            <w:pPr>
              <w:jc w:val="right"/>
              <w:ind w:right="160"/>
              <w:spacing w:after="0" w:line="139" w:lineRule="exact"/>
              <w:rPr>
                <w:sz w:val="20"/>
                <w:szCs w:val="20"/>
                <w:color w:val="auto"/>
              </w:rPr>
            </w:pPr>
            <w:r>
              <w:rPr>
                <w:rFonts w:ascii="Arial" w:cs="Arial" w:eastAsia="Arial" w:hAnsi="Arial"/>
                <w:sz w:val="14"/>
                <w:szCs w:val="14"/>
                <w:b w:val="1"/>
                <w:bCs w:val="1"/>
                <w:color w:val="457157"/>
              </w:rPr>
              <w:t>Under Non-Equity Incentive</w:t>
            </w:r>
          </w:p>
        </w:tc>
        <w:tc>
          <w:tcPr>
            <w:tcW w:w="120" w:type="dxa"/>
            <w:vAlign w:val="bottom"/>
          </w:tcPr>
          <w:p>
            <w:pPr>
              <w:spacing w:after="0"/>
              <w:rPr>
                <w:sz w:val="5"/>
                <w:szCs w:val="5"/>
                <w:color w:val="auto"/>
              </w:rPr>
            </w:pPr>
          </w:p>
        </w:tc>
        <w:tc>
          <w:tcPr>
            <w:tcW w:w="1980" w:type="dxa"/>
            <w:vAlign w:val="bottom"/>
            <w:gridSpan w:val="4"/>
            <w:vMerge w:val="restart"/>
          </w:tcPr>
          <w:p>
            <w:pPr>
              <w:jc w:val="center"/>
              <w:ind w:right="99"/>
              <w:spacing w:after="0" w:line="139" w:lineRule="exact"/>
              <w:rPr>
                <w:sz w:val="20"/>
                <w:szCs w:val="20"/>
                <w:color w:val="auto"/>
              </w:rPr>
            </w:pPr>
            <w:r>
              <w:rPr>
                <w:rFonts w:ascii="Arial" w:cs="Arial" w:eastAsia="Arial" w:hAnsi="Arial"/>
                <w:sz w:val="14"/>
                <w:szCs w:val="14"/>
                <w:b w:val="1"/>
                <w:bCs w:val="1"/>
                <w:color w:val="457157"/>
              </w:rPr>
              <w:t>Under Equity Incentive</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98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restart"/>
          </w:tcPr>
          <w:p>
            <w:pPr>
              <w:jc w:val="right"/>
              <w:spacing w:after="0" w:line="145" w:lineRule="exact"/>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7"/>
                <w:szCs w:val="7"/>
                <w:color w:val="auto"/>
              </w:rPr>
            </w:pPr>
          </w:p>
        </w:tc>
        <w:tc>
          <w:tcPr>
            <w:tcW w:w="840" w:type="dxa"/>
            <w:vAlign w:val="bottom"/>
            <w:gridSpan w:val="2"/>
            <w:vMerge w:val="restart"/>
          </w:tcPr>
          <w:p>
            <w:pPr>
              <w:jc w:val="right"/>
              <w:spacing w:after="0" w:line="145" w:lineRule="exact"/>
              <w:rPr>
                <w:sz w:val="20"/>
                <w:szCs w:val="20"/>
                <w:color w:val="auto"/>
              </w:rPr>
            </w:pPr>
            <w:r>
              <w:rPr>
                <w:rFonts w:ascii="Arial" w:cs="Arial" w:eastAsia="Arial" w:hAnsi="Arial"/>
                <w:sz w:val="14"/>
                <w:szCs w:val="14"/>
                <w:b w:val="1"/>
                <w:bCs w:val="1"/>
                <w:color w:val="457157"/>
              </w:rPr>
              <w:t>Number of</w:t>
            </w:r>
          </w:p>
        </w:tc>
        <w:tc>
          <w:tcPr>
            <w:tcW w:w="120" w:type="dxa"/>
            <w:vAlign w:val="bottom"/>
          </w:tcPr>
          <w:p>
            <w:pPr>
              <w:spacing w:after="0"/>
              <w:rPr>
                <w:sz w:val="7"/>
                <w:szCs w:val="7"/>
                <w:color w:val="auto"/>
              </w:rPr>
            </w:pPr>
          </w:p>
        </w:tc>
        <w:tc>
          <w:tcPr>
            <w:tcW w:w="2180" w:type="dxa"/>
            <w:vAlign w:val="bottom"/>
            <w:gridSpan w:val="5"/>
            <w:vMerge w:val="restart"/>
          </w:tcPr>
          <w:p>
            <w:pPr>
              <w:jc w:val="right"/>
              <w:ind w:right="17"/>
              <w:spacing w:after="0" w:line="145" w:lineRule="exact"/>
              <w:rPr>
                <w:sz w:val="20"/>
                <w:szCs w:val="20"/>
                <w:color w:val="auto"/>
              </w:rPr>
            </w:pPr>
            <w:r>
              <w:rPr>
                <w:rFonts w:ascii="Arial" w:cs="Arial" w:eastAsia="Arial" w:hAnsi="Arial"/>
                <w:sz w:val="14"/>
                <w:szCs w:val="14"/>
                <w:b w:val="1"/>
                <w:bCs w:val="1"/>
                <w:color w:val="457157"/>
              </w:rPr>
              <w:t>Price of Price on Stock and</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1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(1)</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5"/>
                <w:szCs w:val="5"/>
                <w:color w:val="auto"/>
              </w:rPr>
            </w:pP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(2)</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1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line="115" w:lineRule="exact"/>
              <w:rPr>
                <w:sz w:val="20"/>
                <w:szCs w:val="20"/>
                <w:color w:val="auto"/>
              </w:rPr>
            </w:pPr>
            <w:r>
              <w:rPr>
                <w:rFonts w:ascii="Arial" w:cs="Arial" w:eastAsia="Arial" w:hAnsi="Arial"/>
                <w:sz w:val="13"/>
                <w:szCs w:val="13"/>
                <w:b w:val="1"/>
                <w:bCs w:val="1"/>
                <w:color w:val="457157"/>
              </w:rPr>
              <w:t>​</w:t>
            </w:r>
          </w:p>
        </w:tc>
        <w:tc>
          <w:tcPr>
            <w:tcW w:w="1100" w:type="dxa"/>
            <w:vAlign w:val="bottom"/>
          </w:tcPr>
          <w:p>
            <w:pPr>
              <w:spacing w:after="0"/>
              <w:rPr>
                <w:sz w:val="10"/>
                <w:szCs w:val="10"/>
                <w:color w:val="auto"/>
              </w:rPr>
            </w:pPr>
          </w:p>
        </w:tc>
        <w:tc>
          <w:tcPr>
            <w:tcW w:w="140" w:type="dxa"/>
            <w:vAlign w:val="bottom"/>
            <w:tcBorders>
              <w:bottom w:val="single" w:sz="8" w:color="457157"/>
            </w:tcBorders>
            <w:vMerge w:val="continue"/>
          </w:tcPr>
          <w:p>
            <w:pPr>
              <w:spacing w:after="0"/>
              <w:rPr>
                <w:sz w:val="10"/>
                <w:szCs w:val="10"/>
                <w:color w:val="auto"/>
              </w:rPr>
            </w:pPr>
          </w:p>
        </w:tc>
        <w:tc>
          <w:tcPr>
            <w:tcW w:w="1800" w:type="dxa"/>
            <w:vAlign w:val="bottom"/>
            <w:tcBorders>
              <w:bottom w:val="single" w:sz="8" w:color="457157"/>
            </w:tcBorders>
            <w:gridSpan w:val="2"/>
            <w:vMerge w:val="continue"/>
          </w:tcPr>
          <w:p>
            <w:pPr>
              <w:spacing w:after="0"/>
              <w:rPr>
                <w:sz w:val="10"/>
                <w:szCs w:val="10"/>
                <w:color w:val="auto"/>
              </w:rPr>
            </w:pPr>
          </w:p>
        </w:tc>
        <w:tc>
          <w:tcPr>
            <w:tcW w:w="500" w:type="dxa"/>
            <w:vAlign w:val="bottom"/>
            <w:tcBorders>
              <w:bottom w:val="single" w:sz="8" w:color="457157"/>
            </w:tcBorders>
            <w:vMerge w:val="continue"/>
          </w:tcPr>
          <w:p>
            <w:pPr>
              <w:spacing w:after="0"/>
              <w:rPr>
                <w:sz w:val="10"/>
                <w:szCs w:val="10"/>
                <w:color w:val="auto"/>
              </w:rPr>
            </w:pPr>
          </w:p>
        </w:tc>
        <w:tc>
          <w:tcPr>
            <w:tcW w:w="120" w:type="dxa"/>
            <w:vAlign w:val="bottom"/>
            <w:tcBorders>
              <w:bottom w:val="single" w:sz="8" w:color="457157"/>
            </w:tcBorders>
          </w:tcPr>
          <w:p>
            <w:pPr>
              <w:spacing w:after="0"/>
              <w:rPr>
                <w:sz w:val="10"/>
                <w:szCs w:val="10"/>
                <w:color w:val="auto"/>
              </w:rPr>
            </w:pPr>
          </w:p>
        </w:tc>
        <w:tc>
          <w:tcPr>
            <w:tcW w:w="1460" w:type="dxa"/>
            <w:vAlign w:val="bottom"/>
            <w:tcBorders>
              <w:bottom w:val="single" w:sz="8" w:color="457157"/>
            </w:tcBorders>
            <w:gridSpan w:val="3"/>
            <w:vMerge w:val="continue"/>
          </w:tcPr>
          <w:p>
            <w:pPr>
              <w:spacing w:after="0"/>
              <w:rPr>
                <w:sz w:val="10"/>
                <w:szCs w:val="10"/>
                <w:color w:val="auto"/>
              </w:rPr>
            </w:pPr>
          </w:p>
        </w:tc>
        <w:tc>
          <w:tcPr>
            <w:tcW w:w="520" w:type="dxa"/>
            <w:vAlign w:val="bottom"/>
            <w:tcBorders>
              <w:bottom w:val="single" w:sz="8" w:color="457157"/>
            </w:tcBorders>
          </w:tcPr>
          <w:p>
            <w:pPr>
              <w:spacing w:after="0"/>
              <w:rPr>
                <w:sz w:val="10"/>
                <w:szCs w:val="10"/>
                <w:color w:val="auto"/>
              </w:rPr>
            </w:pPr>
          </w:p>
        </w:tc>
        <w:tc>
          <w:tcPr>
            <w:tcW w:w="60" w:type="dxa"/>
            <w:vAlign w:val="bottom"/>
            <w:tcBorders>
              <w:bottom w:val="single" w:sz="8" w:color="457157"/>
            </w:tcBorders>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457157"/>
                <w:vertAlign w:val="superscript"/>
              </w:rPr>
              <w:t>​</w:t>
            </w:r>
            <w:r>
              <w:rPr>
                <w:rFonts w:ascii="Arial" w:cs="Arial" w:eastAsia="Arial" w:hAnsi="Arial"/>
                <w:sz w:val="9"/>
                <w:szCs w:val="9"/>
                <w:b w:val="1"/>
                <w:bCs w:val="1"/>
                <w:color w:val="457157"/>
              </w:rPr>
              <w:t xml:space="preserve"> Shares of</w:t>
            </w:r>
          </w:p>
        </w:tc>
        <w:tc>
          <w:tcPr>
            <w:tcW w:w="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457157"/>
              </w:rPr>
              <w:t>Securities</w:t>
            </w:r>
          </w:p>
        </w:tc>
        <w:tc>
          <w:tcPr>
            <w:tcW w:w="120" w:type="dxa"/>
            <w:vAlign w:val="bottom"/>
          </w:tcPr>
          <w:p>
            <w:pPr>
              <w:spacing w:after="0"/>
              <w:rPr>
                <w:sz w:val="10"/>
                <w:szCs w:val="10"/>
                <w:color w:val="auto"/>
              </w:rPr>
            </w:pPr>
          </w:p>
        </w:tc>
        <w:tc>
          <w:tcPr>
            <w:tcW w:w="720" w:type="dxa"/>
            <w:vAlign w:val="bottom"/>
          </w:tcPr>
          <w:p>
            <w:pPr>
              <w:jc w:val="right"/>
              <w:ind w:right="61"/>
              <w:spacing w:after="0" w:line="122" w:lineRule="exact"/>
              <w:rPr>
                <w:sz w:val="20"/>
                <w:szCs w:val="20"/>
                <w:color w:val="auto"/>
              </w:rPr>
            </w:pPr>
            <w:r>
              <w:rPr>
                <w:rFonts w:ascii="Arial" w:cs="Arial" w:eastAsia="Arial" w:hAnsi="Arial"/>
                <w:sz w:val="14"/>
                <w:szCs w:val="14"/>
                <w:b w:val="1"/>
                <w:bCs w:val="1"/>
                <w:color w:val="457157"/>
              </w:rPr>
              <w:t>Option</w:t>
            </w:r>
          </w:p>
        </w:tc>
        <w:tc>
          <w:tcPr>
            <w:tcW w:w="560" w:type="dxa"/>
            <w:vAlign w:val="bottom"/>
          </w:tcPr>
          <w:p>
            <w:pPr>
              <w:jc w:val="right"/>
              <w:spacing w:after="0" w:line="122" w:lineRule="exact"/>
              <w:rPr>
                <w:sz w:val="20"/>
                <w:szCs w:val="20"/>
                <w:color w:val="auto"/>
              </w:rPr>
            </w:pPr>
            <w:r>
              <w:rPr>
                <w:rFonts w:ascii="Arial" w:cs="Arial" w:eastAsia="Arial" w:hAnsi="Arial"/>
                <w:sz w:val="14"/>
                <w:szCs w:val="14"/>
                <w:b w:val="1"/>
                <w:bCs w:val="1"/>
                <w:color w:val="457157"/>
              </w:rPr>
              <w:t>Date of</w:t>
            </w:r>
          </w:p>
        </w:tc>
        <w:tc>
          <w:tcPr>
            <w:tcW w:w="120" w:type="dxa"/>
            <w:vAlign w:val="bottom"/>
          </w:tcPr>
          <w:p>
            <w:pPr>
              <w:spacing w:after="0"/>
              <w:rPr>
                <w:sz w:val="10"/>
                <w:szCs w:val="10"/>
                <w:color w:val="auto"/>
              </w:rPr>
            </w:pPr>
          </w:p>
        </w:tc>
        <w:tc>
          <w:tcPr>
            <w:tcW w:w="780" w:type="dxa"/>
            <w:vAlign w:val="bottom"/>
            <w:gridSpan w:val="2"/>
          </w:tcPr>
          <w:p>
            <w:pPr>
              <w:jc w:val="right"/>
              <w:ind w:right="17"/>
              <w:spacing w:after="0" w:line="122" w:lineRule="exact"/>
              <w:rPr>
                <w:sz w:val="20"/>
                <w:szCs w:val="20"/>
                <w:color w:val="auto"/>
              </w:rPr>
            </w:pPr>
            <w:r>
              <w:rPr>
                <w:rFonts w:ascii="Arial" w:cs="Arial" w:eastAsia="Arial" w:hAnsi="Arial"/>
                <w:sz w:val="14"/>
                <w:szCs w:val="14"/>
                <w:b w:val="1"/>
                <w:bCs w:val="1"/>
                <w:color w:val="457157"/>
              </w:rPr>
              <w:t>Option</w:t>
            </w:r>
          </w:p>
        </w:tc>
        <w:tc>
          <w:tcPr>
            <w:tcW w:w="0" w:type="dxa"/>
            <w:vAlign w:val="bottom"/>
          </w:tcPr>
          <w:p>
            <w:pPr>
              <w:spacing w:after="0"/>
              <w:rPr>
                <w:sz w:val="1"/>
                <w:szCs w:val="1"/>
                <w:color w:val="auto"/>
              </w:rPr>
            </w:pPr>
          </w:p>
        </w:tc>
      </w:tr>
      <w:tr>
        <w:trPr>
          <w:trHeight w:val="155"/>
        </w:trPr>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​Grant Date</w:t>
            </w:r>
          </w:p>
        </w:tc>
        <w:tc>
          <w:tcPr>
            <w:tcW w:w="940" w:type="dxa"/>
            <w:vAlign w:val="bottom"/>
            <w:gridSpan w:val="2"/>
          </w:tcPr>
          <w:p>
            <w:pPr>
              <w:jc w:val="right"/>
              <w:ind w:right="81"/>
              <w:spacing w:after="0" w:line="155" w:lineRule="exact"/>
              <w:rPr>
                <w:sz w:val="20"/>
                <w:szCs w:val="20"/>
                <w:color w:val="auto"/>
              </w:rPr>
            </w:pPr>
            <w:r>
              <w:rPr>
                <w:rFonts w:ascii="Arial" w:cs="Arial" w:eastAsia="Arial" w:hAnsi="Arial"/>
                <w:sz w:val="14"/>
                <w:szCs w:val="14"/>
                <w:b w:val="1"/>
                <w:bCs w:val="1"/>
                <w:color w:val="457157"/>
              </w:rPr>
              <w:t>Threshold</w:t>
            </w:r>
          </w:p>
        </w:tc>
        <w:tc>
          <w:tcPr>
            <w:tcW w:w="2340" w:type="dxa"/>
            <w:vAlign w:val="bottom"/>
            <w:gridSpan w:val="5"/>
          </w:tcPr>
          <w:p>
            <w:pPr>
              <w:jc w:val="right"/>
              <w:ind w:right="57"/>
              <w:spacing w:after="0" w:line="155" w:lineRule="exact"/>
              <w:rPr>
                <w:sz w:val="20"/>
                <w:szCs w:val="20"/>
                <w:color w:val="auto"/>
              </w:rPr>
            </w:pPr>
            <w:r>
              <w:rPr>
                <w:rFonts w:ascii="Arial" w:cs="Arial" w:eastAsia="Arial" w:hAnsi="Arial"/>
                <w:sz w:val="14"/>
                <w:szCs w:val="14"/>
                <w:b w:val="1"/>
                <w:bCs w:val="1"/>
                <w:color w:val="457157"/>
              </w:rPr>
              <w:t>Target Maximum Threshold</w:t>
            </w: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457157"/>
              </w:rPr>
              <w:t>Target Maximum</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457157"/>
              </w:rPr>
              <w:t>Stock or</w:t>
            </w: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457157"/>
              </w:rPr>
              <w:t>Underlying</w:t>
            </w:r>
          </w:p>
        </w:tc>
        <w:tc>
          <w:tcPr>
            <w:tcW w:w="120" w:type="dxa"/>
            <w:vAlign w:val="bottom"/>
          </w:tcPr>
          <w:p>
            <w:pPr>
              <w:spacing w:after="0"/>
              <w:rPr>
                <w:sz w:val="13"/>
                <w:szCs w:val="13"/>
                <w:color w:val="auto"/>
              </w:rPr>
            </w:pPr>
          </w:p>
        </w:tc>
        <w:tc>
          <w:tcPr>
            <w:tcW w:w="720" w:type="dxa"/>
            <w:vAlign w:val="bottom"/>
          </w:tcPr>
          <w:p>
            <w:pPr>
              <w:jc w:val="right"/>
              <w:ind w:right="61"/>
              <w:spacing w:after="0" w:line="155" w:lineRule="exact"/>
              <w:rPr>
                <w:sz w:val="20"/>
                <w:szCs w:val="20"/>
                <w:color w:val="auto"/>
              </w:rPr>
            </w:pPr>
            <w:r>
              <w:rPr>
                <w:rFonts w:ascii="Arial" w:cs="Arial" w:eastAsia="Arial" w:hAnsi="Arial"/>
                <w:sz w:val="14"/>
                <w:szCs w:val="14"/>
                <w:b w:val="1"/>
                <w:bCs w:val="1"/>
                <w:color w:val="457157"/>
              </w:rPr>
              <w:t>Awards</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457157"/>
              </w:rPr>
              <w:t>Grant</w:t>
            </w:r>
          </w:p>
        </w:tc>
        <w:tc>
          <w:tcPr>
            <w:tcW w:w="120" w:type="dxa"/>
            <w:vAlign w:val="bottom"/>
          </w:tcPr>
          <w:p>
            <w:pPr>
              <w:spacing w:after="0"/>
              <w:rPr>
                <w:sz w:val="13"/>
                <w:szCs w:val="13"/>
                <w:color w:val="auto"/>
              </w:rPr>
            </w:pPr>
          </w:p>
        </w:tc>
        <w:tc>
          <w:tcPr>
            <w:tcW w:w="780" w:type="dxa"/>
            <w:vAlign w:val="bottom"/>
            <w:gridSpan w:val="2"/>
          </w:tcPr>
          <w:p>
            <w:pPr>
              <w:jc w:val="right"/>
              <w:ind w:right="17"/>
              <w:spacing w:after="0" w:line="155" w:lineRule="exact"/>
              <w:rPr>
                <w:sz w:val="20"/>
                <w:szCs w:val="20"/>
                <w:color w:val="auto"/>
              </w:rPr>
            </w:pPr>
            <w:r>
              <w:rPr>
                <w:rFonts w:ascii="Arial" w:cs="Arial" w:eastAsia="Arial" w:hAnsi="Arial"/>
                <w:sz w:val="14"/>
                <w:szCs w:val="14"/>
                <w:b w:val="1"/>
                <w:bCs w:val="1"/>
                <w:color w:val="457157"/>
              </w:rPr>
              <w:t>Awards</w:t>
            </w:r>
          </w:p>
        </w:tc>
        <w:tc>
          <w:tcPr>
            <w:tcW w:w="0" w:type="dxa"/>
            <w:vAlign w:val="bottom"/>
          </w:tcPr>
          <w:p>
            <w:pPr>
              <w:spacing w:after="0"/>
              <w:rPr>
                <w:sz w:val="1"/>
                <w:szCs w:val="1"/>
                <w:color w:val="auto"/>
              </w:rPr>
            </w:pPr>
          </w:p>
        </w:tc>
      </w:tr>
      <w:tr>
        <w:trPr>
          <w:trHeight w:val="176"/>
        </w:trPr>
        <w:tc>
          <w:tcPr>
            <w:tcW w:w="1200" w:type="dxa"/>
            <w:vAlign w:val="bottom"/>
            <w:gridSpan w:val="2"/>
            <w:vMerge w:val="continue"/>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457157"/>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1000" w:type="dxa"/>
            <w:vAlign w:val="bottom"/>
          </w:tcPr>
          <w:p>
            <w:pPr>
              <w:jc w:val="right"/>
              <w:ind w:right="220"/>
              <w:spacing w:after="0"/>
              <w:rPr>
                <w:sz w:val="20"/>
                <w:szCs w:val="20"/>
                <w:color w:val="auto"/>
              </w:rPr>
            </w:pPr>
            <w:r>
              <w:rPr>
                <w:rFonts w:ascii="Arial" w:cs="Arial" w:eastAsia="Arial" w:hAnsi="Arial"/>
                <w:sz w:val="14"/>
                <w:szCs w:val="14"/>
                <w:b w:val="1"/>
                <w:bCs w:val="1"/>
                <w:color w:val="457157"/>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c>
          <w:tcPr>
            <w:tcW w:w="740" w:type="dxa"/>
            <w:vAlign w:val="bottom"/>
          </w:tcPr>
          <w:p>
            <w:pPr>
              <w:jc w:val="right"/>
              <w:ind w:right="78"/>
              <w:spacing w:after="0"/>
              <w:rPr>
                <w:sz w:val="20"/>
                <w:szCs w:val="20"/>
                <w:color w:val="auto"/>
              </w:rPr>
            </w:pPr>
            <w:r>
              <w:rPr>
                <w:rFonts w:ascii="Arial" w:cs="Arial" w:eastAsia="Arial" w:hAnsi="Arial"/>
                <w:sz w:val="14"/>
                <w:szCs w:val="14"/>
                <w:b w:val="1"/>
                <w:bCs w:val="1"/>
                <w:color w:val="457157"/>
              </w:rPr>
              <w:t>(#)​</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457157"/>
              </w:rPr>
              <w:t>(#)​</w:t>
            </w: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457157"/>
              </w:rPr>
              <w:t>Units (#)​Options(#)</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457157"/>
              </w:rPr>
              <w:t>($/sh)</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680" w:type="dxa"/>
            <w:vAlign w:val="bottom"/>
            <w:gridSpan w:val="2"/>
          </w:tcPr>
          <w:p>
            <w:pPr>
              <w:ind w:left="180"/>
              <w:spacing w:after="0"/>
              <w:rPr>
                <w:sz w:val="20"/>
                <w:szCs w:val="20"/>
                <w:color w:val="auto"/>
              </w:rPr>
            </w:pPr>
            <w:r>
              <w:rPr>
                <w:rFonts w:ascii="Arial" w:cs="Arial" w:eastAsia="Arial" w:hAnsi="Arial"/>
                <w:sz w:val="14"/>
                <w:szCs w:val="14"/>
                <w:b w:val="1"/>
                <w:bCs w:val="1"/>
                <w:color w:val="457157"/>
              </w:rPr>
              <w:t>($/sh)​</w:t>
            </w:r>
          </w:p>
        </w:tc>
        <w:tc>
          <w:tcPr>
            <w:tcW w:w="780" w:type="dxa"/>
            <w:vAlign w:val="bottom"/>
            <w:gridSpan w:val="2"/>
          </w:tcPr>
          <w:p>
            <w:pPr>
              <w:jc w:val="right"/>
              <w:spacing w:after="0" w:line="176"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(5)</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196"/>
        </w:trPr>
        <w:tc>
          <w:tcPr>
            <w:tcW w:w="2140" w:type="dxa"/>
            <w:vAlign w:val="bottom"/>
            <w:tcBorders>
              <w:top w:val="single" w:sz="8" w:color="457157"/>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​James C. Fish, Jr.</w:t>
            </w:r>
          </w:p>
        </w:tc>
        <w:tc>
          <w:tcPr>
            <w:tcW w:w="1000" w:type="dxa"/>
            <w:vAlign w:val="bottom"/>
            <w:tcBorders>
              <w:top w:val="single" w:sz="8" w:color="457157"/>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457157"/>
              <w:bottom w:val="single" w:sz="8" w:color="457157"/>
            </w:tcBorders>
            <w:shd w:val="clear" w:color="auto" w:fill="CCEEFF"/>
          </w:tcPr>
          <w:p>
            <w:pPr>
              <w:spacing w:after="0"/>
              <w:rPr>
                <w:sz w:val="17"/>
                <w:szCs w:val="17"/>
                <w:color w:val="auto"/>
              </w:rPr>
            </w:pPr>
          </w:p>
        </w:tc>
        <w:tc>
          <w:tcPr>
            <w:tcW w:w="2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top w:val="single" w:sz="8" w:color="457157"/>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457157"/>
              <w:bottom w:val="single" w:sz="8" w:color="457157"/>
            </w:tcBorders>
            <w:shd w:val="clear" w:color="auto" w:fill="CCEEFF"/>
          </w:tcPr>
          <w:p>
            <w:pPr>
              <w:spacing w:after="0"/>
              <w:rPr>
                <w:sz w:val="17"/>
                <w:szCs w:val="17"/>
                <w:color w:val="auto"/>
              </w:rPr>
            </w:pPr>
          </w:p>
        </w:tc>
        <w:tc>
          <w:tcPr>
            <w:tcW w:w="16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457157"/>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top w:val="single" w:sz="8" w:color="457157"/>
              <w:bottom w:val="single" w:sz="8" w:color="457157"/>
            </w:tcBorders>
            <w:shd w:val="clear" w:color="auto" w:fill="CCEEFF"/>
          </w:tcPr>
          <w:p>
            <w:pPr>
              <w:spacing w:after="0"/>
              <w:rPr>
                <w:sz w:val="17"/>
                <w:szCs w:val="17"/>
                <w:color w:val="auto"/>
              </w:rPr>
            </w:pPr>
          </w:p>
        </w:tc>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457157"/>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457157"/>
            </w:tcBorders>
            <w:gridSpan w:val="6"/>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r>
              <w:rPr>
                <w:rFonts w:ascii="Arial" w:cs="Arial" w:eastAsia="Arial" w:hAnsi="Arial"/>
                <w:sz w:val="17"/>
                <w:szCs w:val="17"/>
                <w:color w:val="auto"/>
              </w:rPr>
              <w:t xml:space="preserve"> 1,316,786</w:t>
            </w:r>
            <w:r>
              <w:rPr>
                <w:rFonts w:ascii="Arial" w:cs="Arial" w:eastAsia="Arial" w:hAnsi="Arial"/>
                <w:sz w:val="17"/>
                <w:szCs w:val="17"/>
                <w:b w:val="1"/>
                <w:bCs w:val="1"/>
                <w:color w:val="auto"/>
              </w:rPr>
              <w:t>​</w:t>
            </w:r>
            <w:r>
              <w:rPr>
                <w:rFonts w:ascii="Arial" w:cs="Arial" w:eastAsia="Arial" w:hAnsi="Arial"/>
                <w:sz w:val="17"/>
                <w:szCs w:val="17"/>
                <w:color w:val="auto"/>
              </w:rPr>
              <w:t>2,194,643</w:t>
            </w:r>
            <w:r>
              <w:rPr>
                <w:rFonts w:ascii="Arial" w:cs="Arial" w:eastAsia="Arial" w:hAnsi="Arial"/>
                <w:sz w:val="17"/>
                <w:szCs w:val="17"/>
                <w:b w:val="1"/>
                <w:bCs w:val="1"/>
                <w:color w:val="auto"/>
              </w:rPr>
              <w:t>​</w:t>
            </w:r>
            <w:r>
              <w:rPr>
                <w:rFonts w:ascii="Arial" w:cs="Arial" w:eastAsia="Arial" w:hAnsi="Arial"/>
                <w:sz w:val="17"/>
                <w:szCs w:val="17"/>
                <w:color w:val="auto"/>
              </w:rPr>
              <w:t>4,389,286​</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457157"/>
            </w:tcBorders>
            <w:gridSpan w:val="2"/>
            <w:shd w:val="clear" w:color="auto" w:fill="CCEEFF"/>
          </w:tcPr>
          <w:p>
            <w:pPr>
              <w:ind w:left="40"/>
              <w:spacing w:after="0"/>
              <w:rPr>
                <w:sz w:val="20"/>
                <w:szCs w:val="20"/>
                <w:color w:val="auto"/>
              </w:rPr>
            </w:pPr>
            <w:r>
              <w:rPr>
                <w:rFonts w:ascii="Arial" w:cs="Arial" w:eastAsia="Arial" w:hAnsi="Arial"/>
                <w:sz w:val="17"/>
                <w:szCs w:val="17"/>
                <w:color w:val="auto"/>
              </w:rPr>
              <w:t>​ 25,658</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420" w:type="dxa"/>
            <w:vAlign w:val="bottom"/>
            <w:tcBorders>
              <w:bottom w:val="single" w:sz="8" w:color="457157"/>
            </w:tcBorders>
            <w:gridSpan w:val="4"/>
            <w:shd w:val="clear" w:color="auto" w:fill="CCEEFF"/>
          </w:tcPr>
          <w:p>
            <w:pPr>
              <w:jc w:val="right"/>
              <w:spacing w:after="0"/>
              <w:rPr>
                <w:sz w:val="20"/>
                <w:szCs w:val="20"/>
                <w:color w:val="auto"/>
              </w:rPr>
            </w:pPr>
            <w:r>
              <w:rPr>
                <w:rFonts w:ascii="Arial" w:cs="Arial" w:eastAsia="Arial" w:hAnsi="Arial"/>
                <w:sz w:val="17"/>
                <w:szCs w:val="17"/>
                <w:color w:val="auto"/>
              </w:rPr>
              <w:t>51,316​</w:t>
            </w:r>
            <w:r>
              <w:rPr>
                <w:rFonts w:ascii="Arial" w:cs="Arial" w:eastAsia="Arial" w:hAnsi="Arial"/>
                <w:sz w:val="17"/>
                <w:szCs w:val="17"/>
                <w:b w:val="1"/>
                <w:bCs w:val="1"/>
                <w:color w:val="auto"/>
              </w:rPr>
              <w:t>​</w:t>
            </w:r>
            <w:r>
              <w:rPr>
                <w:rFonts w:ascii="Arial" w:cs="Arial" w:eastAsia="Arial" w:hAnsi="Arial"/>
                <w:sz w:val="17"/>
                <w:szCs w:val="17"/>
                <w:color w:val="auto"/>
              </w:rPr>
              <w:t xml:space="preserve"> 102,632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8,405,433</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​59,415</w:t>
            </w:r>
          </w:p>
        </w:tc>
        <w:tc>
          <w:tcPr>
            <w:tcW w:w="14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150.115​</w:t>
            </w:r>
            <w:r>
              <w:rPr>
                <w:rFonts w:ascii="Arial" w:cs="Arial" w:eastAsia="Arial" w:hAnsi="Arial"/>
                <w:sz w:val="17"/>
                <w:szCs w:val="17"/>
                <w:b w:val="1"/>
                <w:bCs w:val="1"/>
                <w:color w:val="auto"/>
              </w:rPr>
              <w:t>​</w:t>
            </w:r>
          </w:p>
        </w:tc>
        <w:tc>
          <w:tcPr>
            <w:tcW w:w="1420" w:type="dxa"/>
            <w:vAlign w:val="bottom"/>
            <w:tcBorders>
              <w:bottom w:val="single" w:sz="8" w:color="457157"/>
            </w:tcBorders>
            <w:gridSpan w:val="3"/>
          </w:tcPr>
          <w:p>
            <w:pPr>
              <w:ind w:left="60"/>
              <w:spacing w:after="0"/>
              <w:rPr>
                <w:sz w:val="20"/>
                <w:szCs w:val="20"/>
                <w:color w:val="auto"/>
              </w:rPr>
            </w:pPr>
            <w:r>
              <w:rPr>
                <w:rFonts w:ascii="Arial" w:cs="Arial" w:eastAsia="Arial" w:hAnsi="Arial"/>
                <w:sz w:val="17"/>
                <w:szCs w:val="17"/>
                <w:color w:val="auto"/>
                <w:w w:val="99"/>
              </w:rPr>
              <w:t xml:space="preserve">149.40 </w:t>
            </w:r>
            <w:r>
              <w:rPr>
                <w:rFonts w:ascii="Arial" w:cs="Arial" w:eastAsia="Arial" w:hAnsi="Arial"/>
                <w:sz w:val="17"/>
                <w:szCs w:val="17"/>
                <w:b w:val="1"/>
                <w:bCs w:val="1"/>
                <w:color w:val="auto"/>
                <w:w w:val="99"/>
              </w:rPr>
              <w:t>​</w:t>
            </w:r>
            <w:r>
              <w:rPr>
                <w:rFonts w:ascii="Arial" w:cs="Arial" w:eastAsia="Arial" w:hAnsi="Arial"/>
                <w:sz w:val="17"/>
                <w:szCs w:val="17"/>
                <w:color w:val="auto"/>
                <w:w w:val="99"/>
              </w:rPr>
              <w:t>1,950,000</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​Devina A. Rankin</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1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456,826</w:t>
            </w:r>
            <w:r>
              <w:rPr>
                <w:rFonts w:ascii="Arial" w:cs="Arial" w:eastAsia="Arial" w:hAnsi="Arial"/>
                <w:sz w:val="17"/>
                <w:szCs w:val="17"/>
                <w:b w:val="1"/>
                <w:bCs w:val="1"/>
                <w:color w:val="auto"/>
              </w:rPr>
              <w:t>​</w:t>
            </w:r>
          </w:p>
        </w:tc>
        <w:tc>
          <w:tcPr>
            <w:tcW w:w="15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761,377</w:t>
            </w:r>
            <w:r>
              <w:rPr>
                <w:rFonts w:ascii="Arial" w:cs="Arial" w:eastAsia="Arial" w:hAnsi="Arial"/>
                <w:sz w:val="17"/>
                <w:szCs w:val="17"/>
                <w:b w:val="1"/>
                <w:bCs w:val="1"/>
                <w:color w:val="auto"/>
              </w:rPr>
              <w:t>​</w:t>
            </w:r>
            <w:r>
              <w:rPr>
                <w:rFonts w:ascii="Arial" w:cs="Arial" w:eastAsia="Arial" w:hAnsi="Arial"/>
                <w:sz w:val="17"/>
                <w:szCs w:val="17"/>
                <w:color w:val="auto"/>
              </w:rPr>
              <w:t>1,522,754​</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6,053</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color w:val="auto"/>
              </w:rPr>
              <w:t>12,106​</w:t>
            </w:r>
            <w:r>
              <w:rPr>
                <w:rFonts w:ascii="Arial" w:cs="Arial" w:eastAsia="Arial" w:hAnsi="Arial"/>
                <w:sz w:val="17"/>
                <w:szCs w:val="17"/>
                <w:b w:val="1"/>
                <w:bCs w:val="1"/>
                <w:color w:val="auto"/>
              </w:rPr>
              <w:t>​</w:t>
            </w:r>
          </w:p>
        </w:tc>
        <w:tc>
          <w:tcPr>
            <w:tcW w:w="68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7"/>
                <w:szCs w:val="17"/>
                <w:color w:val="auto"/>
              </w:rPr>
              <w:t>24,212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1,982,933</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​14,016</w:t>
            </w:r>
          </w:p>
        </w:tc>
        <w:tc>
          <w:tcPr>
            <w:tcW w:w="14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150.115​</w:t>
            </w:r>
            <w:r>
              <w:rPr>
                <w:rFonts w:ascii="Arial" w:cs="Arial" w:eastAsia="Arial" w:hAnsi="Arial"/>
                <w:sz w:val="17"/>
                <w:szCs w:val="17"/>
                <w:b w:val="1"/>
                <w:bCs w:val="1"/>
                <w:color w:val="auto"/>
              </w:rPr>
              <w:t>​</w:t>
            </w:r>
          </w:p>
        </w:tc>
        <w:tc>
          <w:tcPr>
            <w:tcW w:w="680" w:type="dxa"/>
            <w:vAlign w:val="bottom"/>
            <w:tcBorders>
              <w:bottom w:val="single" w:sz="8" w:color="457157"/>
            </w:tcBorders>
            <w:gridSpan w:val="2"/>
          </w:tcPr>
          <w:p>
            <w:pPr>
              <w:ind w:left="60"/>
              <w:spacing w:after="0"/>
              <w:rPr>
                <w:sz w:val="20"/>
                <w:szCs w:val="20"/>
                <w:color w:val="auto"/>
              </w:rPr>
            </w:pPr>
            <w:r>
              <w:rPr>
                <w:rFonts w:ascii="Arial" w:cs="Arial" w:eastAsia="Arial" w:hAnsi="Arial"/>
                <w:sz w:val="17"/>
                <w:szCs w:val="17"/>
                <w:color w:val="auto"/>
              </w:rPr>
              <w:t xml:space="preserve">149.40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460,005</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​John J. Morris, Jr.</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1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513,235</w:t>
            </w:r>
            <w:r>
              <w:rPr>
                <w:rFonts w:ascii="Arial" w:cs="Arial" w:eastAsia="Arial" w:hAnsi="Arial"/>
                <w:sz w:val="17"/>
                <w:szCs w:val="17"/>
                <w:b w:val="1"/>
                <w:bCs w:val="1"/>
                <w:color w:val="auto"/>
              </w:rPr>
              <w:t>​</w:t>
            </w:r>
          </w:p>
        </w:tc>
        <w:tc>
          <w:tcPr>
            <w:tcW w:w="15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855,392</w:t>
            </w:r>
            <w:r>
              <w:rPr>
                <w:rFonts w:ascii="Arial" w:cs="Arial" w:eastAsia="Arial" w:hAnsi="Arial"/>
                <w:sz w:val="17"/>
                <w:szCs w:val="17"/>
                <w:b w:val="1"/>
                <w:bCs w:val="1"/>
                <w:color w:val="auto"/>
              </w:rPr>
              <w:t>​</w:t>
            </w:r>
            <w:r>
              <w:rPr>
                <w:rFonts w:ascii="Arial" w:cs="Arial" w:eastAsia="Arial" w:hAnsi="Arial"/>
                <w:sz w:val="17"/>
                <w:szCs w:val="17"/>
                <w:color w:val="auto"/>
              </w:rPr>
              <w:t>1,710,784​</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7,105</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color w:val="auto"/>
              </w:rPr>
              <w:t>14,210​</w:t>
            </w:r>
            <w:r>
              <w:rPr>
                <w:rFonts w:ascii="Arial" w:cs="Arial" w:eastAsia="Arial" w:hAnsi="Arial"/>
                <w:sz w:val="17"/>
                <w:szCs w:val="17"/>
                <w:b w:val="1"/>
                <w:bCs w:val="1"/>
                <w:color w:val="auto"/>
              </w:rPr>
              <w:t>​</w:t>
            </w:r>
          </w:p>
        </w:tc>
        <w:tc>
          <w:tcPr>
            <w:tcW w:w="68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7"/>
                <w:szCs w:val="17"/>
                <w:color w:val="auto"/>
              </w:rPr>
              <w:t>28,420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2,327,562</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​16,453</w:t>
            </w:r>
          </w:p>
        </w:tc>
        <w:tc>
          <w:tcPr>
            <w:tcW w:w="14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150.115​</w:t>
            </w:r>
            <w:r>
              <w:rPr>
                <w:rFonts w:ascii="Arial" w:cs="Arial" w:eastAsia="Arial" w:hAnsi="Arial"/>
                <w:sz w:val="17"/>
                <w:szCs w:val="17"/>
                <w:b w:val="1"/>
                <w:bCs w:val="1"/>
                <w:color w:val="auto"/>
              </w:rPr>
              <w:t>​</w:t>
            </w:r>
          </w:p>
        </w:tc>
        <w:tc>
          <w:tcPr>
            <w:tcW w:w="680" w:type="dxa"/>
            <w:vAlign w:val="bottom"/>
            <w:tcBorders>
              <w:bottom w:val="single" w:sz="8" w:color="457157"/>
            </w:tcBorders>
            <w:gridSpan w:val="2"/>
          </w:tcPr>
          <w:p>
            <w:pPr>
              <w:ind w:left="60"/>
              <w:spacing w:after="0"/>
              <w:rPr>
                <w:sz w:val="20"/>
                <w:szCs w:val="20"/>
                <w:color w:val="auto"/>
              </w:rPr>
            </w:pPr>
            <w:r>
              <w:rPr>
                <w:rFonts w:ascii="Arial" w:cs="Arial" w:eastAsia="Arial" w:hAnsi="Arial"/>
                <w:sz w:val="17"/>
                <w:szCs w:val="17"/>
                <w:color w:val="auto"/>
              </w:rPr>
              <w:t xml:space="preserve">149.40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539,987</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457157"/>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​Rafael E. Carrasco</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1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342,678</w:t>
            </w:r>
            <w:r>
              <w:rPr>
                <w:rFonts w:ascii="Arial" w:cs="Arial" w:eastAsia="Arial" w:hAnsi="Arial"/>
                <w:sz w:val="17"/>
                <w:szCs w:val="17"/>
                <w:b w:val="1"/>
                <w:bCs w:val="1"/>
                <w:color w:val="auto"/>
              </w:rPr>
              <w:t>​</w:t>
            </w:r>
          </w:p>
        </w:tc>
        <w:tc>
          <w:tcPr>
            <w:tcW w:w="15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571,130</w:t>
            </w:r>
            <w:r>
              <w:rPr>
                <w:rFonts w:ascii="Arial" w:cs="Arial" w:eastAsia="Arial" w:hAnsi="Arial"/>
                <w:sz w:val="17"/>
                <w:szCs w:val="17"/>
                <w:b w:val="1"/>
                <w:bCs w:val="1"/>
                <w:color w:val="auto"/>
              </w:rPr>
              <w:t>​</w:t>
            </w:r>
            <w:r>
              <w:rPr>
                <w:rFonts w:ascii="Arial" w:cs="Arial" w:eastAsia="Arial" w:hAnsi="Arial"/>
                <w:sz w:val="17"/>
                <w:szCs w:val="17"/>
                <w:color w:val="auto"/>
              </w:rPr>
              <w:t>1,142,260​</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5,263</w:t>
            </w:r>
          </w:p>
        </w:tc>
        <w:tc>
          <w:tcPr>
            <w:tcW w:w="940" w:type="dxa"/>
            <w:vAlign w:val="bottom"/>
            <w:tcBorders>
              <w:bottom w:val="single" w:sz="8" w:color="457157"/>
            </w:tcBorders>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10,5266​</w:t>
            </w:r>
            <w:r>
              <w:rPr>
                <w:rFonts w:ascii="Arial" w:cs="Arial" w:eastAsia="Arial" w:hAnsi="Arial"/>
                <w:sz w:val="17"/>
                <w:szCs w:val="17"/>
                <w:b w:val="1"/>
                <w:bCs w:val="1"/>
                <w:color w:val="auto"/>
              </w:rPr>
              <w:t>​</w:t>
            </w:r>
          </w:p>
        </w:tc>
        <w:tc>
          <w:tcPr>
            <w:tcW w:w="68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7"/>
                <w:szCs w:val="17"/>
                <w:color w:val="auto"/>
              </w:rPr>
              <w:t>21,052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1,724,132</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​12,188</w:t>
            </w:r>
          </w:p>
        </w:tc>
        <w:tc>
          <w:tcPr>
            <w:tcW w:w="14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150.115​</w:t>
            </w:r>
            <w:r>
              <w:rPr>
                <w:rFonts w:ascii="Arial" w:cs="Arial" w:eastAsia="Arial" w:hAnsi="Arial"/>
                <w:sz w:val="17"/>
                <w:szCs w:val="17"/>
                <w:b w:val="1"/>
                <w:bCs w:val="1"/>
                <w:color w:val="auto"/>
              </w:rPr>
              <w:t>​</w:t>
            </w:r>
          </w:p>
        </w:tc>
        <w:tc>
          <w:tcPr>
            <w:tcW w:w="680" w:type="dxa"/>
            <w:vAlign w:val="bottom"/>
            <w:tcBorders>
              <w:bottom w:val="single" w:sz="8" w:color="457157"/>
            </w:tcBorders>
            <w:gridSpan w:val="2"/>
          </w:tcPr>
          <w:p>
            <w:pPr>
              <w:ind w:left="60"/>
              <w:spacing w:after="0"/>
              <w:rPr>
                <w:sz w:val="20"/>
                <w:szCs w:val="20"/>
                <w:color w:val="auto"/>
              </w:rPr>
            </w:pPr>
            <w:r>
              <w:rPr>
                <w:rFonts w:ascii="Arial" w:cs="Arial" w:eastAsia="Arial" w:hAnsi="Arial"/>
                <w:sz w:val="17"/>
                <w:szCs w:val="17"/>
                <w:color w:val="auto"/>
              </w:rPr>
              <w:t xml:space="preserve">149.40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400,010</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​Tara J. Hemmer</w:t>
            </w:r>
          </w:p>
        </w:tc>
        <w:tc>
          <w:tcPr>
            <w:tcW w:w="800" w:type="dxa"/>
            <w:vAlign w:val="bottom"/>
            <w:tcBorders>
              <w:bottom w:val="single" w:sz="8" w:color="457157"/>
            </w:tcBorders>
            <w:shd w:val="clear" w:color="auto" w:fill="CCEEFF"/>
          </w:tcPr>
          <w:p>
            <w:pPr>
              <w:spacing w:after="0"/>
              <w:rPr>
                <w:sz w:val="17"/>
                <w:szCs w:val="17"/>
                <w:color w:val="auto"/>
              </w:rPr>
            </w:pP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7"/>
                <w:szCs w:val="17"/>
                <w:color w:val="auto"/>
              </w:rPr>
            </w:pPr>
          </w:p>
        </w:tc>
        <w:tc>
          <w:tcPr>
            <w:tcW w:w="1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457157"/>
            </w:tcBorders>
            <w:gridSpan w:val="3"/>
          </w:tcPr>
          <w:p>
            <w:pPr>
              <w:spacing w:after="0"/>
              <w:rPr>
                <w:sz w:val="20"/>
                <w:szCs w:val="20"/>
                <w:color w:val="auto"/>
              </w:rPr>
            </w:pPr>
            <w:r>
              <w:rPr>
                <w:rFonts w:ascii="Arial" w:cs="Arial" w:eastAsia="Arial" w:hAnsi="Arial"/>
                <w:sz w:val="17"/>
                <w:szCs w:val="17"/>
                <w:color w:val="auto"/>
              </w:rPr>
              <w:t xml:space="preserve">​Cash Incentive </w:t>
            </w:r>
            <w:r>
              <w:rPr>
                <w:rFonts w:ascii="Arial" w:cs="Arial" w:eastAsia="Arial" w:hAnsi="Arial"/>
                <w:sz w:val="17"/>
                <w:szCs w:val="17"/>
                <w:b w:val="1"/>
                <w:bCs w:val="1"/>
                <w:color w:val="auto"/>
              </w:rPr>
              <w:t>​</w:t>
            </w:r>
          </w:p>
        </w:tc>
        <w:tc>
          <w:tcPr>
            <w:tcW w:w="8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358,170</w:t>
            </w:r>
            <w:r>
              <w:rPr>
                <w:rFonts w:ascii="Arial" w:cs="Arial" w:eastAsia="Arial" w:hAnsi="Arial"/>
                <w:sz w:val="17"/>
                <w:szCs w:val="17"/>
                <w:b w:val="1"/>
                <w:bCs w:val="1"/>
                <w:color w:val="auto"/>
              </w:rPr>
              <w:t>​</w:t>
            </w:r>
          </w:p>
        </w:tc>
        <w:tc>
          <w:tcPr>
            <w:tcW w:w="150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596,950</w:t>
            </w:r>
            <w:r>
              <w:rPr>
                <w:rFonts w:ascii="Arial" w:cs="Arial" w:eastAsia="Arial" w:hAnsi="Arial"/>
                <w:sz w:val="17"/>
                <w:szCs w:val="17"/>
                <w:b w:val="1"/>
                <w:bCs w:val="1"/>
                <w:color w:val="auto"/>
              </w:rPr>
              <w:t>​</w:t>
            </w:r>
            <w:r>
              <w:rPr>
                <w:rFonts w:ascii="Arial" w:cs="Arial" w:eastAsia="Arial" w:hAnsi="Arial"/>
                <w:sz w:val="17"/>
                <w:szCs w:val="17"/>
                <w:color w:val="auto"/>
              </w:rPr>
              <w:t>1,193,900​</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tcBorders>
              <w:bottom w:val="single" w:sz="8" w:color="457157"/>
            </w:tcBorders>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7"/>
                <w:szCs w:val="17"/>
                <w:color w:val="auto"/>
              </w:rPr>
            </w:pPr>
          </w:p>
        </w:tc>
        <w:tc>
          <w:tcPr>
            <w:tcW w:w="160" w:type="dxa"/>
            <w:vAlign w:val="bottom"/>
            <w:tcBorders>
              <w:bottom w:val="single" w:sz="8" w:color="457157"/>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tcPr>
          <w:p>
            <w:pPr>
              <w:spacing w:after="0"/>
              <w:rPr>
                <w:sz w:val="17"/>
                <w:szCs w:val="17"/>
                <w:color w:val="auto"/>
              </w:rPr>
            </w:pPr>
          </w:p>
        </w:tc>
        <w:tc>
          <w:tcPr>
            <w:tcW w:w="120" w:type="dxa"/>
            <w:vAlign w:val="bottom"/>
            <w:tcBorders>
              <w:bottom w:val="single" w:sz="8" w:color="457157"/>
            </w:tcBorders>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457157"/>
            </w:tcBorders>
            <w:shd w:val="clear" w:color="auto" w:fill="CCEEFF"/>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4,737</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40" w:type="dxa"/>
            <w:vAlign w:val="bottom"/>
            <w:tcBorders>
              <w:bottom w:val="single" w:sz="8" w:color="457157"/>
            </w:tcBorders>
            <w:shd w:val="clear" w:color="auto" w:fill="CCEEFF"/>
          </w:tcPr>
          <w:p>
            <w:pPr>
              <w:jc w:val="right"/>
              <w:ind w:right="38"/>
              <w:spacing w:after="0"/>
              <w:rPr>
                <w:sz w:val="20"/>
                <w:szCs w:val="20"/>
                <w:color w:val="auto"/>
              </w:rPr>
            </w:pPr>
            <w:r>
              <w:rPr>
                <w:rFonts w:ascii="Arial" w:cs="Arial" w:eastAsia="Arial" w:hAnsi="Arial"/>
                <w:sz w:val="17"/>
                <w:szCs w:val="17"/>
                <w:color w:val="auto"/>
              </w:rPr>
              <w:t>9,474​</w:t>
            </w:r>
            <w:r>
              <w:rPr>
                <w:rFonts w:ascii="Arial" w:cs="Arial" w:eastAsia="Arial" w:hAnsi="Arial"/>
                <w:sz w:val="17"/>
                <w:szCs w:val="17"/>
                <w:b w:val="1"/>
                <w:bCs w:val="1"/>
                <w:color w:val="auto"/>
              </w:rPr>
              <w:t>​</w:t>
            </w:r>
          </w:p>
        </w:tc>
        <w:tc>
          <w:tcPr>
            <w:tcW w:w="68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7"/>
                <w:szCs w:val="17"/>
                <w:color w:val="auto"/>
              </w:rPr>
              <w:t>18,948 ​</w:t>
            </w:r>
          </w:p>
        </w:tc>
        <w:tc>
          <w:tcPr>
            <w:tcW w:w="720" w:type="dxa"/>
            <w:vAlign w:val="bottom"/>
            <w:tcBorders>
              <w:bottom w:val="single" w:sz="8" w:color="457157"/>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60" w:type="dxa"/>
            <w:vAlign w:val="bottom"/>
            <w:tcBorders>
              <w:bottom w:val="single" w:sz="8" w:color="457157"/>
            </w:tcBorders>
            <w:shd w:val="clear" w:color="auto" w:fill="CCEEFF"/>
          </w:tcPr>
          <w:p>
            <w:pPr>
              <w:spacing w:after="0"/>
              <w:rPr>
                <w:sz w:val="17"/>
                <w:szCs w:val="17"/>
                <w:color w:val="auto"/>
              </w:rPr>
            </w:pPr>
          </w:p>
        </w:tc>
        <w:tc>
          <w:tcPr>
            <w:tcW w:w="86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1,551,818</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100" w:type="dxa"/>
            <w:vAlign w:val="bottom"/>
            <w:vMerge w:val="restart"/>
          </w:tcPr>
          <w:p>
            <w:pPr>
              <w:spacing w:after="0"/>
              <w:rPr>
                <w:sz w:val="20"/>
                <w:szCs w:val="20"/>
                <w:color w:val="auto"/>
              </w:rPr>
            </w:pPr>
            <w:r>
              <w:rPr>
                <w:rFonts w:ascii="Arial" w:cs="Arial" w:eastAsia="Arial" w:hAnsi="Arial"/>
                <w:sz w:val="17"/>
                <w:szCs w:val="17"/>
                <w:color w:val="auto"/>
              </w:rPr>
              <w:t>​</w:t>
            </w:r>
          </w:p>
        </w:tc>
        <w:tc>
          <w:tcPr>
            <w:tcW w:w="1100" w:type="dxa"/>
            <w:vAlign w:val="bottom"/>
            <w:vMerge w:val="restart"/>
          </w:tcPr>
          <w:p>
            <w:pPr>
              <w:jc w:val="right"/>
              <w:ind w:right="457"/>
              <w:spacing w:after="0"/>
              <w:rPr>
                <w:sz w:val="20"/>
                <w:szCs w:val="20"/>
                <w:color w:val="auto"/>
              </w:rPr>
            </w:pPr>
            <w:r>
              <w:rPr>
                <w:rFonts w:ascii="Arial" w:cs="Arial" w:eastAsia="Arial" w:hAnsi="Arial"/>
                <w:sz w:val="17"/>
                <w:szCs w:val="17"/>
                <w:color w:val="auto"/>
              </w:rPr>
              <w:t>3/7/23</w:t>
            </w:r>
          </w:p>
        </w:tc>
        <w:tc>
          <w:tcPr>
            <w:tcW w:w="140" w:type="dxa"/>
            <w:vAlign w:val="bottom"/>
          </w:tcPr>
          <w:p>
            <w:pPr>
              <w:ind w:left="20"/>
              <w:spacing w:after="0" w:line="155"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200"/>
              <w:spacing w:after="0" w:line="155"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12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740" w:type="dxa"/>
            <w:vAlign w:val="bottom"/>
            <w:vMerge w:val="restart"/>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2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center"/>
              <w:spacing w:after="0" w:line="155" w:lineRule="exact"/>
              <w:rPr>
                <w:sz w:val="20"/>
                <w:szCs w:val="20"/>
                <w:color w:val="auto"/>
              </w:rPr>
            </w:pPr>
            <w:r>
              <w:rPr>
                <w:rFonts w:ascii="Arial" w:cs="Arial" w:eastAsia="Arial" w:hAnsi="Arial"/>
                <w:sz w:val="17"/>
                <w:szCs w:val="17"/>
                <w:color w:val="auto"/>
              </w:rPr>
              <w:t>​</w:t>
            </w:r>
          </w:p>
        </w:tc>
        <w:tc>
          <w:tcPr>
            <w:tcW w:w="8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ind w:left="120"/>
              <w:spacing w:after="0" w:line="155" w:lineRule="exact"/>
              <w:rPr>
                <w:sz w:val="20"/>
                <w:szCs w:val="20"/>
                <w:color w:val="auto"/>
              </w:rPr>
            </w:pPr>
            <w:r>
              <w:rPr>
                <w:rFonts w:ascii="Arial" w:cs="Arial" w:eastAsia="Arial" w:hAnsi="Arial"/>
                <w:sz w:val="17"/>
                <w:szCs w:val="17"/>
                <w:color w:val="auto"/>
              </w:rPr>
              <w:t>​10,969</w:t>
            </w:r>
          </w:p>
        </w:tc>
        <w:tc>
          <w:tcPr>
            <w:tcW w:w="14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7"/>
                <w:szCs w:val="17"/>
                <w:color w:val="auto"/>
              </w:rPr>
              <w:t>150.115 ​</w:t>
            </w:r>
          </w:p>
        </w:tc>
        <w:tc>
          <w:tcPr>
            <w:tcW w:w="560" w:type="dxa"/>
            <w:vAlign w:val="bottom"/>
          </w:tcPr>
          <w:p>
            <w:pPr>
              <w:ind w:left="60"/>
              <w:spacing w:after="0" w:line="155" w:lineRule="exact"/>
              <w:rPr>
                <w:sz w:val="20"/>
                <w:szCs w:val="20"/>
                <w:color w:val="auto"/>
              </w:rPr>
            </w:pPr>
            <w:r>
              <w:rPr>
                <w:rFonts w:ascii="Arial" w:cs="Arial" w:eastAsia="Arial" w:hAnsi="Arial"/>
                <w:sz w:val="17"/>
                <w:szCs w:val="17"/>
                <w:color w:val="auto"/>
                <w:w w:val="92"/>
              </w:rPr>
              <w:t>149.40</w:t>
            </w:r>
          </w:p>
        </w:tc>
        <w:tc>
          <w:tcPr>
            <w:tcW w:w="12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7"/>
                <w:szCs w:val="17"/>
                <w:color w:val="auto"/>
              </w:rPr>
              <w:t>360,003​</w:t>
            </w:r>
          </w:p>
        </w:tc>
        <w:tc>
          <w:tcPr>
            <w:tcW w:w="0" w:type="dxa"/>
            <w:vAlign w:val="bottom"/>
          </w:tcPr>
          <w:p>
            <w:pPr>
              <w:spacing w:after="0"/>
              <w:rPr>
                <w:sz w:val="1"/>
                <w:szCs w:val="1"/>
                <w:color w:val="auto"/>
              </w:rPr>
            </w:pPr>
          </w:p>
        </w:tc>
      </w:tr>
      <w:tr>
        <w:trPr>
          <w:trHeight w:val="95"/>
        </w:trPr>
        <w:tc>
          <w:tcPr>
            <w:tcW w:w="1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w:t>
            </w:r>
          </w:p>
        </w:tc>
        <w:tc>
          <w:tcPr>
            <w:tcW w:w="80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w:t>
            </w:r>
          </w:p>
        </w:tc>
        <w:tc>
          <w:tcPr>
            <w:tcW w:w="1000" w:type="dxa"/>
            <w:vAlign w:val="bottom"/>
          </w:tcPr>
          <w:p>
            <w:pPr>
              <w:jc w:val="right"/>
              <w:ind w:right="220"/>
              <w:spacing w:after="0" w:line="95" w:lineRule="exact"/>
              <w:rPr>
                <w:sz w:val="20"/>
                <w:szCs w:val="20"/>
                <w:color w:val="auto"/>
              </w:rPr>
            </w:pPr>
            <w:r>
              <w:rPr>
                <w:rFonts w:ascii="Arial" w:cs="Arial" w:eastAsia="Arial" w:hAnsi="Arial"/>
                <w:sz w:val="10"/>
                <w:szCs w:val="10"/>
                <w:b w:val="1"/>
                <w:bCs w:val="1"/>
                <w:color w:val="auto"/>
              </w:rPr>
              <w:t>​</w:t>
            </w:r>
          </w:p>
        </w:tc>
        <w:tc>
          <w:tcPr>
            <w:tcW w:w="5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700" w:type="dxa"/>
            <w:vAlign w:val="bottom"/>
          </w:tcPr>
          <w:p>
            <w:pPr>
              <w:ind w:left="120"/>
              <w:spacing w:after="0" w:line="95"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7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4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both"/>
        <w:ind w:left="1180" w:right="780" w:hanging="364"/>
        <w:spacing w:after="0" w:line="254"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payouts of cash incentive awards for 2023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of the three financial performance measures. The range of possible payouts does not incorporate the potential impact of the sustainability modifier, pursuant to which cash incentive payouts were eligible to be increased, or decreased, up to 5% depending on achievement calculated using a sustainability scorecard. See “Compensation Discussion and Analysis — Named Executive’s 2023 Compensation Program and Results — Annual Cash Incentive” for additional information.</w:t>
      </w:r>
    </w:p>
    <w:p>
      <w:pPr>
        <w:spacing w:after="0" w:line="296" w:lineRule="exact"/>
        <w:rPr>
          <w:rFonts w:ascii="Arial" w:cs="Arial" w:eastAsia="Arial" w:hAnsi="Arial"/>
          <w:sz w:val="18"/>
          <w:szCs w:val="18"/>
          <w:color w:val="auto"/>
        </w:rPr>
      </w:pPr>
    </w:p>
    <w:p>
      <w:pPr>
        <w:jc w:val="both"/>
        <w:ind w:left="1180" w:right="780" w:hanging="364"/>
        <w:spacing w:after="0" w:line="25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based on the achievement of performance criteria under PSU awards granted under our 2014 Stock Incentive Plan. See “Compensation Discussion and Analysis — Named Executive’s 2023 Compensation Program and Results — Long-Term Equity Incentives — PSUs Granted in 2023” for additional information. The performance period for these awards ends December 31, 2025. PSUs earn dividend equivalents, which are paid out based on the number of shares earned at the end of the performance period.</w:t>
      </w:r>
    </w:p>
    <w:p>
      <w:pPr>
        <w:spacing w:after="0" w:line="74" w:lineRule="exact"/>
        <w:rPr>
          <w:rFonts w:ascii="Arial" w:cs="Arial" w:eastAsia="Arial" w:hAnsi="Arial"/>
          <w:sz w:val="18"/>
          <w:szCs w:val="18"/>
          <w:color w:val="auto"/>
        </w:rPr>
      </w:pPr>
    </w:p>
    <w:p>
      <w:pPr>
        <w:jc w:val="both"/>
        <w:ind w:left="1180" w:right="780" w:hanging="364"/>
        <w:spacing w:after="0" w:line="25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upon the exercise of options granted under our 2014 Stock Incentive Plan. See “Compensation Discussion and Analysis — Named Executive’s 2023 Compensation Program and Results — Long-Term Equity Incentives — Stock Options” for additional information.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290" w:lineRule="exact"/>
        <w:rPr>
          <w:rFonts w:ascii="Arial" w:cs="Arial" w:eastAsia="Arial" w:hAnsi="Arial"/>
          <w:sz w:val="18"/>
          <w:szCs w:val="18"/>
          <w:color w:val="auto"/>
        </w:rPr>
      </w:pPr>
    </w:p>
    <w:p>
      <w:pPr>
        <w:ind w:left="1180" w:right="800" w:hanging="364"/>
        <w:spacing w:after="0" w:line="28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of our Common Stock on the date of the grant, in accordance with our 2014 Stock Incentive Plan.</w:t>
      </w:r>
    </w:p>
    <w:p>
      <w:pPr>
        <w:spacing w:after="0" w:line="58" w:lineRule="exact"/>
        <w:rPr>
          <w:rFonts w:ascii="Arial" w:cs="Arial" w:eastAsia="Arial" w:hAnsi="Arial"/>
          <w:sz w:val="18"/>
          <w:szCs w:val="18"/>
          <w:color w:val="auto"/>
        </w:rPr>
      </w:pPr>
    </w:p>
    <w:p>
      <w:pPr>
        <w:ind w:left="1180" w:right="780" w:hanging="364"/>
        <w:spacing w:after="0" w:line="28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amounts are grant date fair values of the awards as calculated under ASC Topic 718 and as further described in notes (1) and (2) to the Summary Compensation Table.</w:t>
      </w:r>
    </w:p>
    <w:p>
      <w:pPr>
        <w:spacing w:after="0" w:line="223"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660"/>
          </w:cols>
          <w:pgMar w:left="580" w:top="97" w:right="65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OUTSTANDING EQUITY AWARDS AS OF DECEMBER 31, 2023</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11"/>
        </w:trPr>
        <w:tc>
          <w:tcPr>
            <w:tcW w:w="6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340" w:type="dxa"/>
            <w:vAlign w:val="bottom"/>
            <w:gridSpan w:val="2"/>
          </w:tcPr>
          <w:p>
            <w:pPr>
              <w:ind w:left="20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457157"/>
              </w:rPr>
              <w:t>Option Awards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Stock Awards</w:t>
            </w:r>
            <w:r>
              <w:rPr>
                <w:rFonts w:ascii="Arial" w:cs="Arial" w:eastAsia="Arial" w:hAnsi="Arial"/>
                <w:sz w:val="17"/>
                <w:szCs w:val="17"/>
                <w:b w:val="1"/>
                <w:bCs w:val="1"/>
                <w:color w:val="457157"/>
                <w:vertAlign w:val="superscript"/>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680" w:type="dxa"/>
            <w:vAlign w:val="bottom"/>
            <w:tcBorders>
              <w:top w:val="single" w:sz="8" w:color="457157"/>
            </w:tcBorders>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600" w:type="dxa"/>
            <w:vAlign w:val="bottom"/>
            <w:tcBorders>
              <w:top w:val="single" w:sz="8" w:color="457157"/>
            </w:tcBorders>
          </w:tcPr>
          <w:p>
            <w:pPr>
              <w:spacing w:after="0"/>
              <w:rPr>
                <w:sz w:val="14"/>
                <w:szCs w:val="14"/>
                <w:color w:val="auto"/>
              </w:rPr>
            </w:pPr>
          </w:p>
        </w:tc>
        <w:tc>
          <w:tcPr>
            <w:tcW w:w="240" w:type="dxa"/>
            <w:vAlign w:val="bottom"/>
            <w:tcBorders>
              <w:top w:val="single" w:sz="8" w:color="457157"/>
            </w:tcBorders>
          </w:tcPr>
          <w:p>
            <w:pPr>
              <w:spacing w:after="0"/>
              <w:rPr>
                <w:sz w:val="14"/>
                <w:szCs w:val="14"/>
                <w:color w:val="auto"/>
              </w:rPr>
            </w:pPr>
          </w:p>
        </w:tc>
        <w:tc>
          <w:tcPr>
            <w:tcW w:w="740" w:type="dxa"/>
            <w:vAlign w:val="bottom"/>
            <w:tcBorders>
              <w:top w:val="single" w:sz="8" w:color="457157"/>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64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58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860" w:type="dxa"/>
            <w:vAlign w:val="bottom"/>
            <w:tcBorders>
              <w:top w:val="single" w:sz="8" w:color="457157"/>
            </w:tcBorders>
          </w:tcPr>
          <w:p>
            <w:pPr>
              <w:jc w:val="right"/>
              <w:ind w:right="18"/>
              <w:spacing w:after="0"/>
              <w:rPr>
                <w:sz w:val="20"/>
                <w:szCs w:val="20"/>
                <w:color w:val="auto"/>
              </w:rPr>
            </w:pPr>
            <w:r>
              <w:rPr>
                <w:rFonts w:ascii="Arial" w:cs="Arial" w:eastAsia="Arial" w:hAnsi="Arial"/>
                <w:sz w:val="14"/>
                <w:szCs w:val="14"/>
                <w:b w:val="1"/>
                <w:bCs w:val="1"/>
                <w:color w:val="457157"/>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457157"/>
              </w:rPr>
              <w:t>Equity</w:t>
            </w:r>
          </w:p>
        </w:tc>
        <w:tc>
          <w:tcPr>
            <w:tcW w:w="200" w:type="dxa"/>
            <w:vAlign w:val="bottom"/>
          </w:tcPr>
          <w:p>
            <w:pPr>
              <w:spacing w:after="0"/>
              <w:rPr>
                <w:sz w:val="12"/>
                <w:szCs w:val="12"/>
                <w:color w:val="auto"/>
              </w:rPr>
            </w:pPr>
          </w:p>
        </w:tc>
        <w:tc>
          <w:tcPr>
            <w:tcW w:w="860" w:type="dxa"/>
            <w:vAlign w:val="bottom"/>
          </w:tcPr>
          <w:p>
            <w:pPr>
              <w:jc w:val="right"/>
              <w:ind w:right="18"/>
              <w:spacing w:after="0" w:line="139" w:lineRule="exact"/>
              <w:rPr>
                <w:sz w:val="20"/>
                <w:szCs w:val="20"/>
                <w:color w:val="auto"/>
              </w:rPr>
            </w:pPr>
            <w:r>
              <w:rPr>
                <w:rFonts w:ascii="Arial" w:cs="Arial" w:eastAsia="Arial" w:hAnsi="Arial"/>
                <w:sz w:val="14"/>
                <w:szCs w:val="14"/>
                <w:b w:val="1"/>
                <w:bCs w:val="1"/>
                <w:color w:val="457157"/>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18"/>
              <w:spacing w:after="0" w:line="145" w:lineRule="exact"/>
              <w:rPr>
                <w:sz w:val="20"/>
                <w:szCs w:val="20"/>
                <w:color w:val="auto"/>
              </w:rPr>
            </w:pPr>
            <w:r>
              <w:rPr>
                <w:rFonts w:ascii="Arial" w:cs="Arial" w:eastAsia="Arial" w:hAnsi="Arial"/>
                <w:sz w:val="14"/>
                <w:szCs w:val="14"/>
                <w:b w:val="1"/>
                <w:bCs w:val="1"/>
                <w:color w:val="457157"/>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Incentive</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left="136"/>
              <w:spacing w:after="0" w:line="139" w:lineRule="exact"/>
              <w:rPr>
                <w:sz w:val="20"/>
                <w:szCs w:val="20"/>
                <w:color w:val="auto"/>
              </w:rPr>
            </w:pPr>
            <w:r>
              <w:rPr>
                <w:rFonts w:ascii="Arial" w:cs="Arial" w:eastAsia="Arial" w:hAnsi="Arial"/>
                <w:sz w:val="14"/>
                <w:szCs w:val="14"/>
                <w:b w:val="1"/>
                <w:bCs w:val="1"/>
                <w:color w:val="457157"/>
              </w:rPr>
              <w:t>Plan</w:t>
            </w:r>
          </w:p>
        </w:tc>
        <w:tc>
          <w:tcPr>
            <w:tcW w:w="200" w:type="dxa"/>
            <w:vAlign w:val="bottom"/>
          </w:tcPr>
          <w:p>
            <w:pPr>
              <w:spacing w:after="0"/>
              <w:rPr>
                <w:sz w:val="12"/>
                <w:szCs w:val="12"/>
                <w:color w:val="auto"/>
              </w:rPr>
            </w:pPr>
          </w:p>
        </w:tc>
        <w:tc>
          <w:tcPr>
            <w:tcW w:w="860" w:type="dxa"/>
            <w:vAlign w:val="bottom"/>
          </w:tcPr>
          <w:p>
            <w:pPr>
              <w:jc w:val="right"/>
              <w:ind w:right="18"/>
              <w:spacing w:after="0" w:line="139" w:lineRule="exact"/>
              <w:rPr>
                <w:sz w:val="20"/>
                <w:szCs w:val="20"/>
                <w:color w:val="auto"/>
              </w:rPr>
            </w:pPr>
            <w:r>
              <w:rPr>
                <w:rFonts w:ascii="Arial" w:cs="Arial" w:eastAsia="Arial" w:hAnsi="Arial"/>
                <w:sz w:val="14"/>
                <w:szCs w:val="14"/>
                <w:b w:val="1"/>
                <w:bCs w:val="1"/>
                <w:color w:val="457157"/>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457157"/>
              </w:rPr>
              <w:t>Awards:</w:t>
            </w:r>
          </w:p>
        </w:tc>
        <w:tc>
          <w:tcPr>
            <w:tcW w:w="200" w:type="dxa"/>
            <w:vAlign w:val="bottom"/>
          </w:tcPr>
          <w:p>
            <w:pPr>
              <w:spacing w:after="0"/>
              <w:rPr>
                <w:sz w:val="12"/>
                <w:szCs w:val="12"/>
                <w:color w:val="auto"/>
              </w:rPr>
            </w:pPr>
          </w:p>
        </w:tc>
        <w:tc>
          <w:tcPr>
            <w:tcW w:w="860" w:type="dxa"/>
            <w:vAlign w:val="bottom"/>
          </w:tcPr>
          <w:p>
            <w:pPr>
              <w:jc w:val="right"/>
              <w:ind w:right="18"/>
              <w:spacing w:after="0" w:line="145" w:lineRule="exact"/>
              <w:rPr>
                <w:sz w:val="20"/>
                <w:szCs w:val="20"/>
                <w:color w:val="auto"/>
              </w:rPr>
            </w:pPr>
            <w:r>
              <w:rPr>
                <w:rFonts w:ascii="Arial" w:cs="Arial" w:eastAsia="Arial" w:hAnsi="Arial"/>
                <w:sz w:val="14"/>
                <w:szCs w:val="14"/>
                <w:b w:val="1"/>
                <w:bCs w:val="1"/>
                <w:color w:val="457157"/>
              </w:rPr>
              <w:t>Payout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Market</w:t>
            </w: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Number of</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57157"/>
              </w:rPr>
              <w:t>Number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Unearned</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Value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4"/>
                <w:szCs w:val="14"/>
                <w:b w:val="1"/>
                <w:bCs w:val="1"/>
                <w:color w:val="457157"/>
              </w:rPr>
              <w:t>Shares,</w:t>
            </w:r>
          </w:p>
        </w:tc>
        <w:tc>
          <w:tcPr>
            <w:tcW w:w="200" w:type="dxa"/>
            <w:vAlign w:val="bottom"/>
          </w:tcPr>
          <w:p>
            <w:pPr>
              <w:spacing w:after="0"/>
              <w:rPr>
                <w:sz w:val="11"/>
                <w:szCs w:val="11"/>
                <w:color w:val="auto"/>
              </w:rPr>
            </w:pPr>
          </w:p>
        </w:tc>
        <w:tc>
          <w:tcPr>
            <w:tcW w:w="86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57157"/>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457157"/>
              </w:rPr>
              <w:t>Units or</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457157"/>
              </w:rPr>
              <w:t>Other</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4"/>
                <w:szCs w:val="14"/>
                <w:b w:val="1"/>
                <w:bCs w:val="1"/>
                <w:color w:val="457157"/>
              </w:rPr>
              <w:t>Rights</w:t>
            </w:r>
          </w:p>
        </w:tc>
        <w:tc>
          <w:tcPr>
            <w:tcW w:w="200" w:type="dxa"/>
            <w:vAlign w:val="bottom"/>
          </w:tcPr>
          <w:p>
            <w:pPr>
              <w:spacing w:after="0"/>
              <w:rPr>
                <w:sz w:val="11"/>
                <w:szCs w:val="11"/>
                <w:color w:val="auto"/>
              </w:rPr>
            </w:pPr>
          </w:p>
        </w:tc>
        <w:tc>
          <w:tcPr>
            <w:tcW w:w="860" w:type="dxa"/>
            <w:vAlign w:val="bottom"/>
          </w:tcPr>
          <w:p>
            <w:pPr>
              <w:jc w:val="right"/>
              <w:ind w:right="18"/>
              <w:spacing w:after="0" w:line="135" w:lineRule="exact"/>
              <w:rPr>
                <w:sz w:val="20"/>
                <w:szCs w:val="20"/>
                <w:color w:val="auto"/>
              </w:rPr>
            </w:pPr>
            <w:r>
              <w:rPr>
                <w:rFonts w:ascii="Arial" w:cs="Arial" w:eastAsia="Arial" w:hAnsi="Arial"/>
                <w:sz w:val="14"/>
                <w:szCs w:val="14"/>
                <w:b w:val="1"/>
                <w:bCs w:val="1"/>
                <w:color w:val="457157"/>
              </w:rPr>
              <w:t>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Exercise</w:t>
            </w: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That Have</w:t>
            </w:r>
          </w:p>
        </w:tc>
        <w:tc>
          <w:tcPr>
            <w:tcW w:w="200" w:type="dxa"/>
            <w:vAlign w:val="bottom"/>
          </w:tcPr>
          <w:p>
            <w:pPr>
              <w:spacing w:after="0"/>
              <w:rPr>
                <w:sz w:val="12"/>
                <w:szCs w:val="12"/>
                <w:color w:val="auto"/>
              </w:rPr>
            </w:pPr>
          </w:p>
        </w:tc>
        <w:tc>
          <w:tcPr>
            <w:tcW w:w="8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457157"/>
              </w:rPr>
              <w:t>That Have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457157"/>
              </w:rPr>
              <w:t>Name</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Exercisable</w:t>
            </w:r>
          </w:p>
        </w:tc>
        <w:tc>
          <w:tcPr>
            <w:tcW w:w="6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Unexercisable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Price</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Expiration</w:t>
            </w:r>
          </w:p>
        </w:tc>
        <w:tc>
          <w:tcPr>
            <w:tcW w:w="1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2100" w:type="dxa"/>
            <w:vAlign w:val="bottom"/>
            <w:gridSpan w:val="6"/>
          </w:tcPr>
          <w:p>
            <w:pPr>
              <w:jc w:val="right"/>
              <w:ind w:right="18"/>
              <w:spacing w:after="0" w:line="149" w:lineRule="exact"/>
              <w:rPr>
                <w:sz w:val="20"/>
                <w:szCs w:val="20"/>
                <w:color w:val="auto"/>
              </w:rPr>
            </w:pPr>
            <w:r>
              <w:rPr>
                <w:rFonts w:ascii="Arial" w:cs="Arial" w:eastAsia="Arial" w:hAnsi="Arial"/>
                <w:sz w:val="14"/>
                <w:szCs w:val="14"/>
                <w:b w:val="1"/>
                <w:bCs w:val="1"/>
                <w:color w:val="457157"/>
              </w:rPr>
              <w:t>Not Vested   Not 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vMerge w:val="continue"/>
          </w:tcPr>
          <w:p>
            <w:pPr>
              <w:spacing w:after="0"/>
              <w:rPr>
                <w:sz w:val="11"/>
                <w:szCs w:val="1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(2)</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40" w:type="dxa"/>
            <w:vAlign w:val="bottom"/>
            <w:vMerge w:val="restart"/>
          </w:tcPr>
          <w:p>
            <w:pPr>
              <w:ind w:left="80"/>
              <w:spacing w:after="0"/>
              <w:rPr>
                <w:sz w:val="20"/>
                <w:szCs w:val="20"/>
                <w:color w:val="auto"/>
              </w:rPr>
            </w:pPr>
            <w:r>
              <w:rPr>
                <w:rFonts w:ascii="Arial" w:cs="Arial" w:eastAsia="Arial" w:hAnsi="Arial"/>
                <w:sz w:val="14"/>
                <w:szCs w:val="14"/>
                <w:b w:val="1"/>
                <w:bCs w:val="1"/>
                <w:color w:val="457157"/>
              </w:rPr>
              <w:t>​ ​</w:t>
            </w:r>
          </w:p>
        </w:tc>
        <w:tc>
          <w:tcPr>
            <w:tcW w:w="7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Date</w:t>
            </w:r>
          </w:p>
        </w:tc>
        <w:tc>
          <w:tcPr>
            <w:tcW w:w="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20" w:type="dxa"/>
            <w:vAlign w:val="bottom"/>
            <w:gridSpan w:val="2"/>
          </w:tcPr>
          <w:p>
            <w:pPr>
              <w:jc w:val="right"/>
              <w:ind w:right="12"/>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(6)</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(6)</w:t>
            </w:r>
          </w:p>
        </w:tc>
        <w:tc>
          <w:tcPr>
            <w:tcW w:w="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(7)</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620" w:type="dxa"/>
            <w:vAlign w:val="bottom"/>
            <w:tcBorders>
              <w:bottom w:val="single" w:sz="8" w:color="457157"/>
            </w:tcBorders>
          </w:tcPr>
          <w:p>
            <w:pPr>
              <w:spacing w:after="0" w:line="54" w:lineRule="exact"/>
              <w:rPr>
                <w:sz w:val="20"/>
                <w:szCs w:val="20"/>
                <w:color w:val="auto"/>
              </w:rPr>
            </w:pPr>
            <w:r>
              <w:rPr>
                <w:rFonts w:ascii="Arial" w:cs="Arial" w:eastAsia="Arial" w:hAnsi="Arial"/>
                <w:sz w:val="6"/>
                <w:szCs w:val="6"/>
                <w:b w:val="1"/>
                <w:bCs w:val="1"/>
                <w:color w:val="457157"/>
              </w:rPr>
              <w:t>​</w:t>
            </w:r>
          </w:p>
        </w:tc>
        <w:tc>
          <w:tcPr>
            <w:tcW w:w="340" w:type="dxa"/>
            <w:vAlign w:val="bottom"/>
            <w:tcBorders>
              <w:bottom w:val="single" w:sz="8" w:color="457157"/>
            </w:tcBorders>
            <w:gridSpan w:val="2"/>
            <w:vMerge w:val="continue"/>
          </w:tcPr>
          <w:p>
            <w:pPr>
              <w:spacing w:after="0"/>
              <w:rPr>
                <w:sz w:val="4"/>
                <w:szCs w:val="4"/>
                <w:color w:val="auto"/>
              </w:rPr>
            </w:pPr>
          </w:p>
        </w:tc>
        <w:tc>
          <w:tcPr>
            <w:tcW w:w="220" w:type="dxa"/>
            <w:vAlign w:val="bottom"/>
            <w:tcBorders>
              <w:bottom w:val="single" w:sz="8" w:color="457157"/>
            </w:tcBorders>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2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60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vMerge w:val="continue"/>
          </w:tcPr>
          <w:p>
            <w:pPr>
              <w:spacing w:after="0"/>
              <w:rPr>
                <w:sz w:val="4"/>
                <w:szCs w:val="4"/>
                <w:color w:val="auto"/>
              </w:rPr>
            </w:pPr>
          </w:p>
        </w:tc>
        <w:tc>
          <w:tcPr>
            <w:tcW w:w="74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3"/>
            <w:vMerge w:val="continue"/>
          </w:tcPr>
          <w:p>
            <w:pPr>
              <w:spacing w:after="0"/>
              <w:rPr>
                <w:sz w:val="4"/>
                <w:szCs w:val="4"/>
                <w:color w:val="auto"/>
              </w:rPr>
            </w:pPr>
          </w:p>
        </w:tc>
        <w:tc>
          <w:tcPr>
            <w:tcW w:w="6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2"/>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86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​James C. Fish, Jr.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59,415</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98,936</w:t>
            </w:r>
          </w:p>
        </w:tc>
        <w:tc>
          <w:tcPr>
            <w:tcW w:w="140" w:type="dxa"/>
            <w:vAlign w:val="bottom"/>
          </w:tcPr>
          <w:p>
            <w:pPr>
              <w:spacing w:after="0"/>
              <w:rPr>
                <w:sz w:val="15"/>
                <w:szCs w:val="15"/>
                <w:color w:val="auto"/>
              </w:rPr>
            </w:pP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​35,438,875</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22,063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44,125</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32,850</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​Devina A. Rankin</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14,016</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6,803</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​1,218,417</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24,078</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8,624,740</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5,547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11,094</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16,232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8,116</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25,284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​126.005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​John J. Morris, Jr.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16,453</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10,204</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​1,827,536</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28,360</w:t>
            </w:r>
          </w:p>
        </w:tc>
        <w:tc>
          <w:tcPr>
            <w:tcW w:w="140" w:type="dxa"/>
            <w:vAlign w:val="bottom"/>
          </w:tcPr>
          <w:p>
            <w:pPr>
              <w:spacing w:after="0"/>
              <w:rPr>
                <w:sz w:val="15"/>
                <w:szCs w:val="15"/>
                <w:color w:val="auto"/>
              </w:rPr>
            </w:pP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​10,158,552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6,556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13,111</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8,889</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13,907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​126.005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​Rafael E. Carrasco</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12,188</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3,061</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548,225</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19,778</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7,084,480</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4,287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8,572</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351</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62,864</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1,546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21"/>
                <w:szCs w:val="21"/>
                <w:color w:val="auto"/>
                <w:vertAlign w:val="subscript"/>
              </w:rPr>
              <w:t>773</w:t>
            </w:r>
            <w:r>
              <w:rPr>
                <w:rFonts w:ascii="Arial" w:cs="Arial" w:eastAsia="Arial" w:hAnsi="Arial"/>
                <w:sz w:val="9"/>
                <w:szCs w:val="9"/>
                <w:color w:val="auto"/>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2,655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​126.005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3,273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98.898</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​2/19/2029</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3,207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85.34</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​2/20/2028</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1,000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73.335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​2/28/2027</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​Tara J. Hemmer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10,969</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​150.115</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5,102</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913,768</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18,726</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6,707,653</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4,287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8,572</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4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13,140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6,570</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20" w:type="dxa"/>
            <w:vAlign w:val="bottom"/>
            <w:gridSpan w:val="2"/>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20,860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9"/>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​126.005</w:t>
            </w:r>
          </w:p>
        </w:tc>
        <w:tc>
          <w:tcPr>
            <w:tcW w:w="98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20" w:type="dxa"/>
            <w:vAlign w:val="bottom"/>
          </w:tcPr>
          <w:p>
            <w:pPr>
              <w:spacing w:after="0" w:line="54" w:lineRule="exact"/>
              <w:rPr>
                <w:sz w:val="20"/>
                <w:szCs w:val="20"/>
                <w:color w:val="auto"/>
              </w:rPr>
            </w:pPr>
            <w:r>
              <w:rPr>
                <w:rFonts w:ascii="Arial" w:cs="Arial" w:eastAsia="Arial" w:hAnsi="Arial"/>
                <w:sz w:val="6"/>
                <w:szCs w:val="6"/>
                <w:color w:val="auto"/>
              </w:rPr>
              <w:t>​</w:t>
            </w:r>
          </w:p>
        </w:tc>
        <w:tc>
          <w:tcPr>
            <w:tcW w:w="34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24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-4405630</wp:posOffset>
            </wp:positionV>
            <wp:extent cx="5760720" cy="162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-4079875</wp:posOffset>
            </wp:positionV>
            <wp:extent cx="5760720" cy="1631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-3754120</wp:posOffset>
            </wp:positionV>
            <wp:extent cx="5760720" cy="1631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-3428365</wp:posOffset>
            </wp:positionV>
            <wp:extent cx="5760720" cy="1631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-3102610</wp:posOffset>
            </wp:positionV>
            <wp:extent cx="5760720" cy="1631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-2776855</wp:posOffset>
            </wp:positionV>
            <wp:extent cx="5760720" cy="163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-2451100</wp:posOffset>
            </wp:positionV>
            <wp:extent cx="5760720" cy="1631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-2125345</wp:posOffset>
            </wp:positionV>
            <wp:extent cx="5760720" cy="1631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-1799590</wp:posOffset>
            </wp:positionV>
            <wp:extent cx="5760720" cy="1631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-1473835</wp:posOffset>
            </wp:positionV>
            <wp:extent cx="5760720" cy="1631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-1148080</wp:posOffset>
            </wp:positionV>
            <wp:extent cx="576072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-822325</wp:posOffset>
            </wp:positionV>
            <wp:extent cx="5760720" cy="162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-496570</wp:posOffset>
            </wp:positionV>
            <wp:extent cx="576072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-170815</wp:posOffset>
            </wp:positionV>
            <wp:extent cx="5760720" cy="162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60720" cy="162560"/>
                    </a:xfrm>
                    <a:prstGeom prst="rect">
                      <a:avLst/>
                    </a:prstGeom>
                    <a:noFill/>
                  </pic:spPr>
                </pic:pic>
              </a:graphicData>
            </a:graphic>
          </wp:anchor>
        </w:drawing>
      </w:r>
    </w:p>
    <w:p>
      <w:pPr>
        <w:spacing w:after="0" w:line="42" w:lineRule="exact"/>
        <w:rPr>
          <w:sz w:val="20"/>
          <w:szCs w:val="20"/>
          <w:color w:val="auto"/>
        </w:rPr>
      </w:pPr>
    </w:p>
    <w:p>
      <w:pPr>
        <w:ind w:left="1180" w:hanging="364"/>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Values are based on the closing price of our Common Stock on December 31, 2023 of $179.10.</w:t>
      </w:r>
    </w:p>
    <w:p>
      <w:pPr>
        <w:spacing w:after="0" w:line="117" w:lineRule="exact"/>
        <w:rPr>
          <w:rFonts w:ascii="Arial" w:cs="Arial" w:eastAsia="Arial" w:hAnsi="Arial"/>
          <w:sz w:val="18"/>
          <w:szCs w:val="18"/>
          <w:color w:val="auto"/>
        </w:rPr>
      </w:pPr>
    </w:p>
    <w:p>
      <w:pPr>
        <w:jc w:val="both"/>
        <w:ind w:left="1180" w:right="60" w:hanging="364"/>
        <w:spacing w:after="0" w:line="278"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vested stock options granted on February 28, 2017; February 20, 2018; February 19, 2019; February 19, 2020, February 23, 2021 and March 1, 2022 pursuant to our 2014 Stock Incentive Plan.</w:t>
      </w:r>
    </w:p>
    <w:p>
      <w:pPr>
        <w:spacing w:after="0" w:line="276"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stock options granted on March 7, 2023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stock options granted on March 1, 2022 that vest ratably in three annual increments, beginning on the first anniversary of the date of grant.</w:t>
      </w:r>
    </w:p>
    <w:p>
      <w:pPr>
        <w:spacing w:after="0" w:line="22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0" w:lineRule="exact"/>
        <w:rPr>
          <w:sz w:val="20"/>
          <w:szCs w:val="20"/>
          <w:color w:val="auto"/>
        </w:rPr>
      </w:pPr>
    </w:p>
    <w:p>
      <w:pPr>
        <w:ind w:left="1180" w:right="60" w:hanging="364"/>
        <w:spacing w:after="0" w:line="28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stock options granted on February 23, 2021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jc w:val="both"/>
        <w:ind w:left="1180" w:right="60" w:hanging="364"/>
        <w:spacing w:after="0" w:line="262"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RSUs granted on March 1, 2022 under our 2014 Stock Incentive Plan that vest in full on the third anniversary of the date of grant. In the case of Mr. Carrasco, the table also includes 351 RSUs granted on February 23, 2021 under our 2014 Stock Incentive Plan, prior to his promotion to the senior leadership team, that vest in full on the third anniversary of the date of grant.</w:t>
      </w:r>
    </w:p>
    <w:p>
      <w:pPr>
        <w:spacing w:after="0" w:line="68" w:lineRule="exact"/>
        <w:rPr>
          <w:rFonts w:ascii="Arial" w:cs="Arial" w:eastAsia="Arial" w:hAnsi="Arial"/>
          <w:sz w:val="18"/>
          <w:szCs w:val="18"/>
          <w:color w:val="auto"/>
        </w:rPr>
      </w:pPr>
    </w:p>
    <w:p>
      <w:pPr>
        <w:jc w:val="both"/>
        <w:ind w:left="1180" w:right="60" w:hanging="364"/>
        <w:spacing w:after="0" w:line="253"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2024 and December 31, 2025.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2023 are not included in the table as they are considered earned as of December 31, 2023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2022 exceeded target, the payout value of unearned awards is calculated assuming maximum performance criteria is achieved. The following number of PSUs have a performance period ending December 31, 2024: Mr. Fish — 47,620; Ms. Rankin — 11,972; Mr. Morris — 14,150; Mr. Carrasco — 9,252; and Ms. Hemmer — 9,252. The following number of PSUs have a performance period ending December 31, 2025: Mr. Fish —  51,316; Ms. Rankin — 12,106; Mr. Morris — 14,210; Mr. Carrasco — 10,526; and Ms. Hemmer —  9,474.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OPTION EXERCISES AND STOCK VESTED</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760" w:type="dxa"/>
            <w:vAlign w:val="bottom"/>
          </w:tcPr>
          <w:p>
            <w:pPr>
              <w:jc w:val="right"/>
              <w:ind w:right="1627"/>
              <w:spacing w:after="0"/>
              <w:rPr>
                <w:sz w:val="20"/>
                <w:szCs w:val="20"/>
                <w:color w:val="auto"/>
              </w:rPr>
            </w:pPr>
            <w:r>
              <w:rPr>
                <w:rFonts w:ascii="Arial" w:cs="Arial" w:eastAsia="Arial" w:hAnsi="Arial"/>
                <w:sz w:val="14"/>
                <w:szCs w:val="14"/>
                <w:b w:val="1"/>
                <w:bCs w:val="1"/>
                <w:color w:val="457157"/>
              </w:rPr>
              <w:t>​</w:t>
            </w:r>
          </w:p>
        </w:tc>
        <w:tc>
          <w:tcPr>
            <w:tcW w:w="480" w:type="dxa"/>
            <w:vAlign w:val="bottom"/>
            <w:gridSpan w:val="2"/>
          </w:tcPr>
          <w:p>
            <w:pPr>
              <w:ind w:left="80"/>
              <w:spacing w:after="0"/>
              <w:rPr>
                <w:sz w:val="20"/>
                <w:szCs w:val="20"/>
                <w:color w:val="auto"/>
              </w:rPr>
            </w:pPr>
            <w:r>
              <w:rPr>
                <w:rFonts w:ascii="Arial" w:cs="Arial" w:eastAsia="Arial" w:hAnsi="Arial"/>
                <w:sz w:val="14"/>
                <w:szCs w:val="14"/>
                <w:b w:val="1"/>
                <w:bCs w:val="1"/>
                <w:color w:val="457157"/>
              </w:rPr>
              <w:t>​ ​</w:t>
            </w:r>
          </w:p>
        </w:tc>
        <w:tc>
          <w:tcPr>
            <w:tcW w:w="4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Option Awards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457157"/>
              </w:rPr>
              <w:t>​ ​</w:t>
            </w:r>
          </w:p>
        </w:tc>
        <w:tc>
          <w:tcPr>
            <w:tcW w:w="440" w:type="dxa"/>
            <w:vAlign w:val="bottom"/>
          </w:tcPr>
          <w:p>
            <w:pPr>
              <w:spacing w:after="0"/>
              <w:rPr>
                <w:sz w:val="18"/>
                <w:szCs w:val="18"/>
                <w:color w:val="auto"/>
              </w:rPr>
            </w:pPr>
          </w:p>
        </w:tc>
        <w:tc>
          <w:tcPr>
            <w:tcW w:w="1620" w:type="dxa"/>
            <w:vAlign w:val="bottom"/>
            <w:gridSpan w:val="4"/>
          </w:tcPr>
          <w:p>
            <w:pPr>
              <w:ind w:left="500"/>
              <w:spacing w:after="0"/>
              <w:rPr>
                <w:sz w:val="20"/>
                <w:szCs w:val="20"/>
                <w:color w:val="auto"/>
              </w:rPr>
            </w:pPr>
            <w:r>
              <w:rPr>
                <w:rFonts w:ascii="Arial" w:cs="Arial" w:eastAsia="Arial" w:hAnsi="Arial"/>
                <w:sz w:val="14"/>
                <w:szCs w:val="14"/>
                <w:b w:val="1"/>
                <w:bCs w:val="1"/>
                <w:color w:val="457157"/>
              </w:rPr>
              <w:t>Stock Awards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83"/>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180" w:type="dxa"/>
            <w:vAlign w:val="bottom"/>
          </w:tcPr>
          <w:p>
            <w:pPr>
              <w:spacing w:after="0"/>
              <w:rPr>
                <w:sz w:val="15"/>
                <w:szCs w:val="15"/>
                <w:color w:val="auto"/>
              </w:rPr>
            </w:pPr>
          </w:p>
        </w:tc>
        <w:tc>
          <w:tcPr>
            <w:tcW w:w="30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48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40" w:type="dxa"/>
            <w:vAlign w:val="bottom"/>
            <w:tcBorders>
              <w:top w:val="single" w:sz="8" w:color="457157"/>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50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98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457157"/>
              </w:rPr>
              <w:t>Acquired on Exercise(#)</w:t>
            </w:r>
            <w:r>
              <w:rPr>
                <w:rFonts w:ascii="Arial" w:cs="Arial" w:eastAsia="Arial" w:hAnsi="Arial"/>
                <w:sz w:val="8"/>
                <w:szCs w:val="8"/>
                <w:b w:val="1"/>
                <w:bCs w:val="1"/>
                <w:color w:val="457157"/>
              </w:rPr>
              <w:t>(1)</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457157"/>
              </w:rPr>
              <w:t>Exercise ($)</w:t>
            </w:r>
          </w:p>
        </w:tc>
        <w:tc>
          <w:tcPr>
            <w:tcW w:w="120" w:type="dxa"/>
            <w:vAlign w:val="bottom"/>
          </w:tcPr>
          <w:p>
            <w:pPr>
              <w:spacing w:after="0"/>
              <w:rPr>
                <w:sz w:val="11"/>
                <w:szCs w:val="11"/>
                <w:color w:val="auto"/>
              </w:rPr>
            </w:pPr>
          </w:p>
        </w:tc>
        <w:tc>
          <w:tcPr>
            <w:tcW w:w="196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457157"/>
              </w:rPr>
              <w:t>Acquired on Vesting (#)</w:t>
            </w:r>
            <w:r>
              <w:rPr>
                <w:rFonts w:ascii="Arial" w:cs="Arial" w:eastAsia="Arial" w:hAnsi="Arial"/>
                <w:sz w:val="8"/>
                <w:szCs w:val="8"/>
                <w:b w:val="1"/>
                <w:bCs w:val="1"/>
                <w:color w:val="457157"/>
              </w:rPr>
              <w:t>(2)</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Vesting ($)</w:t>
            </w:r>
            <w:r>
              <w:rPr>
                <w:rFonts w:ascii="Arial" w:cs="Arial" w:eastAsia="Arial" w:hAnsi="Arial"/>
                <w:sz w:val="8"/>
                <w:szCs w:val="8"/>
                <w:b w:val="1"/>
                <w:bCs w:val="1"/>
                <w:color w:val="457157"/>
              </w:rPr>
              <w:t>(2)</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1760" w:type="dxa"/>
            <w:vAlign w:val="bottom"/>
            <w:tcBorders>
              <w:bottom w:val="single" w:sz="8" w:color="457157"/>
            </w:tcBorders>
          </w:tcPr>
          <w:p>
            <w:pPr>
              <w:jc w:val="right"/>
              <w:ind w:right="1627"/>
              <w:spacing w:after="0" w:line="68" w:lineRule="exact"/>
              <w:rPr>
                <w:sz w:val="20"/>
                <w:szCs w:val="20"/>
                <w:color w:val="auto"/>
              </w:rPr>
            </w:pPr>
            <w:r>
              <w:rPr>
                <w:rFonts w:ascii="Arial" w:cs="Arial" w:eastAsia="Arial" w:hAnsi="Arial"/>
                <w:sz w:val="7"/>
                <w:szCs w:val="7"/>
                <w:b w:val="1"/>
                <w:bCs w:val="1"/>
                <w:color w:val="457157"/>
              </w:rPr>
              <w:t>​</w:t>
            </w:r>
          </w:p>
        </w:tc>
        <w:tc>
          <w:tcPr>
            <w:tcW w:w="480" w:type="dxa"/>
            <w:vAlign w:val="bottom"/>
            <w:tcBorders>
              <w:bottom w:val="single" w:sz="8" w:color="457157"/>
            </w:tcBorders>
            <w:gridSpan w:val="2"/>
          </w:tcPr>
          <w:p>
            <w:pPr>
              <w:ind w:left="120"/>
              <w:spacing w:after="0" w:line="68" w:lineRule="exact"/>
              <w:rPr>
                <w:sz w:val="20"/>
                <w:szCs w:val="20"/>
                <w:color w:val="auto"/>
              </w:rPr>
            </w:pPr>
            <w:r>
              <w:rPr>
                <w:rFonts w:ascii="Arial" w:cs="Arial" w:eastAsia="Arial" w:hAnsi="Arial"/>
                <w:sz w:val="7"/>
                <w:szCs w:val="7"/>
                <w:b w:val="1"/>
                <w:bCs w:val="1"/>
                <w:color w:val="457157"/>
              </w:rPr>
              <w:t>​ ​</w:t>
            </w:r>
          </w:p>
        </w:tc>
        <w:tc>
          <w:tcPr>
            <w:tcW w:w="460" w:type="dxa"/>
            <w:vAlign w:val="bottom"/>
            <w:tcBorders>
              <w:bottom w:val="single" w:sz="8" w:color="457157"/>
            </w:tcBorders>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32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980" w:type="dxa"/>
            <w:vAlign w:val="bottom"/>
            <w:tcBorders>
              <w:bottom w:val="single" w:sz="8" w:color="457157"/>
            </w:tcBorders>
          </w:tcPr>
          <w:p>
            <w:pPr>
              <w:spacing w:after="0"/>
              <w:rPr>
                <w:sz w:val="5"/>
                <w:szCs w:val="5"/>
                <w:color w:val="auto"/>
              </w:rPr>
            </w:pPr>
          </w:p>
        </w:tc>
        <w:tc>
          <w:tcPr>
            <w:tcW w:w="40" w:type="dxa"/>
            <w:vAlign w:val="bottom"/>
            <w:tcBorders>
              <w:bottom w:val="single" w:sz="8" w:color="457157"/>
            </w:tcBorders>
          </w:tcPr>
          <w:p>
            <w:pPr>
              <w:spacing w:after="0"/>
              <w:rPr>
                <w:sz w:val="5"/>
                <w:szCs w:val="5"/>
                <w:color w:val="auto"/>
              </w:rPr>
            </w:pPr>
          </w:p>
        </w:tc>
        <w:tc>
          <w:tcPr>
            <w:tcW w:w="400" w:type="dxa"/>
            <w:vAlign w:val="bottom"/>
            <w:tcBorders>
              <w:bottom w:val="single" w:sz="8" w:color="457157"/>
            </w:tcBorders>
            <w:gridSpan w:val="2"/>
          </w:tcPr>
          <w:p>
            <w:pPr>
              <w:jc w:val="right"/>
              <w:ind w:right="148"/>
              <w:spacing w:after="0" w:line="68" w:lineRule="exact"/>
              <w:rPr>
                <w:sz w:val="20"/>
                <w:szCs w:val="20"/>
                <w:color w:val="auto"/>
              </w:rPr>
            </w:pPr>
            <w:r>
              <w:rPr>
                <w:rFonts w:ascii="Arial" w:cs="Arial" w:eastAsia="Arial" w:hAnsi="Arial"/>
                <w:sz w:val="7"/>
                <w:szCs w:val="7"/>
                <w:b w:val="1"/>
                <w:bCs w:val="1"/>
                <w:color w:val="457157"/>
              </w:rPr>
              <w:t>​ ​</w:t>
            </w:r>
          </w:p>
        </w:tc>
        <w:tc>
          <w:tcPr>
            <w:tcW w:w="440" w:type="dxa"/>
            <w:vAlign w:val="bottom"/>
            <w:tcBorders>
              <w:bottom w:val="single" w:sz="8" w:color="457157"/>
            </w:tcBorders>
          </w:tcPr>
          <w:p>
            <w:pPr>
              <w:spacing w:after="0"/>
              <w:rPr>
                <w:sz w:val="5"/>
                <w:szCs w:val="5"/>
                <w:color w:val="auto"/>
              </w:rPr>
            </w:pPr>
          </w:p>
        </w:tc>
        <w:tc>
          <w:tcPr>
            <w:tcW w:w="116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1120" w:type="dxa"/>
            <w:vAlign w:val="bottom"/>
            <w:tcBorders>
              <w:bottom w:val="single" w:sz="8" w:color="457157"/>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James C. Fish, Jr.</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3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83,419</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3,626,951</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54"/>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119,300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23,483,609</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Devina A. Rankin</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60" w:type="dxa"/>
            <w:vAlign w:val="bottom"/>
          </w:tcPr>
          <w:p>
            <w:pPr>
              <w:jc w:val="right"/>
              <w:ind w:right="454"/>
              <w:spacing w:after="0"/>
              <w:rPr>
                <w:sz w:val="20"/>
                <w:szCs w:val="20"/>
                <w:color w:val="auto"/>
              </w:rPr>
            </w:pPr>
            <w:r>
              <w:rPr>
                <w:rFonts w:ascii="Arial" w:cs="Arial" w:eastAsia="Arial" w:hAnsi="Arial"/>
                <w:sz w:val="18"/>
                <w:szCs w:val="18"/>
                <w:color w:val="auto"/>
              </w:rPr>
              <w:t>29,472</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5,801,416</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240" w:type="dxa"/>
            <w:vAlign w:val="bottom"/>
            <w:gridSpan w:val="3"/>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 xml:space="preserve">John J. Morris, Jr. </w:t>
            </w:r>
            <w:r>
              <w:rPr>
                <w:rFonts w:ascii="Arial" w:cs="Arial" w:eastAsia="Arial" w:hAnsi="Arial"/>
                <w:sz w:val="30"/>
                <w:szCs w:val="30"/>
                <w:color w:val="auto"/>
                <w:vertAlign w:val="subscript"/>
              </w:rPr>
              <w:t>​​</w:t>
            </w:r>
          </w:p>
        </w:tc>
        <w:tc>
          <w:tcPr>
            <w:tcW w:w="460" w:type="dxa"/>
            <w:vAlign w:val="bottom"/>
          </w:tcPr>
          <w:p>
            <w:pPr>
              <w:ind w:left="3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8,889</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553,792</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60" w:type="dxa"/>
            <w:vAlign w:val="bottom"/>
          </w:tcPr>
          <w:p>
            <w:pPr>
              <w:jc w:val="right"/>
              <w:ind w:right="454"/>
              <w:spacing w:after="0"/>
              <w:rPr>
                <w:sz w:val="20"/>
                <w:szCs w:val="20"/>
                <w:color w:val="auto"/>
              </w:rPr>
            </w:pPr>
            <w:r>
              <w:rPr>
                <w:rFonts w:ascii="Arial" w:cs="Arial" w:eastAsia="Arial" w:hAnsi="Arial"/>
                <w:sz w:val="18"/>
                <w:szCs w:val="18"/>
                <w:color w:val="auto"/>
              </w:rPr>
              <w:t>32,280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6,354,157</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40" w:type="dxa"/>
            <w:vAlign w:val="bottom"/>
            <w:gridSpan w:val="3"/>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 xml:space="preserve">Rafael E. Carrasco </w:t>
            </w:r>
            <w:r>
              <w:rPr>
                <w:rFonts w:ascii="Arial" w:cs="Arial" w:eastAsia="Arial" w:hAnsi="Arial"/>
                <w:sz w:val="30"/>
                <w:szCs w:val="30"/>
                <w:color w:val="auto"/>
                <w:vertAlign w:val="subscript"/>
              </w:rPr>
              <w:t>​​</w:t>
            </w:r>
          </w:p>
        </w:tc>
        <w:tc>
          <w:tcPr>
            <w:tcW w:w="460" w:type="dxa"/>
            <w:vAlign w:val="bottom"/>
          </w:tcPr>
          <w:p>
            <w:pPr>
              <w:ind w:left="3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60" w:type="dxa"/>
            <w:vAlign w:val="bottom"/>
          </w:tcPr>
          <w:p>
            <w:pPr>
              <w:jc w:val="right"/>
              <w:ind w:right="454"/>
              <w:spacing w:after="0"/>
              <w:rPr>
                <w:sz w:val="20"/>
                <w:szCs w:val="20"/>
                <w:color w:val="auto"/>
              </w:rPr>
            </w:pPr>
            <w:r>
              <w:rPr>
                <w:rFonts w:ascii="Arial" w:cs="Arial" w:eastAsia="Arial" w:hAnsi="Arial"/>
                <w:sz w:val="18"/>
                <w:szCs w:val="18"/>
                <w:color w:val="auto"/>
              </w:rPr>
              <w:t>2,451</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467,471</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0" w:type="dxa"/>
            <w:vAlign w:val="bottom"/>
            <w:gridSpan w:val="2"/>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6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Tara J. Hemmer</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3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27,005</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1,970,469</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60" w:type="dxa"/>
            <w:vAlign w:val="bottom"/>
          </w:tcPr>
          <w:p>
            <w:pPr>
              <w:jc w:val="right"/>
              <w:ind w:right="454"/>
              <w:spacing w:after="0"/>
              <w:rPr>
                <w:sz w:val="20"/>
                <w:szCs w:val="20"/>
                <w:color w:val="auto"/>
              </w:rPr>
            </w:pPr>
            <w:r>
              <w:rPr>
                <w:rFonts w:ascii="Arial" w:cs="Arial" w:eastAsia="Arial" w:hAnsi="Arial"/>
                <w:sz w:val="18"/>
                <w:szCs w:val="18"/>
                <w:color w:val="auto"/>
              </w:rPr>
              <w:t>23,860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4,696,722</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4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-908050</wp:posOffset>
            </wp:positionV>
            <wp:extent cx="5760720"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-548005</wp:posOffset>
            </wp:positionV>
            <wp:extent cx="5760720" cy="1803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5" w:lineRule="exact"/>
        <w:rPr>
          <w:sz w:val="20"/>
          <w:szCs w:val="20"/>
          <w:color w:val="auto"/>
        </w:rPr>
      </w:pPr>
    </w:p>
    <w:p>
      <w:pPr>
        <w:ind w:left="1180" w:right="60" w:hanging="364"/>
        <w:spacing w:after="0" w:line="287"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following number of net shares were received, after withholdings and/or sale of shares to cover option costs and taxes: Mr. Fish — 13,454; Mr. Morris — 1,940; and Ms. Hemmer — 6,954;</w:t>
      </w:r>
    </w:p>
    <w:p>
      <w:pPr>
        <w:spacing w:after="0" w:line="44" w:lineRule="exact"/>
        <w:rPr>
          <w:rFonts w:ascii="Arial" w:cs="Arial" w:eastAsia="Arial" w:hAnsi="Arial"/>
          <w:sz w:val="18"/>
          <w:szCs w:val="18"/>
          <w:color w:val="auto"/>
        </w:rPr>
      </w:pPr>
    </w:p>
    <w:p>
      <w:pPr>
        <w:jc w:val="both"/>
        <w:ind w:left="1180" w:right="60" w:hanging="364"/>
        <w:spacing w:after="0" w:line="256"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shares of the Company’s Common Stock issued on account of PSUs granted in 2021 with a performance period ended December 31, 2023. The determination of achievement of performance results and corresponding vesting of such PSUs was performed by the MD&amp;C Committee in February 2024. Following such determination, shares of the Company’s Common Stock earned under this award were issued on February 13, 2024. Also includes 347 RSUs granted to Mr. Carrasco prior to his promotion to the senior leadership team that vested in 2023. The value of PSUs and RSUs is calculated using the average of the high and low market price of our Common Stock on the date of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Nonqualified Deferred Compensation in 2023</w:t>
      </w:r>
    </w:p>
    <w:p>
      <w:pPr>
        <w:spacing w:after="0" w:line="54"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Amounts that Can be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409A Deferral Plan, each of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elect to defer receipt of portions of their base salary and annual cash incentives for the applicable fiscal year in excess of the annual compensation threshold (the “Threshold”) established under Section 401(a)(17) of IRC. For 2023, the Threshold was $330,000.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213"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Matching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match provided under the 409A Deferral Plan is dollar for</w:t>
      </w:r>
      <w:r>
        <w:rPr>
          <w:rFonts w:ascii="Arial" w:cs="Arial" w:eastAsia="Arial" w:hAnsi="Arial"/>
          <w:sz w:val="18"/>
          <w:szCs w:val="18"/>
          <w:i w:val="1"/>
          <w:iCs w:val="1"/>
          <w:color w:val="auto"/>
        </w:rPr>
        <w:t xml:space="preserve"> </w:t>
      </w:r>
      <w:r>
        <w:rPr>
          <w:rFonts w:ascii="Arial" w:cs="Arial" w:eastAsia="Arial" w:hAnsi="Arial"/>
          <w:sz w:val="18"/>
          <w:szCs w:val="18"/>
          <w:color w:val="auto"/>
        </w:rPr>
        <w:t>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212"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30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57157"/>
              </w:rPr>
              <w:t>Executive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57157"/>
              </w:rPr>
              <w:t>Registrant</w:t>
            </w:r>
          </w:p>
        </w:tc>
        <w:tc>
          <w:tcPr>
            <w:tcW w:w="134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457157"/>
              </w:rPr>
              <w:t>Aggregate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48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Contributions</w:t>
            </w:r>
          </w:p>
        </w:tc>
        <w:tc>
          <w:tcPr>
            <w:tcW w:w="126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Contributions</w:t>
            </w:r>
          </w:p>
        </w:tc>
        <w:tc>
          <w:tcPr>
            <w:tcW w:w="280" w:type="dxa"/>
            <w:vAlign w:val="bottom"/>
          </w:tcPr>
          <w:p>
            <w:pPr>
              <w:spacing w:after="0"/>
              <w:rPr>
                <w:sz w:val="12"/>
                <w:szCs w:val="12"/>
                <w:color w:val="auto"/>
              </w:rPr>
            </w:pPr>
          </w:p>
        </w:tc>
        <w:tc>
          <w:tcPr>
            <w:tcW w:w="1060" w:type="dxa"/>
            <w:vAlign w:val="bottom"/>
          </w:tcPr>
          <w:p>
            <w:pPr>
              <w:jc w:val="right"/>
              <w:ind w:right="284"/>
              <w:spacing w:after="0" w:line="139" w:lineRule="exact"/>
              <w:rPr>
                <w:sz w:val="20"/>
                <w:szCs w:val="20"/>
                <w:color w:val="auto"/>
              </w:rPr>
            </w:pPr>
            <w:r>
              <w:rPr>
                <w:rFonts w:ascii="Arial" w:cs="Arial" w:eastAsia="Arial" w:hAnsi="Arial"/>
                <w:sz w:val="14"/>
                <w:szCs w:val="14"/>
                <w:b w:val="1"/>
                <w:bCs w:val="1"/>
                <w:color w:val="457157"/>
              </w:rPr>
              <w:t>Earnings</w:t>
            </w: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Aggregate</w:t>
            </w: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Aggregate Balance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 Last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 Last</w:t>
            </w:r>
          </w:p>
        </w:tc>
        <w:tc>
          <w:tcPr>
            <w:tcW w:w="280" w:type="dxa"/>
            <w:vAlign w:val="bottom"/>
          </w:tcPr>
          <w:p>
            <w:pPr>
              <w:spacing w:after="0"/>
              <w:rPr>
                <w:sz w:val="12"/>
                <w:szCs w:val="12"/>
                <w:color w:val="auto"/>
              </w:rPr>
            </w:pPr>
          </w:p>
        </w:tc>
        <w:tc>
          <w:tcPr>
            <w:tcW w:w="1060" w:type="dxa"/>
            <w:vAlign w:val="bottom"/>
          </w:tcPr>
          <w:p>
            <w:pPr>
              <w:jc w:val="right"/>
              <w:ind w:right="284"/>
              <w:spacing w:after="0" w:line="145" w:lineRule="exact"/>
              <w:rPr>
                <w:sz w:val="20"/>
                <w:szCs w:val="20"/>
                <w:color w:val="auto"/>
              </w:rPr>
            </w:pPr>
            <w:r>
              <w:rPr>
                <w:rFonts w:ascii="Arial" w:cs="Arial" w:eastAsia="Arial" w:hAnsi="Arial"/>
                <w:sz w:val="14"/>
                <w:szCs w:val="14"/>
                <w:b w:val="1"/>
                <w:bCs w:val="1"/>
                <w:color w:val="457157"/>
              </w:rPr>
              <w:t>in Last</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520" w:type="dxa"/>
            <w:vAlign w:val="bottom"/>
            <w:vMerge w:val="restart"/>
          </w:tcPr>
          <w:p>
            <w:pPr>
              <w:ind w:left="340"/>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Fiscal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Fiscal</w:t>
            </w:r>
          </w:p>
        </w:tc>
        <w:tc>
          <w:tcPr>
            <w:tcW w:w="280" w:type="dxa"/>
            <w:vAlign w:val="bottom"/>
          </w:tcPr>
          <w:p>
            <w:pPr>
              <w:spacing w:after="0"/>
              <w:rPr>
                <w:sz w:val="12"/>
                <w:szCs w:val="12"/>
                <w:color w:val="auto"/>
              </w:rPr>
            </w:pPr>
          </w:p>
        </w:tc>
        <w:tc>
          <w:tcPr>
            <w:tcW w:w="1060" w:type="dxa"/>
            <w:vAlign w:val="bottom"/>
          </w:tcPr>
          <w:p>
            <w:pPr>
              <w:jc w:val="right"/>
              <w:ind w:right="284"/>
              <w:spacing w:after="0" w:line="149" w:lineRule="exact"/>
              <w:rPr>
                <w:sz w:val="20"/>
                <w:szCs w:val="20"/>
                <w:color w:val="auto"/>
              </w:rPr>
            </w:pPr>
            <w:r>
              <w:rPr>
                <w:rFonts w:ascii="Arial" w:cs="Arial" w:eastAsia="Arial" w:hAnsi="Arial"/>
                <w:sz w:val="14"/>
                <w:szCs w:val="14"/>
                <w:b w:val="1"/>
                <w:bCs w:val="1"/>
                <w:color w:val="457157"/>
              </w:rPr>
              <w:t>Fiscal</w:t>
            </w:r>
          </w:p>
        </w:tc>
        <w:tc>
          <w:tcPr>
            <w:tcW w:w="22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457157"/>
              </w:rPr>
              <w:t>Withdrawals/​</w:t>
            </w: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at Last Fiscal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(1)</w:t>
            </w:r>
            <w:r>
              <w:rPr>
                <w:rFonts w:ascii="Arial" w:cs="Arial" w:eastAsia="Arial" w:hAnsi="Arial"/>
                <w:sz w:val="14"/>
                <w:szCs w:val="14"/>
                <w:b w:val="1"/>
                <w:bCs w:val="1"/>
                <w:color w:val="457157"/>
              </w:rPr>
              <w:t xml:space="preserve">  ​ ​</w:t>
            </w:r>
          </w:p>
        </w:tc>
        <w:tc>
          <w:tcPr>
            <w:tcW w:w="12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(2)</w:t>
            </w:r>
            <w:r>
              <w:rPr>
                <w:rFonts w:ascii="Arial" w:cs="Arial" w:eastAsia="Arial" w:hAnsi="Arial"/>
                <w:sz w:val="14"/>
                <w:szCs w:val="14"/>
                <w:b w:val="1"/>
                <w:bCs w:val="1"/>
                <w:color w:val="457157"/>
              </w:rPr>
              <w:t xml:space="preserve">  ​ ​</w:t>
            </w:r>
          </w:p>
        </w:tc>
        <w:tc>
          <w:tcPr>
            <w:tcW w:w="2560" w:type="dxa"/>
            <w:vAlign w:val="bottom"/>
            <w:gridSpan w:val="4"/>
          </w:tcPr>
          <w:p>
            <w:pPr>
              <w:ind w:left="40"/>
              <w:spacing w:after="0" w:line="176" w:lineRule="exact"/>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 ​Distributions ($)</w:t>
            </w:r>
            <w:r>
              <w:rPr>
                <w:rFonts w:ascii="Arial" w:cs="Arial" w:eastAsia="Arial" w:hAnsi="Arial"/>
                <w:sz w:val="17"/>
                <w:szCs w:val="17"/>
                <w:b w:val="1"/>
                <w:bCs w:val="1"/>
                <w:color w:val="457157"/>
                <w:vertAlign w:val="superscript"/>
              </w:rPr>
              <w:t>(3)</w:t>
            </w:r>
            <w:r>
              <w:rPr>
                <w:rFonts w:ascii="Arial" w:cs="Arial" w:eastAsia="Arial" w:hAnsi="Arial"/>
                <w:sz w:val="14"/>
                <w:szCs w:val="14"/>
                <w:b w:val="1"/>
                <w:bCs w:val="1"/>
                <w:color w:val="457157"/>
              </w:rPr>
              <w:t xml:space="preserve">  ​ ​</w:t>
            </w: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Year End ($)</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1180" w:type="dxa"/>
            <w:vAlign w:val="bottom"/>
            <w:gridSpan w:val="2"/>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42"/>
              <w:spacing w:after="0" w:line="182" w:lineRule="exact"/>
              <w:rPr>
                <w:sz w:val="20"/>
                <w:szCs w:val="20"/>
                <w:color w:val="auto"/>
              </w:rPr>
            </w:pPr>
            <w:r>
              <w:rPr>
                <w:rFonts w:ascii="Arial" w:cs="Arial" w:eastAsia="Arial" w:hAnsi="Arial"/>
                <w:sz w:val="18"/>
                <w:szCs w:val="18"/>
                <w:color w:val="auto"/>
              </w:rPr>
              <w:t>​ 250,005</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 191,240</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2,782,176​​ ​</w:t>
            </w:r>
          </w:p>
        </w:tc>
        <w:tc>
          <w:tcPr>
            <w:tcW w:w="1180" w:type="dxa"/>
            <w:vAlign w:val="bottom"/>
            <w:gridSpan w:val="2"/>
          </w:tcPr>
          <w:p>
            <w:pPr>
              <w:jc w:val="right"/>
              <w:ind w:right="176"/>
              <w:spacing w:after="0" w:line="182" w:lineRule="exact"/>
              <w:rPr>
                <w:sz w:val="20"/>
                <w:szCs w:val="20"/>
                <w:color w:val="auto"/>
              </w:rPr>
            </w:pPr>
            <w:r>
              <w:rPr>
                <w:rFonts w:ascii="Arial" w:cs="Arial" w:eastAsia="Arial" w:hAnsi="Arial"/>
                <w:sz w:val="18"/>
                <w:szCs w:val="18"/>
                <w:color w:val="auto"/>
              </w:rPr>
              <w:t>​ 265,563</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20,355,169</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42"/>
              <w:spacing w:after="0" w:line="182" w:lineRule="exact"/>
              <w:rPr>
                <w:sz w:val="20"/>
                <w:szCs w:val="20"/>
                <w:color w:val="auto"/>
              </w:rPr>
            </w:pPr>
            <w:r>
              <w:rPr>
                <w:rFonts w:ascii="Arial" w:cs="Arial" w:eastAsia="Arial" w:hAnsi="Arial"/>
                <w:sz w:val="18"/>
                <w:szCs w:val="18"/>
                <w:color w:val="auto"/>
              </w:rPr>
              <w:t>​ 101,352</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78,835</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128,916​​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998,839</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42"/>
              <w:spacing w:after="0" w:line="182" w:lineRule="exact"/>
              <w:rPr>
                <w:sz w:val="20"/>
                <w:szCs w:val="20"/>
                <w:color w:val="auto"/>
              </w:rPr>
            </w:pPr>
            <w:r>
              <w:rPr>
                <w:rFonts w:ascii="Arial" w:cs="Arial" w:eastAsia="Arial" w:hAnsi="Arial"/>
                <w:sz w:val="18"/>
                <w:szCs w:val="18"/>
                <w:color w:val="auto"/>
              </w:rPr>
              <w:t>110,334</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82,751</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546,764​​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3,159,891</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Rafael E. Carrasco</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42"/>
              <w:spacing w:after="0" w:line="182" w:lineRule="exact"/>
              <w:rPr>
                <w:sz w:val="20"/>
                <w:szCs w:val="20"/>
                <w:color w:val="auto"/>
              </w:rPr>
            </w:pPr>
            <w:r>
              <w:rPr>
                <w:rFonts w:ascii="Arial" w:cs="Arial" w:eastAsia="Arial" w:hAnsi="Arial"/>
                <w:sz w:val="18"/>
                <w:szCs w:val="18"/>
                <w:color w:val="auto"/>
              </w:rPr>
              <w:t>—</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w:t>
            </w:r>
          </w:p>
        </w:tc>
        <w:tc>
          <w:tcPr>
            <w:tcW w:w="280" w:type="dxa"/>
            <w:vAlign w:val="bottom"/>
          </w:tcPr>
          <w:p>
            <w:pPr>
              <w:ind w:left="20"/>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tcPr>
          <w:p>
            <w:pPr>
              <w:jc w:val="right"/>
              <w:ind w:right="64"/>
              <w:spacing w:after="0" w:line="182" w:lineRule="exact"/>
              <w:rPr>
                <w:sz w:val="20"/>
                <w:szCs w:val="20"/>
                <w:color w:val="auto"/>
              </w:rPr>
            </w:pPr>
            <w:r>
              <w:rPr>
                <w:rFonts w:ascii="Arial" w:cs="Arial" w:eastAsia="Arial" w:hAnsi="Arial"/>
                <w:sz w:val="18"/>
                <w:szCs w:val="18"/>
                <w:color w:val="auto"/>
              </w:rPr>
              <w:t>—​​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42"/>
              <w:spacing w:after="0" w:line="182" w:lineRule="exact"/>
              <w:rPr>
                <w:sz w:val="20"/>
                <w:szCs w:val="20"/>
                <w:color w:val="auto"/>
              </w:rPr>
            </w:pPr>
            <w:r>
              <w:rPr>
                <w:rFonts w:ascii="Arial" w:cs="Arial" w:eastAsia="Arial" w:hAnsi="Arial"/>
                <w:sz w:val="18"/>
                <w:szCs w:val="18"/>
                <w:color w:val="auto"/>
              </w:rPr>
              <w:t>​ 131,124</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59,006</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139,619​​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991,541</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-642620</wp:posOffset>
            </wp:positionV>
            <wp:extent cx="57607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-385445</wp:posOffset>
            </wp:positionV>
            <wp:extent cx="5760720"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-128270</wp:posOffset>
            </wp:positionV>
            <wp:extent cx="57607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60720" cy="137160"/>
                    </a:xfrm>
                    <a:prstGeom prst="rect">
                      <a:avLst/>
                    </a:prstGeom>
                    <a:noFill/>
                  </pic:spPr>
                </pic:pic>
              </a:graphicData>
            </a:graphic>
          </wp:anchor>
        </w:drawing>
      </w:r>
    </w:p>
    <w:p>
      <w:pPr>
        <w:jc w:val="both"/>
        <w:ind w:left="1180" w:right="60" w:hanging="364"/>
        <w:spacing w:after="0" w:line="263"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232" w:lineRule="exact"/>
        <w:rPr>
          <w:rFonts w:ascii="Arial" w:cs="Arial" w:eastAsia="Arial" w:hAnsi="Arial"/>
          <w:sz w:val="18"/>
          <w:szCs w:val="18"/>
          <w:color w:val="auto"/>
        </w:rPr>
      </w:pPr>
    </w:p>
    <w:p>
      <w:pPr>
        <w:ind w:left="1180" w:right="60" w:hanging="364"/>
        <w:spacing w:after="0" w:line="273"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Company contributions to the executives’ 409A Deferral Plan accounts are included in the All Other Compensation column in the Summary Compensation Table.</w:t>
      </w:r>
    </w:p>
    <w:p>
      <w:pPr>
        <w:spacing w:after="0" w:line="1" w:lineRule="exact"/>
        <w:rPr>
          <w:rFonts w:ascii="Arial" w:cs="Arial" w:eastAsia="Arial" w:hAnsi="Arial"/>
          <w:sz w:val="18"/>
          <w:szCs w:val="18"/>
          <w:color w:val="auto"/>
        </w:rPr>
      </w:pPr>
    </w:p>
    <w:p>
      <w:pPr>
        <w:jc w:val="both"/>
        <w:ind w:left="1180" w:right="60" w:hanging="364"/>
        <w:spacing w:after="0" w:line="25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change in the closing price per share of the Company’s Common Stock from December 31, 2022 to December 31, 2023, plus $2.80 of dividend equivalents paid per share of Common Stock in 2023, multiplied by the number of shares deferred. The dividend equivalents on the deferred shares were paid in cash to Mr. Fish during 2023 and are reflected in the Aggregate Withdrawals/ Distributions column above. The value of Mr. Fish’s deferred shares was included in the Option Exercises and Stock Vested table in the years such awards vested.</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jc w:val="both"/>
        <w:ind w:left="1180" w:right="60" w:hanging="364"/>
        <w:spacing w:after="0" w:line="262"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shown in this column include the following amounts that were reported as compensation to the named executive in the Summary Compensation Table for 2021-2023: Mr. Fish — $852,605; Ms. Rankin — $421,888; Mr. Morris — $408,768 and Ms. Hemmer — $439,700. Mr. Carrasco has not elected to participate in the 409A Deferral Plan.</w:t>
      </w:r>
    </w:p>
    <w:p>
      <w:pPr>
        <w:spacing w:after="0" w:line="24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Payments Upon Termination or Change in Control</w:t>
      </w:r>
    </w:p>
    <w:p>
      <w:pPr>
        <w:spacing w:after="0" w:line="12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post-employment compensation our named executives receive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200" w:lineRule="exact"/>
        <w:rPr>
          <w:sz w:val="20"/>
          <w:szCs w:val="20"/>
          <w:color w:val="auto"/>
        </w:rPr>
      </w:pPr>
    </w:p>
    <w:p>
      <w:pPr>
        <w:spacing w:after="0" w:line="288" w:lineRule="exact"/>
        <w:rPr>
          <w:sz w:val="20"/>
          <w:szCs w:val="20"/>
          <w:color w:val="auto"/>
        </w:rPr>
      </w:pPr>
    </w:p>
    <w:p>
      <w:pPr>
        <w:ind w:left="820"/>
        <w:spacing w:after="0"/>
        <w:tabs>
          <w:tab w:leader="none" w:pos="6200" w:val="left"/>
        </w:tabs>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sz w:val="20"/>
          <w:szCs w:val="20"/>
          <w:color w:val="auto"/>
        </w:rPr>
        <w:tab/>
      </w:r>
      <w:r>
        <w:rPr>
          <w:rFonts w:ascii="Arial" w:cs="Arial" w:eastAsia="Arial" w:hAnsi="Arial"/>
          <w:sz w:val="18"/>
          <w:szCs w:val="18"/>
          <w:color w:val="auto"/>
        </w:rPr>
        <w:t>Under the Severance Protection Plan, in</w:t>
      </w:r>
    </w:p>
    <w:p>
      <w:pPr>
        <w:spacing w:after="0" w:line="27"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 xml:space="preserve">the event a participant 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 -year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284"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278" w:lineRule="exact"/>
        <w:rPr>
          <w:sz w:val="20"/>
          <w:szCs w:val="20"/>
          <w:color w:val="auto"/>
        </w:rPr>
      </w:pPr>
    </w:p>
    <w:p>
      <w:pPr>
        <w:jc w:val="both"/>
        <w:ind w:left="1180" w:right="60"/>
        <w:spacing w:after="0" w:line="252" w:lineRule="auto"/>
        <w:rPr>
          <w:sz w:val="20"/>
          <w:szCs w:val="20"/>
          <w:color w:val="auto"/>
        </w:rPr>
      </w:pPr>
      <w:r>
        <w:rPr>
          <w:rFonts w:ascii="Arial" w:cs="Arial" w:eastAsia="Arial" w:hAnsi="Arial"/>
          <w:sz w:val="18"/>
          <w:szCs w:val="18"/>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62" w:lineRule="exact"/>
        <w:rPr>
          <w:sz w:val="20"/>
          <w:szCs w:val="20"/>
          <w:color w:val="auto"/>
        </w:rPr>
      </w:pPr>
    </w:p>
    <w:p>
      <w:pPr>
        <w:jc w:val="both"/>
        <w:ind w:left="1180" w:right="60"/>
        <w:spacing w:after="0" w:line="251" w:lineRule="auto"/>
        <w:rPr>
          <w:sz w:val="20"/>
          <w:szCs w:val="20"/>
          <w:color w:val="auto"/>
        </w:rPr>
      </w:pPr>
      <w:r>
        <w:rPr>
          <w:rFonts w:ascii="Arial" w:cs="Arial" w:eastAsia="Arial" w:hAnsi="Arial"/>
          <w:sz w:val="18"/>
          <w:szCs w:val="18"/>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65" w:lineRule="exact"/>
        <w:rPr>
          <w:sz w:val="20"/>
          <w:szCs w:val="20"/>
          <w:color w:val="auto"/>
        </w:rPr>
      </w:pPr>
    </w:p>
    <w:p>
      <w:pPr>
        <w:jc w:val="both"/>
        <w:ind w:left="1180" w:right="60"/>
        <w:spacing w:after="0" w:line="246" w:lineRule="auto"/>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 -merger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280"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290"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i w:val="1"/>
          <w:iCs w:val="1"/>
          <w:u w:val="single" w:color="auto"/>
          <w:color w:val="auto"/>
        </w:rPr>
        <w:t>Voluntary Termination;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award agreements generally provide that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forfeits unvested awards if he or she voluntarily terminates employment. RSUs and PSUs generally vest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involuntary termination other than for cause. RSUs, PSUs and stock options generally continue to vest following a qualifying retirement as if the employee had remained employed until the end of the performance period. If the recipient</w:t>
      </w:r>
    </w:p>
    <w:p>
      <w:pPr>
        <w:spacing w:after="0" w:line="24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is terminated by the Company without cause or voluntarily resigns, the recipient is entitled to exercise all stock options outstanding and exercisable within a specified time frame after such termination.</w:t>
      </w:r>
    </w:p>
    <w:p>
      <w:pPr>
        <w:spacing w:after="0" w:line="45"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Explanation of Tabular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presents potential payouts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at year-end upon termination of employment in the circumstances indicated pursuant to the terms of applicable plans and agreements. The payouts set forth below assume the triggering event indicated occurred on December 31, 2023, when the closing price of our Common Stock was $179.10 per share. These payouts are calculated for SEC disclosure purposes and are not necessarily indicative of the actual amounts the named executive would receive. Please note the following when reviewing the payouts set forth below:</w:t>
      </w:r>
    </w:p>
    <w:p>
      <w:pPr>
        <w:spacing w:after="0" w:line="290" w:lineRule="exact"/>
        <w:rPr>
          <w:sz w:val="20"/>
          <w:szCs w:val="20"/>
          <w:color w:val="auto"/>
        </w:rPr>
      </w:pPr>
    </w:p>
    <w:p>
      <w:pPr>
        <w:jc w:val="both"/>
        <w:ind w:left="1360" w:right="60" w:hanging="184"/>
        <w:spacing w:after="0" w:line="265" w:lineRule="auto"/>
        <w:tabs>
          <w:tab w:leader="none" w:pos="1360" w:val="left"/>
        </w:tabs>
        <w:numPr>
          <w:ilvl w:val="0"/>
          <w:numId w:val="43"/>
        </w:numPr>
        <w:rPr>
          <w:rFonts w:ascii="Arial" w:cs="Arial" w:eastAsia="Arial" w:hAnsi="Arial"/>
          <w:sz w:val="18"/>
          <w:szCs w:val="18"/>
          <w:color w:val="457157"/>
        </w:rPr>
      </w:pPr>
      <w:r>
        <w:rPr>
          <w:rFonts w:ascii="Arial" w:cs="Arial" w:eastAsia="Arial" w:hAnsi="Arial"/>
          <w:sz w:val="18"/>
          <w:szCs w:val="18"/>
          <w:color w:val="auto"/>
        </w:rPr>
        <w:t>The compensation component set forth below for accelerated vesting of stock options is comprised of the unvested stock options granted in 2021, 2022 and 2023, based on the difference between the closing price of our Common Stock on December 31, 2023 and the exercise price of those options.</w:t>
      </w:r>
    </w:p>
    <w:p>
      <w:pPr>
        <w:spacing w:after="0" w:line="286" w:lineRule="exact"/>
        <w:rPr>
          <w:rFonts w:ascii="Arial" w:cs="Arial" w:eastAsia="Arial" w:hAnsi="Arial"/>
          <w:sz w:val="18"/>
          <w:szCs w:val="18"/>
          <w:color w:val="457157"/>
        </w:rPr>
      </w:pPr>
    </w:p>
    <w:p>
      <w:pPr>
        <w:jc w:val="both"/>
        <w:ind w:left="1360" w:right="60" w:hanging="184"/>
        <w:spacing w:after="0" w:line="265" w:lineRule="auto"/>
        <w:tabs>
          <w:tab w:leader="none" w:pos="1360" w:val="left"/>
        </w:tabs>
        <w:numPr>
          <w:ilvl w:val="0"/>
          <w:numId w:val="43"/>
        </w:numPr>
        <w:rPr>
          <w:rFonts w:ascii="Arial" w:cs="Arial" w:eastAsia="Arial" w:hAnsi="Arial"/>
          <w:sz w:val="18"/>
          <w:szCs w:val="18"/>
          <w:color w:val="457157"/>
        </w:rPr>
      </w:pPr>
      <w:r>
        <w:rPr>
          <w:rFonts w:ascii="Arial" w:cs="Arial" w:eastAsia="Arial" w:hAnsi="Arial"/>
          <w:sz w:val="18"/>
          <w:szCs w:val="18"/>
          <w:color w:val="auto"/>
        </w:rPr>
        <w:t>For purposes of calculating the payout of performance share unit awards outstanding as of December 31, 2023, we have assumed that target performance was achieved; actual performance share unit payouts will be based on actual performance of the Company during the performance period.</w:t>
      </w:r>
    </w:p>
    <w:p>
      <w:pPr>
        <w:spacing w:after="0" w:line="286"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43"/>
        </w:numPr>
        <w:rPr>
          <w:rFonts w:ascii="Arial" w:cs="Arial" w:eastAsia="Arial" w:hAnsi="Arial"/>
          <w:sz w:val="18"/>
          <w:szCs w:val="18"/>
          <w:color w:val="457157"/>
        </w:rPr>
      </w:pPr>
      <w:r>
        <w:rPr>
          <w:rFonts w:ascii="Arial" w:cs="Arial" w:eastAsia="Arial" w:hAnsi="Arial"/>
          <w:sz w:val="18"/>
          <w:szCs w:val="18"/>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2023.</w:t>
      </w:r>
    </w:p>
    <w:p>
      <w:pPr>
        <w:spacing w:after="0" w:line="28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43"/>
        </w:numPr>
        <w:rPr>
          <w:rFonts w:ascii="Arial" w:cs="Arial" w:eastAsia="Arial" w:hAnsi="Arial"/>
          <w:sz w:val="18"/>
          <w:szCs w:val="18"/>
          <w:color w:val="457157"/>
        </w:rPr>
      </w:pPr>
      <w:r>
        <w:rPr>
          <w:rFonts w:ascii="Arial" w:cs="Arial" w:eastAsia="Arial" w:hAnsi="Arial"/>
          <w:sz w:val="18"/>
          <w:szCs w:val="18"/>
          <w:color w:val="auto"/>
        </w:rPr>
        <w:t>The payout for continuation of benefits is an estimate of the cost the Company would incur to continue those benefits.</w:t>
      </w:r>
    </w:p>
    <w:p>
      <w:pPr>
        <w:spacing w:after="0" w:line="44" w:lineRule="exact"/>
        <w:rPr>
          <w:rFonts w:ascii="Arial" w:cs="Arial" w:eastAsia="Arial" w:hAnsi="Arial"/>
          <w:sz w:val="18"/>
          <w:szCs w:val="18"/>
          <w:color w:val="457157"/>
        </w:rPr>
      </w:pPr>
    </w:p>
    <w:p>
      <w:pPr>
        <w:jc w:val="both"/>
        <w:ind w:left="1360" w:right="60" w:hanging="184"/>
        <w:spacing w:after="0" w:line="262" w:lineRule="auto"/>
        <w:tabs>
          <w:tab w:leader="none" w:pos="1360" w:val="left"/>
        </w:tabs>
        <w:numPr>
          <w:ilvl w:val="0"/>
          <w:numId w:val="43"/>
        </w:numPr>
        <w:rPr>
          <w:rFonts w:ascii="Arial" w:cs="Arial" w:eastAsia="Arial" w:hAnsi="Arial"/>
          <w:sz w:val="18"/>
          <w:szCs w:val="18"/>
          <w:color w:val="457157"/>
        </w:rPr>
      </w:pPr>
      <w:r>
        <w:rPr>
          <w:rFonts w:ascii="Arial" w:cs="Arial" w:eastAsia="Arial" w:hAnsi="Arial"/>
          <w:sz w:val="18"/>
          <w:szCs w:val="18"/>
          <w:color w:val="auto"/>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68"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43"/>
        </w:numPr>
        <w:rPr>
          <w:rFonts w:ascii="Arial" w:cs="Arial" w:eastAsia="Arial" w:hAnsi="Arial"/>
          <w:sz w:val="18"/>
          <w:szCs w:val="18"/>
          <w:color w:val="457157"/>
        </w:rPr>
      </w:pPr>
      <w:r>
        <w:rPr>
          <w:rFonts w:ascii="Arial" w:cs="Arial" w:eastAsia="Arial" w:hAnsi="Arial"/>
          <w:sz w:val="18"/>
          <w:szCs w:val="18"/>
          <w:color w:val="auto"/>
        </w:rPr>
        <w:t>Refer to the Nonqualified Deferred Compensation in 2023 table above for aggregate balances payable to the named executives under our 409A Deferral Plan pursuant to the named executive’s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Consideration Upon Termination of Employment</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36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2860" w:type="dxa"/>
            <w:vAlign w:val="bottom"/>
            <w:gridSpan w:val="2"/>
          </w:tcPr>
          <w:p>
            <w:pPr>
              <w:ind w:left="220"/>
              <w:spacing w:after="0"/>
              <w:rPr>
                <w:sz w:val="20"/>
                <w:szCs w:val="20"/>
                <w:color w:val="auto"/>
              </w:rPr>
            </w:pPr>
            <w:r>
              <w:rPr>
                <w:rFonts w:ascii="Arial" w:cs="Arial" w:eastAsia="Arial" w:hAnsi="Arial"/>
                <w:sz w:val="14"/>
                <w:szCs w:val="14"/>
                <w:b w:val="1"/>
                <w:bCs w:val="1"/>
                <w:color w:val="457157"/>
              </w:rPr>
              <w:t xml:space="preserve">Mr. Fish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Ms. Rankin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Mr. Morris </w:t>
            </w:r>
          </w:p>
        </w:tc>
        <w:tc>
          <w:tcPr>
            <w:tcW w:w="2220" w:type="dxa"/>
            <w:vAlign w:val="bottom"/>
            <w:gridSpan w:val="5"/>
          </w:tcPr>
          <w:p>
            <w:pPr>
              <w:jc w:val="right"/>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Mr. Carrasco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Ms. Hemmer </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18"/>
        </w:trPr>
        <w:tc>
          <w:tcPr>
            <w:tcW w:w="3620" w:type="dxa"/>
            <w:vAlign w:val="bottom"/>
            <w:tcBorders>
              <w:top w:val="single" w:sz="8" w:color="457157"/>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Payout or Value of Compensation</w:t>
            </w:r>
          </w:p>
        </w:tc>
        <w:tc>
          <w:tcPr>
            <w:tcW w:w="400" w:type="dxa"/>
            <w:vAlign w:val="bottom"/>
            <w:tcBorders>
              <w:top w:val="single" w:sz="8" w:color="457157"/>
            </w:tcBorders>
            <w:shd w:val="clear" w:color="auto" w:fill="CCEEFF"/>
          </w:tcPr>
          <w:p>
            <w:pPr>
              <w:spacing w:after="0"/>
              <w:rPr>
                <w:sz w:val="18"/>
                <w:szCs w:val="18"/>
                <w:color w:val="auto"/>
              </w:rPr>
            </w:pPr>
          </w:p>
        </w:tc>
        <w:tc>
          <w:tcPr>
            <w:tcW w:w="1840" w:type="dxa"/>
            <w:vAlign w:val="bottom"/>
            <w:tcBorders>
              <w:top w:val="single" w:sz="8" w:color="457157"/>
            </w:tcBorders>
            <w:shd w:val="clear" w:color="auto" w:fill="CCEEFF"/>
          </w:tcPr>
          <w:p>
            <w:pPr>
              <w:spacing w:after="0"/>
              <w:rPr>
                <w:sz w:val="18"/>
                <w:szCs w:val="18"/>
                <w:color w:val="auto"/>
              </w:rPr>
            </w:pPr>
          </w:p>
        </w:tc>
        <w:tc>
          <w:tcPr>
            <w:tcW w:w="1020" w:type="dxa"/>
            <w:vAlign w:val="bottom"/>
            <w:tcBorders>
              <w:top w:val="single" w:sz="8" w:color="457157"/>
            </w:tcBorders>
            <w:shd w:val="clear" w:color="auto" w:fill="CCEEFF"/>
          </w:tcPr>
          <w:p>
            <w:pPr>
              <w:spacing w:after="0"/>
              <w:rPr>
                <w:sz w:val="18"/>
                <w:szCs w:val="18"/>
                <w:color w:val="auto"/>
              </w:rPr>
            </w:pPr>
          </w:p>
        </w:tc>
        <w:tc>
          <w:tcPr>
            <w:tcW w:w="280" w:type="dxa"/>
            <w:vAlign w:val="bottom"/>
            <w:tcBorders>
              <w:top w:val="single" w:sz="8" w:color="457157"/>
            </w:tcBorders>
            <w:shd w:val="clear" w:color="auto" w:fill="CCEEFF"/>
          </w:tcPr>
          <w:p>
            <w:pPr>
              <w:spacing w:after="0"/>
              <w:rPr>
                <w:sz w:val="18"/>
                <w:szCs w:val="18"/>
                <w:color w:val="auto"/>
              </w:rPr>
            </w:pPr>
          </w:p>
        </w:tc>
        <w:tc>
          <w:tcPr>
            <w:tcW w:w="1000" w:type="dxa"/>
            <w:vAlign w:val="bottom"/>
            <w:tcBorders>
              <w:top w:val="single" w:sz="8" w:color="457157"/>
            </w:tcBorders>
            <w:shd w:val="clear" w:color="auto" w:fill="CCEEFF"/>
          </w:tcPr>
          <w:p>
            <w:pPr>
              <w:spacing w:after="0"/>
              <w:rPr>
                <w:sz w:val="18"/>
                <w:szCs w:val="18"/>
                <w:color w:val="auto"/>
              </w:rPr>
            </w:pPr>
          </w:p>
        </w:tc>
        <w:tc>
          <w:tcPr>
            <w:tcW w:w="82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Components,</w:t>
            </w:r>
          </w:p>
        </w:tc>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457157"/>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 dollars</w:t>
            </w:r>
          </w:p>
        </w:tc>
        <w:tc>
          <w:tcPr>
            <w:tcW w:w="4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40" w:type="dxa"/>
            <w:vAlign w:val="bottom"/>
            <w:tcBorders>
              <w:bottom w:val="single" w:sz="8" w:color="457157"/>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57157"/>
            </w:tcBorders>
            <w:shd w:val="clear" w:color="auto" w:fill="CCEEFF"/>
          </w:tcPr>
          <w:p>
            <w:pPr>
              <w:jc w:val="right"/>
              <w:ind w:right="26"/>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457157"/>
            </w:tcBorders>
            <w:shd w:val="clear" w:color="auto" w:fill="CCEEFF"/>
          </w:tcPr>
          <w:p>
            <w:pPr>
              <w:spacing w:after="0"/>
              <w:rPr>
                <w:sz w:val="21"/>
                <w:szCs w:val="21"/>
                <w:color w:val="auto"/>
              </w:rPr>
            </w:pPr>
          </w:p>
        </w:tc>
        <w:tc>
          <w:tcPr>
            <w:tcW w:w="8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Event of Death or Disability</w:t>
            </w:r>
          </w:p>
        </w:tc>
        <w:tc>
          <w:tcPr>
            <w:tcW w:w="4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840" w:type="dxa"/>
            <w:vAlign w:val="bottom"/>
          </w:tcPr>
          <w:p>
            <w:pPr>
              <w:ind w:left="820"/>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80" w:type="dxa"/>
            <w:vAlign w:val="bottom"/>
          </w:tcPr>
          <w:p>
            <w:pPr>
              <w:jc w:val="right"/>
              <w:ind w:right="26"/>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84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ind w:left="40"/>
              <w:spacing w:after="0" w:line="196" w:lineRule="exact"/>
              <w:rPr>
                <w:sz w:val="20"/>
                <w:szCs w:val="20"/>
                <w:color w:val="auto"/>
              </w:rPr>
            </w:pPr>
            <w:r>
              <w:rPr>
                <w:rFonts w:ascii="Arial" w:cs="Arial" w:eastAsia="Arial" w:hAnsi="Arial"/>
                <w:sz w:val="18"/>
                <w:szCs w:val="18"/>
                <w:color w:val="457157"/>
              </w:rPr>
              <w:t xml:space="preserve">• </w:t>
            </w:r>
            <w:r>
              <w:rPr>
                <w:rFonts w:ascii="Arial" w:cs="Arial" w:eastAsia="Arial" w:hAnsi="Arial"/>
                <w:sz w:val="18"/>
                <w:szCs w:val="18"/>
                <w:color w:val="000000"/>
              </w:rPr>
              <w:t>Accelerated vesting of stock options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40" w:type="dxa"/>
            <w:vAlign w:val="bottom"/>
          </w:tcPr>
          <w:p>
            <w:pPr>
              <w:ind w:left="20"/>
              <w:spacing w:after="0" w:line="196" w:lineRule="exact"/>
              <w:rPr>
                <w:sz w:val="20"/>
                <w:szCs w:val="20"/>
                <w:color w:val="auto"/>
              </w:rPr>
            </w:pPr>
            <w:r>
              <w:rPr>
                <w:rFonts w:ascii="Arial" w:cs="Arial" w:eastAsia="Arial" w:hAnsi="Arial"/>
                <w:sz w:val="18"/>
                <w:szCs w:val="18"/>
                <w:color w:val="auto"/>
              </w:rPr>
              <w:t>5,440,570 ​ 1,331,368</w:t>
            </w:r>
          </w:p>
        </w:tc>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 1,522,221</w:t>
            </w:r>
          </w:p>
        </w:tc>
        <w:tc>
          <w:tcPr>
            <w:tcW w:w="280" w:type="dxa"/>
            <w:vAlign w:val="bottom"/>
          </w:tcPr>
          <w:p>
            <w:pPr>
              <w:jc w:val="right"/>
              <w:ind w:right="26"/>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692,619  </w:t>
            </w: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1,053,163</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2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00" w:type="dxa"/>
            <w:vAlign w:val="bottom"/>
          </w:tcPr>
          <w:p>
            <w:pPr>
              <w:jc w:val="right"/>
              <w:ind w:right="6"/>
              <w:spacing w:after="0" w:line="54" w:lineRule="exact"/>
              <w:rPr>
                <w:sz w:val="20"/>
                <w:szCs w:val="20"/>
                <w:color w:val="auto"/>
              </w:rPr>
            </w:pPr>
            <w:r>
              <w:rPr>
                <w:rFonts w:ascii="Arial" w:cs="Arial" w:eastAsia="Arial" w:hAnsi="Arial"/>
                <w:sz w:val="6"/>
                <w:szCs w:val="6"/>
                <w:color w:val="auto"/>
              </w:rPr>
              <w:t>​​</w:t>
            </w:r>
          </w:p>
        </w:tc>
        <w:tc>
          <w:tcPr>
            <w:tcW w:w="1840" w:type="dxa"/>
            <w:vAlign w:val="bottom"/>
          </w:tcPr>
          <w:p>
            <w:pPr>
              <w:ind w:left="820"/>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jc w:val="right"/>
              <w:ind w:right="66"/>
              <w:spacing w:after="0" w:line="54" w:lineRule="exact"/>
              <w:rPr>
                <w:sz w:val="20"/>
                <w:szCs w:val="20"/>
                <w:color w:val="auto"/>
              </w:rPr>
            </w:pPr>
            <w:r>
              <w:rPr>
                <w:rFonts w:ascii="Arial" w:cs="Arial" w:eastAsia="Arial" w:hAnsi="Arial"/>
                <w:sz w:val="6"/>
                <w:szCs w:val="6"/>
                <w:color w:val="auto"/>
              </w:rPr>
              <w:t>​​​</w:t>
            </w:r>
          </w:p>
        </w:tc>
        <w:tc>
          <w:tcPr>
            <w:tcW w:w="100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84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-179070</wp:posOffset>
            </wp:positionV>
            <wp:extent cx="576072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 w:lineRule="exact"/>
        <w:rPr>
          <w:sz w:val="20"/>
          <w:szCs w:val="20"/>
          <w:color w:val="auto"/>
        </w:rPr>
      </w:pPr>
    </w:p>
    <w:p>
      <w:pPr>
        <w:ind w:left="1040" w:right="5440" w:hanging="183"/>
        <w:spacing w:after="0" w:line="260" w:lineRule="auto"/>
        <w:tabs>
          <w:tab w:leader="none" w:pos="1040" w:val="left"/>
        </w:tabs>
        <w:numPr>
          <w:ilvl w:val="0"/>
          <w:numId w:val="44"/>
        </w:numPr>
        <w:rPr>
          <w:rFonts w:ascii="Arial" w:cs="Arial" w:eastAsia="Arial" w:hAnsi="Arial"/>
          <w:sz w:val="18"/>
          <w:szCs w:val="18"/>
          <w:color w:val="457157"/>
        </w:rPr>
      </w:pPr>
      <w:r>
        <w:rPr>
          <w:rFonts w:ascii="Arial" w:cs="Arial" w:eastAsia="Arial" w:hAnsi="Arial"/>
          <w:sz w:val="18"/>
          <w:szCs w:val="18"/>
          <w:color w:val="auto"/>
        </w:rPr>
        <w:t>Payment of PSUs (contingent on actual performance at end of performance</w:t>
      </w: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period)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17,719,438​​​</w:t>
            </w: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4,312,370​​​</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5,079,276​​​</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3,542,240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3,353,827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6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500" w:type="dxa"/>
            <w:vAlign w:val="bottom"/>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 ​</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1,218,417 ​</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1,827,536 </w:t>
            </w: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611,089</w:t>
            </w:r>
          </w:p>
        </w:tc>
        <w:tc>
          <w:tcPr>
            <w:tcW w:w="300" w:type="dxa"/>
            <w:vAlign w:val="bottom"/>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913,768</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60" w:type="dxa"/>
            <w:vAlign w:val="bottom"/>
          </w:tcPr>
          <w:p>
            <w:pPr>
              <w:spacing w:after="0"/>
              <w:rPr>
                <w:sz w:val="4"/>
                <w:szCs w:val="4"/>
                <w:color w:val="auto"/>
              </w:rPr>
            </w:pPr>
          </w:p>
        </w:tc>
        <w:tc>
          <w:tcPr>
            <w:tcW w:w="500" w:type="dxa"/>
            <w:vAlign w:val="bottom"/>
          </w:tcPr>
          <w:p>
            <w:pPr>
              <w:jc w:val="right"/>
              <w:ind w:right="300"/>
              <w:spacing w:after="0" w:line="54" w:lineRule="exact"/>
              <w:rPr>
                <w:sz w:val="20"/>
                <w:szCs w:val="20"/>
                <w:color w:val="auto"/>
              </w:rPr>
            </w:pPr>
            <w:r>
              <w:rPr>
                <w:rFonts w:ascii="Arial" w:cs="Arial" w:eastAsia="Arial" w:hAnsi="Arial"/>
                <w:sz w:val="6"/>
                <w:szCs w:val="6"/>
                <w:color w:val="auto"/>
              </w:rPr>
              <w:t>​​</w:t>
            </w:r>
          </w:p>
        </w:tc>
        <w:tc>
          <w:tcPr>
            <w:tcW w:w="7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104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300" w:type="dxa"/>
            <w:vAlign w:val="bottom"/>
          </w:tcPr>
          <w:p>
            <w:pPr>
              <w:jc w:val="right"/>
              <w:ind w:right="60"/>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Life insurance benefit paid by insurance</w:t>
            </w:r>
          </w:p>
        </w:tc>
        <w:tc>
          <w:tcPr>
            <w:tcW w:w="500" w:type="dxa"/>
            <w:vAlign w:val="bottom"/>
            <w:tcBorders>
              <w:top w:val="single" w:sz="8" w:color="457157"/>
            </w:tcBorders>
          </w:tcPr>
          <w:p>
            <w:pPr>
              <w:spacing w:after="0"/>
              <w:rPr>
                <w:sz w:val="21"/>
                <w:szCs w:val="21"/>
                <w:color w:val="auto"/>
              </w:rPr>
            </w:pPr>
          </w:p>
        </w:tc>
        <w:tc>
          <w:tcPr>
            <w:tcW w:w="720" w:type="dxa"/>
            <w:vAlign w:val="bottom"/>
            <w:tcBorders>
              <w:top w:val="single" w:sz="8" w:color="457157"/>
            </w:tcBorders>
          </w:tcPr>
          <w:p>
            <w:pPr>
              <w:spacing w:after="0"/>
              <w:rPr>
                <w:sz w:val="21"/>
                <w:szCs w:val="21"/>
                <w:color w:val="auto"/>
              </w:rPr>
            </w:pPr>
          </w:p>
        </w:tc>
        <w:tc>
          <w:tcPr>
            <w:tcW w:w="1020" w:type="dxa"/>
            <w:vAlign w:val="bottom"/>
            <w:tcBorders>
              <w:top w:val="single" w:sz="8" w:color="457157"/>
            </w:tcBorders>
          </w:tcPr>
          <w:p>
            <w:pPr>
              <w:spacing w:after="0"/>
              <w:rPr>
                <w:sz w:val="21"/>
                <w:szCs w:val="21"/>
                <w:color w:val="auto"/>
              </w:rPr>
            </w:pPr>
          </w:p>
        </w:tc>
        <w:tc>
          <w:tcPr>
            <w:tcW w:w="104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3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company (in the case of death)</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1,250,000​​​</w:t>
            </w: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739,000​​​</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754,000​​​</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595,000</w:t>
            </w:r>
          </w:p>
        </w:tc>
        <w:tc>
          <w:tcPr>
            <w:tcW w:w="300" w:type="dxa"/>
            <w:vAlign w:val="bottom"/>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643,000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gridSpan w:val="2"/>
            <w:shd w:val="clear" w:color="auto" w:fill="457157"/>
          </w:tcPr>
          <w:p>
            <w:pPr>
              <w:spacing w:after="0" w:line="20" w:lineRule="exact"/>
              <w:rPr>
                <w:sz w:val="1"/>
                <w:szCs w:val="1"/>
                <w:color w:val="auto"/>
              </w:rPr>
            </w:pPr>
          </w:p>
        </w:tc>
        <w:tc>
          <w:tcPr>
            <w:tcW w:w="1220" w:type="dxa"/>
            <w:vAlign w:val="bottom"/>
            <w:gridSpan w:val="2"/>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​​​24,410,008​​​​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7,601,155​​​​</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9,183,033​​​​</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5,440,948</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5,963,758</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6"/>
        </w:trPr>
        <w:tc>
          <w:tcPr>
            <w:tcW w:w="3820" w:type="dxa"/>
            <w:vAlign w:val="bottom"/>
            <w:tcBorders>
              <w:top w:val="single" w:sz="8" w:color="457157"/>
            </w:tcBorders>
            <w:gridSpan w:val="2"/>
          </w:tcPr>
          <w:p>
            <w:pPr>
              <w:ind w:left="40"/>
              <w:spacing w:after="0"/>
              <w:rPr>
                <w:sz w:val="20"/>
                <w:szCs w:val="20"/>
                <w:color w:val="auto"/>
              </w:rPr>
            </w:pPr>
            <w:r>
              <w:rPr>
                <w:rFonts w:ascii="Arial" w:cs="Arial" w:eastAsia="Arial" w:hAnsi="Arial"/>
                <w:sz w:val="18"/>
                <w:szCs w:val="18"/>
                <w:b w:val="1"/>
                <w:bCs w:val="1"/>
                <w:i w:val="1"/>
                <w:iCs w:val="1"/>
                <w:color w:val="auto"/>
              </w:rPr>
              <w:t>In Event of Termination Without Cause</w:t>
            </w:r>
          </w:p>
        </w:tc>
        <w:tc>
          <w:tcPr>
            <w:tcW w:w="500" w:type="dxa"/>
            <w:vAlign w:val="bottom"/>
            <w:tcBorders>
              <w:top w:val="single" w:sz="8" w:color="457157"/>
            </w:tcBorders>
          </w:tcPr>
          <w:p>
            <w:pPr>
              <w:spacing w:after="0"/>
              <w:rPr>
                <w:sz w:val="17"/>
                <w:szCs w:val="17"/>
                <w:color w:val="auto"/>
              </w:rPr>
            </w:pPr>
          </w:p>
        </w:tc>
        <w:tc>
          <w:tcPr>
            <w:tcW w:w="720" w:type="dxa"/>
            <w:vAlign w:val="bottom"/>
            <w:tcBorders>
              <w:top w:val="single" w:sz="8" w:color="457157"/>
            </w:tcBorders>
          </w:tcPr>
          <w:p>
            <w:pPr>
              <w:spacing w:after="0"/>
              <w:rPr>
                <w:sz w:val="17"/>
                <w:szCs w:val="17"/>
                <w:color w:val="auto"/>
              </w:rPr>
            </w:pPr>
          </w:p>
        </w:tc>
        <w:tc>
          <w:tcPr>
            <w:tcW w:w="1020" w:type="dxa"/>
            <w:vAlign w:val="bottom"/>
            <w:tcBorders>
              <w:top w:val="single" w:sz="8" w:color="457157"/>
            </w:tcBorders>
          </w:tcPr>
          <w:p>
            <w:pPr>
              <w:spacing w:after="0"/>
              <w:rPr>
                <w:sz w:val="17"/>
                <w:szCs w:val="17"/>
                <w:color w:val="auto"/>
              </w:rPr>
            </w:pPr>
          </w:p>
        </w:tc>
        <w:tc>
          <w:tcPr>
            <w:tcW w:w="104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00" w:type="dxa"/>
            <w:vAlign w:val="bottom"/>
            <w:tcBorders>
              <w:top w:val="single" w:sz="8" w:color="457157"/>
            </w:tcBorders>
          </w:tcPr>
          <w:p>
            <w:pPr>
              <w:spacing w:after="0"/>
              <w:rPr>
                <w:sz w:val="17"/>
                <w:szCs w:val="17"/>
                <w:color w:val="auto"/>
              </w:rPr>
            </w:pPr>
          </w:p>
        </w:tc>
        <w:tc>
          <w:tcPr>
            <w:tcW w:w="74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by the Company or For Good Reason by</w:t>
            </w: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​the Employee</w:t>
            </w:r>
          </w:p>
        </w:tc>
        <w:tc>
          <w:tcPr>
            <w:tcW w:w="500" w:type="dxa"/>
            <w:vAlign w:val="bottom"/>
          </w:tcPr>
          <w:p>
            <w:pPr>
              <w:jc w:val="right"/>
              <w:ind w:right="260"/>
              <w:spacing w:after="0"/>
              <w:rPr>
                <w:sz w:val="20"/>
                <w:szCs w:val="20"/>
                <w:color w:val="auto"/>
              </w:rPr>
            </w:pPr>
            <w:r>
              <w:rPr>
                <w:rFonts w:ascii="Arial" w:cs="Arial" w:eastAsia="Arial" w:hAnsi="Arial"/>
                <w:sz w:val="18"/>
                <w:szCs w:val="18"/>
                <w:b w:val="1"/>
                <w:bCs w:val="1"/>
                <w:i w:val="1"/>
                <w:i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40" w:type="dxa"/>
            <w:vAlign w:val="bottom"/>
          </w:tcPr>
          <w:p>
            <w:pPr>
              <w:spacing w:after="0"/>
              <w:rPr>
                <w:sz w:val="21"/>
                <w:szCs w:val="21"/>
                <w:color w:val="auto"/>
              </w:rPr>
            </w:pPr>
          </w:p>
        </w:tc>
        <w:tc>
          <w:tcPr>
            <w:tcW w:w="300" w:type="dxa"/>
            <w:vAlign w:val="bottom"/>
          </w:tcPr>
          <w:p>
            <w:pPr>
              <w:jc w:val="right"/>
              <w:ind w:right="20"/>
              <w:spacing w:after="0"/>
              <w:rPr>
                <w:sz w:val="20"/>
                <w:szCs w:val="20"/>
                <w:color w:val="auto"/>
              </w:rPr>
            </w:pPr>
            <w:r>
              <w:rPr>
                <w:rFonts w:ascii="Arial" w:cs="Arial" w:eastAsia="Arial" w:hAnsi="Arial"/>
                <w:sz w:val="18"/>
                <w:szCs w:val="18"/>
                <w:b w:val="1"/>
                <w:bCs w:val="1"/>
                <w:i w:val="1"/>
                <w:iCs w:val="1"/>
                <w:color w:val="auto"/>
              </w:rPr>
              <w:t>​​​​​</w:t>
            </w:r>
          </w:p>
        </w:tc>
        <w:tc>
          <w:tcPr>
            <w:tcW w:w="74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-1105535</wp:posOffset>
            </wp:positionV>
            <wp:extent cx="5760720"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-607695</wp:posOffset>
            </wp:positionV>
            <wp:extent cx="576072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-7620</wp:posOffset>
            </wp:positionV>
            <wp:extent cx="5760720" cy="6000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60720" cy="600075"/>
                    </a:xfrm>
                    <a:prstGeom prst="rect">
                      <a:avLst/>
                    </a:prstGeom>
                    <a:noFill/>
                  </pic:spPr>
                </pic:pic>
              </a:graphicData>
            </a:graphic>
          </wp:anchor>
        </w:drawing>
      </w:r>
    </w:p>
    <w:p>
      <w:pPr>
        <w:spacing w:after="0" w:line="15" w:lineRule="exact"/>
        <w:rPr>
          <w:sz w:val="20"/>
          <w:szCs w:val="20"/>
          <w:color w:val="auto"/>
        </w:rPr>
      </w:pPr>
    </w:p>
    <w:p>
      <w:pPr>
        <w:ind w:left="1040" w:right="5420" w:hanging="183"/>
        <w:spacing w:after="0" w:line="260" w:lineRule="auto"/>
        <w:tabs>
          <w:tab w:leader="none" w:pos="1040" w:val="left"/>
        </w:tabs>
        <w:numPr>
          <w:ilvl w:val="0"/>
          <w:numId w:val="45"/>
        </w:numPr>
        <w:rPr>
          <w:rFonts w:ascii="Arial" w:cs="Arial" w:eastAsia="Arial" w:hAnsi="Arial"/>
          <w:sz w:val="18"/>
          <w:szCs w:val="18"/>
          <w:color w:val="457157"/>
        </w:rPr>
      </w:pPr>
      <w:r>
        <w:rPr>
          <w:rFonts w:ascii="Arial" w:cs="Arial" w:eastAsia="Arial" w:hAnsi="Arial"/>
          <w:sz w:val="18"/>
          <w:szCs w:val="18"/>
          <w:color w:val="auto"/>
        </w:rPr>
        <w:t>Two times base salary plus target annual cash bonus (one-half payable in</w:t>
      </w:r>
    </w:p>
    <w:tbl>
      <w:tblPr>
        <w:tblLayout w:type="fixed"/>
        <w:tblInd w:w="820" w:type="dxa"/>
        <w:tblCellMar>
          <w:top w:w="0" w:type="dxa"/>
          <w:left w:w="0" w:type="dxa"/>
          <w:bottom w:w="0" w:type="dxa"/>
          <w:right w:w="0" w:type="dxa"/>
        </w:tblCellMar>
      </w:tblPr>
      <w:tr>
        <w:trPr>
          <w:trHeight w:val="200"/>
        </w:trPr>
        <w:tc>
          <w:tcPr>
            <w:tcW w:w="160" w:type="dxa"/>
            <w:vAlign w:val="bottom"/>
          </w:tcPr>
          <w:p>
            <w:pPr>
              <w:spacing w:after="0"/>
              <w:rPr>
                <w:sz w:val="17"/>
                <w:szCs w:val="17"/>
                <w:color w:val="auto"/>
              </w:rPr>
            </w:pPr>
          </w:p>
        </w:tc>
        <w:tc>
          <w:tcPr>
            <w:tcW w:w="3660" w:type="dxa"/>
            <w:vAlign w:val="bottom"/>
          </w:tcPr>
          <w:p>
            <w:pPr>
              <w:ind w:left="60"/>
              <w:spacing w:after="0" w:line="200" w:lineRule="exact"/>
              <w:rPr>
                <w:sz w:val="20"/>
                <w:szCs w:val="20"/>
                <w:color w:val="auto"/>
              </w:rPr>
            </w:pPr>
            <w:r>
              <w:rPr>
                <w:rFonts w:ascii="Arial" w:cs="Arial" w:eastAsia="Arial" w:hAnsi="Arial"/>
                <w:sz w:val="18"/>
                <w:szCs w:val="18"/>
                <w:color w:val="auto"/>
              </w:rPr>
              <w:t>lump sum; one-half payable in bi-weekly</w:t>
            </w: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installments over a two-year period)</w:t>
            </w:r>
          </w:p>
        </w:tc>
        <w:tc>
          <w:tcPr>
            <w:tcW w:w="328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7,280,000​​​</w:t>
            </w:r>
            <w:r>
              <w:rPr>
                <w:rFonts w:ascii="Arial" w:cs="Arial" w:eastAsia="Arial" w:hAnsi="Arial"/>
                <w:sz w:val="18"/>
                <w:szCs w:val="18"/>
                <w:b w:val="1"/>
                <w:bCs w:val="1"/>
                <w:color w:val="auto"/>
              </w:rPr>
              <w:t>​</w:t>
            </w:r>
            <w:r>
              <w:rPr>
                <w:rFonts w:ascii="Arial" w:cs="Arial" w:eastAsia="Arial" w:hAnsi="Arial"/>
                <w:sz w:val="18"/>
                <w:szCs w:val="18"/>
                <w:color w:val="auto"/>
              </w:rPr>
              <w:t xml:space="preserve"> 3,070,400​​​</w:t>
            </w:r>
            <w:r>
              <w:rPr>
                <w:rFonts w:ascii="Arial" w:cs="Arial" w:eastAsia="Arial" w:hAnsi="Arial"/>
                <w:sz w:val="18"/>
                <w:szCs w:val="18"/>
                <w:b w:val="1"/>
                <w:bCs w:val="1"/>
                <w:color w:val="auto"/>
              </w:rPr>
              <w:t>​</w:t>
            </w:r>
            <w:r>
              <w:rPr>
                <w:rFonts w:ascii="Arial" w:cs="Arial" w:eastAsia="Arial" w:hAnsi="Arial"/>
                <w:sz w:val="18"/>
                <w:szCs w:val="18"/>
                <w:color w:val="auto"/>
              </w:rPr>
              <w:t xml:space="preserve"> 3,292,800​​​</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2,451,760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2,541,060​​</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w:t>
            </w:r>
          </w:p>
        </w:tc>
        <w:tc>
          <w:tcPr>
            <w:tcW w:w="32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104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3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welfare benefit plans for two years</w:t>
            </w:r>
          </w:p>
        </w:tc>
        <w:tc>
          <w:tcPr>
            <w:tcW w:w="320" w:type="dxa"/>
            <w:vAlign w:val="bottom"/>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960" w:type="dxa"/>
            <w:vAlign w:val="bottom"/>
          </w:tcPr>
          <w:p>
            <w:pPr>
              <w:jc w:val="right"/>
              <w:ind w:right="5"/>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31,324</w:t>
            </w:r>
          </w:p>
        </w:tc>
        <w:tc>
          <w:tcPr>
            <w:tcW w:w="300" w:type="dxa"/>
            <w:vAlign w:val="bottom"/>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31,324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Prorated payment of PSUs (contingent</w:t>
            </w:r>
          </w:p>
        </w:tc>
        <w:tc>
          <w:tcPr>
            <w:tcW w:w="32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960" w:type="dxa"/>
            <w:vAlign w:val="bottom"/>
            <w:tcBorders>
              <w:top w:val="single" w:sz="8" w:color="457157"/>
            </w:tcBorders>
          </w:tcPr>
          <w:p>
            <w:pPr>
              <w:spacing w:after="0"/>
              <w:rPr>
                <w:sz w:val="21"/>
                <w:szCs w:val="21"/>
                <w:color w:val="auto"/>
              </w:rPr>
            </w:pPr>
          </w:p>
        </w:tc>
        <w:tc>
          <w:tcPr>
            <w:tcW w:w="104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300" w:type="dxa"/>
            <w:vAlign w:val="bottom"/>
            <w:tcBorders>
              <w:top w:val="single" w:sz="8" w:color="457157"/>
            </w:tcBorders>
          </w:tcPr>
          <w:p>
            <w:pPr>
              <w:spacing w:after="0"/>
              <w:rPr>
                <w:sz w:val="21"/>
                <w:szCs w:val="21"/>
                <w:color w:val="auto"/>
              </w:rPr>
            </w:pPr>
          </w:p>
        </w:tc>
        <w:tc>
          <w:tcPr>
            <w:tcW w:w="740" w:type="dxa"/>
            <w:vAlign w:val="bottom"/>
            <w:tcBorders>
              <w:top w:val="single" w:sz="8" w:color="457157"/>
            </w:tcBorders>
          </w:tcPr>
          <w:p>
            <w:pPr>
              <w:spacing w:after="0"/>
              <w:rPr>
                <w:sz w:val="21"/>
                <w:szCs w:val="21"/>
                <w:color w:val="auto"/>
              </w:rPr>
            </w:pPr>
          </w:p>
        </w:tc>
        <w:tc>
          <w:tcPr>
            <w:tcW w:w="80" w:type="dxa"/>
            <w:vAlign w:val="bottom"/>
            <w:tcBorders>
              <w:top w:val="single" w:sz="8" w:color="457157"/>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60" w:type="dxa"/>
            <w:vAlign w:val="bottom"/>
          </w:tcPr>
          <w:p>
            <w:pPr>
              <w:ind w:left="60"/>
              <w:spacing w:after="0"/>
              <w:rPr>
                <w:sz w:val="20"/>
                <w:szCs w:val="20"/>
                <w:color w:val="auto"/>
              </w:rPr>
            </w:pPr>
            <w:r>
              <w:rPr>
                <w:rFonts w:ascii="Arial" w:cs="Arial" w:eastAsia="Arial" w:hAnsi="Arial"/>
                <w:sz w:val="18"/>
                <w:szCs w:val="18"/>
                <w:color w:val="auto"/>
              </w:rPr>
              <w:t>on actual performance at end of</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ind w:left="60"/>
              <w:spacing w:after="0"/>
              <w:rPr>
                <w:sz w:val="20"/>
                <w:szCs w:val="20"/>
                <w:color w:val="auto"/>
              </w:rPr>
            </w:pPr>
            <w:r>
              <w:rPr>
                <w:rFonts w:ascii="Arial" w:cs="Arial" w:eastAsia="Arial" w:hAnsi="Arial"/>
                <w:sz w:val="18"/>
                <w:szCs w:val="18"/>
                <w:color w:val="auto"/>
              </w:rPr>
              <w:t>performance period)</w:t>
            </w:r>
          </w:p>
        </w:tc>
        <w:tc>
          <w:tcPr>
            <w:tcW w:w="328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8,749,393​​​</w:t>
            </w:r>
            <w:r>
              <w:rPr>
                <w:rFonts w:ascii="Arial" w:cs="Arial" w:eastAsia="Arial" w:hAnsi="Arial"/>
                <w:sz w:val="18"/>
                <w:szCs w:val="18"/>
                <w:b w:val="1"/>
                <w:bCs w:val="1"/>
                <w:color w:val="auto"/>
              </w:rPr>
              <w:t>​</w:t>
            </w:r>
            <w:r>
              <w:rPr>
                <w:rFonts w:ascii="Arial" w:cs="Arial" w:eastAsia="Arial" w:hAnsi="Arial"/>
                <w:sz w:val="18"/>
                <w:szCs w:val="18"/>
                <w:color w:val="auto"/>
              </w:rPr>
              <w:t xml:space="preserve"> 2,152,185​​​</w:t>
            </w:r>
            <w:r>
              <w:rPr>
                <w:rFonts w:ascii="Arial" w:cs="Arial" w:eastAsia="Arial" w:hAnsi="Arial"/>
                <w:sz w:val="18"/>
                <w:szCs w:val="18"/>
                <w:b w:val="1"/>
                <w:bCs w:val="1"/>
                <w:color w:val="auto"/>
              </w:rPr>
              <w:t>​</w:t>
            </w:r>
            <w:r>
              <w:rPr>
                <w:rFonts w:ascii="Arial" w:cs="Arial" w:eastAsia="Arial" w:hAnsi="Arial"/>
                <w:sz w:val="18"/>
                <w:szCs w:val="18"/>
                <w:color w:val="auto"/>
              </w:rPr>
              <w:t xml:space="preserve"> 2,537,847​​​</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1,733,091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1,670,287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60" w:type="dxa"/>
            <w:vAlign w:val="bottom"/>
          </w:tcPr>
          <w:p>
            <w:pPr>
              <w:ind w:left="60"/>
              <w:spacing w:after="0" w:line="196" w:lineRule="exact"/>
              <w:rPr>
                <w:sz w:val="20"/>
                <w:szCs w:val="20"/>
                <w:color w:val="auto"/>
              </w:rPr>
            </w:pPr>
            <w:r>
              <w:rPr>
                <w:rFonts w:ascii="Arial" w:cs="Arial" w:eastAsia="Arial" w:hAnsi="Arial"/>
                <w:sz w:val="18"/>
                <w:szCs w:val="18"/>
                <w:color w:val="auto"/>
              </w:rPr>
              <w:t>Prorated vesting of RSUs</w:t>
            </w:r>
          </w:p>
        </w:tc>
        <w:tc>
          <w:tcPr>
            <w:tcW w:w="320" w:type="dxa"/>
            <w:vAlign w:val="bottom"/>
          </w:tcPr>
          <w:p>
            <w:pPr>
              <w:jc w:val="right"/>
              <w:ind w:right="79"/>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
              <w:spacing w:after="0" w:line="196" w:lineRule="exact"/>
              <w:rPr>
                <w:sz w:val="20"/>
                <w:szCs w:val="20"/>
                <w:color w:val="auto"/>
              </w:rPr>
            </w:pPr>
            <w:r>
              <w:rPr>
                <w:rFonts w:ascii="Arial" w:cs="Arial" w:eastAsia="Arial" w:hAnsi="Arial"/>
                <w:sz w:val="18"/>
                <w:szCs w:val="18"/>
                <w:color w:val="auto"/>
              </w:rPr>
              <w:t>— ​</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743,235 ​</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 xml:space="preserve">1,114,797 </w:t>
            </w: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394,138</w:t>
            </w:r>
          </w:p>
        </w:tc>
        <w:tc>
          <w:tcPr>
            <w:tcW w:w="300" w:type="dxa"/>
            <w:vAlign w:val="bottom"/>
          </w:tcPr>
          <w:p>
            <w:pPr>
              <w:jc w:val="right"/>
              <w:ind w:right="19"/>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557,399</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60" w:type="dxa"/>
            <w:vAlign w:val="bottom"/>
          </w:tcPr>
          <w:p>
            <w:pPr>
              <w:spacing w:after="0"/>
              <w:rPr>
                <w:sz w:val="4"/>
                <w:szCs w:val="4"/>
                <w:color w:val="auto"/>
              </w:rPr>
            </w:pPr>
          </w:p>
        </w:tc>
        <w:tc>
          <w:tcPr>
            <w:tcW w:w="320" w:type="dxa"/>
            <w:vAlign w:val="bottom"/>
          </w:tcPr>
          <w:p>
            <w:pPr>
              <w:jc w:val="right"/>
              <w:ind w:right="119"/>
              <w:spacing w:after="0" w:line="54" w:lineRule="exact"/>
              <w:rPr>
                <w:sz w:val="20"/>
                <w:szCs w:val="20"/>
                <w:color w:val="auto"/>
              </w:rPr>
            </w:pPr>
            <w:r>
              <w:rPr>
                <w:rFonts w:ascii="Arial" w:cs="Arial" w:eastAsia="Arial" w:hAnsi="Arial"/>
                <w:sz w:val="6"/>
                <w:szCs w:val="6"/>
                <w:color w:val="auto"/>
              </w:rPr>
              <w:t>​​</w:t>
            </w:r>
          </w:p>
        </w:tc>
        <w:tc>
          <w:tcPr>
            <w:tcW w:w="960" w:type="dxa"/>
            <w:vAlign w:val="bottom"/>
          </w:tcPr>
          <w:p>
            <w:pPr>
              <w:jc w:val="right"/>
              <w:ind w:right="45"/>
              <w:spacing w:after="0" w:line="54" w:lineRule="exact"/>
              <w:rPr>
                <w:sz w:val="20"/>
                <w:szCs w:val="20"/>
                <w:color w:val="auto"/>
              </w:rPr>
            </w:pPr>
            <w:r>
              <w:rPr>
                <w:rFonts w:ascii="Arial" w:cs="Arial" w:eastAsia="Arial" w:hAnsi="Arial"/>
                <w:sz w:val="6"/>
                <w:szCs w:val="6"/>
                <w:color w:val="auto"/>
              </w:rPr>
              <w:t>​​​</w:t>
            </w:r>
          </w:p>
        </w:tc>
        <w:tc>
          <w:tcPr>
            <w:tcW w:w="960" w:type="dxa"/>
            <w:vAlign w:val="bottom"/>
          </w:tcPr>
          <w:p>
            <w:pPr>
              <w:jc w:val="right"/>
              <w:ind w:right="5"/>
              <w:spacing w:after="0" w:line="54" w:lineRule="exact"/>
              <w:rPr>
                <w:sz w:val="20"/>
                <w:szCs w:val="20"/>
                <w:color w:val="auto"/>
              </w:rPr>
            </w:pPr>
            <w:r>
              <w:rPr>
                <w:rFonts w:ascii="Arial" w:cs="Arial" w:eastAsia="Arial" w:hAnsi="Arial"/>
                <w:sz w:val="6"/>
                <w:szCs w:val="6"/>
                <w:color w:val="auto"/>
              </w:rPr>
              <w:t>​​​</w:t>
            </w:r>
          </w:p>
        </w:tc>
        <w:tc>
          <w:tcPr>
            <w:tcW w:w="1040" w:type="dxa"/>
            <w:vAlign w:val="bottom"/>
          </w:tcPr>
          <w:p>
            <w:pPr>
              <w:jc w:val="right"/>
              <w:ind w:right="5"/>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300" w:type="dxa"/>
            <w:vAlign w:val="bottom"/>
          </w:tcPr>
          <w:p>
            <w:pPr>
              <w:jc w:val="right"/>
              <w:ind w:right="59"/>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20" w:type="dxa"/>
            <w:vAlign w:val="bottom"/>
            <w:gridSpan w:val="2"/>
            <w:shd w:val="clear" w:color="auto" w:fill="457157"/>
          </w:tcPr>
          <w:p>
            <w:pPr>
              <w:spacing w:after="0" w:line="20" w:lineRule="exact"/>
              <w:rPr>
                <w:sz w:val="1"/>
                <w:szCs w:val="1"/>
                <w:color w:val="auto"/>
              </w:rPr>
            </w:pPr>
          </w:p>
        </w:tc>
        <w:tc>
          <w:tcPr>
            <w:tcW w:w="3280" w:type="dxa"/>
            <w:vAlign w:val="bottom"/>
            <w:gridSpan w:val="4"/>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4"/>
          </w:tcPr>
          <w:p>
            <w:pPr>
              <w:jc w:val="right"/>
              <w:spacing w:after="0"/>
              <w:rPr>
                <w:sz w:val="20"/>
                <w:szCs w:val="20"/>
                <w:color w:val="auto"/>
              </w:rPr>
            </w:pPr>
            <w:r>
              <w:rPr>
                <w:rFonts w:ascii="Arial" w:cs="Arial" w:eastAsia="Arial" w:hAnsi="Arial"/>
                <w:sz w:val="18"/>
                <w:szCs w:val="18"/>
                <w:b w:val="1"/>
                <w:bCs w:val="1"/>
                <w:color w:val="auto"/>
              </w:rPr>
              <w:t>​​​16,060,717​​​​ 5,997,144​​​​ 6,976,768​​​​</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4,610,313</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 4,800,070</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6"/>
        </w:trPr>
        <w:tc>
          <w:tcPr>
            <w:tcW w:w="3820" w:type="dxa"/>
            <w:vAlign w:val="bottom"/>
            <w:tcBorders>
              <w:top w:val="single" w:sz="8" w:color="457157"/>
            </w:tcBorders>
            <w:gridSpan w:val="2"/>
          </w:tcPr>
          <w:p>
            <w:pPr>
              <w:ind w:left="40"/>
              <w:spacing w:after="0"/>
              <w:rPr>
                <w:sz w:val="20"/>
                <w:szCs w:val="20"/>
                <w:color w:val="auto"/>
              </w:rPr>
            </w:pPr>
            <w:r>
              <w:rPr>
                <w:rFonts w:ascii="Arial" w:cs="Arial" w:eastAsia="Arial" w:hAnsi="Arial"/>
                <w:sz w:val="18"/>
                <w:szCs w:val="18"/>
                <w:b w:val="1"/>
                <w:bCs w:val="1"/>
                <w:i w:val="1"/>
                <w:iCs w:val="1"/>
                <w:color w:val="auto"/>
              </w:rPr>
              <w:t>In Event of Termination Without Cause</w:t>
            </w:r>
          </w:p>
        </w:tc>
        <w:tc>
          <w:tcPr>
            <w:tcW w:w="320" w:type="dxa"/>
            <w:vAlign w:val="bottom"/>
            <w:tcBorders>
              <w:top w:val="single" w:sz="8" w:color="457157"/>
            </w:tcBorders>
          </w:tcPr>
          <w:p>
            <w:pPr>
              <w:spacing w:after="0"/>
              <w:rPr>
                <w:sz w:val="17"/>
                <w:szCs w:val="17"/>
                <w:color w:val="auto"/>
              </w:rPr>
            </w:pPr>
          </w:p>
        </w:tc>
        <w:tc>
          <w:tcPr>
            <w:tcW w:w="960" w:type="dxa"/>
            <w:vAlign w:val="bottom"/>
            <w:tcBorders>
              <w:top w:val="single" w:sz="8" w:color="457157"/>
            </w:tcBorders>
          </w:tcPr>
          <w:p>
            <w:pPr>
              <w:spacing w:after="0"/>
              <w:rPr>
                <w:sz w:val="17"/>
                <w:szCs w:val="17"/>
                <w:color w:val="auto"/>
              </w:rPr>
            </w:pPr>
          </w:p>
        </w:tc>
        <w:tc>
          <w:tcPr>
            <w:tcW w:w="960" w:type="dxa"/>
            <w:vAlign w:val="bottom"/>
            <w:tcBorders>
              <w:top w:val="single" w:sz="8" w:color="457157"/>
            </w:tcBorders>
          </w:tcPr>
          <w:p>
            <w:pPr>
              <w:spacing w:after="0"/>
              <w:rPr>
                <w:sz w:val="17"/>
                <w:szCs w:val="17"/>
                <w:color w:val="auto"/>
              </w:rPr>
            </w:pPr>
          </w:p>
        </w:tc>
        <w:tc>
          <w:tcPr>
            <w:tcW w:w="1040" w:type="dxa"/>
            <w:vAlign w:val="bottom"/>
            <w:tcBorders>
              <w:top w:val="single" w:sz="8" w:color="457157"/>
            </w:tcBorders>
          </w:tcPr>
          <w:p>
            <w:pPr>
              <w:spacing w:after="0"/>
              <w:rPr>
                <w:sz w:val="17"/>
                <w:szCs w:val="17"/>
                <w:color w:val="auto"/>
              </w:rPr>
            </w:pPr>
          </w:p>
        </w:tc>
        <w:tc>
          <w:tcPr>
            <w:tcW w:w="840" w:type="dxa"/>
            <w:vAlign w:val="bottom"/>
            <w:tcBorders>
              <w:top w:val="single" w:sz="8" w:color="457157"/>
            </w:tcBorders>
          </w:tcPr>
          <w:p>
            <w:pPr>
              <w:spacing w:after="0"/>
              <w:rPr>
                <w:sz w:val="17"/>
                <w:szCs w:val="17"/>
                <w:color w:val="auto"/>
              </w:rPr>
            </w:pPr>
          </w:p>
        </w:tc>
        <w:tc>
          <w:tcPr>
            <w:tcW w:w="300" w:type="dxa"/>
            <w:vAlign w:val="bottom"/>
            <w:tcBorders>
              <w:top w:val="single" w:sz="8" w:color="457157"/>
            </w:tcBorders>
          </w:tcPr>
          <w:p>
            <w:pPr>
              <w:spacing w:after="0"/>
              <w:rPr>
                <w:sz w:val="17"/>
                <w:szCs w:val="17"/>
                <w:color w:val="auto"/>
              </w:rPr>
            </w:pPr>
          </w:p>
        </w:tc>
        <w:tc>
          <w:tcPr>
            <w:tcW w:w="74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by the Company or For Good Reason by</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the Employee Six Months Following a</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8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​Change in Control (Double Trigger)</w:t>
            </w:r>
          </w:p>
        </w:tc>
        <w:tc>
          <w:tcPr>
            <w:tcW w:w="320" w:type="dxa"/>
            <w:vAlign w:val="bottom"/>
          </w:tcPr>
          <w:p>
            <w:pPr>
              <w:jc w:val="right"/>
              <w:ind w:right="79"/>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tcPr>
          <w:p>
            <w:pPr>
              <w:jc w:val="right"/>
              <w:ind w:right="5"/>
              <w:spacing w:after="0"/>
              <w:rPr>
                <w:sz w:val="20"/>
                <w:szCs w:val="20"/>
                <w:color w:val="auto"/>
              </w:rPr>
            </w:pPr>
            <w:r>
              <w:rPr>
                <w:rFonts w:ascii="Arial" w:cs="Arial" w:eastAsia="Arial" w:hAnsi="Arial"/>
                <w:sz w:val="18"/>
                <w:szCs w:val="18"/>
                <w:b w:val="1"/>
                <w:bCs w:val="1"/>
                <w:i w:val="1"/>
                <w:i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40" w:type="dxa"/>
            <w:vAlign w:val="bottom"/>
          </w:tcPr>
          <w:p>
            <w:pPr>
              <w:spacing w:after="0"/>
              <w:rPr>
                <w:sz w:val="21"/>
                <w:szCs w:val="21"/>
                <w:color w:val="auto"/>
              </w:rPr>
            </w:pPr>
          </w:p>
        </w:tc>
        <w:tc>
          <w:tcPr>
            <w:tcW w:w="300" w:type="dxa"/>
            <w:vAlign w:val="bottom"/>
          </w:tcPr>
          <w:p>
            <w:pPr>
              <w:jc w:val="right"/>
              <w:ind w:right="19"/>
              <w:spacing w:after="0"/>
              <w:rPr>
                <w:sz w:val="20"/>
                <w:szCs w:val="20"/>
                <w:color w:val="auto"/>
              </w:rPr>
            </w:pPr>
            <w:r>
              <w:rPr>
                <w:rFonts w:ascii="Arial" w:cs="Arial" w:eastAsia="Arial" w:hAnsi="Arial"/>
                <w:sz w:val="18"/>
                <w:szCs w:val="18"/>
                <w:b w:val="1"/>
                <w:bCs w:val="1"/>
                <w:i w:val="1"/>
                <w:iCs w:val="1"/>
                <w:color w:val="auto"/>
              </w:rPr>
              <w:t>​​​​​</w:t>
            </w:r>
          </w:p>
        </w:tc>
        <w:tc>
          <w:tcPr>
            <w:tcW w:w="74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-1379220</wp:posOffset>
            </wp:positionV>
            <wp:extent cx="5760720" cy="4629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60720" cy="4629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-745490</wp:posOffset>
            </wp:positionV>
            <wp:extent cx="5760720" cy="163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-8255</wp:posOffset>
            </wp:positionV>
            <wp:extent cx="5760720" cy="6000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60720" cy="600075"/>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46"/>
        </w:numPr>
        <w:rPr>
          <w:rFonts w:ascii="Arial" w:cs="Arial" w:eastAsia="Arial" w:hAnsi="Arial"/>
          <w:sz w:val="18"/>
          <w:szCs w:val="18"/>
          <w:color w:val="457157"/>
        </w:rPr>
      </w:pPr>
      <w:r>
        <w:rPr>
          <w:rFonts w:ascii="Arial" w:cs="Arial" w:eastAsia="Arial" w:hAnsi="Arial"/>
          <w:sz w:val="18"/>
          <w:szCs w:val="18"/>
          <w:color w:val="auto"/>
        </w:rPr>
        <w:t>Two times base salary plus target</w:t>
      </w:r>
    </w:p>
    <w:p>
      <w:pPr>
        <w:spacing w:after="0" w:line="1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annual cash bonus (one-half payable in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lump sum; one-half payable in bi-weekly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installments over a two-year period)</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7,280,000​​​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3,070,400​​​</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3,292,800​​​</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2,451,760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2,541,060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4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welfare benefit plans for two years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31,324​​​</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31,324</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stock options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5,440,570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1,331,368</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1,522,221</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692,619</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1,053,163</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Prorated accelerated payment of PSUs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8,749,393</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2,152,185</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2,537,847</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1,733,091</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1,670,287</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Accelerated payment of PSUs</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8,970,045</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2,160,185</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2,541,429</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1,809,149</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1,683,540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line="189" w:lineRule="exact"/>
              <w:rPr>
                <w:sz w:val="20"/>
                <w:szCs w:val="20"/>
                <w:color w:val="auto"/>
              </w:rPr>
            </w:pPr>
            <w:r>
              <w:rPr>
                <w:rFonts w:ascii="Arial" w:cs="Arial" w:eastAsia="Arial" w:hAnsi="Arial"/>
                <w:sz w:val="18"/>
                <w:szCs w:val="18"/>
                <w:color w:val="auto"/>
              </w:rPr>
              <w:t>replacement grant</w:t>
            </w: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1,218,417</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1,827,536</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611,089</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913,768</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line="195" w:lineRule="exact"/>
              <w:rPr>
                <w:sz w:val="20"/>
                <w:szCs w:val="20"/>
                <w:color w:val="auto"/>
              </w:rPr>
            </w:pPr>
            <w:r>
              <w:rPr>
                <w:rFonts w:ascii="Arial" w:cs="Arial" w:eastAsia="Arial" w:hAnsi="Arial"/>
                <w:sz w:val="17"/>
                <w:szCs w:val="17"/>
                <w:color w:val="auto"/>
              </w:rPr>
              <w:t>Prorated annual cash bonus</w:t>
            </w:r>
            <w:r>
              <w:rPr>
                <w:rFonts w:ascii="Arial" w:cs="Arial" w:eastAsia="Arial" w:hAnsi="Arial"/>
                <w:sz w:val="22"/>
                <w:szCs w:val="22"/>
                <w:color w:val="auto"/>
                <w:vertAlign w:val="superscript"/>
              </w:rPr>
              <w:t>(1)</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4,480,000</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1,535,200</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1,724,800</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580,680</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601,830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vMerge w:val="restart"/>
          </w:tcPr>
          <w:p>
            <w:pPr>
              <w:ind w:left="20"/>
              <w:spacing w:after="0" w:line="81" w:lineRule="exact"/>
              <w:rPr>
                <w:sz w:val="20"/>
                <w:szCs w:val="20"/>
                <w:color w:val="auto"/>
              </w:rPr>
            </w:pPr>
            <w:r>
              <w:rPr>
                <w:rFonts w:ascii="Arial" w:cs="Arial" w:eastAsia="Arial" w:hAnsi="Arial"/>
                <w:sz w:val="9"/>
                <w:szCs w:val="9"/>
                <w:color w:val="auto"/>
              </w:rPr>
              <w:t>​</w:t>
            </w:r>
          </w:p>
        </w:tc>
        <w:tc>
          <w:tcPr>
            <w:tcW w:w="364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100" w:type="dxa"/>
            <w:vAlign w:val="bottom"/>
            <w:vMerge w:val="restart"/>
          </w:tcPr>
          <w:p>
            <w:pPr>
              <w:spacing w:after="0" w:line="81" w:lineRule="exact"/>
              <w:rPr>
                <w:sz w:val="20"/>
                <w:szCs w:val="20"/>
                <w:color w:val="auto"/>
              </w:rPr>
            </w:pPr>
            <w:r>
              <w:rPr>
                <w:rFonts w:ascii="Arial" w:cs="Arial" w:eastAsia="Arial" w:hAnsi="Arial"/>
                <w:sz w:val="9"/>
                <w:szCs w:val="9"/>
                <w:color w:val="auto"/>
              </w:rPr>
              <w:t>​​</w:t>
            </w:r>
          </w:p>
        </w:tc>
        <w:tc>
          <w:tcPr>
            <w:tcW w:w="0" w:type="dxa"/>
            <w:vAlign w:val="bottom"/>
          </w:tcPr>
          <w:p>
            <w:pPr>
              <w:spacing w:after="0" w:line="20" w:lineRule="exact"/>
              <w:rPr>
                <w:sz w:val="1"/>
                <w:szCs w:val="1"/>
                <w:color w:val="auto"/>
              </w:rPr>
            </w:pPr>
          </w:p>
        </w:tc>
      </w:tr>
      <w:tr>
        <w:trPr>
          <w:trHeight w:val="54"/>
        </w:trPr>
        <w:tc>
          <w:tcPr>
            <w:tcW w:w="16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jc w:val="right"/>
              <w:ind w:right="14"/>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2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2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8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457157"/>
          </w:tcPr>
          <w:p>
            <w:pPr>
              <w:spacing w:after="0" w:line="20" w:lineRule="exact"/>
              <w:rPr>
                <w:sz w:val="1"/>
                <w:szCs w:val="1"/>
                <w:color w:val="auto"/>
              </w:rPr>
            </w:pPr>
          </w:p>
        </w:tc>
        <w:tc>
          <w:tcPr>
            <w:tcW w:w="3300" w:type="dxa"/>
            <w:vAlign w:val="bottom"/>
            <w:gridSpan w:val="7"/>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300" w:type="dxa"/>
            <w:vAlign w:val="bottom"/>
            <w:gridSpan w:val="7"/>
          </w:tcPr>
          <w:p>
            <w:pPr>
              <w:jc w:val="right"/>
              <w:spacing w:after="0"/>
              <w:rPr>
                <w:sz w:val="20"/>
                <w:szCs w:val="20"/>
                <w:color w:val="auto"/>
              </w:rPr>
            </w:pPr>
            <w:r>
              <w:rPr>
                <w:rFonts w:ascii="Arial" w:cs="Arial" w:eastAsia="Arial" w:hAnsi="Arial"/>
                <w:sz w:val="18"/>
                <w:szCs w:val="18"/>
                <w:b w:val="1"/>
                <w:bCs w:val="1"/>
                <w:color w:val="auto"/>
              </w:rPr>
              <w:t>​​​34,951,332​​​​11,499,079​​​​13,477,957​​​​</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7,909,712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8,494,972</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-1165225</wp:posOffset>
            </wp:positionV>
            <wp:extent cx="576072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-822325</wp:posOffset>
            </wp:positionV>
            <wp:extent cx="5760720" cy="291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760720" cy="2914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-359410</wp:posOffset>
            </wp:positionV>
            <wp:extent cx="576072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60720" cy="188595"/>
                    </a:xfrm>
                    <a:prstGeom prst="rect">
                      <a:avLst/>
                    </a:prstGeom>
                    <a:noFill/>
                  </pic:spPr>
                </pic:pic>
              </a:graphicData>
            </a:graphic>
          </wp:anchor>
        </w:drawing>
      </w:r>
    </w:p>
    <w:p>
      <w:pPr>
        <w:spacing w:after="0" w:line="15" w:lineRule="exact"/>
        <w:rPr>
          <w:sz w:val="20"/>
          <w:szCs w:val="20"/>
          <w:color w:val="auto"/>
        </w:rPr>
      </w:pPr>
    </w:p>
    <w:p>
      <w:pPr>
        <w:jc w:val="both"/>
        <w:ind w:left="1180" w:right="60" w:hanging="359"/>
        <w:spacing w:after="0" w:line="214" w:lineRule="auto"/>
        <w:tabs>
          <w:tab w:leader="none" w:pos="1160" w:val="left"/>
        </w:tabs>
        <w:rPr>
          <w:sz w:val="20"/>
          <w:szCs w:val="20"/>
          <w:color w:val="auto"/>
        </w:rPr>
      </w:pPr>
      <w:r>
        <w:rPr>
          <w:rFonts w:ascii="Arial" w:cs="Arial" w:eastAsia="Arial" w:hAnsi="Arial"/>
          <w:sz w:val="18"/>
          <w:szCs w:val="18"/>
          <w:color w:val="auto"/>
        </w:rPr>
        <w:t>(1)</w:t>
        <w:tab/>
        <w:t>Pursuant to the Severance Protection Plan, Ms. Hemmer and Mr. Carrasco receive a prorated target annual cash bonus under this scenario. Mr. Fish, Ms. Rankin, and Mr. Morris receive a prorated maximum annual cash bonus under this scenario pursuant to their 2017 Employment Agreements. The 2017 Employment Agreements provided for this enhanced treatment partially</w:t>
      </w:r>
      <w:r>
        <w:rPr>
          <w:rFonts w:ascii="Arial" w:cs="Arial" w:eastAsia="Arial" w:hAnsi="Arial"/>
          <w:sz w:val="32"/>
          <w:szCs w:val="32"/>
          <w:b w:val="1"/>
          <w:bCs w:val="1"/>
          <w:color w:val="457157"/>
        </w:rPr>
        <w:t>|</w:t>
      </w:r>
      <w:r>
        <w:rPr>
          <w:rFonts w:ascii="Arial" w:cs="Arial" w:eastAsia="Arial" w:hAnsi="Arial"/>
          <w:sz w:val="18"/>
          <w:szCs w:val="18"/>
          <w:color w:val="auto"/>
        </w:rPr>
        <w:t xml:space="preserv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-50165</wp:posOffset>
            </wp:positionV>
            <wp:extent cx="4718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jc w:val="both"/>
        <w:ind w:left="1180"/>
        <w:spacing w:after="0" w:line="258" w:lineRule="auto"/>
        <w:rPr>
          <w:sz w:val="20"/>
          <w:szCs w:val="20"/>
          <w:color w:val="auto"/>
        </w:rPr>
      </w:pPr>
      <w:r>
        <w:rPr>
          <w:rFonts w:ascii="Arial" w:cs="Arial" w:eastAsia="Arial" w:hAnsi="Arial"/>
          <w:sz w:val="18"/>
          <w:szCs w:val="18"/>
          <w:color w:val="auto"/>
        </w:rPr>
        <w:t>account of similar terms in pre-existing employment agreements that2024executivesProxyStatementwereagreeing 57​to terminate in order to support the Company’s transition toward a more standardized and flexible approach to severance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138430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Chief Executive Officer Pay Ratio</w:t>
      </w:r>
    </w:p>
    <w:p>
      <w:pPr>
        <w:spacing w:after="0" w:line="81" w:lineRule="exact"/>
        <w:rPr>
          <w:sz w:val="20"/>
          <w:szCs w:val="20"/>
          <w:color w:val="auto"/>
        </w:rPr>
      </w:pPr>
    </w:p>
    <w:p>
      <w:pPr>
        <w:jc w:val="both"/>
        <w:ind w:left="820" w:right="660"/>
        <w:spacing w:after="0" w:line="242" w:lineRule="auto"/>
        <w:rPr>
          <w:sz w:val="20"/>
          <w:szCs w:val="20"/>
          <w:color w:val="auto"/>
        </w:rPr>
      </w:pPr>
      <w:r>
        <w:rPr>
          <w:rFonts w:ascii="Arial" w:cs="Arial" w:eastAsia="Arial" w:hAnsi="Arial"/>
          <w:sz w:val="18"/>
          <w:szCs w:val="18"/>
          <w:color w:val="auto"/>
        </w:rPr>
        <w:t>In 2022, we reconducted our analysis to identify the Company’s median employee, based on total annual compensation for all employees other than our Chief Executive Officer, in accordance with SEC Regulation S-K, Item 402(u) (the “Median Employee”). There have been no changes to the Company’s employee population, compensation arrangements, or the circumstances of the Median Employee that the Company believes would significantly impact this pay ratio disclosure and require identification of a new Median Employee. To select the Median Employee, we determined the actual taxable compensation paid to each listed employee in 2021, converted to U.S. dollars at appropriate exchange rates for non- U.S. employees, and annualized for salaried employees hired during the year. We did not apply any cost-of-living adjustments nor did we use any form of statistical sampling. The Median Employee, a Senior Technician in the U.S., was identified from a list of Company employees as of December 31, 2021. Out of a total worldwide employee population of 48,687 on that date, the list included 47,617 employees and excluded the Chief Executive Officer and our 1,069 employees based in India. Approximately 95.7% of these total employees work in the U.S. and approximately 4.3% work in Canada. Over 99% of these individuals are full-time employees. Any temporary or seasonal employees are included; any subcontracted workers are not employees and are excluded. For 2023, total annual compensation for the Median Employee was $97,046. The annual compensation of our Chief Executive Officer was $14,628,854, for a ratio of 1:151. These values were calculated in accordance with SEC Regulation S-K, Item 402(c)(2)(x) requirements for reporting total compensation in the Summary Compensation Table.</w:t>
      </w:r>
    </w:p>
    <w:p>
      <w:pPr>
        <w:spacing w:after="0" w:line="200" w:lineRule="exact"/>
        <w:rPr>
          <w:sz w:val="20"/>
          <w:szCs w:val="20"/>
          <w:color w:val="auto"/>
        </w:rPr>
      </w:pPr>
    </w:p>
    <w:p>
      <w:pPr>
        <w:spacing w:after="0" w:line="40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Equity Compensation Plan Table</w:t>
      </w:r>
    </w:p>
    <w:p>
      <w:pPr>
        <w:spacing w:after="0" w:line="81" w:lineRule="exact"/>
        <w:rPr>
          <w:sz w:val="20"/>
          <w:szCs w:val="20"/>
          <w:color w:val="auto"/>
        </w:rPr>
      </w:pPr>
    </w:p>
    <w:p>
      <w:pPr>
        <w:jc w:val="both"/>
        <w:ind w:left="820" w:right="660"/>
        <w:spacing w:after="0" w:line="268" w:lineRule="auto"/>
        <w:rPr>
          <w:sz w:val="20"/>
          <w:szCs w:val="20"/>
          <w:color w:val="auto"/>
        </w:rPr>
      </w:pPr>
      <w:r>
        <w:rPr>
          <w:rFonts w:ascii="Arial" w:cs="Arial" w:eastAsia="Arial" w:hAnsi="Arial"/>
          <w:sz w:val="18"/>
          <w:szCs w:val="18"/>
          <w:color w:val="auto"/>
        </w:rPr>
        <w:t>The following table provides information as of December 31, 2023 about the number of shares to be issued upon vesting or exercise of equity awards and shares remaining available for issuance under our equity compensation plans.</w:t>
      </w:r>
    </w:p>
    <w:p>
      <w:pPr>
        <w:spacing w:after="0" w:line="7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2"/>
              <w:spacing w:after="0"/>
              <w:rPr>
                <w:sz w:val="20"/>
                <w:szCs w:val="20"/>
                <w:color w:val="auto"/>
              </w:rPr>
            </w:pPr>
            <w:r>
              <w:rPr>
                <w:rFonts w:ascii="Arial" w:cs="Arial" w:eastAsia="Arial" w:hAnsi="Arial"/>
                <w:sz w:val="14"/>
                <w:szCs w:val="14"/>
                <w:b w:val="1"/>
                <w:bCs w:val="1"/>
                <w:color w:val="457157"/>
              </w:rPr>
              <w:t>Number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5" w:lineRule="exact"/>
              <w:rPr>
                <w:sz w:val="20"/>
                <w:szCs w:val="20"/>
                <w:color w:val="auto"/>
              </w:rPr>
            </w:pPr>
            <w:r>
              <w:rPr>
                <w:rFonts w:ascii="Arial" w:cs="Arial" w:eastAsia="Arial" w:hAnsi="Arial"/>
                <w:sz w:val="14"/>
                <w:szCs w:val="14"/>
                <w:b w:val="1"/>
                <w:bCs w:val="1"/>
                <w:color w:val="457157"/>
              </w:rPr>
              <w:t>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Securities to be</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Weighted-Average</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457157"/>
              </w:rPr>
              <w:t>Remaining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40" w:type="dxa"/>
            <w:vAlign w:val="bottom"/>
          </w:tcPr>
          <w:p>
            <w:pPr>
              <w:spacing w:after="0"/>
              <w:rPr>
                <w:sz w:val="12"/>
                <w:szCs w:val="12"/>
                <w:color w:val="auto"/>
              </w:rPr>
            </w:pPr>
          </w:p>
        </w:tc>
        <w:tc>
          <w:tcPr>
            <w:tcW w:w="144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Issued Upon</w:t>
            </w:r>
          </w:p>
        </w:tc>
        <w:tc>
          <w:tcPr>
            <w:tcW w:w="1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39" w:lineRule="exact"/>
              <w:rPr>
                <w:sz w:val="20"/>
                <w:szCs w:val="20"/>
                <w:color w:val="auto"/>
              </w:rPr>
            </w:pPr>
            <w:r>
              <w:rPr>
                <w:rFonts w:ascii="Arial" w:cs="Arial" w:eastAsia="Arial" w:hAnsi="Arial"/>
                <w:sz w:val="14"/>
                <w:szCs w:val="14"/>
                <w:b w:val="1"/>
                <w:bCs w:val="1"/>
                <w:color w:val="457157"/>
              </w:rPr>
              <w:t>Available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44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Exercise</w:t>
            </w:r>
          </w:p>
        </w:tc>
        <w:tc>
          <w:tcPr>
            <w:tcW w:w="146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Exercise Price of</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5" w:lineRule="exact"/>
              <w:rPr>
                <w:sz w:val="20"/>
                <w:szCs w:val="20"/>
                <w:color w:val="auto"/>
              </w:rPr>
            </w:pPr>
            <w:r>
              <w:rPr>
                <w:rFonts w:ascii="Arial" w:cs="Arial" w:eastAsia="Arial" w:hAnsi="Arial"/>
                <w:sz w:val="14"/>
                <w:szCs w:val="14"/>
                <w:b w:val="1"/>
                <w:bCs w:val="1"/>
                <w:color w:val="457157"/>
              </w:rPr>
              <w:t>Future Issuance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457157"/>
              </w:rPr>
              <w:t>​Plan Category</w:t>
            </w:r>
          </w:p>
        </w:tc>
        <w:tc>
          <w:tcPr>
            <w:tcW w:w="1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of Outstanding</w:t>
            </w:r>
          </w:p>
        </w:tc>
        <w:tc>
          <w:tcPr>
            <w:tcW w:w="14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Outstanding</w:t>
            </w:r>
          </w:p>
        </w:tc>
        <w:tc>
          <w:tcPr>
            <w:tcW w:w="200" w:type="dxa"/>
            <w:vAlign w:val="bottom"/>
          </w:tcPr>
          <w:p>
            <w:pPr>
              <w:spacing w:after="0"/>
              <w:rPr>
                <w:sz w:val="12"/>
                <w:szCs w:val="12"/>
                <w:color w:val="auto"/>
              </w:rPr>
            </w:pPr>
          </w:p>
        </w:tc>
        <w:tc>
          <w:tcPr>
            <w:tcW w:w="142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457157"/>
              </w:rPr>
              <w:t>Under 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40" w:type="dxa"/>
            <w:vAlign w:val="bottom"/>
            <w:vMerge w:val="continue"/>
          </w:tcPr>
          <w:p>
            <w:pPr>
              <w:spacing w:after="0"/>
              <w:rPr>
                <w:sz w:val="15"/>
                <w:szCs w:val="15"/>
                <w:color w:val="auto"/>
              </w:rPr>
            </w:pPr>
          </w:p>
        </w:tc>
        <w:tc>
          <w:tcPr>
            <w:tcW w:w="4580" w:type="dxa"/>
            <w:vAlign w:val="bottom"/>
            <w:gridSpan w:val="8"/>
          </w:tcPr>
          <w:p>
            <w:pPr>
              <w:ind w:left="20"/>
              <w:spacing w:after="0"/>
              <w:rPr>
                <w:sz w:val="20"/>
                <w:szCs w:val="20"/>
                <w:color w:val="auto"/>
              </w:rPr>
            </w:pPr>
            <w:r>
              <w:rPr>
                <w:rFonts w:ascii="Arial" w:cs="Arial" w:eastAsia="Arial" w:hAnsi="Arial"/>
                <w:sz w:val="14"/>
                <w:szCs w:val="14"/>
                <w:b w:val="1"/>
                <w:bCs w:val="1"/>
                <w:color w:val="457157"/>
              </w:rPr>
              <w:t>​Options and Rights​Options and Rights​Compensation Plans​</w:t>
            </w:r>
          </w:p>
        </w:tc>
        <w:tc>
          <w:tcPr>
            <w:tcW w:w="0" w:type="dxa"/>
            <w:vAlign w:val="bottom"/>
          </w:tcPr>
          <w:p>
            <w:pPr>
              <w:spacing w:after="0"/>
              <w:rPr>
                <w:sz w:val="1"/>
                <w:szCs w:val="1"/>
                <w:color w:val="auto"/>
              </w:rPr>
            </w:pPr>
          </w:p>
        </w:tc>
      </w:tr>
      <w:tr>
        <w:trPr>
          <w:trHeight w:val="20"/>
        </w:trPr>
        <w:tc>
          <w:tcPr>
            <w:tcW w:w="514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6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tcPr>
          <w:p>
            <w:pPr>
              <w:spacing w:after="0" w:line="223"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tc>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  ​​ 4,162,092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w w:val="81"/>
              </w:rPr>
              <w:t>(2)</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rPr>
              <w:t>​​   ​ $  111.22</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(3)</w:t>
            </w: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ind w:left="100"/>
              <w:spacing w:after="0"/>
              <w:rPr>
                <w:sz w:val="20"/>
                <w:szCs w:val="20"/>
                <w:color w:val="auto"/>
              </w:rPr>
            </w:pPr>
            <w:r>
              <w:rPr>
                <w:rFonts w:ascii="Arial" w:cs="Arial" w:eastAsia="Arial" w:hAnsi="Arial"/>
                <w:sz w:val="18"/>
                <w:szCs w:val="18"/>
                <w:color w:val="auto"/>
              </w:rPr>
              <w:t>​​ 16,085,724</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140" w:type="dxa"/>
            <w:vAlign w:val="bottom"/>
          </w:tcPr>
          <w:p>
            <w:pPr>
              <w:spacing w:after="0" w:line="68" w:lineRule="exact"/>
              <w:rPr>
                <w:sz w:val="20"/>
                <w:szCs w:val="20"/>
                <w:color w:val="auto"/>
              </w:rPr>
            </w:pPr>
            <w:r>
              <w:rPr>
                <w:rFonts w:ascii="Arial" w:cs="Arial" w:eastAsia="Arial" w:hAnsi="Arial"/>
                <w:sz w:val="7"/>
                <w:szCs w:val="7"/>
                <w:color w:val="auto"/>
              </w:rPr>
              <w:t>​</w:t>
            </w:r>
          </w:p>
        </w:tc>
        <w:tc>
          <w:tcPr>
            <w:tcW w:w="12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40" w:type="dxa"/>
            <w:vAlign w:val="bottom"/>
            <w:shd w:val="clear" w:color="auto" w:fill="457157"/>
          </w:tcPr>
          <w:p>
            <w:pPr>
              <w:spacing w:after="0" w:line="20" w:lineRule="exact"/>
              <w:rPr>
                <w:sz w:val="1"/>
                <w:szCs w:val="1"/>
                <w:color w:val="auto"/>
              </w:rPr>
            </w:pPr>
          </w:p>
        </w:tc>
        <w:tc>
          <w:tcPr>
            <w:tcW w:w="12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60" w:type="dxa"/>
            <w:vAlign w:val="bottom"/>
            <w:shd w:val="clear" w:color="auto" w:fill="457157"/>
          </w:tcPr>
          <w:p>
            <w:pPr>
              <w:spacing w:after="0" w:line="20" w:lineRule="exact"/>
              <w:rPr>
                <w:sz w:val="1"/>
                <w:szCs w:val="1"/>
                <w:color w:val="auto"/>
              </w:rPr>
            </w:pPr>
          </w:p>
        </w:tc>
        <w:tc>
          <w:tcPr>
            <w:tcW w:w="26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-205105</wp:posOffset>
            </wp:positionV>
            <wp:extent cx="6137910" cy="196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137910" cy="196850"/>
                    </a:xfrm>
                    <a:prstGeom prst="rect">
                      <a:avLst/>
                    </a:prstGeom>
                    <a:noFill/>
                  </pic:spPr>
                </pic:pic>
              </a:graphicData>
            </a:graphic>
          </wp:anchor>
        </w:drawing>
      </w:r>
    </w:p>
    <w:p>
      <w:pPr>
        <w:jc w:val="both"/>
        <w:ind w:left="1180" w:right="660" w:hanging="364"/>
        <w:spacing w:after="0" w:line="268"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our 2009 Stock Incentive Plan, 2014 Stock Incentive Plan, 2023 Stock Incentive Plan and Employee Stock Purchase Plan (“ESPP”). No additional awards may be granted under our 2009 Stock Incentive Plan or our 2014 Stock Incentive Plan.</w:t>
      </w:r>
    </w:p>
    <w:p>
      <w:pPr>
        <w:spacing w:after="0" w:line="22" w:lineRule="exact"/>
        <w:rPr>
          <w:rFonts w:ascii="Arial" w:cs="Arial" w:eastAsia="Arial" w:hAnsi="Arial"/>
          <w:sz w:val="18"/>
          <w:szCs w:val="18"/>
          <w:color w:val="auto"/>
        </w:rPr>
      </w:pPr>
    </w:p>
    <w:p>
      <w:pPr>
        <w:jc w:val="both"/>
        <w:ind w:left="1180" w:right="660" w:hanging="364"/>
        <w:spacing w:after="0" w:line="25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options outstanding for 2,728,522 shares of Common Stock; 182,105 shares of Common Stock to be issued in connection with deferred compensation obligations; 370,902 shares underlying unvested RSUs and 880,563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880,563 shares.</w:t>
      </w:r>
    </w:p>
    <w:p>
      <w:pPr>
        <w:spacing w:after="0" w:line="74" w:lineRule="exact"/>
        <w:rPr>
          <w:rFonts w:ascii="Arial" w:cs="Arial" w:eastAsia="Arial" w:hAnsi="Arial"/>
          <w:sz w:val="18"/>
          <w:szCs w:val="18"/>
          <w:color w:val="auto"/>
        </w:rPr>
      </w:pPr>
    </w:p>
    <w:p>
      <w:pPr>
        <w:jc w:val="both"/>
        <w:ind w:left="1180" w:right="660"/>
        <w:spacing w:after="0" w:line="256" w:lineRule="auto"/>
        <w:rPr>
          <w:rFonts w:ascii="Arial" w:cs="Arial" w:eastAsia="Arial" w:hAnsi="Arial"/>
          <w:sz w:val="18"/>
          <w:szCs w:val="18"/>
          <w:color w:val="auto"/>
        </w:rPr>
      </w:pPr>
      <w:r>
        <w:rPr>
          <w:rFonts w:ascii="Arial" w:cs="Arial" w:eastAsia="Arial" w:hAnsi="Arial"/>
          <w:sz w:val="18"/>
          <w:szCs w:val="18"/>
          <w:color w:val="auto"/>
        </w:rPr>
        <w:t>The total number of shares subject to outstanding awards in the table above includes 308,597 shares on account of PSUs, at target, with the performance period ended December 31, 2023. The determination of achievement of performance results on such PSUs was performed by the MD&amp;C Committee in February 2024, and the Company achieved maximum performance criteria on the TSR PSUs and the Cash Flow PSUs, yielding a 200% payout. A total of 406,810 shares of Common Stock were issued on account of such PSUs in February 2024, net of units deferred, of which 203,405 shares of Common Stock were included in the first column of the table above.</w:t>
      </w:r>
    </w:p>
    <w:p>
      <w:pPr>
        <w:spacing w:after="0" w:line="74" w:lineRule="exact"/>
        <w:rPr>
          <w:rFonts w:ascii="Arial" w:cs="Arial" w:eastAsia="Arial" w:hAnsi="Arial"/>
          <w:sz w:val="18"/>
          <w:szCs w:val="18"/>
          <w:color w:val="auto"/>
        </w:rPr>
      </w:pPr>
    </w:p>
    <w:p>
      <w:pPr>
        <w:jc w:val="both"/>
        <w:ind w:left="1180" w:right="680"/>
        <w:spacing w:after="0" w:line="261" w:lineRule="auto"/>
        <w:rPr>
          <w:rFonts w:ascii="Arial" w:cs="Arial" w:eastAsia="Arial" w:hAnsi="Arial"/>
          <w:sz w:val="18"/>
          <w:szCs w:val="18"/>
          <w:color w:val="auto"/>
        </w:rPr>
      </w:pPr>
      <w:r>
        <w:rPr>
          <w:rFonts w:ascii="Arial" w:cs="Arial" w:eastAsia="Arial" w:hAnsi="Arial"/>
          <w:sz w:val="18"/>
          <w:szCs w:val="18"/>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247" w:lineRule="exact"/>
        <w:rPr>
          <w:rFonts w:ascii="Arial" w:cs="Arial" w:eastAsia="Arial" w:hAnsi="Arial"/>
          <w:sz w:val="18"/>
          <w:szCs w:val="18"/>
          <w:color w:val="auto"/>
        </w:rPr>
      </w:pPr>
    </w:p>
    <w:p>
      <w:pPr>
        <w:ind w:left="1180" w:right="660" w:hanging="364"/>
        <w:spacing w:after="0" w:line="28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Excludes PSUs and RSUs because those awards do not have exercise prices associated with them. Also excludes purchase rights under the ESPP for the reasons described in note (2) above.</w:t>
      </w:r>
    </w:p>
    <w:p>
      <w:pPr>
        <w:spacing w:after="0" w:line="17" w:lineRule="exact"/>
        <w:rPr>
          <w:rFonts w:ascii="Arial" w:cs="Arial" w:eastAsia="Arial" w:hAnsi="Arial"/>
          <w:sz w:val="18"/>
          <w:szCs w:val="18"/>
          <w:color w:val="auto"/>
        </w:rPr>
      </w:pPr>
    </w:p>
    <w:p>
      <w:pPr>
        <w:jc w:val="both"/>
        <w:ind w:left="1180" w:right="660" w:hanging="364"/>
        <w:spacing w:after="0" w:line="262"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shares remaining available include 1,795,378 shares under our ESPP and 14,290,346 shares under our 2023 Stock Incentive Plan, assuming payout of PSUs at maximum. Assuming payout of PSUs at target, the number of shares remaining available for issuance under our 2023 Stock Incentive Plan would be 15,170,909.</w:t>
      </w:r>
    </w:p>
    <w:p>
      <w:pPr>
        <w:spacing w:after="0" w:line="24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40"/>
          </w:cols>
          <w:pgMar w:left="580" w:top="97" w:right="77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16"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w:t>
      </w:r>
    </w:p>
    <w:p>
      <w:pPr>
        <w:spacing w:after="0" w:line="121"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 xml:space="preserve">We are required to calculate and present the following compensation information in the tabular format prescribed by the SEC.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other executive compensation tables above should be read in conjunction with this section to gain a complete understanding of our executive compensation philosophy, programs and decisions.</w:t>
      </w:r>
    </w:p>
    <w:p>
      <w:pPr>
        <w:spacing w:after="0" w:line="68"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 -end. The equity compensation values used to determine CAP are calculated in accordance with ASC Topic 718, based on various methodologies and assumptions. The amount of compensation that the executive will actually realize when such equity awards vest or options are exercised may be materially different from the amounts used in the CAP calculation.</w:t>
      </w:r>
    </w:p>
    <w:p>
      <w:pPr>
        <w:spacing w:after="0" w:line="29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2023. This measure is also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is generally defined as the Company’s income from operations, excluding depreciation, depletion and amortization, “Restructuring” and “(Gain) Loss from Divestitures, Asset Impairments and Unusual Items, Net” reported in our Annual Report on Form 10-K, and also excluding the impacts of our recycling brokerage business. Operating EBITDA presented in this proxy statement is a non-GAAP measure and is defined differently than Operating EBITDA reported in the Company’s quarterly earnings press release. See Appendix A for additional information and a reconciliation of this non-GAAP measure to the most comparable GAAP measure.</w:t>
      </w:r>
    </w:p>
    <w:p>
      <w:pPr>
        <w:spacing w:after="0" w:line="39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 Table</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Value of Initial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457157"/>
              </w:rPr>
              <w:t>Fixed $100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2"/>
          </w:tcPr>
          <w:p>
            <w:pPr>
              <w:jc w:val="right"/>
              <w:ind w:right="68"/>
              <w:spacing w:after="0" w:line="145" w:lineRule="exact"/>
              <w:rPr>
                <w:sz w:val="20"/>
                <w:szCs w:val="20"/>
                <w:color w:val="auto"/>
              </w:rPr>
            </w:pPr>
            <w:r>
              <w:rPr>
                <w:rFonts w:ascii="Arial" w:cs="Arial" w:eastAsia="Arial" w:hAnsi="Arial"/>
                <w:sz w:val="14"/>
                <w:szCs w:val="14"/>
                <w:b w:val="1"/>
                <w:bCs w:val="1"/>
                <w:color w:val="457157"/>
              </w:rPr>
              <w:t>Investment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Average SCT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457157"/>
              </w:rPr>
              <w:t>Average</w:t>
            </w:r>
          </w:p>
        </w:tc>
        <w:tc>
          <w:tcPr>
            <w:tcW w:w="1140" w:type="dxa"/>
            <w:vAlign w:val="bottom"/>
            <w:tcBorders>
              <w:bottom w:val="single" w:sz="8" w:color="457157"/>
            </w:tcBorders>
            <w:gridSpan w:val="2"/>
          </w:tcPr>
          <w:p>
            <w:pPr>
              <w:jc w:val="right"/>
              <w:ind w:right="8"/>
              <w:spacing w:after="0" w:line="169" w:lineRule="exact"/>
              <w:rPr>
                <w:sz w:val="20"/>
                <w:szCs w:val="20"/>
                <w:color w:val="auto"/>
              </w:rPr>
            </w:pPr>
            <w:r>
              <w:rPr>
                <w:rFonts w:ascii="Arial" w:cs="Arial" w:eastAsia="Arial" w:hAnsi="Arial"/>
                <w:sz w:val="19"/>
                <w:szCs w:val="19"/>
                <w:b w:val="1"/>
                <w:bCs w:val="1"/>
                <w:color w:val="457157"/>
                <w:vertAlign w:val="subscript"/>
              </w:rPr>
              <w:t>​</w:t>
            </w:r>
            <w:r>
              <w:rPr>
                <w:rFonts w:ascii="Arial" w:cs="Arial" w:eastAsia="Arial" w:hAnsi="Arial"/>
                <w:sz w:val="11"/>
                <w:szCs w:val="11"/>
                <w:b w:val="1"/>
                <w:bCs w:val="1"/>
                <w:color w:val="457157"/>
              </w:rPr>
              <w:t xml:space="preserve"> Based on:</w:t>
            </w:r>
            <w:r>
              <w:rPr>
                <w:rFonts w:ascii="Arial" w:cs="Arial" w:eastAsia="Arial" w:hAnsi="Arial"/>
                <w:sz w:val="7"/>
                <w:szCs w:val="7"/>
                <w:b w:val="1"/>
                <w:bCs w:val="1"/>
                <w:color w:val="457157"/>
              </w:rPr>
              <w:t>(3)</w:t>
            </w:r>
          </w:p>
        </w:tc>
        <w:tc>
          <w:tcPr>
            <w:tcW w:w="80" w:type="dxa"/>
            <w:vAlign w:val="bottom"/>
            <w:tcBorders>
              <w:bottom w:val="single" w:sz="8" w:color="457157"/>
            </w:tcBorders>
          </w:tcPr>
          <w:p>
            <w:pPr>
              <w:spacing w:after="0"/>
              <w:rPr>
                <w:sz w:val="17"/>
                <w:szCs w:val="17"/>
                <w:color w:val="auto"/>
              </w:rPr>
            </w:pPr>
          </w:p>
        </w:tc>
        <w:tc>
          <w:tcPr>
            <w:tcW w:w="120" w:type="dxa"/>
            <w:vAlign w:val="bottom"/>
          </w:tcPr>
          <w:p>
            <w:pPr>
              <w:jc w:val="center"/>
              <w:ind w:right="29"/>
              <w:spacing w:after="0"/>
              <w:rPr>
                <w:sz w:val="20"/>
                <w:szCs w:val="20"/>
                <w:color w:val="auto"/>
              </w:rPr>
            </w:pPr>
            <w:r>
              <w:rPr>
                <w:rFonts w:ascii="Arial" w:cs="Arial" w:eastAsia="Arial" w:hAnsi="Arial"/>
                <w:sz w:val="14"/>
                <w:szCs w:val="14"/>
                <w:b w:val="1"/>
                <w:bCs w:val="1"/>
                <w:color w:val="457157"/>
              </w:rPr>
              <w:t>​</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457157"/>
              </w:rPr>
              <w:t>SCT Total</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Total for</w:t>
            </w:r>
          </w:p>
        </w:tc>
        <w:tc>
          <w:tcPr>
            <w:tcW w:w="1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457157"/>
              </w:rPr>
              <w:t>Non-CEO</w:t>
            </w: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457157"/>
              </w:rPr>
              <w:t>WM</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Peer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CSM:</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457157"/>
              </w:rPr>
              <w:t>CEO CAP</w:t>
            </w:r>
            <w:r>
              <w:rPr>
                <w:rFonts w:ascii="Arial" w:cs="Arial" w:eastAsia="Arial" w:hAnsi="Arial"/>
                <w:sz w:val="17"/>
                <w:szCs w:val="17"/>
                <w:b w:val="1"/>
                <w:bCs w:val="1"/>
                <w:color w:val="457157"/>
                <w:vertAlign w:val="superscript"/>
              </w:rPr>
              <w:t>(1)(2)</w:t>
            </w:r>
          </w:p>
        </w:tc>
        <w:tc>
          <w:tcPr>
            <w:tcW w:w="20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Non-CEO</w:t>
            </w:r>
          </w:p>
        </w:tc>
        <w:tc>
          <w:tcPr>
            <w:tcW w:w="180" w:type="dxa"/>
            <w:vAlign w:val="bottom"/>
          </w:tcPr>
          <w:p>
            <w:pPr>
              <w:spacing w:after="0"/>
              <w:rPr>
                <w:sz w:val="12"/>
                <w:szCs w:val="12"/>
                <w:color w:val="auto"/>
              </w:rPr>
            </w:pPr>
          </w:p>
        </w:tc>
        <w:tc>
          <w:tcPr>
            <w:tcW w:w="84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457157"/>
              </w:rPr>
              <w:t>NEOs</w:t>
            </w:r>
          </w:p>
        </w:tc>
        <w:tc>
          <w:tcPr>
            <w:tcW w:w="640" w:type="dxa"/>
            <w:vAlign w:val="bottom"/>
            <w:vMerge w:val="continue"/>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Group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Net Income</w:t>
            </w:r>
          </w:p>
        </w:tc>
        <w:tc>
          <w:tcPr>
            <w:tcW w:w="240" w:type="dxa"/>
            <w:vAlign w:val="bottom"/>
          </w:tcPr>
          <w:p>
            <w:pPr>
              <w:spacing w:after="0"/>
              <w:rPr>
                <w:sz w:val="12"/>
                <w:szCs w:val="12"/>
                <w:color w:val="auto"/>
              </w:rPr>
            </w:pPr>
          </w:p>
        </w:tc>
        <w:tc>
          <w:tcPr>
            <w:tcW w:w="840" w:type="dxa"/>
            <w:vAlign w:val="bottom"/>
          </w:tcPr>
          <w:p>
            <w:pPr>
              <w:ind w:left="80"/>
              <w:spacing w:after="0" w:line="145" w:lineRule="exact"/>
              <w:rPr>
                <w:sz w:val="20"/>
                <w:szCs w:val="20"/>
                <w:color w:val="auto"/>
              </w:rPr>
            </w:pPr>
            <w:r>
              <w:rPr>
                <w:rFonts w:ascii="Arial" w:cs="Arial" w:eastAsia="Arial" w:hAnsi="Arial"/>
                <w:sz w:val="14"/>
                <w:szCs w:val="14"/>
                <w:b w:val="1"/>
                <w:bCs w:val="1"/>
                <w:color w:val="457157"/>
              </w:rPr>
              <w:t>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Year</w:t>
            </w:r>
          </w:p>
        </w:tc>
        <w:tc>
          <w:tcPr>
            <w:tcW w:w="6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to CEO</w:t>
            </w:r>
            <w:r>
              <w:rPr>
                <w:rFonts w:ascii="Arial" w:cs="Arial" w:eastAsia="Arial" w:hAnsi="Arial"/>
                <w:sz w:val="8"/>
                <w:szCs w:val="8"/>
                <w:b w:val="1"/>
                <w:bCs w:val="1"/>
                <w:color w:val="457157"/>
              </w:rPr>
              <w:t>(1)</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NEOs</w:t>
            </w:r>
            <w:r>
              <w:rPr>
                <w:rFonts w:ascii="Arial" w:cs="Arial" w:eastAsia="Arial" w:hAnsi="Arial"/>
                <w:sz w:val="8"/>
                <w:szCs w:val="8"/>
                <w:b w:val="1"/>
                <w:bCs w:val="1"/>
                <w:color w:val="457157"/>
              </w:rPr>
              <w:t>(1)</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457157"/>
              </w:rPr>
              <w:t>CAP</w:t>
            </w:r>
            <w:r>
              <w:rPr>
                <w:rFonts w:ascii="Arial" w:cs="Arial" w:eastAsia="Arial" w:hAnsi="Arial"/>
                <w:sz w:val="8"/>
                <w:szCs w:val="8"/>
                <w:b w:val="1"/>
                <w:bCs w:val="1"/>
                <w:color w:val="457157"/>
              </w:rPr>
              <w:t>(1)(2)</w:t>
            </w:r>
          </w:p>
        </w:tc>
        <w:tc>
          <w:tcPr>
            <w:tcW w:w="640" w:type="dxa"/>
            <w:vAlign w:val="bottom"/>
          </w:tcPr>
          <w:p>
            <w:pPr>
              <w:jc w:val="right"/>
              <w:ind w:right="171"/>
              <w:spacing w:after="0" w:line="149" w:lineRule="exact"/>
              <w:rPr>
                <w:sz w:val="20"/>
                <w:szCs w:val="20"/>
                <w:color w:val="auto"/>
              </w:rPr>
            </w:pPr>
            <w:r>
              <w:rPr>
                <w:rFonts w:ascii="Arial" w:cs="Arial" w:eastAsia="Arial" w:hAnsi="Arial"/>
                <w:sz w:val="14"/>
                <w:szCs w:val="14"/>
                <w:b w:val="1"/>
                <w:bCs w:val="1"/>
                <w:color w:val="457157"/>
              </w:rPr>
              <w:t>TSR</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TSR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EBITDA</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660" w:type="dxa"/>
            <w:vAlign w:val="bottom"/>
            <w:vMerge w:val="restart"/>
          </w:tcPr>
          <w:p>
            <w:pPr>
              <w:ind w:left="520"/>
              <w:spacing w:after="0"/>
              <w:rPr>
                <w:sz w:val="20"/>
                <w:szCs w:val="20"/>
                <w:color w:val="auto"/>
              </w:rPr>
            </w:pPr>
            <w:r>
              <w:rPr>
                <w:rFonts w:ascii="Arial" w:cs="Arial" w:eastAsia="Arial" w:hAnsi="Arial"/>
                <w:sz w:val="14"/>
                <w:szCs w:val="14"/>
                <w:b w:val="1"/>
                <w:bCs w:val="1"/>
                <w:color w:val="457157"/>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8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 ​​</w:t>
            </w:r>
          </w:p>
        </w:tc>
        <w:tc>
          <w:tcPr>
            <w:tcW w:w="5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457157"/>
              </w:rPr>
              <w:t>($ in billions)</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94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660" w:type="dxa"/>
            <w:vAlign w:val="bottom"/>
            <w:tcBorders>
              <w:bottom w:val="single" w:sz="8" w:color="457157"/>
            </w:tcBorders>
            <w:vMerge w:val="continue"/>
          </w:tcPr>
          <w:p>
            <w:pPr>
              <w:spacing w:after="0"/>
              <w:rPr>
                <w:sz w:val="4"/>
                <w:szCs w:val="4"/>
                <w:color w:val="auto"/>
              </w:rPr>
            </w:pPr>
          </w:p>
        </w:tc>
        <w:tc>
          <w:tcPr>
            <w:tcW w:w="840" w:type="dxa"/>
            <w:vAlign w:val="bottom"/>
            <w:tcBorders>
              <w:bottom w:val="single" w:sz="8" w:color="457157"/>
            </w:tcBorders>
            <w:vMerge w:val="continue"/>
          </w:tcPr>
          <w:p>
            <w:pPr>
              <w:spacing w:after="0"/>
              <w:rPr>
                <w:sz w:val="4"/>
                <w:szCs w:val="4"/>
                <w:color w:val="auto"/>
              </w:rPr>
            </w:pPr>
          </w:p>
        </w:tc>
        <w:tc>
          <w:tcPr>
            <w:tcW w:w="500" w:type="dxa"/>
            <w:vAlign w:val="bottom"/>
            <w:tcBorders>
              <w:bottom w:val="single" w:sz="8" w:color="457157"/>
            </w:tcBorders>
            <w:vMerge w:val="continue"/>
          </w:tcPr>
          <w:p>
            <w:pPr>
              <w:spacing w:after="0"/>
              <w:rPr>
                <w:sz w:val="4"/>
                <w:szCs w:val="4"/>
                <w:color w:val="auto"/>
              </w:rPr>
            </w:pPr>
          </w:p>
        </w:tc>
        <w:tc>
          <w:tcPr>
            <w:tcW w:w="60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90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840" w:type="dxa"/>
            <w:vAlign w:val="bottom"/>
            <w:tcBorders>
              <w:bottom w:val="single" w:sz="8" w:color="457157"/>
            </w:tcBorders>
          </w:tcPr>
          <w:p>
            <w:pPr>
              <w:spacing w:after="0"/>
              <w:rPr>
                <w:sz w:val="4"/>
                <w:szCs w:val="4"/>
                <w:color w:val="auto"/>
              </w:rPr>
            </w:pPr>
          </w:p>
        </w:tc>
        <w:tc>
          <w:tcPr>
            <w:tcW w:w="640" w:type="dxa"/>
            <w:vAlign w:val="bottom"/>
            <w:tcBorders>
              <w:bottom w:val="single" w:sz="8" w:color="457157"/>
            </w:tcBorders>
            <w:vMerge w:val="continue"/>
          </w:tcPr>
          <w:p>
            <w:pPr>
              <w:spacing w:after="0"/>
              <w:rPr>
                <w:sz w:val="4"/>
                <w:szCs w:val="4"/>
                <w:color w:val="auto"/>
              </w:rPr>
            </w:pPr>
          </w:p>
        </w:tc>
        <w:tc>
          <w:tcPr>
            <w:tcW w:w="5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260" w:type="dxa"/>
            <w:vAlign w:val="bottom"/>
            <w:tcBorders>
              <w:bottom w:val="single" w:sz="8" w:color="457157"/>
            </w:tcBorders>
            <w:gridSpan w:val="3"/>
          </w:tcPr>
          <w:p>
            <w:pPr>
              <w:spacing w:after="0" w:line="54" w:lineRule="exact"/>
              <w:rPr>
                <w:sz w:val="20"/>
                <w:szCs w:val="20"/>
                <w:color w:val="auto"/>
              </w:rPr>
            </w:pPr>
            <w:r>
              <w:rPr>
                <w:rFonts w:ascii="Arial" w:cs="Arial" w:eastAsia="Arial" w:hAnsi="Arial"/>
                <w:sz w:val="6"/>
                <w:szCs w:val="6"/>
                <w:b w:val="1"/>
                <w:bCs w:val="1"/>
                <w:color w:val="457157"/>
              </w:rPr>
              <w:t>​​($ in billions) ​​</w:t>
            </w:r>
          </w:p>
        </w:tc>
        <w:tc>
          <w:tcPr>
            <w:tcW w:w="8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​2023</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14,628,854​​​</w:t>
            </w:r>
            <w:r>
              <w:rPr>
                <w:rFonts w:ascii="Arial" w:cs="Arial" w:eastAsia="Arial" w:hAnsi="Arial"/>
                <w:sz w:val="18"/>
                <w:szCs w:val="18"/>
                <w:b w:val="1"/>
                <w:bCs w:val="1"/>
                <w:color w:val="auto"/>
              </w:rPr>
              <w:t>​</w:t>
            </w:r>
            <w:r>
              <w:rPr>
                <w:rFonts w:ascii="Arial" w:cs="Arial" w:eastAsia="Arial" w:hAnsi="Arial"/>
                <w:sz w:val="18"/>
                <w:szCs w:val="18"/>
                <w:color w:val="auto"/>
              </w:rPr>
              <w:t xml:space="preserve"> 26,638,740​​​</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3,971,546 ​​​</w:t>
            </w:r>
            <w:r>
              <w:rPr>
                <w:rFonts w:ascii="Arial" w:cs="Arial" w:eastAsia="Arial" w:hAnsi="Arial"/>
                <w:sz w:val="18"/>
                <w:szCs w:val="18"/>
                <w:b w:val="1"/>
                <w:bCs w:val="1"/>
                <w:color w:val="auto"/>
              </w:rPr>
              <w:t>​</w:t>
            </w:r>
            <w:r>
              <w:rPr>
                <w:rFonts w:ascii="Arial" w:cs="Arial" w:eastAsia="Arial" w:hAnsi="Arial"/>
                <w:sz w:val="18"/>
                <w:szCs w:val="18"/>
                <w:color w:val="auto"/>
              </w:rPr>
              <w:t xml:space="preserve"> 6,550,505​​​</w:t>
            </w:r>
            <w:r>
              <w:rPr>
                <w:rFonts w:ascii="Arial" w:cs="Arial" w:eastAsia="Arial" w:hAnsi="Arial"/>
                <w:sz w:val="18"/>
                <w:szCs w:val="18"/>
                <w:b w:val="1"/>
                <w:bCs w:val="1"/>
                <w:color w:val="auto"/>
              </w:rPr>
              <w:t>​</w:t>
            </w:r>
            <w:r>
              <w:rPr>
                <w:rFonts w:ascii="Arial" w:cs="Arial" w:eastAsia="Arial" w:hAnsi="Arial"/>
                <w:sz w:val="18"/>
                <w:szCs w:val="18"/>
                <w:color w:val="auto"/>
              </w:rPr>
              <w:t>168 ​​​ ​166</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2.304</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5.892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​2022</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14,820,684​​​</w:t>
            </w:r>
            <w:r>
              <w:rPr>
                <w:rFonts w:ascii="Arial" w:cs="Arial" w:eastAsia="Arial" w:hAnsi="Arial"/>
                <w:sz w:val="18"/>
                <w:szCs w:val="18"/>
                <w:b w:val="1"/>
                <w:bCs w:val="1"/>
                <w:color w:val="auto"/>
              </w:rPr>
              <w:t>​</w:t>
            </w:r>
            <w:r>
              <w:rPr>
                <w:rFonts w:ascii="Arial" w:cs="Arial" w:eastAsia="Arial" w:hAnsi="Arial"/>
                <w:sz w:val="18"/>
                <w:szCs w:val="18"/>
                <w:color w:val="auto"/>
              </w:rPr>
              <w:t xml:space="preserve"> 13,037,001​​​</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5,202,091 ​​​</w:t>
            </w:r>
            <w:r>
              <w:rPr>
                <w:rFonts w:ascii="Arial" w:cs="Arial" w:eastAsia="Arial" w:hAnsi="Arial"/>
                <w:sz w:val="18"/>
                <w:szCs w:val="18"/>
                <w:b w:val="1"/>
                <w:bCs w:val="1"/>
                <w:color w:val="auto"/>
              </w:rPr>
              <w:t>​</w:t>
            </w:r>
            <w:r>
              <w:rPr>
                <w:rFonts w:ascii="Arial" w:cs="Arial" w:eastAsia="Arial" w:hAnsi="Arial"/>
                <w:sz w:val="18"/>
                <w:szCs w:val="18"/>
                <w:color w:val="auto"/>
              </w:rPr>
              <w:t xml:space="preserve"> 4,823,249​​​</w:t>
            </w:r>
            <w:r>
              <w:rPr>
                <w:rFonts w:ascii="Arial" w:cs="Arial" w:eastAsia="Arial" w:hAnsi="Arial"/>
                <w:sz w:val="18"/>
                <w:szCs w:val="18"/>
                <w:b w:val="1"/>
                <w:bCs w:val="1"/>
                <w:color w:val="auto"/>
              </w:rPr>
              <w:t>​</w:t>
            </w:r>
            <w:r>
              <w:rPr>
                <w:rFonts w:ascii="Arial" w:cs="Arial" w:eastAsia="Arial" w:hAnsi="Arial"/>
                <w:sz w:val="18"/>
                <w:szCs w:val="18"/>
                <w:color w:val="auto"/>
              </w:rPr>
              <w:t>145 ​​​ ​141</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2.238</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5.475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​2021</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13,057,363​​​</w:t>
            </w:r>
            <w:r>
              <w:rPr>
                <w:rFonts w:ascii="Arial" w:cs="Arial" w:eastAsia="Arial" w:hAnsi="Arial"/>
                <w:sz w:val="18"/>
                <w:szCs w:val="18"/>
                <w:b w:val="1"/>
                <w:bCs w:val="1"/>
                <w:color w:val="auto"/>
              </w:rPr>
              <w:t>​</w:t>
            </w:r>
            <w:r>
              <w:rPr>
                <w:rFonts w:ascii="Arial" w:cs="Arial" w:eastAsia="Arial" w:hAnsi="Arial"/>
                <w:sz w:val="18"/>
                <w:szCs w:val="18"/>
                <w:color w:val="auto"/>
              </w:rPr>
              <w:t xml:space="preserve"> 44,273,994​​​</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3,637,383 ​​​</w:t>
            </w:r>
            <w:r>
              <w:rPr>
                <w:rFonts w:ascii="Arial" w:cs="Arial" w:eastAsia="Arial" w:hAnsi="Arial"/>
                <w:sz w:val="18"/>
                <w:szCs w:val="18"/>
                <w:b w:val="1"/>
                <w:bCs w:val="1"/>
                <w:color w:val="auto"/>
              </w:rPr>
              <w:t>​</w:t>
            </w:r>
            <w:r>
              <w:rPr>
                <w:rFonts w:ascii="Arial" w:cs="Arial" w:eastAsia="Arial" w:hAnsi="Arial"/>
                <w:sz w:val="18"/>
                <w:szCs w:val="18"/>
                <w:color w:val="auto"/>
              </w:rPr>
              <w:t>10,803,402​​​</w:t>
            </w:r>
            <w:r>
              <w:rPr>
                <w:rFonts w:ascii="Arial" w:cs="Arial" w:eastAsia="Arial" w:hAnsi="Arial"/>
                <w:sz w:val="18"/>
                <w:szCs w:val="18"/>
                <w:b w:val="1"/>
                <w:bCs w:val="1"/>
                <w:color w:val="auto"/>
              </w:rPr>
              <w:t>​</w:t>
            </w:r>
            <w:r>
              <w:rPr>
                <w:rFonts w:ascii="Arial" w:cs="Arial" w:eastAsia="Arial" w:hAnsi="Arial"/>
                <w:sz w:val="18"/>
                <w:szCs w:val="18"/>
                <w:color w:val="auto"/>
              </w:rPr>
              <w:t>152 ​​​ ​149</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1.816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4.961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​2020</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12,373,925​​​</w:t>
            </w:r>
            <w:r>
              <w:rPr>
                <w:rFonts w:ascii="Arial" w:cs="Arial" w:eastAsia="Arial" w:hAnsi="Arial"/>
                <w:sz w:val="18"/>
                <w:szCs w:val="18"/>
                <w:b w:val="1"/>
                <w:bCs w:val="1"/>
                <w:color w:val="auto"/>
              </w:rPr>
              <w:t>​</w:t>
            </w:r>
            <w:r>
              <w:rPr>
                <w:rFonts w:ascii="Arial" w:cs="Arial" w:eastAsia="Arial" w:hAnsi="Arial"/>
                <w:sz w:val="18"/>
                <w:szCs w:val="18"/>
                <w:color w:val="auto"/>
              </w:rPr>
              <w:t xml:space="preserve"> 15,824,928​​​</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3,372,614 ​​​</w:t>
            </w:r>
            <w:r>
              <w:rPr>
                <w:rFonts w:ascii="Arial" w:cs="Arial" w:eastAsia="Arial" w:hAnsi="Arial"/>
                <w:sz w:val="18"/>
                <w:szCs w:val="18"/>
                <w:b w:val="1"/>
                <w:bCs w:val="1"/>
                <w:color w:val="auto"/>
              </w:rPr>
              <w:t>​</w:t>
            </w:r>
            <w:r>
              <w:rPr>
                <w:rFonts w:ascii="Arial" w:cs="Arial" w:eastAsia="Arial" w:hAnsi="Arial"/>
                <w:sz w:val="18"/>
                <w:szCs w:val="18"/>
                <w:color w:val="auto"/>
              </w:rPr>
              <w:t xml:space="preserve"> 4,308,433​​​</w:t>
            </w:r>
            <w:r>
              <w:rPr>
                <w:rFonts w:ascii="Arial" w:cs="Arial" w:eastAsia="Arial" w:hAnsi="Arial"/>
                <w:sz w:val="18"/>
                <w:szCs w:val="18"/>
                <w:b w:val="1"/>
                <w:bCs w:val="1"/>
                <w:color w:val="auto"/>
              </w:rPr>
              <w:t>​</w:t>
            </w:r>
            <w:r>
              <w:rPr>
                <w:rFonts w:ascii="Arial" w:cs="Arial" w:eastAsia="Arial" w:hAnsi="Arial"/>
                <w:sz w:val="18"/>
                <w:szCs w:val="18"/>
                <w:color w:val="auto"/>
              </w:rPr>
              <w:t>105 ​​​ ​107</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1.496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4.371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66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-599440</wp:posOffset>
            </wp:positionV>
            <wp:extent cx="57607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-299720</wp:posOffset>
            </wp:positionV>
            <wp:extent cx="5760720" cy="145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60720" cy="145415"/>
                    </a:xfrm>
                    <a:prstGeom prst="rect">
                      <a:avLst/>
                    </a:prstGeom>
                    <a:noFill/>
                  </pic:spPr>
                </pic:pic>
              </a:graphicData>
            </a:graphic>
          </wp:anchor>
        </w:drawing>
      </w:r>
    </w:p>
    <w:p>
      <w:pPr>
        <w:spacing w:after="0" w:line="29" w:lineRule="exact"/>
        <w:rPr>
          <w:sz w:val="20"/>
          <w:szCs w:val="20"/>
          <w:color w:val="auto"/>
        </w:rPr>
      </w:pPr>
    </w:p>
    <w:p>
      <w:pPr>
        <w:jc w:val="both"/>
        <w:ind w:left="1180" w:right="60" w:hanging="364"/>
        <w:spacing w:after="0" w:line="256"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all periods shown in the table above, the Company’s CEO was Mr. James C. Fish, Jr. The Non-CEO NEOs for purposes of the 2023 disclosures include Ms. Devina A. Rankin, Mr. John C. Morris, Jr., Mr. Rafael E. Carrasco and Ms. Tara J. Hemmer. The Non-CEO NEOs for purposes of the 2022 and 2020 disclosures include Ms. Rankin, Mr. Morris, Ms. Hemmer and Mr. Steven R. Batchelor, the Company’s retired Senior Vice President — Operations. The Non-CEO NEOs for purposes of the 2021 disclosures include Ms. Rankin, Mr. Morris, Ms. Hemmer and Mr. Charles C. Boettcher, Executive Vice President, Corporate Development &amp; Chief Legal Officer.</w:t>
      </w:r>
    </w:p>
    <w:p>
      <w:pPr>
        <w:spacing w:after="0" w:line="7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calculate 2023 CAP, we made specified adjustments to Total Compensation as reported in the SCT,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6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Adjustments to CEO’s SCT Total Compensation to Calculate CAP:</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160" w:type="dxa"/>
            <w:vAlign w:val="bottom"/>
          </w:tcPr>
          <w:p>
            <w:pPr>
              <w:jc w:val="center"/>
              <w:ind w:right="7"/>
              <w:spacing w:after="0"/>
              <w:rPr>
                <w:sz w:val="20"/>
                <w:szCs w:val="20"/>
                <w:color w:val="auto"/>
              </w:rPr>
            </w:pPr>
            <w:r>
              <w:rPr>
                <w:rFonts w:ascii="Arial" w:cs="Arial" w:eastAsia="Arial" w:hAnsi="Arial"/>
                <w:sz w:val="14"/>
                <w:szCs w:val="14"/>
                <w:b w:val="1"/>
                <w:bCs w:val="1"/>
                <w:color w:val="457157"/>
              </w:rPr>
              <w:t>​​</w:t>
            </w:r>
          </w:p>
        </w:tc>
        <w:tc>
          <w:tcPr>
            <w:tcW w:w="7200" w:type="dxa"/>
            <w:vAlign w:val="bottom"/>
          </w:tcPr>
          <w:p>
            <w:pPr>
              <w:spacing w:after="0"/>
              <w:rPr>
                <w:sz w:val="24"/>
                <w:szCs w:val="24"/>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b w:val="1"/>
                <w:bCs w:val="1"/>
                <w:color w:val="457157"/>
              </w:rPr>
              <w:t>​ ​</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457157"/>
              </w:rPr>
              <w:t>2023</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​SCT Total Compensation</w:t>
            </w:r>
          </w:p>
        </w:tc>
        <w:tc>
          <w:tcPr>
            <w:tcW w:w="620" w:type="dxa"/>
            <w:vAlign w:val="bottom"/>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gridSpan w:val="2"/>
            <w:vMerge w:val="continue"/>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​​14,628,854​​</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 from SCT Total Compensation, in dollars</w:t>
            </w:r>
          </w:p>
        </w:tc>
        <w:tc>
          <w:tcPr>
            <w:tcW w:w="880" w:type="dxa"/>
            <w:vAlign w:val="bottom"/>
            <w:gridSpan w:val="2"/>
          </w:tcPr>
          <w:p>
            <w:pPr>
              <w:ind w:left="580"/>
              <w:spacing w:after="0"/>
              <w:rPr>
                <w:sz w:val="20"/>
                <w:szCs w:val="20"/>
                <w:color w:val="auto"/>
              </w:rPr>
            </w:pPr>
            <w:r>
              <w:rPr>
                <w:rFonts w:ascii="Arial" w:cs="Arial" w:eastAsia="Arial" w:hAnsi="Arial"/>
                <w:sz w:val="18"/>
                <w:szCs w:val="18"/>
                <w:b w:val="1"/>
                <w:bCs w:val="1"/>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1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72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620" w:type="dxa"/>
            <w:vAlign w:val="bottom"/>
            <w:tcBorders>
              <w:top w:val="single" w:sz="8" w:color="457157"/>
            </w:tcBorders>
          </w:tcPr>
          <w:p>
            <w:pPr>
              <w:spacing w:after="0"/>
              <w:rPr>
                <w:sz w:val="20"/>
                <w:szCs w:val="20"/>
                <w:color w:val="auto"/>
              </w:rPr>
            </w:pPr>
          </w:p>
        </w:tc>
        <w:tc>
          <w:tcPr>
            <w:tcW w:w="260" w:type="dxa"/>
            <w:vAlign w:val="bottom"/>
            <w:tcBorders>
              <w:top w:val="single" w:sz="8" w:color="457157"/>
            </w:tcBorders>
          </w:tcPr>
          <w:p>
            <w:pPr>
              <w:spacing w:after="0"/>
              <w:rPr>
                <w:sz w:val="20"/>
                <w:szCs w:val="20"/>
                <w:color w:val="auto"/>
              </w:rPr>
            </w:pPr>
          </w:p>
        </w:tc>
        <w:tc>
          <w:tcPr>
            <w:tcW w:w="820" w:type="dxa"/>
            <w:vAlign w:val="bottom"/>
            <w:tcBorders>
              <w:top w:val="single" w:sz="8" w:color="457157"/>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center"/>
              <w:ind w:right="7"/>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​10,355,433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​Additions to SCT Total Compensation, in dollars:</w:t>
            </w:r>
          </w:p>
        </w:tc>
        <w:tc>
          <w:tcPr>
            <w:tcW w:w="880" w:type="dxa"/>
            <w:vAlign w:val="bottom"/>
            <w:gridSpan w:val="2"/>
          </w:tcPr>
          <w:p>
            <w:pPr>
              <w:ind w:left="580"/>
              <w:spacing w:after="0"/>
              <w:rPr>
                <w:sz w:val="20"/>
                <w:szCs w:val="20"/>
                <w:color w:val="auto"/>
              </w:rPr>
            </w:pPr>
            <w:r>
              <w:rPr>
                <w:rFonts w:ascii="Arial" w:cs="Arial" w:eastAsia="Arial" w:hAnsi="Arial"/>
                <w:sz w:val="18"/>
                <w:szCs w:val="18"/>
                <w:b w:val="1"/>
                <w:bCs w:val="1"/>
                <w:color w:val="auto"/>
              </w:rPr>
              <w:t>​ ​​</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Fair value of stock awards granted during the year, as of 12/31</w:t>
            </w:r>
            <w:r>
              <w:rPr>
                <w:rFonts w:ascii="Arial" w:cs="Arial" w:eastAsia="Arial" w:hAnsi="Arial"/>
                <w:sz w:val="21"/>
                <w:szCs w:val="21"/>
                <w:color w:val="auto"/>
                <w:vertAlign w:val="superscript"/>
              </w:rPr>
              <w:t>(a)</w:t>
            </w:r>
          </w:p>
        </w:tc>
        <w:tc>
          <w:tcPr>
            <w:tcW w:w="1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11,099,138​​</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Fair value of option awards granted during the year, as of 12/31</w:t>
            </w:r>
            <w:r>
              <w:rPr>
                <w:rFonts w:ascii="Arial" w:cs="Arial" w:eastAsia="Arial" w:hAnsi="Arial"/>
                <w:sz w:val="21"/>
                <w:szCs w:val="21"/>
                <w:color w:val="auto"/>
                <w:vertAlign w:val="superscript"/>
              </w:rPr>
              <w:t>(b)</w:t>
            </w:r>
          </w:p>
        </w:tc>
        <w:tc>
          <w:tcPr>
            <w:tcW w:w="1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2,595,049​​</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stock awards unvested at 12/31</w:t>
            </w:r>
            <w:r>
              <w:rPr>
                <w:rFonts w:ascii="Arial" w:cs="Arial" w:eastAsia="Arial" w:hAnsi="Arial"/>
                <w:sz w:val="21"/>
                <w:szCs w:val="21"/>
                <w:color w:val="auto"/>
                <w:vertAlign w:val="superscript"/>
              </w:rPr>
              <w:t>(a)</w:t>
            </w:r>
          </w:p>
        </w:tc>
        <w:tc>
          <w:tcPr>
            <w:tcW w:w="1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1,765,392​​</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option awards unvested at 12/31</w:t>
            </w:r>
            <w:r>
              <w:rPr>
                <w:rFonts w:ascii="Arial" w:cs="Arial" w:eastAsia="Arial" w:hAnsi="Arial"/>
                <w:sz w:val="21"/>
                <w:szCs w:val="21"/>
                <w:color w:val="auto"/>
                <w:vertAlign w:val="superscript"/>
              </w:rPr>
              <w:t>(b)</w:t>
            </w:r>
          </w:p>
        </w:tc>
        <w:tc>
          <w:tcPr>
            <w:tcW w:w="880" w:type="dxa"/>
            <w:vAlign w:val="bottom"/>
            <w:gridSpan w:val="2"/>
            <w:vMerge w:val="restart"/>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818,348​​</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stock awards vesting during the year</w:t>
            </w:r>
            <w:r>
              <w:rPr>
                <w:rFonts w:ascii="Arial" w:cs="Arial" w:eastAsia="Arial" w:hAnsi="Arial"/>
                <w:sz w:val="21"/>
                <w:szCs w:val="21"/>
                <w:color w:val="auto"/>
                <w:vertAlign w:val="superscript"/>
              </w:rPr>
              <w:t>(a)</w:t>
            </w:r>
          </w:p>
        </w:tc>
        <w:tc>
          <w:tcPr>
            <w:tcW w:w="174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5,614,556​​</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0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option awards vesting during the year</w:t>
            </w:r>
            <w:r>
              <w:rPr>
                <w:rFonts w:ascii="Arial" w:cs="Arial" w:eastAsia="Arial" w:hAnsi="Arial"/>
                <w:sz w:val="21"/>
                <w:szCs w:val="21"/>
                <w:color w:val="auto"/>
                <w:vertAlign w:val="superscript"/>
              </w:rPr>
              <w:t>(b)</w:t>
            </w:r>
          </w:p>
        </w:tc>
        <w:tc>
          <w:tcPr>
            <w:tcW w:w="880" w:type="dxa"/>
            <w:vAlign w:val="bottom"/>
            <w:gridSpan w:val="2"/>
            <w:vMerge w:val="restart"/>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(445,774​​)</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Dividend equivalents paid upon stock awards vesting during the year</w:t>
            </w:r>
          </w:p>
        </w:tc>
        <w:tc>
          <w:tcPr>
            <w:tcW w:w="880" w:type="dxa"/>
            <w:vAlign w:val="bottom"/>
            <w:gridSpan w:val="2"/>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918,610​​</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Additions to SCT Total Compensation, in dollars</w:t>
            </w: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​​22,365,319​​</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w:t>
            </w: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​​26,638,740​​</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-1936750</wp:posOffset>
            </wp:positionV>
            <wp:extent cx="5760720" cy="3086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60720" cy="3086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-1482725</wp:posOffset>
            </wp:positionV>
            <wp:extent cx="576072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-1139825</wp:posOffset>
            </wp:positionV>
            <wp:extent cx="576072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-796925</wp:posOffset>
            </wp:positionV>
            <wp:extent cx="5760720"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-454025</wp:posOffset>
            </wp:positionV>
            <wp:extent cx="57607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5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607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-2236470</wp:posOffset>
            </wp:positionV>
            <wp:extent cx="57607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154" w:lineRule="exact"/>
        <w:rPr>
          <w:sz w:val="20"/>
          <w:szCs w:val="20"/>
          <w:color w:val="auto"/>
        </w:rPr>
      </w:pPr>
    </w:p>
    <w:p>
      <w:pPr>
        <w:ind w:left="820" w:right="300"/>
        <w:spacing w:after="0" w:line="256" w:lineRule="auto"/>
        <w:rPr>
          <w:sz w:val="20"/>
          <w:szCs w:val="20"/>
          <w:color w:val="auto"/>
        </w:rPr>
      </w:pPr>
      <w:r>
        <w:rPr>
          <w:rFonts w:ascii="Arial" w:cs="Arial" w:eastAsia="Arial" w:hAnsi="Arial"/>
          <w:sz w:val="22"/>
          <w:szCs w:val="22"/>
          <w:b w:val="1"/>
          <w:bCs w:val="1"/>
          <w:color w:val="457157"/>
        </w:rPr>
        <w:t>Adjustments to Non-CEO NEOs Average SCT Total Compensation to Calculate Average CAP:</w:t>
      </w:r>
    </w:p>
    <w:tbl>
      <w:tblPr>
        <w:tblLayout w:type="fixed"/>
        <w:tblInd w:w="820" w:type="dxa"/>
        <w:tblCellMar>
          <w:top w:w="0" w:type="dxa"/>
          <w:left w:w="0" w:type="dxa"/>
          <w:bottom w:w="0" w:type="dxa"/>
          <w:right w:w="0" w:type="dxa"/>
        </w:tblCellMar>
      </w:tblPr>
      <w:tr>
        <w:trPr>
          <w:trHeight w:val="312"/>
        </w:trPr>
        <w:tc>
          <w:tcPr>
            <w:tcW w:w="160" w:type="dxa"/>
            <w:vAlign w:val="bottom"/>
          </w:tcPr>
          <w:p>
            <w:pPr>
              <w:jc w:val="center"/>
              <w:ind w:right="7"/>
              <w:spacing w:after="0"/>
              <w:rPr>
                <w:sz w:val="20"/>
                <w:szCs w:val="20"/>
                <w:color w:val="auto"/>
              </w:rPr>
            </w:pPr>
            <w:r>
              <w:rPr>
                <w:rFonts w:ascii="Arial" w:cs="Arial" w:eastAsia="Arial" w:hAnsi="Arial"/>
                <w:sz w:val="14"/>
                <w:szCs w:val="14"/>
                <w:b w:val="1"/>
                <w:bCs w:val="1"/>
                <w:color w:val="457157"/>
              </w:rPr>
              <w:t>​​</w:t>
            </w:r>
          </w:p>
        </w:tc>
        <w:tc>
          <w:tcPr>
            <w:tcW w:w="724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b w:val="1"/>
                <w:bCs w:val="1"/>
                <w:color w:val="457157"/>
              </w:rPr>
              <w:t>​ ​</w:t>
            </w:r>
          </w:p>
        </w:tc>
        <w:tc>
          <w:tcPr>
            <w:tcW w:w="800" w:type="dxa"/>
            <w:vAlign w:val="bottom"/>
            <w:gridSpan w:val="2"/>
          </w:tcPr>
          <w:p>
            <w:pPr>
              <w:jc w:val="right"/>
              <w:ind w:right="40"/>
              <w:spacing w:after="0" w:line="312" w:lineRule="exact"/>
              <w:rPr>
                <w:sz w:val="20"/>
                <w:szCs w:val="20"/>
                <w:color w:val="auto"/>
              </w:rPr>
            </w:pPr>
            <w:r>
              <w:rPr>
                <w:rFonts w:ascii="Arial" w:cs="Arial" w:eastAsia="Arial" w:hAnsi="Arial"/>
                <w:sz w:val="14"/>
                <w:szCs w:val="14"/>
                <w:b w:val="1"/>
                <w:bCs w:val="1"/>
                <w:color w:val="457157"/>
              </w:rPr>
              <w:t>2023</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​SCT Total Compensation</w:t>
            </w:r>
          </w:p>
        </w:tc>
        <w:tc>
          <w:tcPr>
            <w:tcW w:w="680" w:type="dxa"/>
            <w:vAlign w:val="bottom"/>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​​3,971,546​​</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 from SCT Total Compensation, in dollars</w:t>
            </w:r>
          </w:p>
        </w:tc>
        <w:tc>
          <w:tcPr>
            <w:tcW w:w="900" w:type="dxa"/>
            <w:vAlign w:val="bottom"/>
            <w:gridSpan w:val="2"/>
          </w:tcPr>
          <w:p>
            <w:pPr>
              <w:ind w:left="6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1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72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680" w:type="dxa"/>
            <w:vAlign w:val="bottom"/>
            <w:tcBorders>
              <w:top w:val="single" w:sz="8" w:color="457157"/>
            </w:tcBorders>
          </w:tcPr>
          <w:p>
            <w:pPr>
              <w:spacing w:after="0"/>
              <w:rPr>
                <w:sz w:val="20"/>
                <w:szCs w:val="20"/>
                <w:color w:val="auto"/>
              </w:rPr>
            </w:pPr>
          </w:p>
        </w:tc>
        <w:tc>
          <w:tcPr>
            <w:tcW w:w="220" w:type="dxa"/>
            <w:vAlign w:val="bottom"/>
            <w:tcBorders>
              <w:top w:val="single" w:sz="8" w:color="457157"/>
            </w:tcBorders>
          </w:tcPr>
          <w:p>
            <w:pPr>
              <w:spacing w:after="0"/>
              <w:rPr>
                <w:sz w:val="20"/>
                <w:szCs w:val="20"/>
                <w:color w:val="auto"/>
              </w:rPr>
            </w:pPr>
          </w:p>
        </w:tc>
        <w:tc>
          <w:tcPr>
            <w:tcW w:w="760" w:type="dxa"/>
            <w:vAlign w:val="bottom"/>
            <w:tcBorders>
              <w:top w:val="single" w:sz="8" w:color="457157"/>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center"/>
              <w:ind w:right="7"/>
              <w:spacing w:after="0"/>
              <w:rPr>
                <w:sz w:val="20"/>
                <w:szCs w:val="20"/>
                <w:color w:val="auto"/>
              </w:rPr>
            </w:pPr>
            <w:r>
              <w:rPr>
                <w:rFonts w:ascii="Arial" w:cs="Arial" w:eastAsia="Arial" w:hAnsi="Arial"/>
                <w:sz w:val="18"/>
                <w:szCs w:val="18"/>
                <w:color w:val="auto"/>
              </w:rPr>
              <w:t>​</w:t>
            </w:r>
          </w:p>
        </w:tc>
        <w:tc>
          <w:tcPr>
            <w:tcW w:w="724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​2,336,613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​Additions to SCT Total Compensation, in dollars:</w:t>
            </w:r>
          </w:p>
        </w:tc>
        <w:tc>
          <w:tcPr>
            <w:tcW w:w="900" w:type="dxa"/>
            <w:vAlign w:val="bottom"/>
            <w:gridSpan w:val="2"/>
          </w:tcPr>
          <w:p>
            <w:pPr>
              <w:ind w:left="6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Fair value of stock awards granted during the year, as of 12/31</w:t>
            </w:r>
            <w:r>
              <w:rPr>
                <w:rFonts w:ascii="Arial" w:cs="Arial" w:eastAsia="Arial" w:hAnsi="Arial"/>
                <w:sz w:val="21"/>
                <w:szCs w:val="21"/>
                <w:color w:val="auto"/>
                <w:vertAlign w:val="superscript"/>
              </w:rPr>
              <w:t>(a)</w:t>
            </w:r>
          </w:p>
        </w:tc>
        <w:tc>
          <w:tcPr>
            <w:tcW w:w="170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2,501,178​​</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Fair value of option awards granted during the year, as of 12/31</w:t>
            </w:r>
            <w:r>
              <w:rPr>
                <w:rFonts w:ascii="Arial" w:cs="Arial" w:eastAsia="Arial" w:hAnsi="Arial"/>
                <w:sz w:val="21"/>
                <w:szCs w:val="21"/>
                <w:color w:val="auto"/>
                <w:vertAlign w:val="superscript"/>
              </w:rPr>
              <w:t>(b)</w:t>
            </w: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585,555​​</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stock awards unvested at 12/31</w:t>
            </w:r>
            <w:r>
              <w:rPr>
                <w:rFonts w:ascii="Arial" w:cs="Arial" w:eastAsia="Arial" w:hAnsi="Arial"/>
                <w:sz w:val="21"/>
                <w:szCs w:val="21"/>
                <w:color w:val="auto"/>
                <w:vertAlign w:val="superscript"/>
              </w:rPr>
              <w:t>(a)</w:t>
            </w: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552,912​​</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option awards unvested at 12/31</w:t>
            </w:r>
            <w:r>
              <w:rPr>
                <w:rFonts w:ascii="Arial" w:cs="Arial" w:eastAsia="Arial" w:hAnsi="Arial"/>
                <w:sz w:val="21"/>
                <w:szCs w:val="21"/>
                <w:color w:val="auto"/>
                <w:vertAlign w:val="superscript"/>
              </w:rPr>
              <w:t>(b)</w:t>
            </w: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163,643​​</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stock awards vesting during the year</w:t>
            </w:r>
            <w:r>
              <w:rPr>
                <w:rFonts w:ascii="Arial" w:cs="Arial" w:eastAsia="Arial" w:hAnsi="Arial"/>
                <w:sz w:val="21"/>
                <w:szCs w:val="21"/>
                <w:color w:val="auto"/>
                <w:vertAlign w:val="superscript"/>
              </w:rPr>
              <w:t>(a)</w:t>
            </w:r>
          </w:p>
        </w:tc>
        <w:tc>
          <w:tcPr>
            <w:tcW w:w="1700" w:type="dxa"/>
            <w:vAlign w:val="bottom"/>
            <w:gridSpan w:val="4"/>
            <w:vMerge w:val="restart"/>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1,031,736​​</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1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 w:type="dxa"/>
            <w:vAlign w:val="bottom"/>
          </w:tcPr>
          <w:p>
            <w:pPr>
              <w:jc w:val="right"/>
              <w:spacing w:after="0" w:line="182" w:lineRule="exact"/>
              <w:rPr>
                <w:sz w:val="20"/>
                <w:szCs w:val="20"/>
                <w:color w:val="auto"/>
              </w:rPr>
            </w:pPr>
            <w:r>
              <w:rPr>
                <w:rFonts w:ascii="Arial" w:cs="Arial" w:eastAsia="Arial" w:hAnsi="Arial"/>
                <w:sz w:val="18"/>
                <w:szCs w:val="18"/>
                <w:color w:val="457157"/>
              </w:rPr>
              <w:t>•</w:t>
            </w:r>
          </w:p>
        </w:tc>
        <w:tc>
          <w:tcPr>
            <w:tcW w:w="7240" w:type="dxa"/>
            <w:vAlign w:val="bottom"/>
          </w:tcPr>
          <w:p>
            <w:pPr>
              <w:ind w:left="60"/>
              <w:spacing w:after="0" w:line="183" w:lineRule="exact"/>
              <w:rPr>
                <w:sz w:val="20"/>
                <w:szCs w:val="20"/>
                <w:color w:val="auto"/>
              </w:rPr>
            </w:pPr>
            <w:r>
              <w:rPr>
                <w:rFonts w:ascii="Arial" w:cs="Arial" w:eastAsia="Arial" w:hAnsi="Arial"/>
                <w:sz w:val="17"/>
                <w:szCs w:val="17"/>
                <w:color w:val="auto"/>
              </w:rPr>
              <w:t>Change in fair value of prior years’ option awards vesting during the year</w:t>
            </w:r>
            <w:r>
              <w:rPr>
                <w:rFonts w:ascii="Arial" w:cs="Arial" w:eastAsia="Arial" w:hAnsi="Arial"/>
                <w:sz w:val="21"/>
                <w:szCs w:val="21"/>
                <w:color w:val="auto"/>
                <w:vertAlign w:val="superscript"/>
              </w:rPr>
              <w:t>(b)</w:t>
            </w:r>
          </w:p>
        </w:tc>
        <w:tc>
          <w:tcPr>
            <w:tcW w:w="9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(88,919​​)</w:t>
            </w:r>
          </w:p>
        </w:tc>
        <w:tc>
          <w:tcPr>
            <w:tcW w:w="0" w:type="dxa"/>
            <w:vAlign w:val="bottom"/>
          </w:tcPr>
          <w:p>
            <w:pPr>
              <w:spacing w:after="0"/>
              <w:rPr>
                <w:sz w:val="1"/>
                <w:szCs w:val="1"/>
                <w:color w:val="auto"/>
              </w:rPr>
            </w:pPr>
          </w:p>
        </w:tc>
      </w:tr>
      <w:tr>
        <w:trPr>
          <w:trHeight w:val="68"/>
        </w:trPr>
        <w:tc>
          <w:tcPr>
            <w:tcW w:w="160" w:type="dxa"/>
            <w:vAlign w:val="bottom"/>
          </w:tcPr>
          <w:p>
            <w:pPr>
              <w:jc w:val="center"/>
              <w:ind w:right="7"/>
              <w:spacing w:after="0" w:line="68" w:lineRule="exact"/>
              <w:rPr>
                <w:sz w:val="20"/>
                <w:szCs w:val="20"/>
                <w:color w:val="auto"/>
              </w:rPr>
            </w:pPr>
            <w:r>
              <w:rPr>
                <w:rFonts w:ascii="Arial" w:cs="Arial" w:eastAsia="Arial" w:hAnsi="Arial"/>
                <w:sz w:val="7"/>
                <w:szCs w:val="7"/>
                <w:color w:val="auto"/>
              </w:rPr>
              <w:t>​</w:t>
            </w:r>
          </w:p>
        </w:tc>
        <w:tc>
          <w:tcPr>
            <w:tcW w:w="72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rPr>
                <w:sz w:val="20"/>
                <w:szCs w:val="20"/>
                <w:color w:val="auto"/>
              </w:rPr>
            </w:pPr>
            <w:r>
              <w:rPr>
                <w:rFonts w:ascii="Arial" w:cs="Arial" w:eastAsia="Arial" w:hAnsi="Arial"/>
                <w:sz w:val="18"/>
                <w:szCs w:val="18"/>
                <w:color w:val="auto"/>
              </w:rPr>
              <w:t>Dividend equivalents paid upon stock awards vesting during the year</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169,467​​</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Additions to SCT Total Compensation, in dollars</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​​4,915,572​​</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​CAP</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​​6,550,505​​</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-1936750</wp:posOffset>
            </wp:positionV>
            <wp:extent cx="5760720" cy="3086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60720" cy="3086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-1482090</wp:posOffset>
            </wp:positionV>
            <wp:extent cx="576072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-1139190</wp:posOffset>
            </wp:positionV>
            <wp:extent cx="576072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-796290</wp:posOffset>
            </wp:positionV>
            <wp:extent cx="576072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-453390</wp:posOffset>
            </wp:positionV>
            <wp:extent cx="57607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607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-2236470</wp:posOffset>
            </wp:positionV>
            <wp:extent cx="57607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15" w:lineRule="exact"/>
        <w:rPr>
          <w:sz w:val="20"/>
          <w:szCs w:val="20"/>
          <w:color w:val="auto"/>
        </w:rPr>
      </w:pPr>
    </w:p>
    <w:p>
      <w:pPr>
        <w:jc w:val="both"/>
        <w:ind w:left="1540" w:right="60" w:hanging="364"/>
        <w:spacing w:after="0" w:line="254" w:lineRule="auto"/>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2023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317"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700" w:type="dxa"/>
            <w:vAlign w:val="bottom"/>
            <w:shd w:val="clear" w:color="auto" w:fill="457157"/>
          </w:tcPr>
          <w:p>
            <w:pPr>
              <w:spacing w:after="0" w:line="20" w:lineRule="exact"/>
              <w:rPr>
                <w:sz w:val="1"/>
                <w:szCs w:val="1"/>
                <w:color w:val="auto"/>
              </w:rPr>
            </w:pPr>
          </w:p>
        </w:tc>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700" w:type="dxa"/>
            <w:vAlign w:val="bottom"/>
          </w:tcPr>
          <w:p>
            <w:pPr>
              <w:spacing w:after="0"/>
              <w:rPr>
                <w:sz w:val="20"/>
                <w:szCs w:val="20"/>
                <w:color w:val="auto"/>
              </w:rPr>
            </w:pPr>
            <w:r>
              <w:rPr>
                <w:rFonts w:ascii="Arial" w:cs="Arial" w:eastAsia="Arial" w:hAnsi="Arial"/>
                <w:sz w:val="16"/>
                <w:szCs w:val="16"/>
                <w:b w:val="1"/>
                <w:bCs w:val="1"/>
                <w:color w:val="auto"/>
              </w:rPr>
              <w:t>​</w:t>
            </w:r>
          </w:p>
        </w:tc>
        <w:tc>
          <w:tcPr>
            <w:tcW w:w="8420" w:type="dxa"/>
            <w:vAlign w:val="bottom"/>
            <w:gridSpan w:val="11"/>
          </w:tcPr>
          <w:p>
            <w:pPr>
              <w:ind w:left="5400"/>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32"/>
                <w:szCs w:val="32"/>
                <w:b w:val="1"/>
                <w:bCs w:val="1"/>
                <w:color w:val="auto"/>
                <w:vertAlign w:val="superscript"/>
              </w:rPr>
              <w:t>​</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6280" w:type="dxa"/>
            <w:vAlign w:val="bottom"/>
          </w:tcPr>
          <w:p>
            <w:pPr>
              <w:ind w:left="60"/>
              <w:spacing w:after="0"/>
              <w:rPr>
                <w:sz w:val="20"/>
                <w:szCs w:val="20"/>
                <w:color w:val="auto"/>
              </w:rPr>
            </w:pPr>
            <w:r>
              <w:rPr>
                <w:rFonts w:ascii="Arial" w:cs="Arial" w:eastAsia="Arial" w:hAnsi="Arial"/>
                <w:sz w:val="14"/>
                <w:szCs w:val="14"/>
                <w:b w:val="1"/>
                <w:bCs w:val="1"/>
                <w:color w:val="457157"/>
              </w:rPr>
              <w:t>Projected Payout of Unvested Cash Flow PSUs at Year-End</w:t>
            </w:r>
          </w:p>
        </w:tc>
        <w:tc>
          <w:tcPr>
            <w:tcW w:w="3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457157"/>
              </w:rPr>
              <w:t>2023</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457157"/>
              </w:rPr>
              <w:t>2022</w:t>
            </w:r>
          </w:p>
        </w:tc>
        <w:tc>
          <w:tcPr>
            <w:tcW w:w="60" w:type="dxa"/>
            <w:vAlign w:val="bottom"/>
          </w:tcPr>
          <w:p>
            <w:pPr>
              <w:spacing w:after="0"/>
              <w:rPr>
                <w:sz w:val="16"/>
                <w:szCs w:val="16"/>
                <w:color w:val="auto"/>
              </w:rPr>
            </w:pPr>
          </w:p>
        </w:tc>
        <w:tc>
          <w:tcPr>
            <w:tcW w:w="7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Borders>
              <w:bottom w:val="single" w:sz="8" w:color="457157"/>
            </w:tcBorders>
          </w:tcPr>
          <w:p>
            <w:pPr>
              <w:ind w:left="60"/>
              <w:spacing w:after="0" w:line="68" w:lineRule="exact"/>
              <w:rPr>
                <w:sz w:val="20"/>
                <w:szCs w:val="20"/>
                <w:color w:val="auto"/>
              </w:rPr>
            </w:pPr>
            <w:r>
              <w:rPr>
                <w:rFonts w:ascii="Arial" w:cs="Arial" w:eastAsia="Arial" w:hAnsi="Arial"/>
                <w:sz w:val="7"/>
                <w:szCs w:val="7"/>
                <w:b w:val="1"/>
                <w:bCs w:val="1"/>
                <w:color w:val="457157"/>
              </w:rPr>
              <w:t>​</w:t>
            </w:r>
          </w:p>
        </w:tc>
        <w:tc>
          <w:tcPr>
            <w:tcW w:w="580" w:type="dxa"/>
            <w:vAlign w:val="bottom"/>
            <w:tcBorders>
              <w:bottom w:val="single" w:sz="8" w:color="457157"/>
            </w:tcBorders>
            <w:gridSpan w:val="2"/>
          </w:tcPr>
          <w:p>
            <w:pPr>
              <w:ind w:left="260"/>
              <w:spacing w:after="0" w:line="68" w:lineRule="exact"/>
              <w:rPr>
                <w:sz w:val="20"/>
                <w:szCs w:val="20"/>
                <w:color w:val="auto"/>
              </w:rPr>
            </w:pPr>
            <w:r>
              <w:rPr>
                <w:rFonts w:ascii="Arial" w:cs="Arial" w:eastAsia="Arial" w:hAnsi="Arial"/>
                <w:sz w:val="7"/>
                <w:szCs w:val="7"/>
                <w:b w:val="1"/>
                <w:bCs w:val="1"/>
                <w:color w:val="457157"/>
              </w:rPr>
              <w:t>​ ​</w:t>
            </w:r>
          </w:p>
        </w:tc>
        <w:tc>
          <w:tcPr>
            <w:tcW w:w="140" w:type="dxa"/>
            <w:vAlign w:val="bottom"/>
            <w:tcBorders>
              <w:bottom w:val="single" w:sz="8" w:color="457157"/>
            </w:tcBorders>
          </w:tcPr>
          <w:p>
            <w:pPr>
              <w:spacing w:after="0"/>
              <w:rPr>
                <w:sz w:val="5"/>
                <w:szCs w:val="5"/>
                <w:color w:val="auto"/>
              </w:rPr>
            </w:pPr>
          </w:p>
        </w:tc>
        <w:tc>
          <w:tcPr>
            <w:tcW w:w="220" w:type="dxa"/>
            <w:vAlign w:val="bottom"/>
            <w:tcBorders>
              <w:bottom w:val="single" w:sz="8" w:color="457157"/>
            </w:tcBorders>
            <w:gridSpan w:val="2"/>
            <w:vMerge w:val="continue"/>
          </w:tcPr>
          <w:p>
            <w:pPr>
              <w:spacing w:after="0"/>
              <w:rPr>
                <w:sz w:val="5"/>
                <w:szCs w:val="5"/>
                <w:color w:val="auto"/>
              </w:rPr>
            </w:pPr>
          </w:p>
        </w:tc>
        <w:tc>
          <w:tcPr>
            <w:tcW w:w="220" w:type="dxa"/>
            <w:vAlign w:val="bottom"/>
            <w:tcBorders>
              <w:bottom w:val="single" w:sz="8" w:color="457157"/>
            </w:tcBorders>
          </w:tcPr>
          <w:p>
            <w:pPr>
              <w:spacing w:after="0" w:line="68" w:lineRule="exact"/>
              <w:rPr>
                <w:sz w:val="20"/>
                <w:szCs w:val="20"/>
                <w:color w:val="auto"/>
              </w:rPr>
            </w:pPr>
            <w:r>
              <w:rPr>
                <w:rFonts w:ascii="Arial" w:cs="Arial" w:eastAsia="Arial" w:hAnsi="Arial"/>
                <w:sz w:val="7"/>
                <w:szCs w:val="7"/>
                <w:b w:val="1"/>
                <w:bCs w:val="1"/>
                <w:color w:val="457157"/>
              </w:rPr>
              <w:t>​</w:t>
            </w:r>
          </w:p>
        </w:tc>
        <w:tc>
          <w:tcPr>
            <w:tcW w:w="140" w:type="dxa"/>
            <w:vAlign w:val="bottom"/>
            <w:tcBorders>
              <w:bottom w:val="single" w:sz="8" w:color="457157"/>
            </w:tcBorders>
          </w:tcPr>
          <w:p>
            <w:pPr>
              <w:spacing w:after="0"/>
              <w:rPr>
                <w:sz w:val="5"/>
                <w:szCs w:val="5"/>
                <w:color w:val="auto"/>
              </w:rPr>
            </w:pPr>
          </w:p>
        </w:tc>
        <w:tc>
          <w:tcPr>
            <w:tcW w:w="60" w:type="dxa"/>
            <w:vAlign w:val="bottom"/>
            <w:tcBorders>
              <w:bottom w:val="single" w:sz="8" w:color="457157"/>
            </w:tcBorders>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12/31/2023</w:t>
            </w:r>
          </w:p>
        </w:tc>
        <w:tc>
          <w:tcPr>
            <w:tcW w:w="580" w:type="dxa"/>
            <w:vAlign w:val="bottom"/>
            <w:gridSpan w:val="2"/>
            <w:vMerge w:val="restart"/>
          </w:tcPr>
          <w:p>
            <w:pPr>
              <w:ind w:lef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82"/>
              </w:rPr>
              <w:t>​200%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580" w:type="dxa"/>
            <w:vAlign w:val="bottom"/>
            <w:gridSpan w:val="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7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52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20" w:type="dxa"/>
            <w:vAlign w:val="bottom"/>
            <w:gridSpan w:val="3"/>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12/31/2024</w:t>
            </w:r>
          </w:p>
        </w:tc>
        <w:tc>
          <w:tcPr>
            <w:tcW w:w="36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3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7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12/31/2025</w:t>
            </w:r>
          </w:p>
        </w:tc>
        <w:tc>
          <w:tcPr>
            <w:tcW w:w="360" w:type="dxa"/>
            <w:vAlign w:val="bottom"/>
            <w:tcBorders>
              <w:top w:val="single" w:sz="8" w:color="457157"/>
            </w:tcBorders>
            <w:vMerge w:val="restart"/>
          </w:tcPr>
          <w:p>
            <w:pPr>
              <w:ind w:left="20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457157"/>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457157"/>
            </w:tcBorders>
            <w:vMerge w:val="restart"/>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457157"/>
            </w:tcBorders>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3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7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29" w:lineRule="exact"/>
        <w:rPr>
          <w:sz w:val="20"/>
          <w:szCs w:val="20"/>
          <w:color w:val="auto"/>
        </w:rPr>
      </w:pPr>
    </w:p>
    <w:p>
      <w:pPr>
        <w:jc w:val="both"/>
        <w:ind w:left="1540" w:right="60"/>
        <w:spacing w:after="0" w:line="273" w:lineRule="auto"/>
        <w:rPr>
          <w:sz w:val="20"/>
          <w:szCs w:val="20"/>
          <w:color w:val="auto"/>
        </w:rPr>
      </w:pPr>
      <w:r>
        <w:rPr>
          <w:rFonts w:ascii="Arial" w:cs="Arial" w:eastAsia="Arial" w:hAnsi="Arial"/>
          <w:sz w:val="18"/>
          <w:szCs w:val="18"/>
          <w:color w:val="auto"/>
        </w:rPr>
        <w:t>Stock awards also includes RSUs that vested for Mr. Carrasco in 2023; unvested RSUs that were granted to Mr. Carrasco in 2021; and unvested RSUs that were granted to Ms. Rankin, Mr. Morris, Ms. Hemmer and Mr. Carrasco in 2022. The fair value of an RSU is equal to the average of the high and low market price of our Common Stock on the given date.</w:t>
      </w:r>
    </w:p>
    <w:p>
      <w:pPr>
        <w:spacing w:after="0" w:line="98" w:lineRule="exact"/>
        <w:rPr>
          <w:sz w:val="20"/>
          <w:szCs w:val="20"/>
          <w:color w:val="auto"/>
        </w:rPr>
      </w:pPr>
    </w:p>
    <w:p>
      <w:pPr>
        <w:ind w:left="1540" w:hanging="364"/>
        <w:spacing w:after="0"/>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Option award fair values are calculated using a Black-Scholes option pricing model.</w:t>
      </w:r>
    </w:p>
    <w:p>
      <w:pPr>
        <w:spacing w:after="0" w:line="130" w:lineRule="exact"/>
        <w:rPr>
          <w:rFonts w:ascii="Arial" w:cs="Arial" w:eastAsia="Arial" w:hAnsi="Arial"/>
          <w:sz w:val="18"/>
          <w:szCs w:val="18"/>
          <w:color w:val="auto"/>
        </w:rPr>
      </w:pPr>
    </w:p>
    <w:p>
      <w:pPr>
        <w:jc w:val="both"/>
        <w:ind w:left="1180" w:right="60" w:hanging="364"/>
        <w:spacing w:after="0" w:line="261"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shareholder return (“TSR”) is based on a hypothetical $100 investment on December 31, 2019. The TSR amounts shown for 2020 represent the value of that $100 investment on December 31, 2020, and TSR is then calculated, on a cumulative basis, as of December 31, 2021, December 31, 2022 and December 31, 2023. The Peer Group TSR refers to the Dow Jones Waste &amp; Disposal Services Index.</w:t>
      </w:r>
    </w:p>
    <w:p>
      <w:pPr>
        <w:spacing w:after="0" w:line="38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Tabular Disclosure of Most Important Measures to Determine 2023 CAP</w:t>
      </w:r>
    </w:p>
    <w:p>
      <w:pPr>
        <w:spacing w:after="0" w:line="121" w:lineRule="exact"/>
        <w:rPr>
          <w:sz w:val="20"/>
          <w:szCs w:val="20"/>
          <w:color w:val="auto"/>
        </w:rPr>
      </w:pPr>
    </w:p>
    <w:p>
      <w:pPr>
        <w:jc w:val="both"/>
        <w:ind w:left="820" w:right="60"/>
        <w:spacing w:after="0" w:line="276" w:lineRule="auto"/>
        <w:rPr>
          <w:sz w:val="20"/>
          <w:szCs w:val="20"/>
          <w:color w:val="auto"/>
        </w:rPr>
      </w:pPr>
      <w:r>
        <w:rPr>
          <w:rFonts w:ascii="Arial" w:cs="Arial" w:eastAsia="Arial" w:hAnsi="Arial"/>
          <w:sz w:val="18"/>
          <w:szCs w:val="18"/>
          <w:color w:val="auto"/>
        </w:rPr>
        <w:t xml:space="preserve">The five items listed below represent the most important measures used to determine CAP for 2023 for all of our NEOs, as each measure and its impact on executive compensation is further described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96" w:lineRule="exact"/>
        <w:rPr>
          <w:sz w:val="20"/>
          <w:szCs w:val="20"/>
          <w:color w:val="auto"/>
        </w:rPr>
      </w:pPr>
    </w:p>
    <w:tbl>
      <w:tblPr>
        <w:tblLayout w:type="fixed"/>
        <w:tblInd w:w="820" w:type="dxa"/>
        <w:tblCellMar>
          <w:top w:w="0" w:type="dxa"/>
          <w:left w:w="0" w:type="dxa"/>
          <w:bottom w:w="0" w:type="dxa"/>
          <w:right w:w="0" w:type="dxa"/>
        </w:tblCellMar>
      </w:tblPr>
      <w:tr>
        <w:trPr>
          <w:trHeight w:val="248"/>
        </w:trPr>
        <w:tc>
          <w:tcPr>
            <w:tcW w:w="6360" w:type="dxa"/>
            <w:vAlign w:val="bottom"/>
            <w:tcBorders>
              <w:bottom w:val="single" w:sz="8" w:color="457157"/>
            </w:tcBorders>
          </w:tcPr>
          <w:p>
            <w:pPr>
              <w:spacing w:after="0"/>
              <w:rPr>
                <w:sz w:val="20"/>
                <w:szCs w:val="20"/>
                <w:color w:val="auto"/>
              </w:rPr>
            </w:pPr>
            <w:r>
              <w:rPr>
                <w:rFonts w:ascii="Arial" w:cs="Arial" w:eastAsia="Arial" w:hAnsi="Arial"/>
                <w:sz w:val="18"/>
                <w:szCs w:val="18"/>
                <w:b w:val="1"/>
                <w:bCs w:val="1"/>
                <w:color w:val="auto"/>
              </w:rPr>
              <w:t>​Most Important Performance Measures</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b w:val="1"/>
                <w:bCs w:val="1"/>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TSR Relative to the S&amp;P 500</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Cash Flow Generation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Operating EBITDA</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Income from Operations Margin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Internal Revenue Growth</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Narrative Disclosure to Pay Versus Performance Table</w:t>
      </w:r>
    </w:p>
    <w:p>
      <w:pPr>
        <w:spacing w:after="0" w:line="121" w:lineRule="exact"/>
        <w:rPr>
          <w:sz w:val="20"/>
          <w:szCs w:val="20"/>
          <w:color w:val="auto"/>
        </w:rPr>
      </w:pPr>
    </w:p>
    <w:p>
      <w:pPr>
        <w:jc w:val="both"/>
        <w:ind w:left="820" w:right="60"/>
        <w:spacing w:after="0" w:line="277" w:lineRule="auto"/>
        <w:rPr>
          <w:sz w:val="20"/>
          <w:szCs w:val="20"/>
          <w:color w:val="auto"/>
        </w:rPr>
      </w:pPr>
      <w:r>
        <w:rPr>
          <w:rFonts w:ascii="Arial" w:cs="Arial" w:eastAsia="Arial" w:hAnsi="Arial"/>
          <w:sz w:val="18"/>
          <w:szCs w:val="18"/>
          <w:color w:val="auto"/>
        </w:rPr>
        <w:t>The following charts reflect the relationship of CAP over the four -year period ended December 31, 2023 to trends in the Company’s TSR, net income and Operating EBITDA over the same period. In addition, the first chart below reflects that the Company’s TSR is highly-aligned with the Peer Group TSR.</w:t>
      </w:r>
    </w:p>
    <w:p>
      <w:pPr>
        <w:spacing w:after="0" w:line="282"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We believe variations in CAP due to use of ASC Topic 718 fair values for four years of outstanding equity grants at specified points in time have resulted in CAP for the four-year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 target performance on financial compensation metrics and our TSR relative to the S&amp;P 500 having exceeded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since 2020. Due to the size of our President and CEO’s annual equity incentive award and the fact that nearly three-quarters of our President and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annual financial performance measure used to link executive pay and Company performance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57785</wp:posOffset>
            </wp:positionV>
            <wp:extent cx="5031740" cy="27171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031740" cy="271716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3658235</wp:posOffset>
            </wp:positionV>
            <wp:extent cx="5031740" cy="26485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3174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2" w:lineRule="exact"/>
        <w:rPr>
          <w:sz w:val="20"/>
          <w:szCs w:val="20"/>
          <w:color w:val="auto"/>
        </w:rPr>
      </w:pPr>
    </w:p>
    <w:p>
      <w:pPr>
        <w:ind w:left="820" w:right="260"/>
        <w:spacing w:after="0" w:line="264" w:lineRule="auto"/>
        <w:rPr>
          <w:sz w:val="20"/>
          <w:szCs w:val="20"/>
          <w:color w:val="auto"/>
        </w:rPr>
      </w:pPr>
      <w:r>
        <w:rPr>
          <w:rFonts w:ascii="Arial" w:cs="Arial" w:eastAsia="Arial" w:hAnsi="Arial"/>
          <w:sz w:val="36"/>
          <w:szCs w:val="36"/>
          <w:b w:val="1"/>
          <w:bCs w:val="1"/>
          <w:color w:val="457157"/>
        </w:rPr>
        <w:t>RATIFICATION OF INDEPENDENT REGISTERED PUBLIC ACCOUNTING FIRM</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2 ON THE PROXY CARD)</w:t>
      </w:r>
    </w:p>
    <w:p>
      <w:pPr>
        <w:spacing w:after="0" w:line="94"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2024,</w:t>
      </w:r>
    </w:p>
    <w:p>
      <w:pPr>
        <w:ind w:left="820" w:right="60"/>
        <w:spacing w:after="0" w:line="226" w:lineRule="auto"/>
        <w:rPr>
          <w:sz w:val="20"/>
          <w:szCs w:val="20"/>
          <w:color w:val="auto"/>
        </w:rPr>
      </w:pPr>
      <w:r>
        <w:rPr>
          <w:rFonts w:ascii="Arial" w:cs="Arial" w:eastAsia="Arial" w:hAnsi="Arial"/>
          <w:sz w:val="18"/>
          <w:szCs w:val="18"/>
          <w:color w:val="auto"/>
        </w:rPr>
        <w:t>subject to ratification by our stockholders. Representatives of Ernst &amp; Young LLP will attend the Annual Meeting. They will be able to make a statement if they want, and will be available to answer</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appropriate questions from stockholders.</w:t>
      </w:r>
    </w:p>
    <w:p>
      <w:pPr>
        <w:spacing w:after="0" w:line="86" w:lineRule="exact"/>
        <w:rPr>
          <w:sz w:val="20"/>
          <w:szCs w:val="20"/>
          <w:color w:val="auto"/>
        </w:rPr>
      </w:pPr>
    </w:p>
    <w:p>
      <w:pPr>
        <w:jc w:val="both"/>
        <w:ind w:left="820" w:right="60"/>
        <w:spacing w:after="0" w:line="237" w:lineRule="auto"/>
        <w:rPr>
          <w:sz w:val="20"/>
          <w:szCs w:val="20"/>
          <w:color w:val="auto"/>
        </w:rPr>
      </w:pPr>
      <w:r>
        <w:rPr>
          <w:rFonts w:ascii="Arial" w:cs="Arial" w:eastAsia="Arial" w:hAnsi="Arial"/>
          <w:sz w:val="18"/>
          <w:szCs w:val="18"/>
          <w:color w:val="auto"/>
        </w:rPr>
        <w:t>Although ratification of the selection of Ernst &amp; Young LLP is not required by our By- laws or otherwise, we are submitting the selection to stockholders for ratification because we value our stockholders’</w:t>
      </w:r>
    </w:p>
    <w:p>
      <w:pPr>
        <w:ind w:left="820"/>
        <w:spacing w:after="0" w:line="235" w:lineRule="auto"/>
        <w:rPr>
          <w:sz w:val="20"/>
          <w:szCs w:val="20"/>
          <w:color w:val="auto"/>
        </w:rPr>
      </w:pPr>
      <w:r>
        <w:rPr>
          <w:rFonts w:ascii="Arial" w:cs="Arial" w:eastAsia="Arial" w:hAnsi="Arial"/>
          <w:sz w:val="18"/>
          <w:szCs w:val="18"/>
          <w:color w:val="auto"/>
        </w:rPr>
        <w:t>views on our independent registered public accounting firm and as a matter of good governance. If our</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stockholders do not ratify our selection, it will be considered a direction to our Board and Audit Committee to consider selecting another firm. Even if the selection is ratified, the Audit Committee</w:t>
      </w:r>
    </w:p>
    <w:p>
      <w:pPr>
        <w:ind w:left="820"/>
        <w:spacing w:after="0" w:line="236" w:lineRule="auto"/>
        <w:rPr>
          <w:sz w:val="20"/>
          <w:szCs w:val="20"/>
          <w:color w:val="auto"/>
        </w:rPr>
      </w:pPr>
      <w:r>
        <w:rPr>
          <w:rFonts w:ascii="Arial" w:cs="Arial" w:eastAsia="Arial" w:hAnsi="Arial"/>
          <w:sz w:val="18"/>
          <w:szCs w:val="18"/>
          <w:color w:val="auto"/>
        </w:rPr>
        <w:t>may, in its discretion, select a different independent registered public accounting firm, subject to</w:t>
      </w:r>
    </w:p>
    <w:p>
      <w:pPr>
        <w:spacing w:after="0" w:line="1"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ratification by the Board, at any time during the year if it determines that such a change is in the best interests of the Company and our stockholders.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INDEPENDENT REGISTERED PUBLIC ACCOUNTING FIRM FEE INFORMATION</w:t>
      </w:r>
    </w:p>
    <w:p>
      <w:pPr>
        <w:spacing w:after="0" w:line="108" w:lineRule="exact"/>
        <w:rPr>
          <w:sz w:val="20"/>
          <w:szCs w:val="20"/>
          <w:color w:val="auto"/>
        </w:rPr>
      </w:pPr>
    </w:p>
    <w:p>
      <w:pPr>
        <w:ind w:left="820" w:right="60"/>
        <w:spacing w:after="0" w:line="255"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tbl>
      <w:tblPr>
        <w:tblLayout w:type="fixed"/>
        <w:tblInd w:w="820" w:type="dxa"/>
        <w:tblCellMar>
          <w:top w:w="0" w:type="dxa"/>
          <w:left w:w="0" w:type="dxa"/>
          <w:bottom w:w="0" w:type="dxa"/>
          <w:right w:w="0" w:type="dxa"/>
        </w:tblCellMar>
      </w:tblPr>
      <w:tr>
        <w:trPr>
          <w:trHeight w:val="308"/>
        </w:trPr>
        <w:tc>
          <w:tcPr>
            <w:tcW w:w="4760" w:type="dxa"/>
            <w:vAlign w:val="bottom"/>
          </w:tcPr>
          <w:p>
            <w:pPr>
              <w:jc w:val="right"/>
              <w:ind w:right="4602"/>
              <w:spacing w:after="0"/>
              <w:rPr>
                <w:sz w:val="20"/>
                <w:szCs w:val="20"/>
                <w:color w:val="auto"/>
              </w:rPr>
            </w:pPr>
            <w:r>
              <w:rPr>
                <w:rFonts w:ascii="Arial" w:cs="Arial" w:eastAsia="Arial" w:hAnsi="Arial"/>
                <w:sz w:val="14"/>
                <w:szCs w:val="14"/>
                <w:b w:val="1"/>
                <w:bCs w:val="1"/>
                <w:color w:val="457157"/>
              </w:rPr>
              <w:t>​</w:t>
            </w:r>
          </w:p>
        </w:tc>
        <w:tc>
          <w:tcPr>
            <w:tcW w:w="4340" w:type="dxa"/>
            <w:vAlign w:val="bottom"/>
            <w:gridSpan w:val="2"/>
          </w:tcPr>
          <w:p>
            <w:pPr>
              <w:jc w:val="right"/>
              <w:spacing w:after="0" w:line="308"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2023  </w:t>
            </w: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2022 </w:t>
            </w:r>
            <w:r>
              <w:rPr>
                <w:rFonts w:ascii="Arial" w:cs="Arial" w:eastAsia="Arial" w:hAnsi="Arial"/>
                <w:sz w:val="28"/>
                <w:szCs w:val="28"/>
                <w:b w:val="1"/>
                <w:bCs w:val="1"/>
                <w:color w:val="457157"/>
                <w:vertAlign w:val="subscript"/>
              </w:rPr>
              <w:t>​</w:t>
            </w:r>
          </w:p>
        </w:tc>
      </w:tr>
      <w:tr>
        <w:trPr>
          <w:trHeight w:val="237"/>
        </w:trPr>
        <w:tc>
          <w:tcPr>
            <w:tcW w:w="4760" w:type="dxa"/>
            <w:vAlign w:val="bottom"/>
            <w:tcBorders>
              <w:top w:val="single" w:sz="8" w:color="457157"/>
            </w:tcBorders>
          </w:tcPr>
          <w:p>
            <w:pPr>
              <w:jc w:val="right"/>
              <w:ind w:right="4602"/>
              <w:spacing w:after="0"/>
              <w:rPr>
                <w:sz w:val="20"/>
                <w:szCs w:val="20"/>
                <w:color w:val="auto"/>
              </w:rPr>
            </w:pPr>
            <w:r>
              <w:rPr>
                <w:rFonts w:ascii="Arial" w:cs="Arial" w:eastAsia="Arial" w:hAnsi="Arial"/>
                <w:sz w:val="14"/>
                <w:szCs w:val="14"/>
                <w:b w:val="1"/>
                <w:bCs w:val="1"/>
                <w:color w:val="457157"/>
              </w:rPr>
              <w:t>​​</w:t>
            </w:r>
          </w:p>
        </w:tc>
        <w:tc>
          <w:tcPr>
            <w:tcW w:w="4300" w:type="dxa"/>
            <w:vAlign w:val="bottom"/>
            <w:tcBorders>
              <w:top w:val="single" w:sz="8" w:color="457157"/>
            </w:tcBorders>
          </w:tcPr>
          <w:p>
            <w:pPr>
              <w:ind w:left="296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   (In millions)</w:t>
            </w:r>
            <w:r>
              <w:rPr>
                <w:rFonts w:ascii="Arial" w:cs="Arial" w:eastAsia="Arial" w:hAnsi="Arial"/>
                <w:sz w:val="27"/>
                <w:szCs w:val="27"/>
                <w:b w:val="1"/>
                <w:bCs w:val="1"/>
                <w:color w:val="457157"/>
                <w:vertAlign w:val="subscript"/>
              </w:rPr>
              <w:t>​</w:t>
            </w:r>
          </w:p>
        </w:tc>
        <w:tc>
          <w:tcPr>
            <w:tcW w:w="40" w:type="dxa"/>
            <w:vAlign w:val="bottom"/>
          </w:tcPr>
          <w:p>
            <w:pPr>
              <w:spacing w:after="0"/>
              <w:rPr>
                <w:sz w:val="20"/>
                <w:szCs w:val="20"/>
                <w:color w:val="auto"/>
              </w:rPr>
            </w:pPr>
          </w:p>
        </w:tc>
      </w:tr>
      <w:tr>
        <w:trPr>
          <w:trHeight w:val="270"/>
        </w:trPr>
        <w:tc>
          <w:tcPr>
            <w:tcW w:w="4760" w:type="dxa"/>
            <w:vAlign w:val="bottom"/>
          </w:tcPr>
          <w:p>
            <w:pPr>
              <w:ind w:left="2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7"/>
                <w:szCs w:val="17"/>
                <w:b w:val="1"/>
                <w:bCs w:val="1"/>
                <w:color w:val="auto"/>
              </w:rPr>
              <w:t>Audit Fees</w:t>
            </w:r>
          </w:p>
        </w:tc>
        <w:tc>
          <w:tcPr>
            <w:tcW w:w="4340" w:type="dxa"/>
            <w:vAlign w:val="bottom"/>
            <w:gridSpan w:val="2"/>
          </w:tcPr>
          <w:p>
            <w:pPr>
              <w:jc w:val="right"/>
              <w:spacing w:after="0" w:line="269" w:lineRule="exact"/>
              <w:rPr>
                <w:sz w:val="20"/>
                <w:szCs w:val="20"/>
                <w:color w:val="auto"/>
              </w:rPr>
            </w:pPr>
            <w:r>
              <w:rPr>
                <w:rFonts w:ascii="Arial" w:cs="Arial" w:eastAsia="Arial" w:hAnsi="Arial"/>
                <w:sz w:val="17"/>
                <w:szCs w:val="17"/>
                <w:b w:val="1"/>
                <w:bCs w:val="1"/>
                <w:color w:val="auto"/>
              </w:rPr>
              <w:t>​ ​​</w:t>
            </w:r>
            <w:r>
              <w:rPr>
                <w:rFonts w:ascii="Arial" w:cs="Arial" w:eastAsia="Arial" w:hAnsi="Arial"/>
                <w:sz w:val="31"/>
                <w:szCs w:val="31"/>
                <w:b w:val="1"/>
                <w:bCs w:val="1"/>
                <w:color w:val="auto"/>
                <w:vertAlign w:val="superscript"/>
              </w:rPr>
              <w:t>$ 6.8</w:t>
            </w:r>
            <w:r>
              <w:rPr>
                <w:rFonts w:ascii="Arial" w:cs="Arial" w:eastAsia="Arial" w:hAnsi="Arial"/>
                <w:sz w:val="17"/>
                <w:szCs w:val="17"/>
                <w:b w:val="1"/>
                <w:bCs w:val="1"/>
                <w:color w:val="auto"/>
              </w:rPr>
              <w:t>​​ ​​</w:t>
            </w:r>
            <w:r>
              <w:rPr>
                <w:rFonts w:ascii="Arial" w:cs="Arial" w:eastAsia="Arial" w:hAnsi="Arial"/>
                <w:sz w:val="31"/>
                <w:szCs w:val="31"/>
                <w:b w:val="1"/>
                <w:bCs w:val="1"/>
                <w:color w:val="auto"/>
                <w:vertAlign w:val="superscript"/>
              </w:rPr>
              <w:t>$ 6.5</w:t>
            </w:r>
            <w:r>
              <w:rPr>
                <w:rFonts w:ascii="Arial" w:cs="Arial" w:eastAsia="Arial" w:hAnsi="Arial"/>
                <w:sz w:val="17"/>
                <w:szCs w:val="17"/>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6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Audit-Related Fees</w:t>
            </w:r>
          </w:p>
        </w:tc>
        <w:tc>
          <w:tcPr>
            <w:tcW w:w="43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​1.0</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​0.2</w:t>
            </w:r>
            <w:r>
              <w:rPr>
                <w:rFonts w:ascii="Arial" w:cs="Arial" w:eastAsia="Arial" w:hAnsi="Arial"/>
                <w:sz w:val="16"/>
                <w:szCs w:val="16"/>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76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Tax Fees</w:t>
            </w:r>
          </w:p>
        </w:tc>
        <w:tc>
          <w:tcPr>
            <w:tcW w:w="43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6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All Other Fees</w:t>
            </w:r>
          </w:p>
        </w:tc>
        <w:tc>
          <w:tcPr>
            <w:tcW w:w="43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6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Total</w:t>
            </w:r>
          </w:p>
        </w:tc>
        <w:tc>
          <w:tcPr>
            <w:tcW w:w="43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w:t>
            </w:r>
            <w:r>
              <w:rPr>
                <w:rFonts w:ascii="Arial" w:cs="Arial" w:eastAsia="Arial" w:hAnsi="Arial"/>
                <w:sz w:val="30"/>
                <w:szCs w:val="30"/>
                <w:b w:val="1"/>
                <w:bCs w:val="1"/>
                <w:color w:val="auto"/>
                <w:vertAlign w:val="superscript"/>
              </w:rPr>
              <w:t>$ 7.8</w:t>
            </w:r>
            <w:r>
              <w:rPr>
                <w:rFonts w:ascii="Arial" w:cs="Arial" w:eastAsia="Arial" w:hAnsi="Arial"/>
                <w:sz w:val="16"/>
                <w:szCs w:val="16"/>
                <w:b w:val="1"/>
                <w:bCs w:val="1"/>
                <w:color w:val="auto"/>
              </w:rPr>
              <w:t>​​ ​​</w:t>
            </w:r>
            <w:r>
              <w:rPr>
                <w:rFonts w:ascii="Arial" w:cs="Arial" w:eastAsia="Arial" w:hAnsi="Arial"/>
                <w:sz w:val="30"/>
                <w:szCs w:val="30"/>
                <w:b w:val="1"/>
                <w:bCs w:val="1"/>
                <w:color w:val="auto"/>
                <w:vertAlign w:val="superscript"/>
              </w:rPr>
              <w:t>$ 6.7</w:t>
            </w:r>
            <w:r>
              <w:rPr>
                <w:rFonts w:ascii="Arial" w:cs="Arial" w:eastAsia="Arial" w:hAnsi="Arial"/>
                <w:sz w:val="16"/>
                <w:szCs w:val="16"/>
                <w:b w:val="1"/>
                <w:bCs w:val="1"/>
                <w:color w:val="auto"/>
              </w:rPr>
              <w:t>​​</w:t>
            </w:r>
          </w:p>
        </w:tc>
      </w:tr>
      <w:tr>
        <w:trPr>
          <w:trHeight w:val="20"/>
        </w:trPr>
        <w:tc>
          <w:tcPr>
            <w:tcW w:w="4760" w:type="dxa"/>
            <w:vAlign w:val="bottom"/>
            <w:shd w:val="clear" w:color="auto" w:fill="457157"/>
          </w:tcPr>
          <w:p>
            <w:pPr>
              <w:spacing w:after="0" w:line="20" w:lineRule="exact"/>
              <w:rPr>
                <w:sz w:val="1"/>
                <w:szCs w:val="1"/>
                <w:color w:val="auto"/>
              </w:rPr>
            </w:pPr>
          </w:p>
        </w:tc>
        <w:tc>
          <w:tcPr>
            <w:tcW w:w="43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-899795</wp:posOffset>
            </wp:positionV>
            <wp:extent cx="576072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-548005</wp:posOffset>
            </wp:positionV>
            <wp:extent cx="5760720" cy="1803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29"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Audit fees include fees for the annual audit, reviews of the Company’s Quarterly Reports on Form 10-Q, work performed to support the Company’s debt issuances, accounting consultations, and separate</w:t>
      </w:r>
    </w:p>
    <w:p>
      <w:pPr>
        <w:spacing w:after="0" w:line="1" w:lineRule="exact"/>
        <w:rPr>
          <w:sz w:val="20"/>
          <w:szCs w:val="20"/>
          <w:color w:val="auto"/>
        </w:rPr>
      </w:pPr>
    </w:p>
    <w:p>
      <w:pPr>
        <w:ind w:left="820" w:right="60"/>
        <w:spacing w:after="0" w:line="250" w:lineRule="auto"/>
        <w:rPr>
          <w:sz w:val="20"/>
          <w:szCs w:val="20"/>
          <w:color w:val="auto"/>
        </w:rPr>
      </w:pPr>
      <w:r>
        <w:rPr>
          <w:rFonts w:ascii="Arial" w:cs="Arial" w:eastAsia="Arial" w:hAnsi="Arial"/>
          <w:sz w:val="18"/>
          <w:szCs w:val="18"/>
          <w:color w:val="auto"/>
        </w:rPr>
        <w:t>subsidiary audits required by statute or regulation. Audit-related fees include attest services related to financial reporting that are not required by statute or regulations.</w:t>
      </w:r>
    </w:p>
    <w:p>
      <w:pPr>
        <w:spacing w:after="0" w:line="50" w:lineRule="exact"/>
        <w:rPr>
          <w:sz w:val="20"/>
          <w:szCs w:val="20"/>
          <w:color w:val="auto"/>
        </w:rPr>
      </w:pPr>
    </w:p>
    <w:p>
      <w:pPr>
        <w:ind w:left="820" w:right="60"/>
        <w:spacing w:after="0" w:line="245" w:lineRule="auto"/>
        <w:rPr>
          <w:sz w:val="20"/>
          <w:szCs w:val="20"/>
          <w:color w:val="auto"/>
        </w:rPr>
      </w:pPr>
      <w:r>
        <w:rPr>
          <w:rFonts w:ascii="Arial" w:cs="Arial" w:eastAsia="Arial" w:hAnsi="Arial"/>
          <w:sz w:val="18"/>
          <w:szCs w:val="18"/>
          <w:color w:val="auto"/>
        </w:rPr>
        <w:t>The Audit Committee has adopted procedures for the approval of Ernst &amp; Young LLP’s services and related fees. At the beginning of each year, all audit and audit-related services, tax fees and other</w:t>
      </w:r>
    </w:p>
    <w:p>
      <w:pPr>
        <w:jc w:val="both"/>
        <w:ind w:left="820" w:right="60"/>
        <w:spacing w:after="0" w:line="226" w:lineRule="auto"/>
        <w:rPr>
          <w:sz w:val="20"/>
          <w:szCs w:val="20"/>
          <w:color w:val="auto"/>
        </w:rPr>
      </w:pPr>
      <w:r>
        <w:rPr>
          <w:rFonts w:ascii="Arial" w:cs="Arial" w:eastAsia="Arial" w:hAnsi="Arial"/>
          <w:sz w:val="18"/>
          <w:szCs w:val="18"/>
          <w:color w:val="auto"/>
        </w:rPr>
        <w:t>fees for the upcoming audit are provided to the Audit Committee for approval. The services are grouped into significant categories and provided to the Audit Committee in the format shown above.</w:t>
      </w:r>
    </w:p>
    <w:p>
      <w:pPr>
        <w:ind w:left="820"/>
        <w:spacing w:after="0" w:line="236" w:lineRule="auto"/>
        <w:rPr>
          <w:sz w:val="20"/>
          <w:szCs w:val="20"/>
          <w:color w:val="auto"/>
        </w:rPr>
      </w:pPr>
      <w:r>
        <w:rPr>
          <w:rFonts w:ascii="Arial" w:cs="Arial" w:eastAsia="Arial" w:hAnsi="Arial"/>
          <w:sz w:val="18"/>
          <w:szCs w:val="18"/>
          <w:color w:val="auto"/>
        </w:rPr>
        <w:t>All projects that have the potential to exceed $100,000 are separately identified and reported to the</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Committee for approval. The Audit Committee Chair has the authority to approve additional services, not previously approved, between Committee meetings. Any additional services approved by the Audit</w:t>
      </w:r>
    </w:p>
    <w:p>
      <w:pPr>
        <w:spacing w:after="0" w:line="2"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Committee Chair between Committee meetings are reported to the full Audit Committee at the next regularly scheduled meeting. The Audit Committee is updated on the status of all services and related</w:t>
      </w:r>
    </w:p>
    <w:p>
      <w:pPr>
        <w:ind w:left="820"/>
        <w:spacing w:after="0" w:line="236" w:lineRule="auto"/>
        <w:rPr>
          <w:sz w:val="20"/>
          <w:szCs w:val="20"/>
          <w:color w:val="auto"/>
        </w:rPr>
      </w:pPr>
      <w:r>
        <w:rPr>
          <w:rFonts w:ascii="Arial" w:cs="Arial" w:eastAsia="Arial" w:hAnsi="Arial"/>
          <w:sz w:val="18"/>
          <w:szCs w:val="18"/>
          <w:color w:val="auto"/>
        </w:rPr>
        <w:t>fees at every regular meeting. In 2023 and 2022, the Audit Committee or Audit Committee Chair pre-</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approved all audit and audit-related services performed by Ernst &amp; Young LLP. As set forth in the Audit Committee Report, the Audit Committee has considered whether the provision of these audit-related</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services is compatible with maintaining auditor independence and has determined that it is.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Approval of this proposal requires the affirmative vote of the holders of a majority of the outstanding</w:t>
      </w:r>
    </w:p>
    <w:p>
      <w:pPr>
        <w:spacing w:after="0" w:line="14" w:lineRule="exact"/>
        <w:rPr>
          <w:sz w:val="20"/>
          <w:szCs w:val="20"/>
          <w:color w:val="auto"/>
        </w:rPr>
      </w:pPr>
    </w:p>
    <w:p>
      <w:pPr>
        <w:ind w:left="820" w:right="60"/>
        <w:spacing w:after="0"/>
        <w:rPr>
          <w:sz w:val="20"/>
          <w:szCs w:val="20"/>
          <w:color w:val="auto"/>
        </w:rPr>
      </w:pPr>
      <w:r>
        <w:rPr>
          <w:rFonts w:ascii="Arial" w:cs="Arial" w:eastAsia="Arial" w:hAnsi="Arial"/>
          <w:sz w:val="18"/>
          <w:szCs w:val="18"/>
          <w:color w:val="auto"/>
        </w:rPr>
        <w:t>shares of Common Stock present at the meeting, in person or represented by proxy,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194945</wp:posOffset>
            </wp:positionV>
            <wp:extent cx="5340350" cy="514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40" w:lineRule="exact"/>
        <w:rPr>
          <w:sz w:val="20"/>
          <w:szCs w:val="20"/>
          <w:color w:val="auto"/>
        </w:rPr>
      </w:pPr>
    </w:p>
    <w:p>
      <w:pPr>
        <w:ind w:left="820" w:right="2940"/>
        <w:spacing w:after="0" w:line="268" w:lineRule="auto"/>
        <w:rPr>
          <w:sz w:val="20"/>
          <w:szCs w:val="20"/>
          <w:color w:val="auto"/>
        </w:rPr>
      </w:pPr>
      <w:r>
        <w:rPr>
          <w:rFonts w:ascii="Arial" w:cs="Arial" w:eastAsia="Arial" w:hAnsi="Arial"/>
          <w:sz w:val="36"/>
          <w:szCs w:val="36"/>
          <w:b w:val="1"/>
          <w:bCs w:val="1"/>
          <w:color w:val="457157"/>
        </w:rPr>
        <w:t>ADVISORY VOTE ON EXECUTIVE COMPENSATION</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3 ON THE PROXY CARD)</w:t>
      </w:r>
    </w:p>
    <w:p>
      <w:pPr>
        <w:spacing w:after="0" w:line="121"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Pursuant to Section 14A of the Exchange Act, stockholders are entitled to an advisory (non- 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69"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further the objective of our executive compensation program and evidence our dedication to competitive and reasonable compensation practices that are in the best interests of stockholders:</w:t>
      </w:r>
    </w:p>
    <w:p>
      <w:pPr>
        <w:spacing w:after="0" w:line="280" w:lineRule="exact"/>
        <w:rPr>
          <w:sz w:val="20"/>
          <w:szCs w:val="20"/>
          <w:color w:val="auto"/>
        </w:rPr>
      </w:pPr>
    </w:p>
    <w:p>
      <w:pPr>
        <w:jc w:val="both"/>
        <w:ind w:left="1360" w:right="60" w:hanging="184"/>
        <w:spacing w:after="0" w:line="278" w:lineRule="auto"/>
        <w:tabs>
          <w:tab w:leader="none" w:pos="1360" w:val="left"/>
        </w:tabs>
        <w:numPr>
          <w:ilvl w:val="0"/>
          <w:numId w:val="52"/>
        </w:numPr>
        <w:rPr>
          <w:rFonts w:ascii="Arial" w:cs="Arial" w:eastAsia="Arial" w:hAnsi="Arial"/>
          <w:sz w:val="18"/>
          <w:szCs w:val="18"/>
          <w:color w:val="457157"/>
        </w:rPr>
      </w:pPr>
      <w:r>
        <w:rPr>
          <w:rFonts w:ascii="Arial" w:cs="Arial" w:eastAsia="Arial" w:hAnsi="Arial"/>
          <w:sz w:val="18"/>
          <w:szCs w:val="18"/>
          <w:color w:val="auto"/>
        </w:rPr>
        <w:t>a significant majority of our named executive’s target compensation is linked to Company performance and long-term equity awards, which aligns executives’ interests with those of stockholders;</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2"/>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31"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2"/>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62"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2"/>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2"/>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31"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52"/>
        </w:numPr>
        <w:rPr>
          <w:rFonts w:ascii="Arial" w:cs="Arial" w:eastAsia="Arial" w:hAnsi="Arial"/>
          <w:sz w:val="18"/>
          <w:szCs w:val="18"/>
          <w:color w:val="457157"/>
        </w:rPr>
      </w:pPr>
      <w:r>
        <w:rPr>
          <w:rFonts w:ascii="Arial" w:cs="Arial" w:eastAsia="Arial" w:hAnsi="Arial"/>
          <w:sz w:val="18"/>
          <w:szCs w:val="18"/>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287"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2"/>
        </w:numPr>
        <w:rPr>
          <w:rFonts w:ascii="Arial" w:cs="Arial" w:eastAsia="Arial" w:hAnsi="Arial"/>
          <w:sz w:val="18"/>
          <w:szCs w:val="18"/>
          <w:color w:val="457157"/>
        </w:rPr>
      </w:pPr>
      <w:r>
        <w:rPr>
          <w:rFonts w:ascii="Arial" w:cs="Arial" w:eastAsia="Arial" w:hAnsi="Arial"/>
          <w:sz w:val="18"/>
          <w:szCs w:val="18"/>
          <w:color w:val="auto"/>
        </w:rPr>
        <w:t>the Company has adopted policies that limit executive officer severance benefits and prohibit it from entering into agreements with executive officers that provide for certain death benefits or tax gross-up payments.</w:t>
      </w:r>
    </w:p>
    <w:p>
      <w:pPr>
        <w:spacing w:after="0" w:line="63"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4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 xml:space="preserve">RESOLVED, that the compensation of the Company’s named executive officers as described in this Proxy Statement under “Executive Compensation,” including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and the tabular and narrative disclosure contained in this Proxy Statement,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of Directors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215900</wp:posOffset>
            </wp:positionV>
            <wp:extent cx="5340350" cy="514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86" w:lineRule="exact"/>
        <w:rPr>
          <w:sz w:val="20"/>
          <w:szCs w:val="20"/>
          <w:color w:val="auto"/>
        </w:rPr>
      </w:pPr>
    </w:p>
    <w:p>
      <w:pPr>
        <w:ind w:left="820" w:right="300"/>
        <w:spacing w:after="0" w:line="257" w:lineRule="auto"/>
        <w:rPr>
          <w:sz w:val="20"/>
          <w:szCs w:val="20"/>
          <w:color w:val="auto"/>
        </w:rPr>
      </w:pPr>
      <w:r>
        <w:rPr>
          <w:rFonts w:ascii="Arial" w:cs="Arial" w:eastAsia="Arial" w:hAnsi="Arial"/>
          <w:sz w:val="36"/>
          <w:szCs w:val="36"/>
          <w:b w:val="1"/>
          <w:bCs w:val="1"/>
          <w:color w:val="457157"/>
        </w:rPr>
        <w:t>APPROVAL OF AN AMENDMENT TO THE CERTIFICATE OF INCORPORTION TO PROVIDE FOR OFFICER EXCULPATION</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4 ON THE PROXY CARD)</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Background</w:t>
      </w:r>
    </w:p>
    <w:p>
      <w:pPr>
        <w:spacing w:after="0" w:line="112"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State of Delaware, which is the Company’s state of incorporation, enacted legislation, effective August 1, 2022, that amended Section 102(b)(7) of the Delaware General Corporation Law (the “DGCL”) to enable Delaware corporations to include a provision in their certificates of incorporation to eliminate or limit the personal liability of certain officers for monetary damages associated with claims of breach of the duty of care in certain instances (referred to as “exculpation”). The Company’s Third Restated Certificate of Incorporation (the “Certificate of Incorporation”) provides for the exculpation of directors from personal liability for monetary damages associated with breaches of the duty of care but does not have a similar limitation of liability for our officers. The Company is asking its stockholders to approve an amendment to the Certificate of Incorporation to limit the liability of certain of the Company’s officers in specific circumstances, as permitted by Delaware law (the “Proposed Amendment”). The Proposed Amendment also simplifies the existing exculpation provision related to directors of the Company set forth in Article Seventh of the Certificate of Incorporation by referring to the DGCL as the same exists or may hereafter be amended instead of specifying each instance where exculpation for directors is currently not available under the DGCL. As such, the current exculpation protections available to the directors will remain unchanged as a result of the Proposed Amendment. In addition, the Proposed Amendment provides that if the DGCL is further amended to eliminate or limit the liability of officers or directors, the liability of such officers and directors will be limited or eliminated to the fullest extent permitted by law, as so amended. The following description is a summary only and is qualified in its entirety by reference to the text of the Proposed Amendment as shown below in the section titled “Proposed Amendment.”</w:t>
      </w:r>
    </w:p>
    <w:p>
      <w:pPr>
        <w:spacing w:after="0" w:line="200" w:lineRule="exact"/>
        <w:rPr>
          <w:sz w:val="20"/>
          <w:szCs w:val="20"/>
          <w:color w:val="auto"/>
        </w:rPr>
      </w:pPr>
    </w:p>
    <w:p>
      <w:pPr>
        <w:spacing w:after="0" w:line="321"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Consistent with the updated Section 102(b)(7), the Proposed Amendment would only exculpate certain officers of the Company from personal liability for monetary damages for direct claims brought by stockholders for breaches of the officer’s fiduciary duty of care, including class actions. In addition, as is the case for our directors under our current Certificate of Incorporation, officers would not be exculpated from personal liability (a) for breach of the officer’s duty of loyalty to the Company or its stockholders; (b) for acts or omissions not in good faith or which involve intentional misconduct or a knowing violation of law; or (c) for any transaction from which the officer derived an improper personal benefit. In addition, the Proposed Amendment also would not eliminate an officer’s monetary liability for claims brought by the Company itself or for derivative claims brought by stockholders in the name of the Company.</w:t>
      </w:r>
    </w:p>
    <w:p>
      <w:pPr>
        <w:spacing w:after="0" w:line="306"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color w:val="auto"/>
        </w:rPr>
        <w:t>The Proposed Amendment will not be retroactive to any act or omission occurring prior to its effective date. Further, the exculpation would only apply to certain officers, namely a person who (during the course of conduct alleged to be wrongful): (a) is or was president, chief executive officer, chief operating officer, chief financial officer, chief legal officer, controller, treasurer or chief accounting officer; (b) is or was identified in the Company’s public filings with the SEC as one of the most highly compensated executive officers of the Company; or (c) has, by written agreement with the Company, consented to be identified as an officer for purposes of accepting service of process in Delaware.</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Proposed Amendment</w:t>
      </w:r>
    </w:p>
    <w:p>
      <w:pPr>
        <w:spacing w:after="0" w:line="112" w:lineRule="exact"/>
        <w:rPr>
          <w:sz w:val="20"/>
          <w:szCs w:val="20"/>
          <w:color w:val="auto"/>
        </w:rPr>
      </w:pPr>
    </w:p>
    <w:p>
      <w:pPr>
        <w:jc w:val="both"/>
        <w:ind w:left="820" w:right="60"/>
        <w:spacing w:after="0" w:line="276" w:lineRule="auto"/>
        <w:rPr>
          <w:sz w:val="20"/>
          <w:szCs w:val="20"/>
          <w:color w:val="auto"/>
        </w:rPr>
      </w:pPr>
      <w:r>
        <w:rPr>
          <w:rFonts w:ascii="Arial" w:cs="Arial" w:eastAsia="Arial" w:hAnsi="Arial"/>
          <w:sz w:val="18"/>
          <w:szCs w:val="18"/>
          <w:color w:val="auto"/>
        </w:rPr>
        <w:t>We are asking that the stockholders approve the Proposed Amendment. The Proposed Amendment would result in Article Seventh, which currently provides for exculpation of directors, to be deleted in its entirety and replaced with the following:</w:t>
      </w:r>
    </w:p>
    <w:p>
      <w:pPr>
        <w:spacing w:after="0" w:line="69" w:lineRule="exact"/>
        <w:rPr>
          <w:sz w:val="20"/>
          <w:szCs w:val="20"/>
          <w:color w:val="auto"/>
        </w:rPr>
      </w:pPr>
    </w:p>
    <w:p>
      <w:pPr>
        <w:jc w:val="both"/>
        <w:ind w:left="1180" w:right="60"/>
        <w:spacing w:after="0" w:line="267" w:lineRule="auto"/>
        <w:rPr>
          <w:sz w:val="20"/>
          <w:szCs w:val="20"/>
          <w:color w:val="auto"/>
        </w:rPr>
      </w:pPr>
      <w:r>
        <w:rPr>
          <w:rFonts w:ascii="Arial" w:cs="Arial" w:eastAsia="Arial" w:hAnsi="Arial"/>
          <w:sz w:val="18"/>
          <w:szCs w:val="18"/>
          <w:color w:val="auto"/>
        </w:rPr>
        <w:t>“Seventh: A director or officer of the Corporation shall not be liable to the Corporation or its stockholders for monetary damages for breach of fiduciary duty as a director or officer, except to the extent such exemption from liability or limitation thereof is not permitted under the General Corporation Law of Delaware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027"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6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Reasons for Proposed Amendment</w:t>
      </w:r>
    </w:p>
    <w:p>
      <w:pPr>
        <w:spacing w:after="0" w:line="126"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Prior to the amendment of Section 102(b)(7) of the DGCL, Delaware law permitted Delaware corporations to exculpate directors from personal liability for monetary damages associated with breaches of the duty of care, but that protection did not extend to a Delaware corporation’s officers. Consequently, stockholder plaintiffs have employed the tactic of bringing certain claims that would otherwise be exculpated if brought against directors against officers to avoid dismissal of such claims. The amendment to Section 102(b)(7) of the DGCL addressed this inconsistent treatment between officers and directors and the rising litigation and insurance costs for stockholders.</w:t>
      </w:r>
    </w:p>
    <w:p>
      <w:pPr>
        <w:spacing w:after="0" w:line="54"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In the course of the ongoing evaluation of the Company’s corporate governance practices, the Nominating &amp; Governance Committee and the Board of Directors have determined that the Proposed Amendment would reduce the unequal treatment of directors and officers associated with claims related to alleged breach of the duty of care and improve alignment of officers and directors on duty of care responsibilities. The Proposed Amendment would also better position the Company to continue to attract and retain top management talent by providing this additional protection. In the absence of such protection, particularly considering the recent trend of plaintiffs increasingly naming corporate officers as defendants in stockholder litigation, qualified officers might be deterred from serving as officers or, while officers, from making business decisions that involve risk, due to potential exposure to personal monetary liability for business decisions that in hindsight may be questioned.</w:t>
      </w:r>
    </w:p>
    <w:p>
      <w:pPr>
        <w:spacing w:after="0" w:line="135"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Officers of large publicly -traded corporations, including our Company, are required to make difficult decisions in response to time-sensitive opportunities and challenges. These decisions can create risk of claims or proceedings seeking to impose liability on the basis of hindsight. The Board of Directors believes that it is appropriate to limit our officers’ concern about personal risk and empower them to exercise their business judgment in furtherance of stockholder interests. The Board of Directors believes this will help limit litigation that names officers as defendants, when directors cannot be named because of their exculpatory protection, as a litigation strategy to compel settlement offers.</w:t>
      </w:r>
    </w:p>
    <w:p>
      <w:pPr>
        <w:spacing w:after="0" w:line="67"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Consistent with the recent amendment to the DGCL, the Proposed Amendment only permits exculpation of officers for direct claims for breaches of the duty of care brought by stockholders (as opposed to claims brought by the Company or derivative claims made by stockholders on behalf of the Company). Further, as with the director exculpation provision currently contained in our Certificate of Incorporation, the Proposed Amendment does not apply to breach of the duty of loyalty, acts or omissions not in good faith or that involve intentional misconduct, a knowing violation of law, or claims related to any transaction in which the officer derived an improper personal benefit.</w:t>
      </w:r>
    </w:p>
    <w:p>
      <w:pPr>
        <w:spacing w:after="0" w:line="8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After weighing these considerations, upon the recommendation of the Nominating and Governance Committee, the Board of Directors approved, declared advisable and recommended that our stockholders approve and adopt the Proposed Amendment. The Proposed Amendment is not being proposed in response to any specific resignation, threat of resignation, or refusal to serve by any officer or as a result of any pending litigation.</w:t>
      </w:r>
    </w:p>
    <w:p>
      <w:pPr>
        <w:spacing w:after="0" w:line="34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Additional Information</w:t>
      </w:r>
    </w:p>
    <w:p>
      <w:pPr>
        <w:spacing w:after="0" w:line="11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If our stockholders approve the Proposed Amendment, it will become effective upon the filing of the Certificate of Amendment setting forth the Proposed Amendment with the Delaware Secretary of State, which we anticipate doing promptly following the Annual Meeting. Other than the replacement of the existing Article Seventh through the Proposed Amendment, the remainder of our Certificate of Incorporation will remain unchanged. In addition, we intend to file a new Restated Certificate of Incorporation to integrate the Proposed Amendment (if approved) into a single document. If our stockholders do not approve the Proposed Amendment, the Company’s current Certificate of Incorporation will remain in place.</w:t>
      </w:r>
    </w:p>
    <w:p>
      <w:pPr>
        <w:spacing w:after="0" w:line="341"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Approval of the Proposed Amendment to the Certificate of Incorporation to provide for officer exculpation requires the affirmative vote of the holders of a majority of the outstanding shares of Common Stock entitled to vote on the matter. Abstentions and broker non- votes will have the same effect as a vote against this proposal. Our Board of Directors reserves the right to elect to abandon the Proposed Amendment at any time before it becomes effective even if it is approved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189865</wp:posOffset>
            </wp:positionV>
            <wp:extent cx="5340350" cy="514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APPENDIX A</w:t>
      </w:r>
    </w:p>
    <w:p>
      <w:pPr>
        <w:spacing w:after="0" w:line="118" w:lineRule="exact"/>
        <w:rPr>
          <w:sz w:val="20"/>
          <w:szCs w:val="20"/>
          <w:color w:val="auto"/>
        </w:rPr>
      </w:pPr>
    </w:p>
    <w:p>
      <w:pPr>
        <w:jc w:val="both"/>
        <w:ind w:left="820" w:right="680"/>
        <w:spacing w:after="0" w:line="259" w:lineRule="auto"/>
        <w:rPr>
          <w:sz w:val="20"/>
          <w:szCs w:val="20"/>
          <w:color w:val="auto"/>
        </w:rPr>
      </w:pPr>
      <w:r>
        <w:rPr>
          <w:rFonts w:ascii="Arial" w:cs="Arial" w:eastAsia="Arial" w:hAnsi="Arial"/>
          <w:sz w:val="18"/>
          <w:szCs w:val="18"/>
          <w:color w:val="auto"/>
        </w:rPr>
        <w:t>Incentive compensation measures presented in this proxy statement are defined differently than corresponding measures reported in the Company’s quarterly earnings press release. See below for reconciliations of Operating EBITDA, Income from Operations Margin and Cash Flow Generation to the most comparable GAAP measures. Non- GAAP measures should not be considered a substitute for financial measures presented in accordance with GAAP.</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8"/>
                <w:szCs w:val="18"/>
                <w:color w:val="auto"/>
              </w:rPr>
            </w:pPr>
          </w:p>
        </w:tc>
        <w:tc>
          <w:tcPr>
            <w:tcW w:w="10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bottom w:val="single" w:sz="8" w:color="457157"/>
            </w:tcBorders>
          </w:tcPr>
          <w:p>
            <w:pPr>
              <w:spacing w:after="0"/>
              <w:rPr>
                <w:sz w:val="18"/>
                <w:szCs w:val="18"/>
                <w:color w:val="auto"/>
              </w:rPr>
            </w:pPr>
          </w:p>
        </w:tc>
        <w:tc>
          <w:tcPr>
            <w:tcW w:w="3200" w:type="dxa"/>
            <w:vAlign w:val="bottom"/>
            <w:tcBorders>
              <w:bottom w:val="single" w:sz="8" w:color="457157"/>
            </w:tcBorders>
            <w:gridSpan w:val="13"/>
          </w:tcPr>
          <w:p>
            <w:pPr>
              <w:ind w:left="100"/>
              <w:spacing w:after="0"/>
              <w:rPr>
                <w:sz w:val="20"/>
                <w:szCs w:val="20"/>
                <w:color w:val="auto"/>
              </w:rPr>
            </w:pPr>
            <w:r>
              <w:rPr>
                <w:rFonts w:ascii="Arial" w:cs="Arial" w:eastAsia="Arial" w:hAnsi="Arial"/>
                <w:sz w:val="14"/>
                <w:szCs w:val="14"/>
                <w:b w:val="1"/>
                <w:bCs w:val="1"/>
                <w:color w:val="457157"/>
              </w:rPr>
              <w:t>Twelve Months Ended December 31, 2023</w:t>
            </w:r>
          </w:p>
        </w:tc>
        <w:tc>
          <w:tcPr>
            <w:tcW w:w="3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8"/>
          </w:tcPr>
          <w:p>
            <w:pP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04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8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58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$20,426</w:t>
            </w:r>
          </w:p>
        </w:tc>
        <w:tc>
          <w:tcPr>
            <w:tcW w:w="200" w:type="dxa"/>
            <w:vAlign w:val="bottom"/>
            <w:tcBorders>
              <w:top w:val="single" w:sz="8" w:color="457157"/>
            </w:tcBorders>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740" w:type="dxa"/>
            <w:vAlign w:val="bottom"/>
            <w:tcBorders>
              <w:top w:val="single" w:sz="8" w:color="457157"/>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$ 3,575</w:t>
            </w:r>
          </w:p>
        </w:tc>
        <w:tc>
          <w:tcPr>
            <w:tcW w:w="280" w:type="dxa"/>
            <w:vAlign w:val="bottom"/>
            <w:tcBorders>
              <w:top w:val="single" w:sz="8" w:color="457157"/>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$ 2,071</w:t>
            </w:r>
          </w:p>
        </w:tc>
        <w:tc>
          <w:tcPr>
            <w:tcW w:w="200" w:type="dxa"/>
            <w:vAlign w:val="bottom"/>
            <w:tcBorders>
              <w:top w:val="single" w:sz="8" w:color="457157"/>
            </w:tcBorders>
            <w:shd w:val="clear" w:color="auto" w:fill="CCEEFF"/>
          </w:tcPr>
          <w:p>
            <w:pPr>
              <w:spacing w:after="0"/>
              <w:rPr>
                <w:sz w:val="17"/>
                <w:szCs w:val="17"/>
                <w:color w:val="auto"/>
              </w:rPr>
            </w:pPr>
          </w:p>
        </w:tc>
        <w:tc>
          <w:tcPr>
            <w:tcW w:w="240" w:type="dxa"/>
            <w:vAlign w:val="bottom"/>
            <w:tcBorders>
              <w:top w:val="single" w:sz="8" w:color="457157"/>
            </w:tcBorders>
            <w:shd w:val="clear" w:color="auto" w:fill="CCEEFF"/>
          </w:tcPr>
          <w:p>
            <w:pPr>
              <w:spacing w:after="0"/>
              <w:rPr>
                <w:sz w:val="17"/>
                <w:szCs w:val="17"/>
                <w:color w:val="auto"/>
              </w:rPr>
            </w:pPr>
          </w:p>
        </w:tc>
        <w:tc>
          <w:tcPr>
            <w:tcW w:w="64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$ 5,646</w:t>
            </w:r>
          </w:p>
        </w:tc>
        <w:tc>
          <w:tcPr>
            <w:tcW w:w="80" w:type="dxa"/>
            <w:vAlign w:val="bottom"/>
            <w:tcBorders>
              <w:top w:val="single" w:sz="8" w:color="457157"/>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gridSpan w:val="2"/>
            <w:vMerge w:val="continue"/>
            <w:shd w:val="clear" w:color="auto" w:fill="CCEEFF"/>
          </w:tcPr>
          <w:p>
            <w:pPr>
              <w:spacing w:after="0"/>
              <w:rPr>
                <w:sz w:val="5"/>
                <w:szCs w:val="5"/>
                <w:color w:val="auto"/>
              </w:rPr>
            </w:pPr>
          </w:p>
        </w:tc>
        <w:tc>
          <w:tcPr>
            <w:tcW w:w="240" w:type="dxa"/>
            <w:vAlign w:val="bottom"/>
            <w:tcBorders>
              <w:bottom w:val="single" w:sz="8" w:color="457157"/>
            </w:tcBorders>
            <w:shd w:val="clear" w:color="auto" w:fill="CCEEFF"/>
          </w:tcPr>
          <w:p>
            <w:pPr>
              <w:spacing w:after="0"/>
              <w:rPr>
                <w:sz w:val="5"/>
                <w:szCs w:val="5"/>
                <w:color w:val="auto"/>
              </w:rPr>
            </w:pPr>
          </w:p>
        </w:tc>
        <w:tc>
          <w:tcPr>
            <w:tcW w:w="5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gridSpan w:val="2"/>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LESS: Net impacts of recycling brokerage business</w:t>
            </w:r>
          </w:p>
        </w:tc>
        <w:tc>
          <w:tcPr>
            <w:tcW w:w="280" w:type="dxa"/>
            <w:vAlign w:val="bottom"/>
            <w:tcBorders>
              <w:top w:val="single" w:sz="8" w:color="457157"/>
              <w:bottom w:val="single" w:sz="8" w:color="457157"/>
            </w:tcBorders>
            <w:gridSpan w:val="2"/>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Borders>
              <w:top w:val="single" w:sz="8" w:color="457157"/>
              <w:bottom w:val="single" w:sz="8" w:color="457157"/>
            </w:tcBorders>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457157"/>
              <w:bottom w:val="single" w:sz="8" w:color="457157"/>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457157"/>
              <w:bottom w:val="single" w:sz="8" w:color="457157"/>
            </w:tcBorders>
            <w:shd w:val="clear" w:color="auto" w:fill="CCEEFF"/>
          </w:tcPr>
          <w:p>
            <w:pPr>
              <w:spacing w:after="0"/>
              <w:rPr>
                <w:sz w:val="22"/>
                <w:szCs w:val="22"/>
                <w:color w:val="auto"/>
              </w:rPr>
            </w:pPr>
          </w:p>
        </w:tc>
        <w:tc>
          <w:tcPr>
            <w:tcW w:w="580" w:type="dxa"/>
            <w:vAlign w:val="bottom"/>
            <w:tcBorders>
              <w:top w:val="single" w:sz="8" w:color="457157"/>
              <w:bottom w:val="single" w:sz="8" w:color="457157"/>
            </w:tcBorders>
            <w:gridSpan w:val="3"/>
            <w:shd w:val="clear" w:color="auto" w:fill="CCEEFF"/>
          </w:tcPr>
          <w:p>
            <w:pPr>
              <w:ind w:left="1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3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457157"/>
              <w:bottom w:val="single" w:sz="8" w:color="457157"/>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80" w:type="dxa"/>
            <w:vAlign w:val="bottom"/>
            <w:gridSpan w:val="3"/>
          </w:tcPr>
          <w:p>
            <w:pPr>
              <w:ind w:left="120"/>
              <w:spacing w:after="0"/>
              <w:rPr>
                <w:sz w:val="20"/>
                <w:szCs w:val="20"/>
                <w:color w:val="auto"/>
              </w:rPr>
            </w:pPr>
            <w:r>
              <w:rPr>
                <w:rFonts w:ascii="Arial" w:cs="Arial" w:eastAsia="Arial" w:hAnsi="Arial"/>
                <w:sz w:val="18"/>
                <w:szCs w:val="18"/>
                <w:color w:val="auto"/>
              </w:rPr>
              <w:t>​​​ ​</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247</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58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6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$19,804</w:t>
            </w:r>
          </w:p>
        </w:tc>
        <w:tc>
          <w:tcPr>
            <w:tcW w:w="200" w:type="dxa"/>
            <w:vAlign w:val="bottom"/>
            <w:tcBorders>
              <w:top w:val="single" w:sz="8" w:color="457157"/>
            </w:tcBorders>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740" w:type="dxa"/>
            <w:vAlign w:val="bottom"/>
            <w:tcBorders>
              <w:top w:val="single" w:sz="8" w:color="457157"/>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$ 3,822</w:t>
            </w:r>
          </w:p>
        </w:tc>
        <w:tc>
          <w:tcPr>
            <w:tcW w:w="280" w:type="dxa"/>
            <w:vAlign w:val="bottom"/>
            <w:tcBorders>
              <w:top w:val="single" w:sz="8" w:color="457157"/>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$ 2,070</w:t>
            </w:r>
          </w:p>
        </w:tc>
        <w:tc>
          <w:tcPr>
            <w:tcW w:w="200" w:type="dxa"/>
            <w:vAlign w:val="bottom"/>
            <w:tcBorders>
              <w:top w:val="single" w:sz="8" w:color="457157"/>
            </w:tcBorders>
            <w:shd w:val="clear" w:color="auto" w:fill="CCEEFF"/>
          </w:tcPr>
          <w:p>
            <w:pPr>
              <w:spacing w:after="0"/>
              <w:rPr>
                <w:sz w:val="17"/>
                <w:szCs w:val="17"/>
                <w:color w:val="auto"/>
              </w:rPr>
            </w:pPr>
          </w:p>
        </w:tc>
        <w:tc>
          <w:tcPr>
            <w:tcW w:w="240" w:type="dxa"/>
            <w:vAlign w:val="bottom"/>
            <w:tcBorders>
              <w:top w:val="single" w:sz="8" w:color="457157"/>
            </w:tcBorders>
            <w:shd w:val="clear" w:color="auto" w:fill="CCEEFF"/>
          </w:tcPr>
          <w:p>
            <w:pPr>
              <w:spacing w:after="0"/>
              <w:rPr>
                <w:sz w:val="17"/>
                <w:szCs w:val="17"/>
                <w:color w:val="auto"/>
              </w:rPr>
            </w:pPr>
          </w:p>
        </w:tc>
        <w:tc>
          <w:tcPr>
            <w:tcW w:w="64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$ 5,892</w:t>
            </w:r>
          </w:p>
        </w:tc>
        <w:tc>
          <w:tcPr>
            <w:tcW w:w="80" w:type="dxa"/>
            <w:vAlign w:val="bottom"/>
            <w:tcBorders>
              <w:top w:val="single" w:sz="8" w:color="457157"/>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gridSpan w:val="2"/>
            <w:vMerge w:val="continue"/>
            <w:shd w:val="clear" w:color="auto" w:fill="CCEEFF"/>
          </w:tcPr>
          <w:p>
            <w:pPr>
              <w:spacing w:after="0"/>
              <w:rPr>
                <w:sz w:val="5"/>
                <w:szCs w:val="5"/>
                <w:color w:val="auto"/>
              </w:rPr>
            </w:pPr>
          </w:p>
        </w:tc>
        <w:tc>
          <w:tcPr>
            <w:tcW w:w="240" w:type="dxa"/>
            <w:vAlign w:val="bottom"/>
            <w:tcBorders>
              <w:bottom w:val="single" w:sz="8" w:color="457157"/>
            </w:tcBorders>
            <w:shd w:val="clear" w:color="auto" w:fill="CCEEFF"/>
          </w:tcPr>
          <w:p>
            <w:pPr>
              <w:spacing w:after="0"/>
              <w:rPr>
                <w:sz w:val="5"/>
                <w:szCs w:val="5"/>
                <w:color w:val="auto"/>
              </w:rPr>
            </w:pPr>
          </w:p>
        </w:tc>
        <w:tc>
          <w:tcPr>
            <w:tcW w:w="5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320" w:type="dxa"/>
            <w:vAlign w:val="bottom"/>
            <w:tcBorders>
              <w:bottom w:val="single" w:sz="8" w:color="457157"/>
            </w:tcBorders>
            <w:gridSpan w:val="2"/>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Income from Operations Margin Performance Measure</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14"/>
              <w:spacing w:after="0" w:line="196" w:lineRule="exact"/>
              <w:rPr>
                <w:sz w:val="20"/>
                <w:szCs w:val="20"/>
                <w:color w:val="auto"/>
              </w:rPr>
            </w:pPr>
            <w:r>
              <w:rPr>
                <w:rFonts w:ascii="Arial" w:cs="Arial" w:eastAsia="Arial" w:hAnsi="Arial"/>
                <w:sz w:val="18"/>
                <w:szCs w:val="18"/>
                <w:color w:val="auto"/>
              </w:rPr>
              <w:t>19.3%</w:t>
            </w:r>
          </w:p>
        </w:tc>
        <w:tc>
          <w:tcPr>
            <w:tcW w:w="200" w:type="dxa"/>
            <w:vAlign w:val="bottom"/>
          </w:tcPr>
          <w:p>
            <w:pPr>
              <w:spacing w:after="0"/>
              <w:rPr>
                <w:sz w:val="17"/>
                <w:szCs w:val="17"/>
                <w:color w:val="auto"/>
              </w:rPr>
            </w:pPr>
          </w:p>
        </w:tc>
        <w:tc>
          <w:tcPr>
            <w:tcW w:w="28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gridSpan w:val="2"/>
          </w:tcPr>
          <w:p>
            <w:pPr>
              <w:ind w:left="40"/>
              <w:spacing w:after="0" w:line="68" w:lineRule="exact"/>
              <w:rPr>
                <w:sz w:val="20"/>
                <w:szCs w:val="20"/>
                <w:color w:val="auto"/>
              </w:rPr>
            </w:pPr>
            <w:r>
              <w:rPr>
                <w:rFonts w:ascii="Arial" w:cs="Arial" w:eastAsia="Arial" w:hAnsi="Arial"/>
                <w:sz w:val="7"/>
                <w:szCs w:val="7"/>
                <w:color w:val="auto"/>
              </w:rPr>
              <w:t>​ ​</w:t>
            </w: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jc w:val="right"/>
              <w:ind w:right="54"/>
              <w:spacing w:after="0" w:line="68" w:lineRule="exact"/>
              <w:rPr>
                <w:sz w:val="20"/>
                <w:szCs w:val="20"/>
                <w:color w:val="auto"/>
              </w:rPr>
            </w:pPr>
            <w:r>
              <w:rPr>
                <w:rFonts w:ascii="Arial" w:cs="Arial" w:eastAsia="Arial" w:hAnsi="Arial"/>
                <w:sz w:val="7"/>
                <w:szCs w:val="7"/>
                <w:color w:val="auto"/>
              </w:rPr>
              <w:t>​​</w:t>
            </w: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20" w:type="dxa"/>
            <w:vAlign w:val="bottom"/>
            <w:tcBorders>
              <w:top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Borders>
              <w:top w:val="single" w:sz="8" w:color="457157"/>
            </w:tcBorders>
          </w:tcPr>
          <w:p>
            <w:pPr>
              <w:spacing w:after="0"/>
              <w:rPr>
                <w:sz w:val="24"/>
                <w:szCs w:val="24"/>
                <w:color w:val="auto"/>
              </w:rPr>
            </w:pPr>
          </w:p>
        </w:tc>
        <w:tc>
          <w:tcPr>
            <w:tcW w:w="100" w:type="dxa"/>
            <w:vAlign w:val="bottom"/>
            <w:tcBorders>
              <w:top w:val="single" w:sz="8" w:color="457157"/>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top w:val="single" w:sz="8" w:color="457157"/>
              <w:bottom w:val="single" w:sz="8" w:color="457157"/>
            </w:tcBorders>
          </w:tcPr>
          <w:p>
            <w:pPr>
              <w:spacing w:after="0"/>
              <w:rPr>
                <w:sz w:val="24"/>
                <w:szCs w:val="24"/>
                <w:color w:val="auto"/>
              </w:rPr>
            </w:pPr>
          </w:p>
        </w:tc>
        <w:tc>
          <w:tcPr>
            <w:tcW w:w="3200" w:type="dxa"/>
            <w:vAlign w:val="bottom"/>
            <w:tcBorders>
              <w:top w:val="single" w:sz="8" w:color="457157"/>
              <w:bottom w:val="single" w:sz="8" w:color="457157"/>
            </w:tcBorders>
            <w:gridSpan w:val="13"/>
          </w:tcPr>
          <w:p>
            <w:pPr>
              <w:ind w:left="100"/>
              <w:spacing w:after="0"/>
              <w:rPr>
                <w:sz w:val="20"/>
                <w:szCs w:val="20"/>
                <w:color w:val="auto"/>
              </w:rPr>
            </w:pPr>
            <w:r>
              <w:rPr>
                <w:rFonts w:ascii="Arial" w:cs="Arial" w:eastAsia="Arial" w:hAnsi="Arial"/>
                <w:sz w:val="14"/>
                <w:szCs w:val="14"/>
                <w:b w:val="1"/>
                <w:bCs w:val="1"/>
                <w:color w:val="457157"/>
              </w:rPr>
              <w:t>Twelve Months Ended December 31, 2022</w:t>
            </w:r>
          </w:p>
        </w:tc>
        <w:tc>
          <w:tcPr>
            <w:tcW w:w="300" w:type="dxa"/>
            <w:vAlign w:val="bottom"/>
            <w:tcBorders>
              <w:top w:val="single" w:sz="8" w:color="457157"/>
              <w:bottom w:val="single" w:sz="8" w:color="457157"/>
            </w:tcBorders>
          </w:tcPr>
          <w:p>
            <w:pPr>
              <w:spacing w:after="0"/>
              <w:rPr>
                <w:sz w:val="24"/>
                <w:szCs w:val="24"/>
                <w:color w:val="auto"/>
              </w:rPr>
            </w:pPr>
          </w:p>
        </w:tc>
        <w:tc>
          <w:tcPr>
            <w:tcW w:w="80" w:type="dxa"/>
            <w:vAlign w:val="bottom"/>
            <w:tcBorders>
              <w:top w:val="single" w:sz="8" w:color="457157"/>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8"/>
          </w:tcPr>
          <w:p>
            <w:pP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04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8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40" w:type="dxa"/>
            <w:vAlign w:val="bottom"/>
            <w:gridSpan w:val="3"/>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$19,698</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$ 3,365</w:t>
            </w:r>
          </w:p>
        </w:tc>
        <w:tc>
          <w:tcPr>
            <w:tcW w:w="28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$ 2,038</w:t>
            </w:r>
          </w:p>
        </w:tc>
        <w:tc>
          <w:tcPr>
            <w:tcW w:w="200" w:type="dxa"/>
            <w:vAlign w:val="bottom"/>
          </w:tcPr>
          <w:p>
            <w:pPr>
              <w:spacing w:after="0"/>
              <w:rPr>
                <w:sz w:val="17"/>
                <w:szCs w:val="17"/>
                <w:color w:val="auto"/>
              </w:rPr>
            </w:pP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$ 5,403</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80" w:type="dxa"/>
            <w:vAlign w:val="bottom"/>
            <w:gridSpan w:val="2"/>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80" w:type="dxa"/>
            <w:vAlign w:val="bottom"/>
            <w:tcBorders>
              <w:right w:val="single" w:sz="8" w:color="457157"/>
            </w:tcBorders>
            <w:gridSpan w:val="2"/>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LESS: Net impacts of recycling brokerage business</w:t>
            </w:r>
          </w:p>
        </w:tc>
        <w:tc>
          <w:tcPr>
            <w:tcW w:w="280" w:type="dxa"/>
            <w:vAlign w:val="bottom"/>
            <w:gridSpan w:val="2"/>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4"/>
              <w:spacing w:after="0" w:line="264" w:lineRule="exact"/>
              <w:rPr>
                <w:sz w:val="20"/>
                <w:szCs w:val="20"/>
                <w:color w:val="auto"/>
              </w:rPr>
            </w:pPr>
            <w:r>
              <w:rPr>
                <w:rFonts w:ascii="Arial" w:cs="Arial" w:eastAsia="Arial" w:hAnsi="Arial"/>
                <w:sz w:val="16"/>
                <w:szCs w:val="16"/>
                <w:color w:val="auto"/>
              </w:rPr>
              <w:t xml:space="preserve">(9) </w:t>
            </w:r>
            <w:r>
              <w:rPr>
                <w:rFonts w:ascii="Arial" w:cs="Arial" w:eastAsia="Arial" w:hAnsi="Arial"/>
                <w:sz w:val="30"/>
                <w:szCs w:val="30"/>
                <w:color w:val="auto"/>
                <w:vertAlign w:val="subscript"/>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(7)</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57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5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600" w:type="dxa"/>
            <w:vAlign w:val="bottom"/>
            <w:gridSpan w:val="3"/>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ADD: Accrual adjustment</w:t>
            </w:r>
            <w:r>
              <w:rPr>
                <w:rFonts w:ascii="Arial" w:cs="Arial" w:eastAsia="Arial" w:hAnsi="Arial"/>
                <w:sz w:val="23"/>
                <w:szCs w:val="23"/>
                <w:color w:val="auto"/>
                <w:vertAlign w:val="superscript"/>
              </w:rPr>
              <w:t>(a)</w:t>
            </w:r>
          </w:p>
        </w:tc>
        <w:tc>
          <w:tcPr>
            <w:tcW w:w="280" w:type="dxa"/>
            <w:vAlign w:val="bottom"/>
            <w:gridSpan w:val="2"/>
          </w:tcPr>
          <w:p>
            <w:pPr>
              <w:spacing w:after="0" w:line="290" w:lineRule="exact"/>
              <w:rPr>
                <w:sz w:val="20"/>
                <w:szCs w:val="20"/>
                <w:color w:val="auto"/>
              </w:rPr>
            </w:pPr>
            <w:r>
              <w:rPr>
                <w:rFonts w:ascii="Arial" w:cs="Arial" w:eastAsia="Arial" w:hAnsi="Arial"/>
                <w:sz w:val="17"/>
                <w:szCs w:val="17"/>
                <w:color w:val="auto"/>
              </w:rPr>
              <w:t xml:space="preserve">​​ </w:t>
            </w:r>
            <w:r>
              <w:rPr>
                <w:rFonts w:ascii="Arial" w:cs="Arial" w:eastAsia="Arial" w:hAnsi="Arial"/>
                <w:sz w:val="33"/>
                <w:szCs w:val="33"/>
                <w:color w:val="auto"/>
                <w:vertAlign w:val="superscript"/>
              </w:rPr>
              <w:t>​</w:t>
            </w:r>
          </w:p>
        </w:tc>
        <w:tc>
          <w:tcPr>
            <w:tcW w:w="600" w:type="dxa"/>
            <w:vAlign w:val="bottom"/>
            <w:gridSpan w:val="3"/>
          </w:tcPr>
          <w:p>
            <w:pPr>
              <w:jc w:val="right"/>
              <w:spacing w:after="0" w:line="290"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40" w:type="dxa"/>
            <w:vAlign w:val="bottom"/>
            <w:gridSpan w:val="3"/>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$18,919</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$ 3,439</w:t>
            </w:r>
          </w:p>
        </w:tc>
        <w:tc>
          <w:tcPr>
            <w:tcW w:w="28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$ 2,036</w:t>
            </w:r>
          </w:p>
        </w:tc>
        <w:tc>
          <w:tcPr>
            <w:tcW w:w="200" w:type="dxa"/>
            <w:vAlign w:val="bottom"/>
          </w:tcPr>
          <w:p>
            <w:pPr>
              <w:spacing w:after="0"/>
              <w:rPr>
                <w:sz w:val="17"/>
                <w:szCs w:val="17"/>
                <w:color w:val="auto"/>
              </w:rPr>
            </w:pP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$ 5,475</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0"/>
        </w:trPr>
        <w:tc>
          <w:tcPr>
            <w:tcW w:w="120" w:type="dxa"/>
            <w:vAlign w:val="bottom"/>
            <w:tcBorders>
              <w:top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Borders>
              <w:top w:val="single" w:sz="8" w:color="457157"/>
            </w:tcBorders>
          </w:tcPr>
          <w:p>
            <w:pPr>
              <w:spacing w:after="0"/>
              <w:rPr>
                <w:sz w:val="24"/>
                <w:szCs w:val="24"/>
                <w:color w:val="auto"/>
              </w:rPr>
            </w:pPr>
          </w:p>
        </w:tc>
        <w:tc>
          <w:tcPr>
            <w:tcW w:w="100" w:type="dxa"/>
            <w:vAlign w:val="bottom"/>
            <w:tcBorders>
              <w:top w:val="single" w:sz="8" w:color="457157"/>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top w:val="single" w:sz="8" w:color="457157"/>
              <w:bottom w:val="single" w:sz="8" w:color="457157"/>
            </w:tcBorders>
          </w:tcPr>
          <w:p>
            <w:pPr>
              <w:spacing w:after="0"/>
              <w:rPr>
                <w:sz w:val="24"/>
                <w:szCs w:val="24"/>
                <w:color w:val="auto"/>
              </w:rPr>
            </w:pPr>
          </w:p>
        </w:tc>
        <w:tc>
          <w:tcPr>
            <w:tcW w:w="3200" w:type="dxa"/>
            <w:vAlign w:val="bottom"/>
            <w:tcBorders>
              <w:top w:val="single" w:sz="8" w:color="457157"/>
              <w:bottom w:val="single" w:sz="8" w:color="457157"/>
            </w:tcBorders>
            <w:gridSpan w:val="13"/>
          </w:tcPr>
          <w:p>
            <w:pPr>
              <w:ind w:left="100"/>
              <w:spacing w:after="0"/>
              <w:rPr>
                <w:sz w:val="20"/>
                <w:szCs w:val="20"/>
                <w:color w:val="auto"/>
              </w:rPr>
            </w:pPr>
            <w:r>
              <w:rPr>
                <w:rFonts w:ascii="Arial" w:cs="Arial" w:eastAsia="Arial" w:hAnsi="Arial"/>
                <w:sz w:val="14"/>
                <w:szCs w:val="14"/>
                <w:b w:val="1"/>
                <w:bCs w:val="1"/>
                <w:color w:val="457157"/>
              </w:rPr>
              <w:t>Twelve Months Ended December 31, 2021</w:t>
            </w:r>
          </w:p>
        </w:tc>
        <w:tc>
          <w:tcPr>
            <w:tcW w:w="300" w:type="dxa"/>
            <w:vAlign w:val="bottom"/>
            <w:tcBorders>
              <w:top w:val="single" w:sz="8" w:color="457157"/>
              <w:bottom w:val="single" w:sz="8" w:color="457157"/>
            </w:tcBorders>
          </w:tcPr>
          <w:p>
            <w:pPr>
              <w:spacing w:after="0"/>
              <w:rPr>
                <w:sz w:val="24"/>
                <w:szCs w:val="24"/>
                <w:color w:val="auto"/>
              </w:rPr>
            </w:pPr>
          </w:p>
        </w:tc>
        <w:tc>
          <w:tcPr>
            <w:tcW w:w="80" w:type="dxa"/>
            <w:vAlign w:val="bottom"/>
            <w:tcBorders>
              <w:top w:val="single" w:sz="8" w:color="457157"/>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8"/>
          </w:tcPr>
          <w:p>
            <w:pP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04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8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40" w:type="dxa"/>
            <w:vAlign w:val="bottom"/>
            <w:gridSpan w:val="3"/>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$17,931</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$ 2,965</w:t>
            </w:r>
          </w:p>
        </w:tc>
        <w:tc>
          <w:tcPr>
            <w:tcW w:w="28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$ 1,999</w:t>
            </w:r>
          </w:p>
        </w:tc>
        <w:tc>
          <w:tcPr>
            <w:tcW w:w="200" w:type="dxa"/>
            <w:vAlign w:val="bottom"/>
          </w:tcPr>
          <w:p>
            <w:pPr>
              <w:spacing w:after="0"/>
              <w:rPr>
                <w:sz w:val="17"/>
                <w:szCs w:val="17"/>
                <w:color w:val="auto"/>
              </w:rPr>
            </w:pP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$ 4,964</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57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5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4"/>
              <w:spacing w:after="0"/>
              <w:rPr>
                <w:sz w:val="20"/>
                <w:szCs w:val="20"/>
                <w:color w:val="auto"/>
              </w:rPr>
            </w:pPr>
            <w:r>
              <w:rPr>
                <w:rFonts w:ascii="Arial" w:cs="Arial" w:eastAsia="Arial" w:hAnsi="Arial"/>
                <w:sz w:val="18"/>
                <w:szCs w:val="18"/>
                <w:color w:val="auto"/>
              </w:rPr>
              <w:t>(8) ​​</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600" w:type="dxa"/>
            <w:vAlign w:val="bottom"/>
            <w:gridSpan w:val="3"/>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ADD: Accrual adjustment</w:t>
            </w:r>
            <w:r>
              <w:rPr>
                <w:rFonts w:ascii="Arial" w:cs="Arial" w:eastAsia="Arial" w:hAnsi="Arial"/>
                <w:sz w:val="23"/>
                <w:szCs w:val="23"/>
                <w:color w:val="auto"/>
                <w:vertAlign w:val="superscript"/>
              </w:rPr>
              <w:t>(a)</w:t>
            </w:r>
          </w:p>
        </w:tc>
        <w:tc>
          <w:tcPr>
            <w:tcW w:w="280" w:type="dxa"/>
            <w:vAlign w:val="bottom"/>
            <w:gridSpan w:val="2"/>
          </w:tcPr>
          <w:p>
            <w:pPr>
              <w:spacing w:after="0" w:line="290" w:lineRule="exact"/>
              <w:rPr>
                <w:sz w:val="20"/>
                <w:szCs w:val="20"/>
                <w:color w:val="auto"/>
              </w:rPr>
            </w:pPr>
            <w:r>
              <w:rPr>
                <w:rFonts w:ascii="Arial" w:cs="Arial" w:eastAsia="Arial" w:hAnsi="Arial"/>
                <w:sz w:val="17"/>
                <w:szCs w:val="17"/>
                <w:color w:val="auto"/>
              </w:rPr>
              <w:t xml:space="preserve">​​ </w:t>
            </w:r>
            <w:r>
              <w:rPr>
                <w:rFonts w:ascii="Arial" w:cs="Arial" w:eastAsia="Arial" w:hAnsi="Arial"/>
                <w:sz w:val="33"/>
                <w:szCs w:val="33"/>
                <w:color w:val="auto"/>
                <w:vertAlign w:val="superscript"/>
              </w:rPr>
              <w:t>​</w:t>
            </w:r>
          </w:p>
        </w:tc>
        <w:tc>
          <w:tcPr>
            <w:tcW w:w="600" w:type="dxa"/>
            <w:vAlign w:val="bottom"/>
            <w:gridSpan w:val="3"/>
          </w:tcPr>
          <w:p>
            <w:pPr>
              <w:jc w:val="right"/>
              <w:spacing w:after="0" w:line="290"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4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640" w:type="dxa"/>
            <w:vAlign w:val="bottom"/>
            <w:gridSpan w:val="3"/>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$17,931</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$ 2,962</w:t>
            </w:r>
          </w:p>
        </w:tc>
        <w:tc>
          <w:tcPr>
            <w:tcW w:w="28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$ 1,999</w:t>
            </w:r>
          </w:p>
        </w:tc>
        <w:tc>
          <w:tcPr>
            <w:tcW w:w="200" w:type="dxa"/>
            <w:vAlign w:val="bottom"/>
          </w:tcPr>
          <w:p>
            <w:pPr>
              <w:spacing w:after="0"/>
              <w:rPr>
                <w:sz w:val="17"/>
                <w:szCs w:val="17"/>
                <w:color w:val="auto"/>
              </w:rPr>
            </w:pP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$ 4,961</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-2862580</wp:posOffset>
            </wp:positionV>
            <wp:extent cx="6155055"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55055"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-2502535</wp:posOffset>
            </wp:positionV>
            <wp:extent cx="6155055" cy="1803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55055"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-2005330</wp:posOffset>
            </wp:positionV>
            <wp:extent cx="6155055" cy="1974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55055" cy="19748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-1062355</wp:posOffset>
            </wp:positionV>
            <wp:extent cx="6155055" cy="179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55055"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-702310</wp:posOffset>
            </wp:positionV>
            <wp:extent cx="6155055" cy="3175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155055" cy="3175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6155055" cy="1797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5505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  Accrual adjustment to true-up recorded accrual amounts against reported financial results.</w:t>
      </w:r>
    </w:p>
    <w:p>
      <w:pPr>
        <w:spacing w:after="0" w:line="200" w:lineRule="exact"/>
        <w:rPr>
          <w:sz w:val="20"/>
          <w:szCs w:val="20"/>
          <w:color w:val="auto"/>
        </w:rPr>
      </w:pPr>
    </w:p>
    <w:p>
      <w:pPr>
        <w:spacing w:after="0" w:line="297" w:lineRule="exact"/>
        <w:rPr>
          <w:sz w:val="20"/>
          <w:szCs w:val="20"/>
          <w:color w:val="auto"/>
        </w:rPr>
      </w:pPr>
    </w:p>
    <w:p>
      <w:pPr>
        <w:ind w:left="7180"/>
        <w:spacing w:after="0"/>
        <w:tabs>
          <w:tab w:leader="none" w:pos="9280" w:val="left"/>
        </w:tabs>
        <w:rPr>
          <w:sz w:val="20"/>
          <w:szCs w:val="20"/>
          <w:color w:val="auto"/>
        </w:rPr>
      </w:pPr>
      <w:r>
        <w:rPr>
          <w:rFonts w:ascii="Arial" w:cs="Arial" w:eastAsia="Arial" w:hAnsi="Arial"/>
          <w:sz w:val="18"/>
          <w:szCs w:val="18"/>
          <w:color w:val="auto"/>
        </w:rPr>
        <w:t>2024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-162560</wp:posOffset>
            </wp:positionV>
            <wp:extent cx="471805" cy="1289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560"/>
          </w:cols>
          <w:pgMar w:left="580" w:top="97" w:right="75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2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280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46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600" w:type="dxa"/>
            <w:vAlign w:val="bottom"/>
            <w:tcBorders>
              <w:top w:val="single" w:sz="8" w:color="457157"/>
            </w:tcBorders>
          </w:tcPr>
          <w:p>
            <w:pPr>
              <w:spacing w:after="0"/>
              <w:rPr>
                <w:sz w:val="14"/>
                <w:szCs w:val="14"/>
                <w:color w:val="auto"/>
              </w:rPr>
            </w:pPr>
          </w:p>
        </w:tc>
        <w:tc>
          <w:tcPr>
            <w:tcW w:w="280" w:type="dxa"/>
            <w:vAlign w:val="bottom"/>
            <w:tcBorders>
              <w:top w:val="single" w:sz="8" w:color="457157"/>
            </w:tcBorders>
          </w:tcPr>
          <w:p>
            <w:pPr>
              <w:spacing w:after="0"/>
              <w:rPr>
                <w:sz w:val="14"/>
                <w:szCs w:val="14"/>
                <w:color w:val="auto"/>
              </w:rPr>
            </w:pPr>
          </w:p>
        </w:tc>
        <w:tc>
          <w:tcPr>
            <w:tcW w:w="38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48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3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360" w:type="dxa"/>
            <w:vAlign w:val="bottom"/>
            <w:tcBorders>
              <w:top w:val="single" w:sz="8" w:color="457157"/>
            </w:tcBorders>
          </w:tcPr>
          <w:p>
            <w:pPr>
              <w:spacing w:after="0"/>
              <w:rPr>
                <w:sz w:val="14"/>
                <w:szCs w:val="14"/>
                <w:color w:val="auto"/>
              </w:rPr>
            </w:pPr>
          </w:p>
        </w:tc>
        <w:tc>
          <w:tcPr>
            <w:tcW w:w="26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260" w:type="dxa"/>
            <w:vAlign w:val="bottom"/>
            <w:tcBorders>
              <w:top w:val="single" w:sz="8" w:color="457157"/>
            </w:tcBorders>
          </w:tcPr>
          <w:p>
            <w:pPr>
              <w:spacing w:after="0"/>
              <w:rPr>
                <w:sz w:val="14"/>
                <w:szCs w:val="14"/>
                <w:color w:val="auto"/>
              </w:rPr>
            </w:pPr>
          </w:p>
        </w:tc>
        <w:tc>
          <w:tcPr>
            <w:tcW w:w="460" w:type="dxa"/>
            <w:vAlign w:val="bottom"/>
            <w:tcBorders>
              <w:top w:val="single" w:sz="8" w:color="457157"/>
            </w:tcBorders>
          </w:tcPr>
          <w:p>
            <w:pPr>
              <w:spacing w:after="0"/>
              <w:rPr>
                <w:sz w:val="14"/>
                <w:szCs w:val="14"/>
                <w:color w:val="auto"/>
              </w:rPr>
            </w:pPr>
          </w:p>
        </w:tc>
        <w:tc>
          <w:tcPr>
            <w:tcW w:w="360" w:type="dxa"/>
            <w:vAlign w:val="bottom"/>
            <w:tcBorders>
              <w:top w:val="single" w:sz="8" w:color="457157"/>
            </w:tcBorders>
          </w:tcPr>
          <w:p>
            <w:pPr>
              <w:spacing w:after="0"/>
              <w:rPr>
                <w:sz w:val="14"/>
                <w:szCs w:val="14"/>
                <w:color w:val="auto"/>
              </w:rPr>
            </w:pPr>
          </w:p>
        </w:tc>
        <w:tc>
          <w:tcPr>
            <w:tcW w:w="300" w:type="dxa"/>
            <w:vAlign w:val="bottom"/>
          </w:tcPr>
          <w:p>
            <w:pPr>
              <w:jc w:val="right"/>
              <w:ind w:right="96"/>
              <w:spacing w:after="0" w:line="162"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0"/>
                <w:szCs w:val="20"/>
                <w:color w:val="auto"/>
              </w:rPr>
            </w:pPr>
            <w:r>
              <w:rPr>
                <w:rFonts w:ascii="Arial" w:cs="Arial" w:eastAsia="Arial" w:hAnsi="Arial"/>
                <w:sz w:val="20"/>
                <w:szCs w:val="20"/>
                <w:b w:val="1"/>
                <w:bCs w:val="1"/>
                <w:color w:val="auto"/>
              </w:rPr>
              <w:t> </w:t>
            </w:r>
          </w:p>
        </w:tc>
        <w:tc>
          <w:tcPr>
            <w:tcW w:w="2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3260" w:type="dxa"/>
            <w:vAlign w:val="bottom"/>
            <w:tcBorders>
              <w:bottom w:val="single" w:sz="8" w:color="457157"/>
            </w:tcBorders>
            <w:gridSpan w:val="11"/>
          </w:tcPr>
          <w:p>
            <w:pPr>
              <w:jc w:val="right"/>
              <w:spacing w:after="0"/>
              <w:rPr>
                <w:sz w:val="20"/>
                <w:szCs w:val="20"/>
                <w:color w:val="auto"/>
              </w:rPr>
            </w:pPr>
            <w:r>
              <w:rPr>
                <w:rFonts w:ascii="Arial" w:cs="Arial" w:eastAsia="Arial" w:hAnsi="Arial"/>
                <w:sz w:val="14"/>
                <w:szCs w:val="14"/>
                <w:b w:val="1"/>
                <w:bCs w:val="1"/>
                <w:color w:val="457157"/>
              </w:rPr>
              <w:t>Twelve Months Ended December 31, 2020</w:t>
            </w:r>
          </w:p>
        </w:tc>
        <w:tc>
          <w:tcPr>
            <w:tcW w:w="3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20" w:type="dxa"/>
            <w:vAlign w:val="bottom"/>
            <w:gridSpan w:val="13"/>
          </w:tcPr>
          <w:p>
            <w:pPr>
              <w:jc w:val="right"/>
              <w:ind w:right="34"/>
              <w:spacing w:after="0"/>
              <w:rPr>
                <w:sz w:val="20"/>
                <w:szCs w:val="20"/>
                <w:color w:val="auto"/>
              </w:rPr>
            </w:pPr>
            <w:r>
              <w:rPr>
                <w:rFonts w:ascii="Arial" w:cs="Arial" w:eastAsia="Arial" w:hAnsi="Arial"/>
                <w:sz w:val="14"/>
                <w:szCs w:val="14"/>
                <w:b w:val="1"/>
                <w:bCs w:val="1"/>
                <w:color w:val="457157"/>
              </w:rPr>
              <w:t>Income from Depreciation and Operating</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7"/>
          </w:tcPr>
          <w:p>
            <w:pP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080" w:type="dxa"/>
            <w:vAlign w:val="bottom"/>
            <w:gridSpan w:val="3"/>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74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29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 amounts</w:t>
            </w:r>
          </w:p>
        </w:tc>
        <w:tc>
          <w:tcPr>
            <w:tcW w:w="180" w:type="dxa"/>
            <w:vAlign w:val="bottom"/>
            <w:tcBorders>
              <w:top w:val="single" w:sz="8" w:color="457157"/>
            </w:tcBorders>
            <w:shd w:val="clear" w:color="auto" w:fill="CCEEFF"/>
          </w:tcPr>
          <w:p>
            <w:pPr>
              <w:spacing w:after="0"/>
              <w:rPr>
                <w:sz w:val="17"/>
                <w:szCs w:val="17"/>
                <w:color w:val="auto"/>
              </w:rPr>
            </w:pPr>
          </w:p>
        </w:tc>
        <w:tc>
          <w:tcPr>
            <w:tcW w:w="220" w:type="dxa"/>
            <w:vAlign w:val="bottom"/>
            <w:tcBorders>
              <w:top w:val="single" w:sz="8" w:color="457157"/>
            </w:tcBorders>
            <w:shd w:val="clear" w:color="auto" w:fill="CCEEFF"/>
          </w:tcPr>
          <w:p>
            <w:pPr>
              <w:spacing w:after="0"/>
              <w:rPr>
                <w:sz w:val="17"/>
                <w:szCs w:val="17"/>
                <w:color w:val="auto"/>
              </w:rPr>
            </w:pPr>
          </w:p>
        </w:tc>
        <w:tc>
          <w:tcPr>
            <w:tcW w:w="460" w:type="dxa"/>
            <w:vAlign w:val="bottom"/>
            <w:tcBorders>
              <w:top w:val="single" w:sz="8" w:color="457157"/>
            </w:tcBorders>
            <w:shd w:val="clear" w:color="auto" w:fill="CCEEFF"/>
          </w:tcPr>
          <w:p>
            <w:pPr>
              <w:spacing w:after="0"/>
              <w:rPr>
                <w:sz w:val="17"/>
                <w:szCs w:val="17"/>
                <w:color w:val="auto"/>
              </w:rPr>
            </w:pPr>
          </w:p>
        </w:tc>
        <w:tc>
          <w:tcPr>
            <w:tcW w:w="80" w:type="dxa"/>
            <w:vAlign w:val="bottom"/>
            <w:tcBorders>
              <w:top w:val="single" w:sz="8" w:color="457157"/>
            </w:tcBorders>
            <w:shd w:val="clear" w:color="auto" w:fill="CCEEFF"/>
          </w:tcPr>
          <w:p>
            <w:pPr>
              <w:spacing w:after="0"/>
              <w:rPr>
                <w:sz w:val="17"/>
                <w:szCs w:val="17"/>
                <w:color w:val="auto"/>
              </w:rPr>
            </w:pPr>
          </w:p>
        </w:tc>
        <w:tc>
          <w:tcPr>
            <w:tcW w:w="700" w:type="dxa"/>
            <w:vAlign w:val="bottom"/>
            <w:tcBorders>
              <w:top w:val="single" w:sz="8" w:color="457157"/>
            </w:tcBorders>
            <w:shd w:val="clear" w:color="auto" w:fill="CCEEFF"/>
          </w:tcPr>
          <w:p>
            <w:pPr>
              <w:spacing w:after="0"/>
              <w:rPr>
                <w:sz w:val="17"/>
                <w:szCs w:val="17"/>
                <w:color w:val="auto"/>
              </w:rPr>
            </w:pPr>
          </w:p>
        </w:tc>
        <w:tc>
          <w:tcPr>
            <w:tcW w:w="600" w:type="dxa"/>
            <w:vAlign w:val="bottom"/>
            <w:tcBorders>
              <w:top w:val="single" w:sz="8" w:color="457157"/>
            </w:tcBorders>
            <w:shd w:val="clear" w:color="auto" w:fill="CCEEFF"/>
          </w:tcPr>
          <w:p>
            <w:pPr>
              <w:spacing w:after="0"/>
              <w:rPr>
                <w:sz w:val="17"/>
                <w:szCs w:val="17"/>
                <w:color w:val="auto"/>
              </w:rPr>
            </w:pPr>
          </w:p>
        </w:tc>
        <w:tc>
          <w:tcPr>
            <w:tcW w:w="280" w:type="dxa"/>
            <w:vAlign w:val="bottom"/>
            <w:tcBorders>
              <w:top w:val="single" w:sz="8" w:color="457157"/>
            </w:tcBorders>
            <w:shd w:val="clear" w:color="auto" w:fill="CCEEFF"/>
          </w:tcPr>
          <w:p>
            <w:pPr>
              <w:spacing w:after="0"/>
              <w:rPr>
                <w:sz w:val="17"/>
                <w:szCs w:val="17"/>
                <w:color w:val="auto"/>
              </w:rPr>
            </w:pPr>
          </w:p>
        </w:tc>
        <w:tc>
          <w:tcPr>
            <w:tcW w:w="10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$15,218</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$ 2,434</w:t>
            </w:r>
          </w:p>
        </w:tc>
        <w:tc>
          <w:tcPr>
            <w:tcW w:w="26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457157"/>
            </w:tcBorders>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$ 1,671</w:t>
            </w:r>
          </w:p>
        </w:tc>
        <w:tc>
          <w:tcPr>
            <w:tcW w:w="96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$ 4,105</w:t>
            </w:r>
          </w:p>
        </w:tc>
        <w:tc>
          <w:tcPr>
            <w:tcW w:w="80" w:type="dxa"/>
            <w:vAlign w:val="bottom"/>
            <w:tcBorders>
              <w:top w:val="single" w:sz="8" w:color="457157"/>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80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700" w:type="dxa"/>
            <w:vAlign w:val="bottom"/>
            <w:tcBorders>
              <w:bottom w:val="single" w:sz="8" w:color="457157"/>
            </w:tcBorders>
            <w:shd w:val="clear" w:color="auto" w:fill="CCEEFF"/>
          </w:tcPr>
          <w:p>
            <w:pPr>
              <w:spacing w:after="0"/>
              <w:rPr>
                <w:sz w:val="5"/>
                <w:szCs w:val="5"/>
                <w:color w:val="auto"/>
              </w:rPr>
            </w:pPr>
          </w:p>
        </w:tc>
        <w:tc>
          <w:tcPr>
            <w:tcW w:w="6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shd w:val="clear" w:color="auto" w:fill="CCEEFF"/>
          </w:tcPr>
          <w:p>
            <w:pPr>
              <w:spacing w:after="0"/>
              <w:rPr>
                <w:sz w:val="5"/>
                <w:szCs w:val="5"/>
                <w:color w:val="auto"/>
              </w:rPr>
            </w:pPr>
          </w:p>
        </w:tc>
        <w:tc>
          <w:tcPr>
            <w:tcW w:w="38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8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shd w:val="clear" w:color="auto" w:fill="CCEEFF"/>
          </w:tcPr>
          <w:p>
            <w:pPr>
              <w:ind w:left="200"/>
              <w:spacing w:after="0" w:line="68" w:lineRule="exact"/>
              <w:rPr>
                <w:sz w:val="20"/>
                <w:szCs w:val="20"/>
                <w:color w:val="auto"/>
              </w:rPr>
            </w:pPr>
            <w:r>
              <w:rPr>
                <w:rFonts w:ascii="Arial" w:cs="Arial" w:eastAsia="Arial" w:hAnsi="Arial"/>
                <w:sz w:val="7"/>
                <w:szCs w:val="7"/>
                <w:color w:val="auto"/>
              </w:rPr>
              <w:t>​​​</w:t>
            </w:r>
          </w:p>
        </w:tc>
        <w:tc>
          <w:tcPr>
            <w:tcW w:w="300" w:type="dxa"/>
            <w:vAlign w:val="bottom"/>
            <w:tcBorders>
              <w:left w:val="single" w:sz="8" w:color="CCEEFF"/>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920" w:type="dxa"/>
            <w:vAlign w:val="bottom"/>
            <w:gridSpan w:val="2"/>
          </w:tcPr>
          <w:p>
            <w:pPr>
              <w:spacing w:after="0" w:line="195" w:lineRule="exact"/>
              <w:rPr>
                <w:sz w:val="20"/>
                <w:szCs w:val="20"/>
                <w:color w:val="auto"/>
              </w:rPr>
            </w:pPr>
            <w:r>
              <w:rPr>
                <w:rFonts w:ascii="Arial" w:cs="Arial" w:eastAsia="Arial" w:hAnsi="Arial"/>
                <w:sz w:val="17"/>
                <w:szCs w:val="17"/>
                <w:color w:val="auto"/>
              </w:rPr>
              <w:t>Adjustments:</w:t>
            </w:r>
            <w:r>
              <w:rPr>
                <w:rFonts w:ascii="Arial" w:cs="Arial" w:eastAsia="Arial" w:hAnsi="Arial"/>
                <w:sz w:val="22"/>
                <w:szCs w:val="22"/>
                <w:color w:val="auto"/>
                <w:vertAlign w:val="superscript"/>
              </w:rPr>
              <w:t>(b)</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4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ind w:right="9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2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2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shd w:val="clear" w:color="auto" w:fill="CCEEFF"/>
          </w:tcPr>
          <w:p>
            <w:pPr>
              <w:spacing w:after="0"/>
              <w:rPr>
                <w:sz w:val="18"/>
                <w:szCs w:val="18"/>
                <w:color w:val="auto"/>
              </w:rPr>
            </w:pPr>
          </w:p>
        </w:tc>
        <w:tc>
          <w:tcPr>
            <w:tcW w:w="5920" w:type="dxa"/>
            <w:vAlign w:val="bottom"/>
            <w:tcBorders>
              <w:top w:val="single" w:sz="8" w:color="457157"/>
            </w:tcBorders>
            <w:gridSpan w:val="10"/>
            <w:shd w:val="clear" w:color="auto" w:fill="CCEEFF"/>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480" w:type="dxa"/>
            <w:vAlign w:val="bottom"/>
            <w:tcBorders>
              <w:top w:val="single" w:sz="8" w:color="457157"/>
            </w:tcBorders>
            <w:shd w:val="clear" w:color="auto" w:fill="CCEEFF"/>
          </w:tcPr>
          <w:p>
            <w:pPr>
              <w:spacing w:after="0"/>
              <w:rPr>
                <w:sz w:val="18"/>
                <w:szCs w:val="18"/>
                <w:color w:val="auto"/>
              </w:rPr>
            </w:pPr>
          </w:p>
        </w:tc>
        <w:tc>
          <w:tcPr>
            <w:tcW w:w="120" w:type="dxa"/>
            <w:vAlign w:val="bottom"/>
            <w:tcBorders>
              <w:top w:val="single" w:sz="8" w:color="457157"/>
            </w:tcBorders>
            <w:shd w:val="clear" w:color="auto" w:fill="CCEEFF"/>
          </w:tcPr>
          <w:p>
            <w:pPr>
              <w:spacing w:after="0"/>
              <w:rPr>
                <w:sz w:val="18"/>
                <w:szCs w:val="18"/>
                <w:color w:val="auto"/>
              </w:rPr>
            </w:pPr>
          </w:p>
        </w:tc>
        <w:tc>
          <w:tcPr>
            <w:tcW w:w="300" w:type="dxa"/>
            <w:vAlign w:val="bottom"/>
            <w:tcBorders>
              <w:top w:val="single" w:sz="8" w:color="457157"/>
            </w:tcBorders>
            <w:shd w:val="clear" w:color="auto" w:fill="CCEEFF"/>
          </w:tcPr>
          <w:p>
            <w:pPr>
              <w:spacing w:after="0"/>
              <w:rPr>
                <w:sz w:val="18"/>
                <w:szCs w:val="18"/>
                <w:color w:val="auto"/>
              </w:rPr>
            </w:pPr>
          </w:p>
        </w:tc>
        <w:tc>
          <w:tcPr>
            <w:tcW w:w="160" w:type="dxa"/>
            <w:vAlign w:val="bottom"/>
            <w:tcBorders>
              <w:top w:val="single" w:sz="8" w:color="457157"/>
            </w:tcBorders>
            <w:shd w:val="clear" w:color="auto" w:fill="CCEEFF"/>
          </w:tcPr>
          <w:p>
            <w:pPr>
              <w:spacing w:after="0"/>
              <w:rPr>
                <w:sz w:val="18"/>
                <w:szCs w:val="18"/>
                <w:color w:val="auto"/>
              </w:rPr>
            </w:pPr>
          </w:p>
        </w:tc>
        <w:tc>
          <w:tcPr>
            <w:tcW w:w="360" w:type="dxa"/>
            <w:vAlign w:val="bottom"/>
            <w:tcBorders>
              <w:top w:val="single" w:sz="8" w:color="457157"/>
            </w:tcBorders>
            <w:shd w:val="clear" w:color="auto" w:fill="CCEEFF"/>
          </w:tcPr>
          <w:p>
            <w:pPr>
              <w:spacing w:after="0"/>
              <w:rPr>
                <w:sz w:val="18"/>
                <w:szCs w:val="18"/>
                <w:color w:val="auto"/>
              </w:rPr>
            </w:pPr>
          </w:p>
        </w:tc>
        <w:tc>
          <w:tcPr>
            <w:tcW w:w="26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260" w:type="dxa"/>
            <w:vAlign w:val="bottom"/>
            <w:tcBorders>
              <w:top w:val="single" w:sz="8" w:color="457157"/>
            </w:tcBorders>
            <w:shd w:val="clear" w:color="auto" w:fill="CCEEFF"/>
          </w:tcPr>
          <w:p>
            <w:pPr>
              <w:spacing w:after="0"/>
              <w:rPr>
                <w:sz w:val="18"/>
                <w:szCs w:val="18"/>
                <w:color w:val="auto"/>
              </w:rPr>
            </w:pPr>
          </w:p>
        </w:tc>
        <w:tc>
          <w:tcPr>
            <w:tcW w:w="460" w:type="dxa"/>
            <w:vAlign w:val="bottom"/>
            <w:tcBorders>
              <w:top w:val="single" w:sz="8" w:color="457157"/>
            </w:tcBorders>
            <w:shd w:val="clear" w:color="auto" w:fill="CCEEFF"/>
          </w:tcPr>
          <w:p>
            <w:pPr>
              <w:spacing w:after="0"/>
              <w:rPr>
                <w:sz w:val="18"/>
                <w:szCs w:val="18"/>
                <w:color w:val="auto"/>
              </w:rPr>
            </w:pPr>
          </w:p>
        </w:tc>
        <w:tc>
          <w:tcPr>
            <w:tcW w:w="360" w:type="dxa"/>
            <w:vAlign w:val="bottom"/>
            <w:tcBorders>
              <w:top w:val="single" w:sz="8" w:color="457157"/>
            </w:tcBorders>
            <w:shd w:val="clear" w:color="auto" w:fill="CCEEFF"/>
          </w:tcPr>
          <w:p>
            <w:pPr>
              <w:spacing w:after="0"/>
              <w:rPr>
                <w:sz w:val="18"/>
                <w:szCs w:val="18"/>
                <w:color w:val="auto"/>
              </w:rPr>
            </w:pPr>
          </w:p>
        </w:tc>
        <w:tc>
          <w:tcPr>
            <w:tcW w:w="300" w:type="dxa"/>
            <w:vAlign w:val="bottom"/>
            <w:tcBorders>
              <w:top w:val="single" w:sz="8" w:color="457157"/>
              <w:left w:val="single" w:sz="8" w:color="CCEEFF"/>
            </w:tcBorders>
            <w:shd w:val="clear" w:color="auto" w:fill="CCEEFF"/>
          </w:tcPr>
          <w:p>
            <w:pPr>
              <w:spacing w:after="0"/>
              <w:rPr>
                <w:sz w:val="18"/>
                <w:szCs w:val="18"/>
                <w:color w:val="auto"/>
              </w:rPr>
            </w:pPr>
          </w:p>
        </w:tc>
        <w:tc>
          <w:tcPr>
            <w:tcW w:w="30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3660" w:type="dxa"/>
            <w:vAlign w:val="bottom"/>
            <w:tcBorders>
              <w:bottom w:val="single" w:sz="8" w:color="457157"/>
            </w:tcBorders>
            <w:gridSpan w:val="4"/>
            <w:shd w:val="clear" w:color="auto" w:fill="CCEEFF"/>
          </w:tcPr>
          <w:p>
            <w:pPr>
              <w:ind w:left="240"/>
              <w:spacing w:after="0"/>
              <w:rPr>
                <w:sz w:val="20"/>
                <w:szCs w:val="20"/>
                <w:color w:val="auto"/>
              </w:rPr>
            </w:pPr>
            <w:r>
              <w:rPr>
                <w:rFonts w:ascii="Arial" w:cs="Arial" w:eastAsia="Arial" w:hAnsi="Arial"/>
                <w:sz w:val="18"/>
                <w:szCs w:val="18"/>
                <w:color w:val="auto"/>
              </w:rPr>
              <w:t>Impairments and Unusual Items, Net”</w:t>
            </w:r>
          </w:p>
        </w:tc>
        <w:tc>
          <w:tcPr>
            <w:tcW w:w="80" w:type="dxa"/>
            <w:vAlign w:val="bottom"/>
            <w:tcBorders>
              <w:bottom w:val="single" w:sz="8" w:color="457157"/>
            </w:tcBorders>
            <w:shd w:val="clear" w:color="auto" w:fill="CCEEFF"/>
          </w:tcPr>
          <w:p>
            <w:pPr>
              <w:spacing w:after="0"/>
              <w:rPr>
                <w:sz w:val="22"/>
                <w:szCs w:val="22"/>
                <w:color w:val="auto"/>
              </w:rPr>
            </w:pPr>
          </w:p>
        </w:tc>
        <w:tc>
          <w:tcPr>
            <w:tcW w:w="700" w:type="dxa"/>
            <w:vAlign w:val="bottom"/>
            <w:tcBorders>
              <w:bottom w:val="single" w:sz="8" w:color="457157"/>
            </w:tcBorders>
            <w:shd w:val="clear" w:color="auto" w:fill="CCEEFF"/>
          </w:tcPr>
          <w:p>
            <w:pPr>
              <w:spacing w:after="0"/>
              <w:rPr>
                <w:sz w:val="22"/>
                <w:szCs w:val="22"/>
                <w:color w:val="auto"/>
              </w:rPr>
            </w:pPr>
          </w:p>
        </w:tc>
        <w:tc>
          <w:tcPr>
            <w:tcW w:w="600" w:type="dxa"/>
            <w:vAlign w:val="bottom"/>
            <w:tcBorders>
              <w:bottom w:val="single" w:sz="8" w:color="457157"/>
            </w:tcBorders>
            <w:shd w:val="clear" w:color="auto" w:fill="CCEEFF"/>
          </w:tcPr>
          <w:p>
            <w:pPr>
              <w:spacing w:after="0"/>
              <w:rPr>
                <w:sz w:val="22"/>
                <w:szCs w:val="22"/>
                <w:color w:val="auto"/>
              </w:rPr>
            </w:pPr>
          </w:p>
        </w:tc>
        <w:tc>
          <w:tcPr>
            <w:tcW w:w="280" w:type="dxa"/>
            <w:vAlign w:val="bottom"/>
            <w:tcBorders>
              <w:bottom w:val="single" w:sz="8" w:color="457157"/>
            </w:tcBorders>
            <w:shd w:val="clear" w:color="auto" w:fill="CCEEFF"/>
          </w:tcPr>
          <w:p>
            <w:pPr>
              <w:spacing w:after="0"/>
              <w:rPr>
                <w:sz w:val="22"/>
                <w:szCs w:val="22"/>
                <w:color w:val="auto"/>
              </w:rPr>
            </w:pPr>
          </w:p>
        </w:tc>
        <w:tc>
          <w:tcPr>
            <w:tcW w:w="380" w:type="dxa"/>
            <w:vAlign w:val="bottom"/>
            <w:tcBorders>
              <w:bottom w:val="single" w:sz="8" w:color="457157"/>
            </w:tcBorders>
            <w:shd w:val="clear" w:color="auto" w:fill="CCEEFF"/>
          </w:tcPr>
          <w:p>
            <w:pPr>
              <w:spacing w:after="0"/>
              <w:rPr>
                <w:sz w:val="22"/>
                <w:szCs w:val="22"/>
                <w:color w:val="auto"/>
              </w:rPr>
            </w:pPr>
          </w:p>
        </w:tc>
        <w:tc>
          <w:tcPr>
            <w:tcW w:w="2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57157"/>
            </w:tcBorders>
            <w:shd w:val="clear" w:color="auto" w:fill="CCEEFF"/>
          </w:tcPr>
          <w:p>
            <w:pPr>
              <w:spacing w:after="0"/>
              <w:rPr>
                <w:sz w:val="22"/>
                <w:szCs w:val="22"/>
                <w:color w:val="auto"/>
              </w:rPr>
            </w:pPr>
          </w:p>
        </w:tc>
        <w:tc>
          <w:tcPr>
            <w:tcW w:w="360" w:type="dxa"/>
            <w:vAlign w:val="bottom"/>
            <w:tcBorders>
              <w:bottom w:val="single" w:sz="8" w:color="457157"/>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57157"/>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57157"/>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3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gridSpan w:val="6"/>
          </w:tcPr>
          <w:p>
            <w:pPr>
              <w:ind w:left="60"/>
              <w:spacing w:after="0"/>
              <w:rPr>
                <w:sz w:val="20"/>
                <w:szCs w:val="20"/>
                <w:color w:val="auto"/>
              </w:rPr>
            </w:pPr>
            <w:r>
              <w:rPr>
                <w:rFonts w:ascii="Arial" w:cs="Arial" w:eastAsia="Arial" w:hAnsi="Arial"/>
                <w:sz w:val="18"/>
                <w:szCs w:val="18"/>
                <w:color w:val="auto"/>
              </w:rPr>
              <w:t>ADD: ADS acquistion and integration costs</w:t>
            </w: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0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300" w:type="dxa"/>
            <w:vAlign w:val="bottom"/>
          </w:tcPr>
          <w:p>
            <w:pPr>
              <w:ind w:left="6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149</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4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 xml:space="preserve">149 </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63"/>
        </w:trPr>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ADD: COVID-19 related costs</w:t>
            </w:r>
          </w:p>
        </w:tc>
        <w:tc>
          <w:tcPr>
            <w:tcW w:w="180" w:type="dxa"/>
            <w:vAlign w:val="bottom"/>
            <w:tcBorders>
              <w:top w:val="single" w:sz="8" w:color="457157"/>
              <w:bottom w:val="single" w:sz="8" w:color="457157"/>
            </w:tcBorders>
            <w:shd w:val="clear" w:color="auto" w:fill="CCEEFF"/>
          </w:tcPr>
          <w:p>
            <w:pPr>
              <w:spacing w:after="0"/>
              <w:rPr>
                <w:sz w:val="22"/>
                <w:szCs w:val="22"/>
                <w:color w:val="auto"/>
              </w:rPr>
            </w:pPr>
          </w:p>
        </w:tc>
        <w:tc>
          <w:tcPr>
            <w:tcW w:w="220" w:type="dxa"/>
            <w:vAlign w:val="bottom"/>
            <w:tcBorders>
              <w:top w:val="single" w:sz="8" w:color="457157"/>
              <w:bottom w:val="single" w:sz="8" w:color="457157"/>
            </w:tcBorders>
            <w:shd w:val="clear" w:color="auto" w:fill="CCEEFF"/>
          </w:tcPr>
          <w:p>
            <w:pPr>
              <w:spacing w:after="0"/>
              <w:rPr>
                <w:sz w:val="22"/>
                <w:szCs w:val="22"/>
                <w:color w:val="auto"/>
              </w:rPr>
            </w:pPr>
          </w:p>
        </w:tc>
        <w:tc>
          <w:tcPr>
            <w:tcW w:w="460" w:type="dxa"/>
            <w:vAlign w:val="bottom"/>
            <w:tcBorders>
              <w:top w:val="single" w:sz="8" w:color="457157"/>
              <w:bottom w:val="single" w:sz="8" w:color="457157"/>
            </w:tcBorders>
            <w:shd w:val="clear" w:color="auto" w:fill="CCEEFF"/>
          </w:tcPr>
          <w:p>
            <w:pPr>
              <w:spacing w:after="0"/>
              <w:rPr>
                <w:sz w:val="22"/>
                <w:szCs w:val="22"/>
                <w:color w:val="auto"/>
              </w:rPr>
            </w:pPr>
          </w:p>
        </w:tc>
        <w:tc>
          <w:tcPr>
            <w:tcW w:w="80" w:type="dxa"/>
            <w:vAlign w:val="bottom"/>
            <w:tcBorders>
              <w:top w:val="single" w:sz="8" w:color="457157"/>
              <w:bottom w:val="single" w:sz="8" w:color="457157"/>
            </w:tcBorders>
            <w:shd w:val="clear" w:color="auto" w:fill="CCEEFF"/>
          </w:tcPr>
          <w:p>
            <w:pPr>
              <w:spacing w:after="0"/>
              <w:rPr>
                <w:sz w:val="22"/>
                <w:szCs w:val="22"/>
                <w:color w:val="auto"/>
              </w:rPr>
            </w:pPr>
          </w:p>
        </w:tc>
        <w:tc>
          <w:tcPr>
            <w:tcW w:w="700" w:type="dxa"/>
            <w:vAlign w:val="bottom"/>
            <w:tcBorders>
              <w:top w:val="single" w:sz="8" w:color="457157"/>
              <w:bottom w:val="single" w:sz="8" w:color="457157"/>
            </w:tcBorders>
            <w:shd w:val="clear" w:color="auto" w:fill="CCEEFF"/>
          </w:tcPr>
          <w:p>
            <w:pPr>
              <w:spacing w:after="0"/>
              <w:rPr>
                <w:sz w:val="22"/>
                <w:szCs w:val="22"/>
                <w:color w:val="auto"/>
              </w:rPr>
            </w:pPr>
          </w:p>
        </w:tc>
        <w:tc>
          <w:tcPr>
            <w:tcW w:w="600" w:type="dxa"/>
            <w:vAlign w:val="bottom"/>
            <w:tcBorders>
              <w:top w:val="single" w:sz="8" w:color="457157"/>
              <w:bottom w:val="single" w:sz="8" w:color="457157"/>
            </w:tcBorders>
            <w:shd w:val="clear" w:color="auto" w:fill="CCEEFF"/>
          </w:tcPr>
          <w:p>
            <w:pPr>
              <w:spacing w:after="0"/>
              <w:rPr>
                <w:sz w:val="22"/>
                <w:szCs w:val="22"/>
                <w:color w:val="auto"/>
              </w:rPr>
            </w:pPr>
          </w:p>
        </w:tc>
        <w:tc>
          <w:tcPr>
            <w:tcW w:w="280" w:type="dxa"/>
            <w:vAlign w:val="bottom"/>
            <w:tcBorders>
              <w:top w:val="single" w:sz="8" w:color="457157"/>
              <w:bottom w:val="single" w:sz="8" w:color="457157"/>
            </w:tcBorders>
            <w:shd w:val="clear" w:color="auto" w:fill="CCEEFF"/>
          </w:tcPr>
          <w:p>
            <w:pPr>
              <w:spacing w:after="0"/>
              <w:rPr>
                <w:sz w:val="22"/>
                <w:szCs w:val="22"/>
                <w:color w:val="auto"/>
              </w:rPr>
            </w:pPr>
          </w:p>
        </w:tc>
        <w:tc>
          <w:tcPr>
            <w:tcW w:w="380" w:type="dxa"/>
            <w:vAlign w:val="bottom"/>
            <w:tcBorders>
              <w:top w:val="single" w:sz="8" w:color="457157"/>
              <w:bottom w:val="single" w:sz="8" w:color="457157"/>
            </w:tcBorders>
            <w:shd w:val="clear" w:color="auto" w:fill="CCEEFF"/>
          </w:tcPr>
          <w:p>
            <w:pPr>
              <w:spacing w:after="0"/>
              <w:rPr>
                <w:sz w:val="22"/>
                <w:szCs w:val="22"/>
                <w:color w:val="auto"/>
              </w:rPr>
            </w:pPr>
          </w:p>
        </w:tc>
        <w:tc>
          <w:tcPr>
            <w:tcW w:w="220" w:type="dxa"/>
            <w:vAlign w:val="bottom"/>
            <w:tcBorders>
              <w:top w:val="single" w:sz="8" w:color="457157"/>
              <w:bottom w:val="single" w:sz="8" w:color="457157"/>
            </w:tcBorders>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00" w:type="dxa"/>
            <w:vAlign w:val="bottom"/>
            <w:tcBorders>
              <w:top w:val="single" w:sz="8" w:color="457157"/>
              <w:bottom w:val="single" w:sz="8" w:color="457157"/>
            </w:tcBorders>
            <w:gridSpan w:val="2"/>
            <w:shd w:val="clear" w:color="auto" w:fill="CCEEFF"/>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300" w:type="dxa"/>
            <w:vAlign w:val="bottom"/>
            <w:tcBorders>
              <w:top w:val="single" w:sz="8" w:color="457157"/>
              <w:bottom w:val="single" w:sz="8" w:color="457157"/>
            </w:tcBorders>
            <w:shd w:val="clear" w:color="auto" w:fill="CCEEFF"/>
          </w:tcPr>
          <w:p>
            <w:pPr>
              <w:ind w:left="6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60" w:type="dxa"/>
            <w:vAlign w:val="bottom"/>
            <w:tcBorders>
              <w:top w:val="single" w:sz="8" w:color="457157"/>
              <w:bottom w:val="single" w:sz="8" w:color="457157"/>
            </w:tcBorders>
            <w:shd w:val="clear" w:color="auto" w:fill="CCEEFF"/>
          </w:tcPr>
          <w:p>
            <w:pPr>
              <w:spacing w:after="0"/>
              <w:rPr>
                <w:sz w:val="22"/>
                <w:szCs w:val="22"/>
                <w:color w:val="auto"/>
              </w:rPr>
            </w:pPr>
          </w:p>
        </w:tc>
        <w:tc>
          <w:tcPr>
            <w:tcW w:w="360" w:type="dxa"/>
            <w:vAlign w:val="bottom"/>
            <w:tcBorders>
              <w:top w:val="single" w:sz="8" w:color="457157"/>
              <w:bottom w:val="single" w:sz="8" w:color="457157"/>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457157"/>
              <w:bottom w:val="single" w:sz="8" w:color="457157"/>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457157"/>
              <w:bottom w:val="single" w:sz="8" w:color="457157"/>
            </w:tcBorders>
            <w:gridSpan w:val="2"/>
            <w:shd w:val="clear" w:color="auto" w:fill="CCEEFF"/>
          </w:tcPr>
          <w:p>
            <w:pPr>
              <w:ind w:left="2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38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ADD: Strategic initiative costs</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0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30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160" w:type="dxa"/>
            <w:vAlign w:val="bottom"/>
          </w:tcPr>
          <w:p>
            <w:pPr>
              <w:spacing w:after="0"/>
              <w:rPr>
                <w:sz w:val="22"/>
                <w:szCs w:val="22"/>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0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4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 xml:space="preserve">27 </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196"/>
        </w:trPr>
        <w:tc>
          <w:tcPr>
            <w:tcW w:w="3320" w:type="dxa"/>
            <w:vAlign w:val="bottom"/>
            <w:tcBorders>
              <w:top w:val="single" w:sz="8" w:color="457157"/>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460" w:type="dxa"/>
            <w:vAlign w:val="bottom"/>
            <w:tcBorders>
              <w:top w:val="single" w:sz="8" w:color="457157"/>
            </w:tcBorders>
            <w:shd w:val="clear" w:color="auto" w:fill="CCEEFF"/>
          </w:tcPr>
          <w:p>
            <w:pPr>
              <w:spacing w:after="0"/>
              <w:rPr>
                <w:sz w:val="17"/>
                <w:szCs w:val="17"/>
                <w:color w:val="auto"/>
              </w:rPr>
            </w:pPr>
          </w:p>
        </w:tc>
        <w:tc>
          <w:tcPr>
            <w:tcW w:w="80" w:type="dxa"/>
            <w:vAlign w:val="bottom"/>
            <w:tcBorders>
              <w:top w:val="single" w:sz="8" w:color="457157"/>
            </w:tcBorders>
            <w:shd w:val="clear" w:color="auto" w:fill="CCEEFF"/>
          </w:tcPr>
          <w:p>
            <w:pPr>
              <w:spacing w:after="0"/>
              <w:rPr>
                <w:sz w:val="17"/>
                <w:szCs w:val="17"/>
                <w:color w:val="auto"/>
              </w:rPr>
            </w:pPr>
          </w:p>
        </w:tc>
        <w:tc>
          <w:tcPr>
            <w:tcW w:w="700" w:type="dxa"/>
            <w:vAlign w:val="bottom"/>
            <w:tcBorders>
              <w:top w:val="single" w:sz="8" w:color="457157"/>
            </w:tcBorders>
            <w:shd w:val="clear" w:color="auto" w:fill="CCEEFF"/>
          </w:tcPr>
          <w:p>
            <w:pPr>
              <w:spacing w:after="0"/>
              <w:rPr>
                <w:sz w:val="17"/>
                <w:szCs w:val="17"/>
                <w:color w:val="auto"/>
              </w:rPr>
            </w:pPr>
          </w:p>
        </w:tc>
        <w:tc>
          <w:tcPr>
            <w:tcW w:w="600" w:type="dxa"/>
            <w:vAlign w:val="bottom"/>
            <w:tcBorders>
              <w:top w:val="single" w:sz="8" w:color="457157"/>
            </w:tcBorders>
            <w:shd w:val="clear" w:color="auto" w:fill="CCEEFF"/>
          </w:tcPr>
          <w:p>
            <w:pPr>
              <w:spacing w:after="0"/>
              <w:rPr>
                <w:sz w:val="17"/>
                <w:szCs w:val="17"/>
                <w:color w:val="auto"/>
              </w:rPr>
            </w:pPr>
          </w:p>
        </w:tc>
        <w:tc>
          <w:tcPr>
            <w:tcW w:w="280" w:type="dxa"/>
            <w:vAlign w:val="bottom"/>
            <w:tcBorders>
              <w:top w:val="single" w:sz="8" w:color="457157"/>
            </w:tcBorders>
            <w:shd w:val="clear" w:color="auto" w:fill="CCEEFF"/>
          </w:tcPr>
          <w:p>
            <w:pPr>
              <w:spacing w:after="0"/>
              <w:rPr>
                <w:sz w:val="17"/>
                <w:szCs w:val="17"/>
                <w:color w:val="auto"/>
              </w:rPr>
            </w:pPr>
          </w:p>
        </w:tc>
        <w:tc>
          <w:tcPr>
            <w:tcW w:w="10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$15,218</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$ 2,700</w:t>
            </w:r>
          </w:p>
        </w:tc>
        <w:tc>
          <w:tcPr>
            <w:tcW w:w="26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457157"/>
            </w:tcBorders>
            <w:gridSpan w:val="3"/>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$ 1,671</w:t>
            </w:r>
          </w:p>
        </w:tc>
        <w:tc>
          <w:tcPr>
            <w:tcW w:w="96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$ 4,371</w:t>
            </w:r>
          </w:p>
        </w:tc>
        <w:tc>
          <w:tcPr>
            <w:tcW w:w="80" w:type="dxa"/>
            <w:vAlign w:val="bottom"/>
            <w:tcBorders>
              <w:top w:val="single" w:sz="8" w:color="457157"/>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80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700" w:type="dxa"/>
            <w:vAlign w:val="bottom"/>
            <w:tcBorders>
              <w:bottom w:val="single" w:sz="8" w:color="457157"/>
            </w:tcBorders>
            <w:shd w:val="clear" w:color="auto" w:fill="CCEEFF"/>
          </w:tcPr>
          <w:p>
            <w:pPr>
              <w:spacing w:after="0"/>
              <w:rPr>
                <w:sz w:val="5"/>
                <w:szCs w:val="5"/>
                <w:color w:val="auto"/>
              </w:rPr>
            </w:pPr>
          </w:p>
        </w:tc>
        <w:tc>
          <w:tcPr>
            <w:tcW w:w="6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shd w:val="clear" w:color="auto" w:fill="CCEEFF"/>
          </w:tcPr>
          <w:p>
            <w:pPr>
              <w:spacing w:after="0"/>
              <w:rPr>
                <w:sz w:val="5"/>
                <w:szCs w:val="5"/>
                <w:color w:val="auto"/>
              </w:rPr>
            </w:pPr>
          </w:p>
        </w:tc>
        <w:tc>
          <w:tcPr>
            <w:tcW w:w="38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8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shd w:val="clear" w:color="auto" w:fill="CCEEFF"/>
          </w:tcPr>
          <w:p>
            <w:pPr>
              <w:spacing w:after="0"/>
              <w:rPr>
                <w:sz w:val="5"/>
                <w:szCs w:val="5"/>
                <w:color w:val="auto"/>
              </w:rPr>
            </w:pPr>
          </w:p>
        </w:tc>
        <w:tc>
          <w:tcPr>
            <w:tcW w:w="26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shd w:val="clear" w:color="auto" w:fill="CCEEFF"/>
          </w:tcPr>
          <w:p>
            <w:pPr>
              <w:ind w:left="200"/>
              <w:spacing w:after="0" w:line="68" w:lineRule="exact"/>
              <w:rPr>
                <w:sz w:val="20"/>
                <w:szCs w:val="20"/>
                <w:color w:val="auto"/>
              </w:rPr>
            </w:pPr>
            <w:r>
              <w:rPr>
                <w:rFonts w:ascii="Arial" w:cs="Arial" w:eastAsia="Arial" w:hAnsi="Arial"/>
                <w:sz w:val="7"/>
                <w:szCs w:val="7"/>
                <w:color w:val="auto"/>
              </w:rPr>
              <w:t>​​​</w:t>
            </w:r>
          </w:p>
        </w:tc>
        <w:tc>
          <w:tcPr>
            <w:tcW w:w="300" w:type="dxa"/>
            <w:vAlign w:val="bottom"/>
            <w:tcBorders>
              <w:left w:val="single" w:sz="8" w:color="CCEEFF"/>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800" w:type="dxa"/>
            <w:vAlign w:val="bottom"/>
          </w:tcPr>
          <w:p>
            <w:pPr>
              <w:spacing w:after="0"/>
              <w:rPr>
                <w:sz w:val="24"/>
                <w:szCs w:val="24"/>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b w:val="1"/>
                <w:bCs w:val="1"/>
                <w:color w:val="457157"/>
              </w:rPr>
              <w:t>​ ​</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gridSpan w:val="10"/>
          </w:tcPr>
          <w:p>
            <w:pPr>
              <w:jc w:val="center"/>
              <w:spacing w:after="0"/>
              <w:rPr>
                <w:sz w:val="20"/>
                <w:szCs w:val="20"/>
                <w:color w:val="auto"/>
              </w:rPr>
            </w:pPr>
            <w:r>
              <w:rPr>
                <w:rFonts w:ascii="Arial" w:cs="Arial" w:eastAsia="Arial" w:hAnsi="Arial"/>
                <w:sz w:val="14"/>
                <w:szCs w:val="14"/>
                <w:b w:val="1"/>
                <w:bCs w:val="1"/>
                <w:color w:val="457157"/>
              </w:rPr>
              <w:t>Three Years Ended December 31, 2023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jc w:val="right"/>
              <w:ind w:right="156"/>
              <w:spacing w:after="0"/>
              <w:rPr>
                <w:sz w:val="20"/>
                <w:szCs w:val="20"/>
                <w:color w:val="auto"/>
              </w:rPr>
            </w:pPr>
            <w:r>
              <w:rPr>
                <w:rFonts w:ascii="Arial" w:cs="Arial" w:eastAsia="Arial" w:hAnsi="Arial"/>
                <w:sz w:val="14"/>
                <w:szCs w:val="14"/>
                <w:b w:val="1"/>
                <w:bCs w:val="1"/>
                <w:color w:val="457157"/>
              </w:rPr>
              <w:t>​</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1840" w:type="dxa"/>
            <w:vAlign w:val="bottom"/>
            <w:tcBorders>
              <w:top w:val="single" w:sz="8" w:color="457157"/>
            </w:tcBorders>
            <w:gridSpan w:val="4"/>
          </w:tcPr>
          <w:p>
            <w:pPr>
              <w:jc w:val="right"/>
              <w:ind w:right="212"/>
              <w:spacing w:after="0"/>
              <w:rPr>
                <w:sz w:val="20"/>
                <w:szCs w:val="20"/>
                <w:color w:val="auto"/>
              </w:rPr>
            </w:pPr>
            <w:r>
              <w:rPr>
                <w:rFonts w:ascii="Arial" w:cs="Arial" w:eastAsia="Arial" w:hAnsi="Arial"/>
                <w:sz w:val="14"/>
                <w:szCs w:val="14"/>
                <w:b w:val="1"/>
                <w:bCs w:val="1"/>
                <w:color w:val="457157"/>
              </w:rPr>
              <w:t>Net Cash Provided</w:t>
            </w:r>
          </w:p>
        </w:tc>
        <w:tc>
          <w:tcPr>
            <w:tcW w:w="280" w:type="dxa"/>
            <w:vAlign w:val="bottom"/>
            <w:tcBorders>
              <w:top w:val="single" w:sz="8" w:color="457157"/>
            </w:tcBorders>
          </w:tcPr>
          <w:p>
            <w:pPr>
              <w:spacing w:after="0"/>
              <w:rPr>
                <w:sz w:val="15"/>
                <w:szCs w:val="15"/>
                <w:color w:val="auto"/>
              </w:rPr>
            </w:pPr>
          </w:p>
        </w:tc>
        <w:tc>
          <w:tcPr>
            <w:tcW w:w="60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Capital</w:t>
            </w:r>
          </w:p>
        </w:tc>
        <w:tc>
          <w:tcPr>
            <w:tcW w:w="2140" w:type="dxa"/>
            <w:vAlign w:val="bottom"/>
            <w:tcBorders>
              <w:top w:val="single" w:sz="8" w:color="457157"/>
            </w:tcBorders>
            <w:gridSpan w:val="8"/>
          </w:tcPr>
          <w:p>
            <w:pPr>
              <w:ind w:left="240"/>
              <w:spacing w:after="0"/>
              <w:rPr>
                <w:sz w:val="20"/>
                <w:szCs w:val="20"/>
                <w:color w:val="auto"/>
              </w:rPr>
            </w:pPr>
            <w:r>
              <w:rPr>
                <w:rFonts w:ascii="Arial" w:cs="Arial" w:eastAsia="Arial" w:hAnsi="Arial"/>
                <w:sz w:val="14"/>
                <w:szCs w:val="14"/>
                <w:b w:val="1"/>
                <w:bCs w:val="1"/>
                <w:color w:val="457157"/>
              </w:rPr>
              <w:t>Proceeds from Normal</w:t>
            </w:r>
          </w:p>
        </w:tc>
        <w:tc>
          <w:tcPr>
            <w:tcW w:w="82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Cash Flow</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20" w:type="dxa"/>
            <w:vAlign w:val="bottom"/>
            <w:vMerge w:val="continue"/>
          </w:tcPr>
          <w:p>
            <w:pPr>
              <w:spacing w:after="0"/>
              <w:rPr>
                <w:sz w:val="17"/>
                <w:szCs w:val="17"/>
                <w:color w:val="auto"/>
              </w:rPr>
            </w:pP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0" w:type="dxa"/>
            <w:vAlign w:val="bottom"/>
            <w:gridSpan w:val="19"/>
          </w:tcPr>
          <w:p>
            <w:pPr>
              <w:jc w:val="center"/>
              <w:ind w:right="116"/>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by Operating Activities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Expenditures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Course Divestitures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Generation </w:t>
            </w:r>
            <w:r>
              <w:rPr>
                <w:rFonts w:ascii="Arial" w:cs="Arial" w:eastAsia="Arial" w:hAnsi="Arial"/>
                <w:sz w:val="22"/>
                <w:szCs w:val="22"/>
                <w:b w:val="1"/>
                <w:bCs w:val="1"/>
                <w:color w:val="457157"/>
                <w:vertAlign w:val="subscript"/>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0" w:type="dxa"/>
            <w:vAlign w:val="bottom"/>
            <w:gridSpan w:val="2"/>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20" w:type="dxa"/>
            <w:vAlign w:val="bottom"/>
            <w:gridSpan w:val="3"/>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080" w:type="dxa"/>
            <w:vAlign w:val="bottom"/>
            <w:gridSpan w:val="3"/>
            <w:shd w:val="clear" w:color="auto" w:fill="457157"/>
          </w:tcPr>
          <w:p>
            <w:pPr>
              <w:spacing w:after="0" w:line="20" w:lineRule="exact"/>
              <w:rPr>
                <w:sz w:val="1"/>
                <w:szCs w:val="1"/>
                <w:color w:val="auto"/>
              </w:rPr>
            </w:pPr>
          </w:p>
        </w:tc>
        <w:tc>
          <w:tcPr>
            <w:tcW w:w="300" w:type="dxa"/>
            <w:vAlign w:val="bottom"/>
            <w:tcBorders>
              <w:left w:val="single" w:sz="8" w:color="45715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92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As reported amounts</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13,593</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9"/>
              <w:spacing w:after="0"/>
              <w:rPr>
                <w:sz w:val="20"/>
                <w:szCs w:val="20"/>
                <w:color w:val="auto"/>
              </w:rPr>
            </w:pPr>
            <w:r>
              <w:rPr>
                <w:rFonts w:ascii="Arial" w:cs="Arial" w:eastAsia="Arial" w:hAnsi="Arial"/>
                <w:sz w:val="18"/>
                <w:szCs w:val="18"/>
                <w:color w:val="auto"/>
              </w:rPr>
              <w:t>7,386</w:t>
            </w:r>
          </w:p>
        </w:tc>
        <w:tc>
          <w:tcPr>
            <w:tcW w:w="480" w:type="dxa"/>
            <w:vAlign w:val="bottom"/>
          </w:tcPr>
          <w:p>
            <w:pPr>
              <w:jc w:val="right"/>
              <w:ind w:right="175"/>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22"/>
                <w:szCs w:val="22"/>
                <w:color w:val="auto"/>
              </w:rPr>
            </w:pPr>
          </w:p>
        </w:tc>
        <w:tc>
          <w:tcPr>
            <w:tcW w:w="820" w:type="dxa"/>
            <w:vAlign w:val="bottom"/>
            <w:gridSpan w:val="3"/>
          </w:tcPr>
          <w:p>
            <w:pPr>
              <w:ind w:left="2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$ 201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4"/>
          </w:tcPr>
          <w:p>
            <w:pPr>
              <w:jc w:val="right"/>
              <w:ind w:right="116"/>
              <w:spacing w:after="0" w:line="264" w:lineRule="exact"/>
              <w:rPr>
                <w:sz w:val="20"/>
                <w:szCs w:val="20"/>
                <w:color w:val="auto"/>
              </w:rPr>
            </w:pPr>
            <w:r>
              <w:rPr>
                <w:rFonts w:ascii="Arial" w:cs="Arial" w:eastAsia="Arial" w:hAnsi="Arial"/>
                <w:sz w:val="16"/>
                <w:szCs w:val="16"/>
                <w:color w:val="auto"/>
              </w:rPr>
              <w:t>​ ​ ​ ​</w:t>
            </w:r>
            <w:r>
              <w:rPr>
                <w:rFonts w:ascii="Arial" w:cs="Arial" w:eastAsia="Arial" w:hAnsi="Arial"/>
                <w:sz w:val="30"/>
                <w:szCs w:val="30"/>
                <w:color w:val="auto"/>
                <w:vertAlign w:val="superscript"/>
              </w:rPr>
              <w:t>$ 6,408</w:t>
            </w:r>
            <w:r>
              <w:rPr>
                <w:rFonts w:ascii="Arial" w:cs="Arial" w:eastAsia="Arial" w:hAnsi="Arial"/>
                <w:sz w:val="16"/>
                <w:szCs w:val="16"/>
                <w:color w:val="auto"/>
              </w:rPr>
              <w:t xml:space="preserve"> ​​</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2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300" w:type="dxa"/>
            <w:vAlign w:val="bottom"/>
            <w:tcBorders>
              <w:left w:val="single" w:sz="8" w:color="45715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920" w:type="dxa"/>
            <w:vAlign w:val="bottom"/>
            <w:gridSpan w:val="2"/>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Adjustments:</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22"/>
                <w:szCs w:val="22"/>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5"/>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 ​ ​</w:t>
            </w:r>
          </w:p>
        </w:tc>
        <w:tc>
          <w:tcPr>
            <w:tcW w:w="460" w:type="dxa"/>
            <w:vAlign w:val="bottom"/>
          </w:tcPr>
          <w:p>
            <w:pPr>
              <w:jc w:val="right"/>
              <w:ind w:right="133"/>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116"/>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28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600" w:type="dxa"/>
            <w:vAlign w:val="bottom"/>
            <w:gridSpan w:val="2"/>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720" w:type="dxa"/>
            <w:vAlign w:val="bottom"/>
            <w:gridSpan w:val="2"/>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300" w:type="dxa"/>
            <w:vAlign w:val="bottom"/>
            <w:tcBorders>
              <w:left w:val="single" w:sz="8" w:color="45715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ind w:left="80"/>
              <w:spacing w:after="0"/>
              <w:rPr>
                <w:sz w:val="20"/>
                <w:szCs w:val="20"/>
                <w:color w:val="auto"/>
              </w:rPr>
            </w:pPr>
            <w:r>
              <w:rPr>
                <w:rFonts w:ascii="Arial" w:cs="Arial" w:eastAsia="Arial" w:hAnsi="Arial"/>
                <w:sz w:val="18"/>
                <w:szCs w:val="18"/>
                <w:color w:val="auto"/>
              </w:rPr>
              <w:t>Restructuring</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5"/>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 xml:space="preserve">​ ​ ​ ​ </w:t>
            </w:r>
            <w:r>
              <w:rPr>
                <w:rFonts w:ascii="Arial" w:cs="Arial" w:eastAsia="Arial" w:hAnsi="Arial"/>
                <w:sz w:val="30"/>
                <w:szCs w:val="30"/>
                <w:color w:val="auto"/>
                <w:vertAlign w:val="superscript"/>
              </w:rPr>
              <w:t>​</w:t>
            </w:r>
          </w:p>
        </w:tc>
        <w:tc>
          <w:tcPr>
            <w:tcW w:w="360" w:type="dxa"/>
            <w:vAlign w:val="bottom"/>
          </w:tcPr>
          <w:p>
            <w:pPr>
              <w:jc w:val="right"/>
              <w:ind w:right="1"/>
              <w:spacing w:after="0"/>
              <w:rPr>
                <w:sz w:val="20"/>
                <w:szCs w:val="20"/>
                <w:color w:val="auto"/>
              </w:rPr>
            </w:pPr>
            <w:r>
              <w:rPr>
                <w:rFonts w:ascii="Arial" w:cs="Arial" w:eastAsia="Arial" w:hAnsi="Arial"/>
                <w:sz w:val="18"/>
                <w:szCs w:val="18"/>
                <w:color w:val="auto"/>
              </w:rPr>
              <w:t>9</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2800" w:type="dxa"/>
            <w:vAlign w:val="bottom"/>
            <w:tcBorders>
              <w:top w:val="single" w:sz="8" w:color="457157"/>
            </w:tcBorders>
          </w:tcPr>
          <w:p>
            <w:pPr>
              <w:ind w:left="80"/>
              <w:spacing w:after="0"/>
              <w:rPr>
                <w:sz w:val="20"/>
                <w:szCs w:val="20"/>
                <w:color w:val="auto"/>
              </w:rPr>
            </w:pPr>
            <w:r>
              <w:rPr>
                <w:rFonts w:ascii="Arial" w:cs="Arial" w:eastAsia="Arial" w:hAnsi="Arial"/>
                <w:sz w:val="18"/>
                <w:szCs w:val="18"/>
                <w:color w:val="auto"/>
              </w:rPr>
              <w:t>Costs associated with labor</w:t>
            </w:r>
          </w:p>
        </w:tc>
        <w:tc>
          <w:tcPr>
            <w:tcW w:w="1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700" w:type="dxa"/>
            <w:vAlign w:val="bottom"/>
            <w:tcBorders>
              <w:top w:val="single" w:sz="8" w:color="457157"/>
            </w:tcBorders>
          </w:tcPr>
          <w:p>
            <w:pPr>
              <w:spacing w:after="0"/>
              <w:rPr>
                <w:sz w:val="18"/>
                <w:szCs w:val="18"/>
                <w:color w:val="auto"/>
              </w:rPr>
            </w:pPr>
          </w:p>
        </w:tc>
        <w:tc>
          <w:tcPr>
            <w:tcW w:w="6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8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disruptions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multiemployer plan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ind w:left="260"/>
              <w:spacing w:after="0"/>
              <w:rPr>
                <w:sz w:val="20"/>
                <w:szCs w:val="20"/>
                <w:color w:val="auto"/>
              </w:rPr>
            </w:pPr>
            <w:r>
              <w:rPr>
                <w:rFonts w:ascii="Arial" w:cs="Arial" w:eastAsia="Arial" w:hAnsi="Arial"/>
                <w:sz w:val="18"/>
                <w:szCs w:val="18"/>
                <w:color w:val="auto"/>
              </w:rPr>
              <w:t>withdrawal</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5"/>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 ​ ​ ​ ​</w:t>
            </w:r>
          </w:p>
        </w:tc>
        <w:tc>
          <w:tcPr>
            <w:tcW w:w="360" w:type="dxa"/>
            <w:vAlign w:val="bottom"/>
          </w:tcPr>
          <w:p>
            <w:pPr>
              <w:jc w:val="right"/>
              <w:ind w:right="1"/>
              <w:spacing w:after="0"/>
              <w:rPr>
                <w:sz w:val="20"/>
                <w:szCs w:val="20"/>
                <w:color w:val="auto"/>
              </w:rPr>
            </w:pPr>
            <w:r>
              <w:rPr>
                <w:rFonts w:ascii="Arial" w:cs="Arial" w:eastAsia="Arial" w:hAnsi="Arial"/>
                <w:sz w:val="18"/>
                <w:szCs w:val="18"/>
                <w:color w:val="auto"/>
              </w:rPr>
              <w:t>8</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2800" w:type="dxa"/>
            <w:vAlign w:val="bottom"/>
            <w:tcBorders>
              <w:top w:val="single" w:sz="8" w:color="457157"/>
            </w:tcBorders>
          </w:tcPr>
          <w:p>
            <w:pPr>
              <w:ind w:left="80"/>
              <w:spacing w:after="0"/>
              <w:rPr>
                <w:sz w:val="20"/>
                <w:szCs w:val="20"/>
                <w:color w:val="auto"/>
              </w:rPr>
            </w:pPr>
            <w:r>
              <w:rPr>
                <w:rFonts w:ascii="Arial" w:cs="Arial" w:eastAsia="Arial" w:hAnsi="Arial"/>
                <w:sz w:val="18"/>
                <w:szCs w:val="18"/>
                <w:color w:val="auto"/>
              </w:rPr>
              <w:t>Costs incurred in support of</w:t>
            </w:r>
          </w:p>
        </w:tc>
        <w:tc>
          <w:tcPr>
            <w:tcW w:w="1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700" w:type="dxa"/>
            <w:vAlign w:val="bottom"/>
            <w:tcBorders>
              <w:top w:val="single" w:sz="8" w:color="457157"/>
            </w:tcBorders>
          </w:tcPr>
          <w:p>
            <w:pPr>
              <w:spacing w:after="0"/>
              <w:rPr>
                <w:sz w:val="18"/>
                <w:szCs w:val="18"/>
                <w:color w:val="auto"/>
              </w:rPr>
            </w:pPr>
          </w:p>
        </w:tc>
        <w:tc>
          <w:tcPr>
            <w:tcW w:w="6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8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ind w:left="260"/>
              <w:spacing w:after="0"/>
              <w:rPr>
                <w:sz w:val="20"/>
                <w:szCs w:val="20"/>
                <w:color w:val="auto"/>
              </w:rPr>
            </w:pPr>
            <w:r>
              <w:rPr>
                <w:rFonts w:ascii="Arial" w:cs="Arial" w:eastAsia="Arial" w:hAnsi="Arial"/>
                <w:sz w:val="18"/>
                <w:szCs w:val="18"/>
                <w:color w:val="auto"/>
              </w:rPr>
              <w:t>strategic acquisitions</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5"/>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 ​ ​ ​ ​</w:t>
            </w:r>
          </w:p>
        </w:tc>
        <w:tc>
          <w:tcPr>
            <w:tcW w:w="360" w:type="dxa"/>
            <w:vAlign w:val="bottom"/>
          </w:tcPr>
          <w:p>
            <w:pPr>
              <w:jc w:val="right"/>
              <w:ind w:right="1"/>
              <w:spacing w:after="0"/>
              <w:rPr>
                <w:sz w:val="20"/>
                <w:szCs w:val="20"/>
                <w:color w:val="auto"/>
              </w:rPr>
            </w:pPr>
            <w:r>
              <w:rPr>
                <w:rFonts w:ascii="Arial" w:cs="Arial" w:eastAsia="Arial" w:hAnsi="Arial"/>
                <w:sz w:val="18"/>
                <w:szCs w:val="18"/>
                <w:color w:val="auto"/>
              </w:rPr>
              <w:t>39</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2800" w:type="dxa"/>
            <w:vAlign w:val="bottom"/>
            <w:tcBorders>
              <w:top w:val="single" w:sz="8" w:color="457157"/>
            </w:tcBorders>
          </w:tcPr>
          <w:p>
            <w:pPr>
              <w:ind w:left="80"/>
              <w:spacing w:after="0"/>
              <w:rPr>
                <w:sz w:val="20"/>
                <w:szCs w:val="20"/>
                <w:color w:val="auto"/>
              </w:rPr>
            </w:pPr>
            <w:r>
              <w:rPr>
                <w:rFonts w:ascii="Arial" w:cs="Arial" w:eastAsia="Arial" w:hAnsi="Arial"/>
                <w:sz w:val="18"/>
                <w:szCs w:val="18"/>
                <w:color w:val="auto"/>
              </w:rPr>
              <w:t>Sustainability growth capital</w:t>
            </w:r>
          </w:p>
        </w:tc>
        <w:tc>
          <w:tcPr>
            <w:tcW w:w="1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700" w:type="dxa"/>
            <w:vAlign w:val="bottom"/>
            <w:tcBorders>
              <w:top w:val="single" w:sz="8" w:color="457157"/>
            </w:tcBorders>
          </w:tcPr>
          <w:p>
            <w:pPr>
              <w:spacing w:after="0"/>
              <w:rPr>
                <w:sz w:val="18"/>
                <w:szCs w:val="18"/>
                <w:color w:val="auto"/>
              </w:rPr>
            </w:pPr>
          </w:p>
        </w:tc>
        <w:tc>
          <w:tcPr>
            <w:tcW w:w="6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38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48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26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360" w:type="dxa"/>
            <w:vAlign w:val="bottom"/>
            <w:tcBorders>
              <w:top w:val="single" w:sz="8" w:color="457157"/>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00" w:type="dxa"/>
            <w:vAlign w:val="bottom"/>
          </w:tcPr>
          <w:p>
            <w:pPr>
              <w:ind w:left="260"/>
              <w:spacing w:after="0"/>
              <w:rPr>
                <w:sz w:val="20"/>
                <w:szCs w:val="20"/>
                <w:color w:val="auto"/>
              </w:rPr>
            </w:pPr>
            <w:r>
              <w:rPr>
                <w:rFonts w:ascii="Arial" w:cs="Arial" w:eastAsia="Arial" w:hAnsi="Arial"/>
                <w:sz w:val="18"/>
                <w:szCs w:val="18"/>
                <w:color w:val="auto"/>
              </w:rPr>
              <w:t>investments in 2022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800" w:type="dxa"/>
            <w:vAlign w:val="bottom"/>
          </w:tcPr>
          <w:p>
            <w:pPr>
              <w:ind w:left="260"/>
              <w:spacing w:after="0"/>
              <w:rPr>
                <w:sz w:val="20"/>
                <w:szCs w:val="20"/>
                <w:color w:val="auto"/>
              </w:rPr>
            </w:pPr>
            <w:r>
              <w:rPr>
                <w:rFonts w:ascii="Arial" w:cs="Arial" w:eastAsia="Arial" w:hAnsi="Arial"/>
                <w:sz w:val="18"/>
                <w:szCs w:val="18"/>
                <w:color w:val="auto"/>
              </w:rPr>
              <w:t>2023</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1360" w:type="dxa"/>
            <w:vAlign w:val="bottom"/>
            <w:gridSpan w:val="4"/>
          </w:tcPr>
          <w:p>
            <w:pPr>
              <w:jc w:val="right"/>
              <w:ind w:right="175"/>
              <w:spacing w:after="0"/>
              <w:rPr>
                <w:sz w:val="20"/>
                <w:szCs w:val="20"/>
                <w:color w:val="auto"/>
              </w:rPr>
            </w:pPr>
            <w:r>
              <w:rPr>
                <w:rFonts w:ascii="Arial" w:cs="Arial" w:eastAsia="Arial" w:hAnsi="Arial"/>
                <w:sz w:val="18"/>
                <w:szCs w:val="18"/>
                <w:color w:val="auto"/>
              </w:rPr>
              <w:t>​(1,325) ​ ​ ​</w:t>
            </w:r>
          </w:p>
        </w:tc>
        <w:tc>
          <w:tcPr>
            <w:tcW w:w="120" w:type="dxa"/>
            <w:vAlign w:val="bottom"/>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 ​ ​ ​ ​ 1,325</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20" w:type="dxa"/>
            <w:vAlign w:val="bottom"/>
            <w:tcBorders>
              <w:top w:val="single" w:sz="8" w:color="457157"/>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Calculated Performance</w:t>
            </w:r>
          </w:p>
        </w:tc>
        <w:tc>
          <w:tcPr>
            <w:tcW w:w="18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460" w:type="dxa"/>
            <w:vAlign w:val="bottom"/>
            <w:tcBorders>
              <w:top w:val="single" w:sz="8" w:color="457157"/>
            </w:tcBorders>
          </w:tcPr>
          <w:p>
            <w:pPr>
              <w:spacing w:after="0"/>
              <w:rPr>
                <w:sz w:val="17"/>
                <w:szCs w:val="17"/>
                <w:color w:val="auto"/>
              </w:rPr>
            </w:pPr>
          </w:p>
        </w:tc>
        <w:tc>
          <w:tcPr>
            <w:tcW w:w="80" w:type="dxa"/>
            <w:vAlign w:val="bottom"/>
            <w:tcBorders>
              <w:top w:val="single" w:sz="8" w:color="457157"/>
            </w:tcBorders>
          </w:tcPr>
          <w:p>
            <w:pPr>
              <w:spacing w:after="0"/>
              <w:rPr>
                <w:sz w:val="17"/>
                <w:szCs w:val="17"/>
                <w:color w:val="auto"/>
              </w:rPr>
            </w:pPr>
          </w:p>
        </w:tc>
        <w:tc>
          <w:tcPr>
            <w:tcW w:w="700" w:type="dxa"/>
            <w:vAlign w:val="bottom"/>
            <w:tcBorders>
              <w:top w:val="single" w:sz="8" w:color="457157"/>
            </w:tcBorders>
          </w:tcPr>
          <w:p>
            <w:pPr>
              <w:spacing w:after="0"/>
              <w:rPr>
                <w:sz w:val="17"/>
                <w:szCs w:val="17"/>
                <w:color w:val="auto"/>
              </w:rPr>
            </w:pPr>
          </w:p>
        </w:tc>
        <w:tc>
          <w:tcPr>
            <w:tcW w:w="600" w:type="dxa"/>
            <w:vAlign w:val="bottom"/>
            <w:tcBorders>
              <w:top w:val="single" w:sz="8" w:color="457157"/>
            </w:tcBorders>
          </w:tcPr>
          <w:p>
            <w:pPr>
              <w:spacing w:after="0"/>
              <w:rPr>
                <w:sz w:val="17"/>
                <w:szCs w:val="17"/>
                <w:color w:val="auto"/>
              </w:rPr>
            </w:pPr>
          </w:p>
        </w:tc>
        <w:tc>
          <w:tcPr>
            <w:tcW w:w="280" w:type="dxa"/>
            <w:vAlign w:val="bottom"/>
            <w:tcBorders>
              <w:top w:val="single" w:sz="8" w:color="457157"/>
            </w:tcBorders>
          </w:tcPr>
          <w:p>
            <w:pPr>
              <w:spacing w:after="0"/>
              <w:rPr>
                <w:sz w:val="17"/>
                <w:szCs w:val="17"/>
                <w:color w:val="auto"/>
              </w:rPr>
            </w:pPr>
          </w:p>
        </w:tc>
        <w:tc>
          <w:tcPr>
            <w:tcW w:w="38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48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300" w:type="dxa"/>
            <w:vAlign w:val="bottom"/>
            <w:tcBorders>
              <w:top w:val="single" w:sz="8" w:color="457157"/>
            </w:tcBorders>
          </w:tcPr>
          <w:p>
            <w:pPr>
              <w:spacing w:after="0"/>
              <w:rPr>
                <w:sz w:val="17"/>
                <w:szCs w:val="17"/>
                <w:color w:val="auto"/>
              </w:rPr>
            </w:pPr>
          </w:p>
        </w:tc>
        <w:tc>
          <w:tcPr>
            <w:tcW w:w="160" w:type="dxa"/>
            <w:vAlign w:val="bottom"/>
            <w:tcBorders>
              <w:top w:val="single" w:sz="8" w:color="457157"/>
            </w:tcBorders>
          </w:tcPr>
          <w:p>
            <w:pPr>
              <w:spacing w:after="0"/>
              <w:rPr>
                <w:sz w:val="17"/>
                <w:szCs w:val="17"/>
                <w:color w:val="auto"/>
              </w:rPr>
            </w:pPr>
          </w:p>
        </w:tc>
        <w:tc>
          <w:tcPr>
            <w:tcW w:w="360" w:type="dxa"/>
            <w:vAlign w:val="bottom"/>
            <w:tcBorders>
              <w:top w:val="single" w:sz="8" w:color="457157"/>
            </w:tcBorders>
          </w:tcPr>
          <w:p>
            <w:pPr>
              <w:spacing w:after="0"/>
              <w:rPr>
                <w:sz w:val="17"/>
                <w:szCs w:val="17"/>
                <w:color w:val="auto"/>
              </w:rPr>
            </w:pPr>
          </w:p>
        </w:tc>
        <w:tc>
          <w:tcPr>
            <w:tcW w:w="260" w:type="dxa"/>
            <w:vAlign w:val="bottom"/>
            <w:tcBorders>
              <w:top w:val="single" w:sz="8" w:color="457157"/>
            </w:tcBorders>
          </w:tcPr>
          <w:p>
            <w:pPr>
              <w:spacing w:after="0"/>
              <w:rPr>
                <w:sz w:val="17"/>
                <w:szCs w:val="17"/>
                <w:color w:val="auto"/>
              </w:rPr>
            </w:pPr>
          </w:p>
        </w:tc>
        <w:tc>
          <w:tcPr>
            <w:tcW w:w="200" w:type="dxa"/>
            <w:vAlign w:val="bottom"/>
            <w:tcBorders>
              <w:top w:val="single" w:sz="8" w:color="457157"/>
            </w:tcBorders>
          </w:tcPr>
          <w:p>
            <w:pPr>
              <w:spacing w:after="0"/>
              <w:rPr>
                <w:sz w:val="17"/>
                <w:szCs w:val="17"/>
                <w:color w:val="auto"/>
              </w:rPr>
            </w:pPr>
          </w:p>
        </w:tc>
        <w:tc>
          <w:tcPr>
            <w:tcW w:w="260" w:type="dxa"/>
            <w:vAlign w:val="bottom"/>
            <w:tcBorders>
              <w:top w:val="single" w:sz="8" w:color="457157"/>
            </w:tcBorders>
          </w:tcPr>
          <w:p>
            <w:pPr>
              <w:spacing w:after="0"/>
              <w:rPr>
                <w:sz w:val="17"/>
                <w:szCs w:val="17"/>
                <w:color w:val="auto"/>
              </w:rPr>
            </w:pPr>
          </w:p>
        </w:tc>
        <w:tc>
          <w:tcPr>
            <w:tcW w:w="460" w:type="dxa"/>
            <w:vAlign w:val="bottom"/>
            <w:tcBorders>
              <w:top w:val="single" w:sz="8" w:color="457157"/>
            </w:tcBorders>
          </w:tcPr>
          <w:p>
            <w:pPr>
              <w:spacing w:after="0"/>
              <w:rPr>
                <w:sz w:val="17"/>
                <w:szCs w:val="17"/>
                <w:color w:val="auto"/>
              </w:rPr>
            </w:pPr>
          </w:p>
        </w:tc>
        <w:tc>
          <w:tcPr>
            <w:tcW w:w="360" w:type="dxa"/>
            <w:vAlign w:val="bottom"/>
            <w:tcBorders>
              <w:top w:val="single" w:sz="8" w:color="457157"/>
            </w:tcBorders>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Amounts</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460" w:type="dxa"/>
            <w:vAlign w:val="bottom"/>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13,649</w:t>
            </w:r>
          </w:p>
        </w:tc>
        <w:tc>
          <w:tcPr>
            <w:tcW w:w="600" w:type="dxa"/>
            <w:vAlign w:val="bottom"/>
          </w:tcPr>
          <w:p>
            <w:pPr>
              <w:jc w:val="right"/>
              <w:spacing w:after="0"/>
              <w:rPr>
                <w:sz w:val="20"/>
                <w:szCs w:val="20"/>
                <w:color w:val="auto"/>
              </w:rPr>
            </w:pPr>
            <w:r>
              <w:rPr>
                <w:rFonts w:ascii="Arial" w:cs="Arial" w:eastAsia="Arial" w:hAnsi="Arial"/>
                <w:sz w:val="18"/>
                <w:szCs w:val="18"/>
                <w:color w:val="auto"/>
              </w:rPr>
              <w:t>​ ​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9"/>
              <w:spacing w:after="0"/>
              <w:rPr>
                <w:sz w:val="20"/>
                <w:szCs w:val="20"/>
                <w:color w:val="auto"/>
              </w:rPr>
            </w:pPr>
            <w:r>
              <w:rPr>
                <w:rFonts w:ascii="Arial" w:cs="Arial" w:eastAsia="Arial" w:hAnsi="Arial"/>
                <w:sz w:val="18"/>
                <w:szCs w:val="18"/>
                <w:color w:val="auto"/>
              </w:rPr>
              <w:t>6,061</w:t>
            </w:r>
          </w:p>
        </w:tc>
        <w:tc>
          <w:tcPr>
            <w:tcW w:w="480" w:type="dxa"/>
            <w:vAlign w:val="bottom"/>
          </w:tcPr>
          <w:p>
            <w:pPr>
              <w:jc w:val="right"/>
              <w:ind w:right="175"/>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21"/>
                <w:szCs w:val="21"/>
                <w:color w:val="auto"/>
              </w:rPr>
            </w:pPr>
          </w:p>
        </w:tc>
        <w:tc>
          <w:tcPr>
            <w:tcW w:w="820" w:type="dxa"/>
            <w:vAlign w:val="bottom"/>
            <w:gridSpan w:val="3"/>
          </w:tcPr>
          <w:p>
            <w:pPr>
              <w:ind w:left="200"/>
              <w:spacing w:after="0"/>
              <w:rPr>
                <w:sz w:val="20"/>
                <w:szCs w:val="20"/>
                <w:color w:val="auto"/>
              </w:rPr>
            </w:pPr>
            <w:r>
              <w:rPr>
                <w:rFonts w:ascii="Arial" w:cs="Arial" w:eastAsia="Arial" w:hAnsi="Arial"/>
                <w:sz w:val="18"/>
                <w:szCs w:val="18"/>
                <w:color w:val="auto"/>
              </w:rPr>
              <w:t>​$ 201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color w:val="auto"/>
              </w:rPr>
              <w:t>​ ​ ​ ​$ 7,789</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28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300" w:type="dxa"/>
            <w:vAlign w:val="bottom"/>
            <w:tcBorders>
              <w:left w:val="single" w:sz="8" w:color="457157"/>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-2202180</wp:posOffset>
            </wp:positionV>
            <wp:extent cx="5760720" cy="1797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-1842135</wp:posOffset>
            </wp:positionV>
            <wp:extent cx="5760720" cy="1797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-1070610</wp:posOffset>
            </wp:positionV>
            <wp:extent cx="5760720" cy="3168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60720" cy="3168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-299085</wp:posOffset>
            </wp:positionV>
            <wp:extent cx="5760720" cy="291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607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180" w:right="680" w:hanging="364"/>
        <w:spacing w:after="0" w:line="261"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Adjustments in 2020 were consistent with reporting of 2020 financial results, excluding $155 million of costs related to the acquisition and integration of Advanced Disposal Services, Inc. (“ADS”) (of which $149 million was incurred at the Corporate level); $46 million in costs in connection with COVID-19 and $27 million in costs related to strategic initiatives launched in 2020 after the performance measure had been established.</w:t>
      </w:r>
    </w:p>
    <w:p>
      <w:pPr>
        <w:spacing w:after="0" w:line="200" w:lineRule="exact"/>
        <w:rPr>
          <w:sz w:val="20"/>
          <w:szCs w:val="20"/>
          <w:color w:val="auto"/>
        </w:rPr>
      </w:pPr>
    </w:p>
    <w:p>
      <w:pPr>
        <w:spacing w:after="0" w:line="265"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60"/>
          </w:cols>
          <w:pgMar w:left="580" w:top="97" w:right="75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1770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016115" cy="91770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1770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016115" cy="917702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1)"/>
      <w:numFmt w:val="lowerLetter"/>
      <w:start w:val="4"/>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Q"/>
      <w:numFmt w:val="bullet"/>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7"/>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lowerLetter"/>
      <w:start w:val="3"/>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2"/>
    </w:lvl>
  </w:abstractNum>
  <w:abstractNum w:abstractNumId="35">
    <w:nsid w:val="2CD89A32"/>
    <w:multiLevelType w:val="hybridMultilevel"/>
    <w:lvl w:ilvl="0">
      <w:lvlJc w:val="left"/>
      <w:lvlText w:val="%1"/>
      <w:numFmt w:val="decimal"/>
      <w:start w:val="1"/>
    </w:lvl>
    <w:lvl w:ilvl="1">
      <w:lvlJc w:val="left"/>
      <w:lvlText w:val="(%2)"/>
      <w:numFmt w:val="lowerLetter"/>
      <w:start w:val="1"/>
    </w:lvl>
  </w:abstractNum>
  <w:abstractNum w:abstractNumId="36">
    <w:nsid w:val="57E4CCAF"/>
    <w:multiLevelType w:val="hybridMultilevel"/>
    <w:lvl w:ilvl="0">
      <w:lvlJc w:val="left"/>
      <w:lvlText w:val="(%1)"/>
      <w:numFmt w:val="decimal"/>
      <w:start w:val="5"/>
    </w:lvl>
    <w:lvl w:ilvl="1">
      <w:lvlJc w:val="left"/>
      <w:lvlText w:val="%2"/>
      <w:numFmt w:val="lowerLetter"/>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5"/>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2"/>
    </w:lvl>
  </w:abstractNum>
  <w:abstractNum w:abstractNumId="50">
    <w:nsid w:val="75C6C33A"/>
    <w:multiLevelType w:val="hybridMultilevel"/>
    <w:lvl w:ilvl="0">
      <w:lvlJc w:val="left"/>
      <w:lvlText w:val="(%1)"/>
      <w:numFmt w:val="decimal"/>
      <w:start w:val="3"/>
    </w:lvl>
    <w:lvl w:ilvl="1">
      <w:lvlJc w:val="left"/>
      <w:lvlText w:val="%2"/>
      <w:numFmt w:val="lowerLetter"/>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2024-03-12T09:33:36Z</dcterms:created>
  <dcterms:modified xsi:type="dcterms:W3CDTF">2024-03-12T09:33:36Z</dcterms:modified>
</cp:coreProperties>
</file>