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43"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10-Q</w:t>
      </w:r>
    </w:p>
    <w:p>
      <w:pPr>
        <w:spacing w:after="0" w:line="2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ind w:left="790" w:right="3619" w:hanging="790"/>
        <w:spacing w:after="0" w:line="310"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43"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MARCH 31, 1997</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4"/>
          <w:szCs w:val="24"/>
          <w:color w:val="auto"/>
        </w:rPr>
      </w:pPr>
    </w:p>
    <w:p>
      <w:pPr>
        <w:ind w:left="790" w:right="3539" w:hanging="790"/>
        <w:spacing w:after="0" w:line="347" w:lineRule="auto"/>
        <w:tabs>
          <w:tab w:leader="none" w:pos="2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 w:lineRule="exact"/>
        <w:rPr>
          <w:sz w:val="24"/>
          <w:szCs w:val="24"/>
          <w:color w:val="auto"/>
        </w:rPr>
      </w:pPr>
    </w:p>
    <w:p>
      <w:pPr>
        <w:ind w:left="790"/>
        <w:spacing w:after="0"/>
        <w:tabs>
          <w:tab w:leader="none" w:pos="3589" w:val="left"/>
          <w:tab w:leader="none" w:pos="4909" w:val="left"/>
          <w:tab w:leader="none" w:pos="5269" w:val="left"/>
        </w:tabs>
        <w:rPr>
          <w:sz w:val="20"/>
          <w:szCs w:val="20"/>
          <w:color w:val="auto"/>
        </w:rPr>
      </w:pPr>
      <w:r>
        <w:rPr>
          <w:rFonts w:ascii="Courier New" w:cs="Courier New" w:eastAsia="Courier New" w:hAnsi="Courier New"/>
          <w:sz w:val="15"/>
          <w:szCs w:val="15"/>
          <w:color w:val="auto"/>
        </w:rPr>
        <w:t>FOR THE TRANSITION PERIOD FROM</w:t>
        <w:tab/>
        <w:t>_____________</w:t>
        <w:tab/>
        <w:t>TO</w:t>
      </w:r>
      <w:r>
        <w:rPr>
          <w:sz w:val="20"/>
          <w:szCs w:val="20"/>
          <w:color w:val="auto"/>
        </w:rPr>
        <w:tab/>
      </w:r>
      <w:r>
        <w:rPr>
          <w:rFonts w:ascii="Courier New" w:cs="Courier New" w:eastAsia="Courier New" w:hAnsi="Courier New"/>
          <w:sz w:val="14"/>
          <w:szCs w:val="14"/>
          <w:color w:val="auto"/>
        </w:rPr>
        <w:t>_____________</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COMMISSION FILE NUMBER: 1-12154</w:t>
      </w:r>
    </w:p>
    <w:p>
      <w:pPr>
        <w:spacing w:after="0" w:line="169" w:lineRule="exact"/>
        <w:rPr>
          <w:sz w:val="24"/>
          <w:szCs w:val="24"/>
          <w:color w:val="auto"/>
        </w:rPr>
      </w:pPr>
    </w:p>
    <w:p>
      <w:pPr>
        <w:jc w:val="center"/>
        <w:ind w:right="2810"/>
        <w:spacing w:after="0"/>
        <w:rPr>
          <w:sz w:val="20"/>
          <w:szCs w:val="20"/>
          <w:color w:val="auto"/>
        </w:rPr>
      </w:pPr>
      <w:r>
        <w:rPr>
          <w:rFonts w:ascii="Courier New" w:cs="Courier New" w:eastAsia="Courier New" w:hAnsi="Courier New"/>
          <w:sz w:val="15"/>
          <w:szCs w:val="15"/>
          <w:color w:val="auto"/>
        </w:rPr>
        <w:t>USA WASTE SERVICES, INC.</w:t>
      </w:r>
    </w:p>
    <w:p>
      <w:pPr>
        <w:spacing w:after="0" w:line="26" w:lineRule="exact"/>
        <w:rPr>
          <w:sz w:val="24"/>
          <w:szCs w:val="24"/>
          <w:color w:val="auto"/>
        </w:rPr>
      </w:pPr>
    </w:p>
    <w:p>
      <w:pPr>
        <w:jc w:val="center"/>
        <w:ind w:right="28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43" w:lineRule="exact"/>
        <w:rPr>
          <w:sz w:val="24"/>
          <w:szCs w:val="24"/>
          <w:color w:val="auto"/>
        </w:rPr>
      </w:pPr>
    </w:p>
    <w:tbl>
      <w:tblPr>
        <w:tblLayout w:type="fixed"/>
        <w:tblInd w:w="450" w:type="dxa"/>
        <w:tblCellMar>
          <w:top w:w="0" w:type="dxa"/>
          <w:left w:w="0" w:type="dxa"/>
          <w:bottom w:w="0" w:type="dxa"/>
          <w:right w:w="0" w:type="dxa"/>
        </w:tblCellMar>
      </w:tblPr>
      <w:tr>
        <w:trPr>
          <w:trHeight w:val="170"/>
        </w:trPr>
        <w:tc>
          <w:tcPr>
            <w:tcW w:w="4080" w:type="dxa"/>
            <w:vAlign w:val="bottom"/>
          </w:tcPr>
          <w:p>
            <w:pPr>
              <w:ind w:left="700"/>
              <w:spacing w:after="0"/>
              <w:rPr>
                <w:sz w:val="20"/>
                <w:szCs w:val="20"/>
                <w:color w:val="auto"/>
              </w:rPr>
            </w:pPr>
            <w:r>
              <w:rPr>
                <w:rFonts w:ascii="Courier New" w:cs="Courier New" w:eastAsia="Courier New" w:hAnsi="Courier New"/>
                <w:sz w:val="15"/>
                <w:szCs w:val="15"/>
                <w:color w:val="auto"/>
              </w:rPr>
              <w:t>DELAWARE</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73-1309529</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8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(I.R.S. EMPLOYER</w:t>
            </w:r>
          </w:p>
        </w:tc>
      </w:tr>
      <w:tr>
        <w:trPr>
          <w:trHeight w:val="24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w w:val="97"/>
              </w:rPr>
              <w:t>IDENTIFICATION NO.)</w:t>
            </w:r>
          </w:p>
        </w:tc>
      </w:tr>
      <w:tr>
        <w:trPr>
          <w:trHeight w:val="262"/>
        </w:trPr>
        <w:tc>
          <w:tcPr>
            <w:tcW w:w="4080" w:type="dxa"/>
            <w:vAlign w:val="bottom"/>
          </w:tcPr>
          <w:p>
            <w:pPr>
              <w:ind w:left="2540"/>
              <w:spacing w:after="0"/>
              <w:rPr>
                <w:sz w:val="20"/>
                <w:szCs w:val="20"/>
                <w:color w:val="auto"/>
              </w:rPr>
            </w:pPr>
            <w:r>
              <w:rPr>
                <w:rFonts w:ascii="Courier New" w:cs="Courier New" w:eastAsia="Courier New" w:hAnsi="Courier New"/>
                <w:sz w:val="15"/>
                <w:szCs w:val="15"/>
                <w:color w:val="auto"/>
              </w:rPr>
              <w:t>1001 FANNIN</w:t>
            </w:r>
          </w:p>
        </w:tc>
        <w:tc>
          <w:tcPr>
            <w:tcW w:w="1820" w:type="dxa"/>
            <w:vAlign w:val="bottom"/>
          </w:tcPr>
          <w:p>
            <w:pPr>
              <w:spacing w:after="0"/>
              <w:rPr>
                <w:sz w:val="22"/>
                <w:szCs w:val="22"/>
                <w:color w:val="auto"/>
              </w:rPr>
            </w:pPr>
          </w:p>
        </w:tc>
      </w:tr>
      <w:tr>
        <w:trPr>
          <w:trHeight w:val="170"/>
        </w:trPr>
        <w:tc>
          <w:tcPr>
            <w:tcW w:w="4080" w:type="dxa"/>
            <w:vAlign w:val="bottom"/>
          </w:tcPr>
          <w:p>
            <w:pPr>
              <w:jc w:val="center"/>
              <w:ind w:left="2007"/>
              <w:spacing w:after="0"/>
              <w:rPr>
                <w:sz w:val="20"/>
                <w:szCs w:val="20"/>
                <w:color w:val="auto"/>
              </w:rPr>
            </w:pPr>
            <w:r>
              <w:rPr>
                <w:rFonts w:ascii="Courier New" w:cs="Courier New" w:eastAsia="Courier New" w:hAnsi="Courier New"/>
                <w:sz w:val="15"/>
                <w:szCs w:val="15"/>
                <w:color w:val="auto"/>
                <w:w w:val="97"/>
              </w:rPr>
              <w:t>SUITE 4000</w:t>
            </w:r>
          </w:p>
        </w:tc>
        <w:tc>
          <w:tcPr>
            <w:tcW w:w="1820" w:type="dxa"/>
            <w:vAlign w:val="bottom"/>
          </w:tcPr>
          <w:p>
            <w:pPr>
              <w:spacing w:after="0"/>
              <w:rPr>
                <w:sz w:val="14"/>
                <w:szCs w:val="14"/>
                <w:color w:val="auto"/>
              </w:rPr>
            </w:pPr>
          </w:p>
        </w:tc>
      </w:tr>
      <w:tr>
        <w:trPr>
          <w:trHeight w:val="170"/>
        </w:trPr>
        <w:tc>
          <w:tcPr>
            <w:tcW w:w="4080" w:type="dxa"/>
            <w:vAlign w:val="bottom"/>
          </w:tcPr>
          <w:p>
            <w:pPr>
              <w:jc w:val="center"/>
              <w:ind w:left="2007"/>
              <w:spacing w:after="0"/>
              <w:rPr>
                <w:sz w:val="20"/>
                <w:szCs w:val="20"/>
                <w:color w:val="auto"/>
              </w:rPr>
            </w:pPr>
            <w:r>
              <w:rPr>
                <w:rFonts w:ascii="Courier New" w:cs="Courier New" w:eastAsia="Courier New" w:hAnsi="Courier New"/>
                <w:sz w:val="15"/>
                <w:szCs w:val="15"/>
                <w:color w:val="auto"/>
                <w:w w:val="97"/>
              </w:rPr>
              <w:t>HOUSTON, TEXAS 77002</w:t>
            </w:r>
          </w:p>
        </w:tc>
        <w:tc>
          <w:tcPr>
            <w:tcW w:w="1820" w:type="dxa"/>
            <w:vAlign w:val="bottom"/>
          </w:tcPr>
          <w:p>
            <w:pPr>
              <w:spacing w:after="0"/>
              <w:rPr>
                <w:sz w:val="14"/>
                <w:szCs w:val="14"/>
                <w:color w:val="auto"/>
              </w:rPr>
            </w:pPr>
          </w:p>
        </w:tc>
      </w:tr>
      <w:tr>
        <w:trPr>
          <w:trHeight w:val="246"/>
        </w:trPr>
        <w:tc>
          <w:tcPr>
            <w:tcW w:w="590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7"/>
              </w:rPr>
              <w:t>(ADDRESS OF PRINCIPAL EXECUTIVE OFFICES)</w:t>
            </w:r>
          </w:p>
        </w:tc>
      </w:tr>
      <w:tr>
        <w:trPr>
          <w:trHeight w:val="262"/>
        </w:trPr>
        <w:tc>
          <w:tcPr>
            <w:tcW w:w="4080" w:type="dxa"/>
            <w:vAlign w:val="bottom"/>
          </w:tcPr>
          <w:p>
            <w:pPr>
              <w:jc w:val="center"/>
              <w:ind w:left="2007"/>
              <w:spacing w:after="0"/>
              <w:rPr>
                <w:sz w:val="20"/>
                <w:szCs w:val="20"/>
                <w:color w:val="auto"/>
              </w:rPr>
            </w:pPr>
            <w:r>
              <w:rPr>
                <w:rFonts w:ascii="Courier New" w:cs="Courier New" w:eastAsia="Courier New" w:hAnsi="Courier New"/>
                <w:sz w:val="15"/>
                <w:szCs w:val="15"/>
                <w:color w:val="auto"/>
                <w:w w:val="98"/>
              </w:rPr>
              <w:t>(713) 512-6200</w:t>
            </w:r>
          </w:p>
        </w:tc>
        <w:tc>
          <w:tcPr>
            <w:tcW w:w="1820" w:type="dxa"/>
            <w:vAlign w:val="bottom"/>
          </w:tcPr>
          <w:p>
            <w:pPr>
              <w:spacing w:after="0"/>
              <w:rPr>
                <w:sz w:val="22"/>
                <w:szCs w:val="22"/>
                <w:color w:val="auto"/>
              </w:rPr>
            </w:pPr>
          </w:p>
        </w:tc>
      </w:tr>
      <w:tr>
        <w:trPr>
          <w:trHeight w:val="246"/>
        </w:trPr>
        <w:tc>
          <w:tcPr>
            <w:tcW w:w="5900" w:type="dxa"/>
            <w:vAlign w:val="bottom"/>
            <w:gridSpan w:val="2"/>
          </w:tcPr>
          <w:p>
            <w:pPr>
              <w:jc w:val="center"/>
              <w:ind w:left="167"/>
              <w:spacing w:after="0"/>
              <w:rPr>
                <w:sz w:val="20"/>
                <w:szCs w:val="20"/>
                <w:color w:val="auto"/>
              </w:rPr>
            </w:pPr>
            <w:r>
              <w:rPr>
                <w:rFonts w:ascii="Courier New" w:cs="Courier New" w:eastAsia="Courier New" w:hAnsi="Courier New"/>
                <w:sz w:val="15"/>
                <w:szCs w:val="15"/>
                <w:color w:val="auto"/>
                <w:w w:val="97"/>
              </w:rPr>
              <w:t>(REGISTRANT'S TELEPHONE NUMBER, INCLUDING AREA CODE)</w:t>
            </w:r>
          </w:p>
        </w:tc>
      </w:tr>
    </w:tbl>
    <w:p>
      <w:pPr>
        <w:spacing w:after="0" w:line="9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NO CHANGE</w:t>
      </w:r>
    </w:p>
    <w:p>
      <w:pPr>
        <w:spacing w:after="0" w:line="2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jc w:val="center"/>
        <w:ind w:right="3250"/>
        <w:spacing w:after="0"/>
        <w:rPr>
          <w:sz w:val="20"/>
          <w:szCs w:val="20"/>
          <w:color w:val="auto"/>
        </w:rPr>
      </w:pPr>
      <w:r>
        <w:rPr>
          <w:rFonts w:ascii="Courier New" w:cs="Courier New" w:eastAsia="Courier New" w:hAnsi="Courier New"/>
          <w:sz w:val="15"/>
          <w:szCs w:val="15"/>
          <w:color w:val="auto"/>
        </w:rPr>
        <w:t>REPORT)</w:t>
      </w:r>
    </w:p>
    <w:p>
      <w:pPr>
        <w:spacing w:after="0" w:line="143"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0" w:right="3259" w:firstLine="1498"/>
        <w:spacing w:after="0" w:line="26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YES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X</w:t>
            </w:r>
          </w:p>
        </w:tc>
        <w:tc>
          <w:tcPr>
            <w:tcW w:w="248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NO</w:t>
            </w:r>
          </w:p>
        </w:tc>
        <w:tc>
          <w:tcPr>
            <w:tcW w:w="0" w:type="dxa"/>
            <w:vAlign w:val="bottom"/>
          </w:tcPr>
          <w:p>
            <w:pPr>
              <w:spacing w:after="0"/>
              <w:rPr>
                <w:sz w:val="1"/>
                <w:szCs w:val="1"/>
                <w:color w:val="auto"/>
              </w:rPr>
            </w:pPr>
          </w:p>
        </w:tc>
      </w:tr>
      <w:tr>
        <w:trPr>
          <w:trHeight w:val="170"/>
        </w:trPr>
        <w:tc>
          <w:tcPr>
            <w:tcW w:w="2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NUMBER OF SHARES OF COMMON STOCK,</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40" w:type="dxa"/>
            <w:vAlign w:val="bottom"/>
            <w:vMerge w:val="continue"/>
          </w:tcPr>
          <w:p>
            <w:pPr>
              <w:spacing w:after="0"/>
              <w:rPr>
                <w:sz w:val="14"/>
                <w:szCs w:val="14"/>
                <w:color w:val="auto"/>
              </w:rPr>
            </w:pP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$.01 PAR VALUE, OF THE REGISTRANT</w:t>
            </w:r>
          </w:p>
        </w:tc>
        <w:tc>
          <w:tcPr>
            <w:tcW w:w="0" w:type="dxa"/>
            <w:vAlign w:val="bottom"/>
          </w:tcPr>
          <w:p>
            <w:pPr>
              <w:spacing w:after="0"/>
              <w:rPr>
                <w:sz w:val="1"/>
                <w:szCs w:val="1"/>
                <w:color w:val="auto"/>
              </w:rPr>
            </w:pPr>
          </w:p>
        </w:tc>
      </w:tr>
      <w:tr>
        <w:trPr>
          <w:trHeight w:val="246"/>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6"/>
              </w:rPr>
              <w:t>OUTSTANDING AT MAY 13, 1997,  WAS</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156,409,046.</w:t>
            </w:r>
          </w:p>
        </w:tc>
        <w:tc>
          <w:tcPr>
            <w:tcW w:w="0" w:type="dxa"/>
            <w:vAlign w:val="bottom"/>
          </w:tcPr>
          <w:p>
            <w:pPr>
              <w:spacing w:after="0"/>
              <w:rPr>
                <w:sz w:val="1"/>
                <w:szCs w:val="1"/>
                <w:color w:val="auto"/>
              </w:rPr>
            </w:pPr>
          </w:p>
        </w:tc>
      </w:tr>
    </w:tbl>
    <w:p>
      <w:pPr>
        <w:sectPr>
          <w:pgSz w:w="11900" w:h="16838" w:orient="portrait"/>
          <w:cols w:equalWidth="0" w:num="1">
            <w:col w:w="10229"/>
          </w:cols>
          <w:pgMar w:left="23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31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3179"/>
        <w:spacing w:after="0"/>
        <w:rPr>
          <w:sz w:val="20"/>
          <w:szCs w:val="20"/>
          <w:color w:val="auto"/>
        </w:rPr>
      </w:pPr>
      <w:r>
        <w:rPr>
          <w:rFonts w:ascii="Courier New" w:cs="Courier New" w:eastAsia="Courier New" w:hAnsi="Courier New"/>
          <w:sz w:val="15"/>
          <w:szCs w:val="15"/>
          <w:color w:val="auto"/>
        </w:rPr>
        <w:t>(IN THOUSANDS, EXCEPT SHARE AND PAR VALUE AMOUNTS)</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MARCH 31,</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23,441</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23,511</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266,782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210,038</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32,636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25,579</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34,666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39,714</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35,306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41,139</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392,831</w:t>
            </w:r>
          </w:p>
        </w:tc>
        <w:tc>
          <w:tcPr>
            <w:tcW w:w="5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339,981</w:t>
            </w: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22"/>
                <w:szCs w:val="22"/>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45,399</w:t>
            </w:r>
          </w:p>
        </w:tc>
        <w:tc>
          <w:tcPr>
            <w:tcW w:w="5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49,059</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2,260,151</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1,810,251</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w:t>
            </w:r>
          </w:p>
        </w:tc>
        <w:tc>
          <w:tcPr>
            <w:tcW w:w="220" w:type="dxa"/>
            <w:vAlign w:val="bottom"/>
          </w:tcPr>
          <w:p>
            <w:pPr>
              <w:spacing w:after="0"/>
              <w:rPr>
                <w:sz w:val="14"/>
                <w:szCs w:val="14"/>
                <w:color w:val="auto"/>
              </w:rPr>
            </w:pP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721,318</w:t>
            </w:r>
          </w:p>
        </w:tc>
        <w:tc>
          <w:tcPr>
            <w:tcW w:w="5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433,913</w:t>
            </w:r>
          </w:p>
        </w:tc>
        <w:tc>
          <w:tcPr>
            <w:tcW w:w="0" w:type="dxa"/>
            <w:vAlign w:val="bottom"/>
          </w:tcPr>
          <w:p>
            <w:pPr>
              <w:spacing w:after="0"/>
              <w:rPr>
                <w:sz w:val="1"/>
                <w:szCs w:val="1"/>
                <w:color w:val="auto"/>
              </w:rPr>
            </w:pP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of acquired businesses, net</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86,253</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83,486</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180,843</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113,815</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$3,686,795</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$2,830,505</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110,818</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94,900</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152,356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172,916</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27,992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23,450</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31,025</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28,695</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322,191</w:t>
            </w:r>
          </w:p>
        </w:tc>
        <w:tc>
          <w:tcPr>
            <w:tcW w:w="5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319,961</w:t>
            </w: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20" w:type="dxa"/>
            <w:vAlign w:val="bottom"/>
          </w:tcPr>
          <w:p>
            <w:pPr>
              <w:spacing w:after="0"/>
              <w:rPr>
                <w:sz w:val="22"/>
                <w:szCs w:val="22"/>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1,423,358</w:t>
            </w:r>
          </w:p>
        </w:tc>
        <w:tc>
          <w:tcPr>
            <w:tcW w:w="5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1,158,305</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93,942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8,786</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178,356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188,177</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2,017,847</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1,675,229</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$1.00 par value; 10,000,000</w:t>
            </w:r>
          </w:p>
        </w:tc>
        <w:tc>
          <w:tcPr>
            <w:tcW w:w="220" w:type="dxa"/>
            <w:vAlign w:val="bottom"/>
          </w:tcPr>
          <w:p>
            <w:pPr>
              <w:spacing w:after="0"/>
              <w:rPr>
                <w:sz w:val="14"/>
                <w:szCs w:val="14"/>
                <w:color w:val="auto"/>
              </w:rPr>
            </w:pP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none issued</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780"/>
              <w:spacing w:after="0"/>
              <w:rPr>
                <w:sz w:val="20"/>
                <w:szCs w:val="20"/>
                <w:color w:val="auto"/>
              </w:rPr>
            </w:pPr>
            <w:r>
              <w:rPr>
                <w:rFonts w:ascii="Courier New" w:cs="Courier New" w:eastAsia="Courier New" w:hAnsi="Courier New"/>
                <w:sz w:val="15"/>
                <w:szCs w:val="15"/>
                <w:color w:val="auto"/>
              </w:rPr>
              <w:t>300,000,000 shares authorized; 154,133,595 and</w:t>
            </w:r>
          </w:p>
        </w:tc>
        <w:tc>
          <w:tcPr>
            <w:tcW w:w="220" w:type="dxa"/>
            <w:vAlign w:val="bottom"/>
          </w:tcPr>
          <w:p>
            <w:pPr>
              <w:spacing w:after="0"/>
              <w:rPr>
                <w:sz w:val="14"/>
                <w:szCs w:val="14"/>
                <w:color w:val="auto"/>
              </w:rPr>
            </w:pP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1,541</w:t>
            </w:r>
          </w:p>
        </w:tc>
        <w:tc>
          <w:tcPr>
            <w:tcW w:w="5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1,396</w:t>
            </w:r>
          </w:p>
        </w:tc>
        <w:tc>
          <w:tcPr>
            <w:tcW w:w="0" w:type="dxa"/>
            <w:vAlign w:val="bottom"/>
          </w:tcPr>
          <w:p>
            <w:pPr>
              <w:spacing w:after="0"/>
              <w:rPr>
                <w:sz w:val="1"/>
                <w:szCs w:val="1"/>
                <w:color w:val="auto"/>
              </w:rPr>
            </w:pPr>
          </w:p>
        </w:tc>
      </w:tr>
      <w:tr>
        <w:trPr>
          <w:trHeight w:val="170"/>
        </w:trPr>
        <w:tc>
          <w:tcPr>
            <w:tcW w:w="4980" w:type="dxa"/>
            <w:vAlign w:val="bottom"/>
          </w:tcPr>
          <w:p>
            <w:pPr>
              <w:ind w:left="780"/>
              <w:spacing w:after="0"/>
              <w:rPr>
                <w:sz w:val="20"/>
                <w:szCs w:val="20"/>
                <w:color w:val="auto"/>
              </w:rPr>
            </w:pPr>
            <w:r>
              <w:rPr>
                <w:rFonts w:ascii="Courier New" w:cs="Courier New" w:eastAsia="Courier New" w:hAnsi="Courier New"/>
                <w:sz w:val="15"/>
                <w:szCs w:val="15"/>
                <w:color w:val="auto"/>
              </w:rPr>
              <w:t>139,609,250 shares issued, respectively</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1,720,326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1,255,856</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(36,522)</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(85,649)</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(15,913)</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(15,843)</w:t>
            </w:r>
          </w:p>
        </w:tc>
        <w:tc>
          <w:tcPr>
            <w:tcW w:w="0" w:type="dxa"/>
            <w:vAlign w:val="bottom"/>
          </w:tcPr>
          <w:p>
            <w:pPr>
              <w:spacing w:after="0"/>
              <w:rPr>
                <w:sz w:val="1"/>
                <w:szCs w:val="1"/>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23,485 shares</w:t>
            </w:r>
          </w:p>
        </w:tc>
        <w:tc>
          <w:tcPr>
            <w:tcW w:w="2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(484)</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1,668,948</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1,155,276</w:t>
            </w:r>
          </w:p>
        </w:tc>
        <w:tc>
          <w:tcPr>
            <w:tcW w:w="0" w:type="dxa"/>
            <w:vAlign w:val="bottom"/>
          </w:tcPr>
          <w:p>
            <w:pPr>
              <w:spacing w:after="0"/>
              <w:rPr>
                <w:sz w:val="1"/>
                <w:szCs w:val="1"/>
                <w:color w:val="auto"/>
              </w:rPr>
            </w:pPr>
          </w:p>
        </w:tc>
      </w:tr>
      <w:tr>
        <w:trPr>
          <w:trHeight w:val="170"/>
        </w:trPr>
        <w:tc>
          <w:tcPr>
            <w:tcW w:w="49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$3,686,795</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$2,830,505</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5900" w:type="dxa"/>
            <w:vAlign w:val="bottom"/>
            <w:gridSpan w:val="3"/>
          </w:tcPr>
          <w:p>
            <w:pPr>
              <w:jc w:val="right"/>
              <w:ind w:right="1247"/>
              <w:spacing w:after="0"/>
              <w:rPr>
                <w:sz w:val="20"/>
                <w:szCs w:val="20"/>
                <w:color w:val="auto"/>
              </w:rPr>
            </w:pPr>
            <w:r>
              <w:rPr>
                <w:rFonts w:ascii="Courier New" w:cs="Courier New" w:eastAsia="Courier New" w:hAnsi="Courier New"/>
                <w:sz w:val="15"/>
                <w:szCs w:val="15"/>
                <w:color w:val="auto"/>
              </w:rPr>
              <w:t>USA WASTE SERVICES, INC.</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(IN THOUSANDS, EXCEPT PER SHARE AMOUNTS)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THREE MONTHS ENDED MARCH 31,</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$364,905</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$282,525</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0" w:type="dxa"/>
            <w:vAlign w:val="bottom"/>
          </w:tcPr>
          <w:p>
            <w:pPr>
              <w:spacing w:after="0"/>
              <w:rPr>
                <w:sz w:val="22"/>
                <w:szCs w:val="22"/>
                <w:color w:val="auto"/>
              </w:rPr>
            </w:pPr>
          </w:p>
        </w:tc>
        <w:tc>
          <w:tcPr>
            <w:tcW w:w="14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w w:val="95"/>
              </w:rPr>
              <w:t>187,723</w:t>
            </w:r>
          </w:p>
        </w:tc>
        <w:tc>
          <w:tcPr>
            <w:tcW w:w="520" w:type="dxa"/>
            <w:vAlign w:val="bottom"/>
          </w:tcPr>
          <w:p>
            <w:pPr>
              <w:spacing w:after="0"/>
              <w:rPr>
                <w:sz w:val="22"/>
                <w:szCs w:val="22"/>
                <w:color w:val="auto"/>
              </w:rPr>
            </w:pP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5"/>
              </w:rPr>
              <w:t>158,956</w:t>
            </w: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42,794</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36,704</w:t>
            </w: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45,589</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32,701</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5"/>
              </w:rPr>
              <w:t>276,106</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228,361</w:t>
            </w: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88,799</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54,164</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22"/>
                <w:szCs w:val="22"/>
                <w:color w:val="auto"/>
              </w:rPr>
            </w:pPr>
          </w:p>
        </w:tc>
        <w:tc>
          <w:tcPr>
            <w:tcW w:w="14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w w:val="97"/>
              </w:rPr>
              <w:t>(11,957)</w:t>
            </w:r>
          </w:p>
        </w:tc>
        <w:tc>
          <w:tcPr>
            <w:tcW w:w="520" w:type="dxa"/>
            <w:vAlign w:val="bottom"/>
          </w:tcPr>
          <w:p>
            <w:pPr>
              <w:spacing w:after="0"/>
              <w:rPr>
                <w:sz w:val="22"/>
                <w:szCs w:val="22"/>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(11,227)</w:t>
            </w:r>
          </w:p>
        </w:tc>
        <w:tc>
          <w:tcPr>
            <w:tcW w:w="0" w:type="dxa"/>
            <w:vAlign w:val="bottom"/>
          </w:tcPr>
          <w:p>
            <w:pPr>
              <w:spacing w:after="0"/>
              <w:rPr>
                <w:sz w:val="1"/>
                <w:szCs w:val="1"/>
                <w:color w:val="auto"/>
              </w:rPr>
            </w:pP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Interest and other income, net</w:t>
            </w: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5,037</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3,145</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(6,920)</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(8,082)</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00" w:type="dxa"/>
            <w:vAlign w:val="bottom"/>
          </w:tcPr>
          <w:p>
            <w:pPr>
              <w:spacing w:after="0"/>
              <w:rPr>
                <w:sz w:val="22"/>
                <w:szCs w:val="22"/>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81,879</w:t>
            </w:r>
          </w:p>
        </w:tc>
        <w:tc>
          <w:tcPr>
            <w:tcW w:w="5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46,082</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0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32,752</w:t>
            </w:r>
          </w:p>
        </w:tc>
        <w:tc>
          <w:tcPr>
            <w:tcW w:w="5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18,430</w:t>
            </w: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$ 49,127</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$ 27,652</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0.32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0.32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Primary weighted average number of common</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and common equivalent shares</w:t>
            </w:r>
          </w:p>
        </w:tc>
        <w:tc>
          <w:tcPr>
            <w:tcW w:w="300" w:type="dxa"/>
            <w:vAlign w:val="bottom"/>
          </w:tcPr>
          <w:p>
            <w:pPr>
              <w:spacing w:after="0"/>
              <w:rPr>
                <w:sz w:val="14"/>
                <w:szCs w:val="14"/>
                <w:color w:val="auto"/>
              </w:rPr>
            </w:pPr>
          </w:p>
        </w:tc>
        <w:tc>
          <w:tcPr>
            <w:tcW w:w="14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w w:val="95"/>
              </w:rPr>
              <w:t>159,472</w:t>
            </w:r>
          </w:p>
        </w:tc>
        <w:tc>
          <w:tcPr>
            <w:tcW w:w="520" w:type="dxa"/>
            <w:vAlign w:val="bottom"/>
          </w:tcPr>
          <w:p>
            <w:pPr>
              <w:spacing w:after="0"/>
              <w:rPr>
                <w:sz w:val="14"/>
                <w:szCs w:val="14"/>
                <w:color w:val="auto"/>
              </w:rPr>
            </w:pP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5"/>
              </w:rPr>
              <w:t>132,362</w:t>
            </w: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Fully diluted weighted average number of</w:t>
            </w: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common and common equivalent shares</w:t>
            </w:r>
          </w:p>
        </w:tc>
        <w:tc>
          <w:tcPr>
            <w:tcW w:w="300" w:type="dxa"/>
            <w:vAlign w:val="bottom"/>
          </w:tcPr>
          <w:p>
            <w:pPr>
              <w:spacing w:after="0"/>
              <w:rPr>
                <w:sz w:val="14"/>
                <w:szCs w:val="14"/>
                <w:color w:val="auto"/>
              </w:rPr>
            </w:pPr>
          </w:p>
        </w:tc>
        <w:tc>
          <w:tcPr>
            <w:tcW w:w="14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w w:val="95"/>
              </w:rPr>
              <w:t>163,548</w:t>
            </w:r>
          </w:p>
        </w:tc>
        <w:tc>
          <w:tcPr>
            <w:tcW w:w="520" w:type="dxa"/>
            <w:vAlign w:val="bottom"/>
          </w:tcPr>
          <w:p>
            <w:pPr>
              <w:spacing w:after="0"/>
              <w:rPr>
                <w:sz w:val="14"/>
                <w:szCs w:val="14"/>
                <w:color w:val="auto"/>
              </w:rPr>
            </w:pP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5"/>
              </w:rPr>
              <w:t>132,560</w:t>
            </w:r>
          </w:p>
        </w:tc>
        <w:tc>
          <w:tcPr>
            <w:tcW w:w="0" w:type="dxa"/>
            <w:vAlign w:val="bottom"/>
          </w:tcPr>
          <w:p>
            <w:pPr>
              <w:spacing w:after="0"/>
              <w:rPr>
                <w:sz w:val="1"/>
                <w:szCs w:val="1"/>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2"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2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ind w:left="2820"/>
        <w:spacing w:after="0"/>
        <w:rPr>
          <w:sz w:val="20"/>
          <w:szCs w:val="20"/>
          <w:color w:val="auto"/>
        </w:rPr>
      </w:pPr>
      <w:r>
        <w:rPr>
          <w:rFonts w:ascii="Courier New" w:cs="Courier New" w:eastAsia="Courier New" w:hAnsi="Courier New"/>
          <w:sz w:val="15"/>
          <w:szCs w:val="15"/>
          <w:color w:val="auto"/>
        </w:rPr>
        <w:t>(IN THOUSANDS)</w:t>
      </w:r>
    </w:p>
    <w:p>
      <w:pPr>
        <w:ind w:left="29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PREFERRED</w:t>
            </w:r>
          </w:p>
        </w:tc>
        <w:tc>
          <w:tcPr>
            <w:tcW w:w="10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COMMON</w:t>
            </w:r>
          </w:p>
        </w:tc>
        <w:tc>
          <w:tcPr>
            <w:tcW w:w="1280" w:type="dxa"/>
            <w:vAlign w:val="bottom"/>
            <w:vMerge w:val="continue"/>
          </w:tcPr>
          <w:p>
            <w:pPr>
              <w:spacing w:after="0"/>
              <w:rPr>
                <w:sz w:val="14"/>
                <w:szCs w:val="14"/>
                <w:color w:val="auto"/>
              </w:rPr>
            </w:pP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CURRENCY</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TREASURY</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1280" w:type="dxa"/>
            <w:vAlign w:val="bottom"/>
            <w:vMerge w:val="continue"/>
          </w:tcPr>
          <w:p>
            <w:pPr>
              <w:spacing w:after="0"/>
              <w:rPr>
                <w:sz w:val="14"/>
                <w:szCs w:val="14"/>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TRANSLATION</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1"/>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$1,396</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$1,255,856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$(85,649)</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$(15,843)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Common stock options and warrants</w:t>
            </w:r>
          </w:p>
        </w:tc>
        <w:tc>
          <w:tcPr>
            <w:tcW w:w="12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17,181</w:t>
            </w:r>
          </w:p>
        </w:tc>
        <w:tc>
          <w:tcPr>
            <w:tcW w:w="12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exercised, including tax benefits</w:t>
            </w: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Common stock issued in purchase</w:t>
            </w:r>
          </w:p>
        </w:tc>
        <w:tc>
          <w:tcPr>
            <w:tcW w:w="12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49,443</w:t>
            </w:r>
          </w:p>
        </w:tc>
        <w:tc>
          <w:tcPr>
            <w:tcW w:w="12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acquisitions and development projects</w:t>
            </w: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Common stock issued for acquisitions</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accounted for as poolings of</w:t>
            </w:r>
          </w:p>
        </w:tc>
        <w:tc>
          <w:tcPr>
            <w:tcW w:w="12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1,094</w:t>
            </w:r>
          </w:p>
        </w:tc>
        <w:tc>
          <w:tcPr>
            <w:tcW w:w="12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interests</w:t>
            </w: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Common stock issued in public offering</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387,323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12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(70)</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adjustment</w:t>
            </w: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9,429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49,127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March 31, 1997</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$1,541</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$1,720,326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$(36,522)</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6"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920"/>
          </w:cols>
          <w:pgMar w:left="240" w:top="262" w:right="7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2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179"/>
        <w:spacing w:after="0"/>
        <w:rPr>
          <w:sz w:val="20"/>
          <w:szCs w:val="20"/>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246"/>
        </w:trPr>
        <w:tc>
          <w:tcPr>
            <w:tcW w:w="426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5"/>
        </w:trPr>
        <w:tc>
          <w:tcPr>
            <w:tcW w:w="4260" w:type="dxa"/>
            <w:vAlign w:val="bottom"/>
          </w:tcPr>
          <w:p>
            <w:pPr>
              <w:spacing w:after="0"/>
              <w:rPr>
                <w:sz w:val="24"/>
                <w:szCs w:val="24"/>
                <w:color w:val="auto"/>
              </w:rPr>
            </w:pPr>
          </w:p>
        </w:tc>
        <w:tc>
          <w:tcPr>
            <w:tcW w:w="26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THREE MONTHS ENDED MARCH 31,</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6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1996</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(RESTATED)</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182</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39,471</w:t>
            </w:r>
          </w:p>
        </w:tc>
        <w:tc>
          <w:tcPr>
            <w:tcW w:w="0" w:type="dxa"/>
            <w:vAlign w:val="bottom"/>
          </w:tcPr>
          <w:p>
            <w:pPr>
              <w:spacing w:after="0"/>
              <w:rPr>
                <w:sz w:val="1"/>
                <w:szCs w:val="1"/>
                <w:color w:val="auto"/>
              </w:rPr>
            </w:pPr>
          </w:p>
        </w:tc>
      </w:tr>
      <w:tr>
        <w:trPr>
          <w:trHeight w:val="170"/>
        </w:trPr>
        <w:tc>
          <w:tcPr>
            <w:tcW w:w="4260" w:type="dxa"/>
            <w:vAlign w:val="bottom"/>
          </w:tcPr>
          <w:p>
            <w:pPr>
              <w:ind w:left="600"/>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net of cash</w:t>
            </w:r>
          </w:p>
        </w:tc>
        <w:tc>
          <w:tcPr>
            <w:tcW w:w="32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(567,940)</w:t>
            </w: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(90,456)</w:t>
            </w:r>
          </w:p>
        </w:tc>
        <w:tc>
          <w:tcPr>
            <w:tcW w:w="0" w:type="dxa"/>
            <w:vAlign w:val="bottom"/>
          </w:tcPr>
          <w:p>
            <w:pPr>
              <w:spacing w:after="0"/>
              <w:rPr>
                <w:sz w:val="1"/>
                <w:szCs w:val="1"/>
                <w:color w:val="auto"/>
              </w:rPr>
            </w:pP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acquired</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Capital expenditures</w:t>
            </w: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(66,755)</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(53,046)</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Loans and advances to others</w:t>
            </w: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(6,944)</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(8,177)</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Collection of loans to others</w:t>
            </w: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4,388</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assets</w:t>
            </w: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18,305</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1,441</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Change in restricted funds</w:t>
            </w: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9,409</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426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cash used in investing activities</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(609,537)</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(148,132)</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2"/>
                <w:szCs w:val="22"/>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3"/>
              </w:rPr>
              <w:t>1,075,995</w:t>
            </w:r>
          </w:p>
        </w:tc>
        <w:tc>
          <w:tcPr>
            <w:tcW w:w="44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144,088</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(863,723)</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(27,578)</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387,438</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w:t>
            </w:r>
          </w:p>
        </w:tc>
        <w:tc>
          <w:tcPr>
            <w:tcW w:w="32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9,346</w:t>
            </w:r>
          </w:p>
        </w:tc>
        <w:tc>
          <w:tcPr>
            <w:tcW w:w="44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2,516</w:t>
            </w:r>
          </w:p>
        </w:tc>
        <w:tc>
          <w:tcPr>
            <w:tcW w:w="0" w:type="dxa"/>
            <w:vAlign w:val="bottom"/>
          </w:tcPr>
          <w:p>
            <w:pPr>
              <w:spacing w:after="0"/>
              <w:rPr>
                <w:sz w:val="1"/>
                <w:szCs w:val="1"/>
                <w:color w:val="auto"/>
              </w:rPr>
            </w:pP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options and warrants</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w:t>
            </w:r>
          </w:p>
        </w:tc>
        <w:tc>
          <w:tcPr>
            <w:tcW w:w="0" w:type="dxa"/>
            <w:vAlign w:val="bottom"/>
          </w:tcPr>
          <w:p>
            <w:pPr>
              <w:spacing w:after="0"/>
              <w:rPr>
                <w:sz w:val="1"/>
                <w:szCs w:val="1"/>
                <w:color w:val="auto"/>
              </w:rPr>
            </w:pPr>
          </w:p>
        </w:tc>
      </w:tr>
      <w:tr>
        <w:trPr>
          <w:trHeight w:val="170"/>
        </w:trPr>
        <w:tc>
          <w:tcPr>
            <w:tcW w:w="4260" w:type="dxa"/>
            <w:vAlign w:val="bottom"/>
            <w:vMerge w:val="restart"/>
          </w:tcPr>
          <w:p>
            <w:pPr>
              <w:ind w:left="600"/>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608,435</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120,130</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320" w:type="dxa"/>
            <w:vAlign w:val="bottom"/>
          </w:tcPr>
          <w:p>
            <w:pPr>
              <w:spacing w:after="0"/>
              <w:rPr>
                <w:sz w:val="22"/>
                <w:szCs w:val="22"/>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850</w:t>
            </w:r>
          </w:p>
        </w:tc>
        <w:tc>
          <w:tcPr>
            <w:tcW w:w="44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0"/>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cash equivalents</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320" w:type="dxa"/>
            <w:vAlign w:val="bottom"/>
          </w:tcPr>
          <w:p>
            <w:pPr>
              <w:spacing w:after="0"/>
              <w:rPr>
                <w:sz w:val="22"/>
                <w:szCs w:val="22"/>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11,481</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3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23,511</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21,058</w:t>
            </w:r>
          </w:p>
        </w:tc>
        <w:tc>
          <w:tcPr>
            <w:tcW w:w="0" w:type="dxa"/>
            <w:vAlign w:val="bottom"/>
          </w:tcPr>
          <w:p>
            <w:pPr>
              <w:spacing w:after="0"/>
              <w:rPr>
                <w:sz w:val="1"/>
                <w:szCs w:val="1"/>
                <w:color w:val="auto"/>
              </w:rPr>
            </w:pPr>
          </w:p>
        </w:tc>
      </w:tr>
      <w:tr>
        <w:trPr>
          <w:trHeight w:val="170"/>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6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23,441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32,539</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2"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jc w:val="center"/>
        <w:ind w:right="31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(UNAUDITED)</w:t>
      </w:r>
    </w:p>
    <w:p>
      <w:pPr>
        <w:spacing w:after="0" w:line="143"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The condensed consolidated balance sheets of USA Waste Services, Inc. and subsidiaries (the "Company") as of March 31, 1997 and December 31, 1996, the condensed consolidated statements of operations for the three months ended March 31, 1997 and 1996, the condensed consolidated statement of stockholders' equity for the three months ended March 31, 1997, and the condensed consolidated statements of cash flows for the three months ended March 31, 1997 and 1996 are unaudited. In the opinion of management, such financial statements include all adjustments, consisting only of normal recurring adjustments, necessary for a fair presentation of financial position, results of operations, and cash flows for the periods presented. The condensed balance sheet data at December 31, 1996 was derived from audited financial statements, but does not include all disclosures required by generally accepted accounting principles. The financial statements presented herein should be read in connection with the Company's Annual Report on Form 10-K for the year ended December 31, 1996, as amended on Form 10-K/A filed April 30, 1997.</w:t>
      </w:r>
    </w:p>
    <w:p>
      <w:pPr>
        <w:spacing w:after="0" w:line="8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BUSINESS COMBINATIONS</w:t>
      </w:r>
    </w:p>
    <w:p>
      <w:pPr>
        <w:spacing w:after="0" w:line="169" w:lineRule="exact"/>
        <w:rPr>
          <w:sz w:val="20"/>
          <w:szCs w:val="20"/>
          <w:color w:val="auto"/>
        </w:rPr>
      </w:pPr>
    </w:p>
    <w:p>
      <w:pPr>
        <w:ind w:left="10" w:right="3359"/>
        <w:spacing w:after="0" w:line="261" w:lineRule="auto"/>
        <w:rPr>
          <w:sz w:val="20"/>
          <w:szCs w:val="20"/>
          <w:color w:val="auto"/>
        </w:rPr>
      </w:pPr>
      <w:r>
        <w:rPr>
          <w:rFonts w:ascii="Courier New" w:cs="Courier New" w:eastAsia="Courier New" w:hAnsi="Courier New"/>
          <w:sz w:val="15"/>
          <w:szCs w:val="15"/>
          <w:color w:val="auto"/>
        </w:rPr>
        <w:t>On January 1, 1997, the Company consummated two mergers with California collection companies accounted for as poolings of interests, pursuant to which the Company issued 356,824 shares of its common stock. Periods prior to 1997 were not restated to include the accounts and operations of the acquired companies as combined results are not materially different from the results as presented.</w:t>
      </w:r>
    </w:p>
    <w:p>
      <w:pPr>
        <w:spacing w:after="0" w:line="78" w:lineRule="exact"/>
        <w:rPr>
          <w:sz w:val="20"/>
          <w:szCs w:val="20"/>
          <w:color w:val="auto"/>
        </w:rPr>
      </w:pPr>
    </w:p>
    <w:p>
      <w:pPr>
        <w:ind w:left="10" w:right="3539"/>
        <w:spacing w:after="0" w:line="261"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as a purchase.</w:t>
      </w:r>
    </w:p>
    <w:p>
      <w:pPr>
        <w:spacing w:after="0" w:line="78" w:lineRule="exact"/>
        <w:rPr>
          <w:sz w:val="20"/>
          <w:szCs w:val="20"/>
          <w:color w:val="auto"/>
        </w:rPr>
      </w:pPr>
    </w:p>
    <w:p>
      <w:pPr>
        <w:ind w:left="10" w:right="3179"/>
        <w:spacing w:after="0" w:line="266" w:lineRule="auto"/>
        <w:rPr>
          <w:sz w:val="20"/>
          <w:szCs w:val="20"/>
          <w:color w:val="auto"/>
        </w:rPr>
      </w:pPr>
      <w:r>
        <w:rPr>
          <w:rFonts w:ascii="Courier New" w:cs="Courier New" w:eastAsia="Courier New" w:hAnsi="Courier New"/>
          <w:sz w:val="15"/>
          <w:szCs w:val="15"/>
          <w:color w:val="auto"/>
        </w:rPr>
        <w:t>During the three months ended March 31, 1997, in addition to the above described transactions, the Company acquired 28 collection businesses and three transfer stations for approximately $49,940,000 in cash, $16,734,000 in liabilities incurred or debt assumed, and 1,389,167 shares of the Company's common stock. These acquisitions were accounted for as purchases.</w:t>
      </w:r>
    </w:p>
    <w:p>
      <w:pPr>
        <w:spacing w:after="0" w:line="75" w:lineRule="exact"/>
        <w:rPr>
          <w:sz w:val="20"/>
          <w:szCs w:val="20"/>
          <w:color w:val="auto"/>
        </w:rPr>
      </w:pPr>
    </w:p>
    <w:p>
      <w:pPr>
        <w:ind w:left="10" w:right="3259"/>
        <w:spacing w:after="0" w:line="261" w:lineRule="auto"/>
        <w:rPr>
          <w:sz w:val="20"/>
          <w:szCs w:val="20"/>
          <w:color w:val="auto"/>
        </w:rPr>
      </w:pPr>
      <w:r>
        <w:rPr>
          <w:rFonts w:ascii="Courier New" w:cs="Courier New" w:eastAsia="Courier New" w:hAnsi="Courier New"/>
          <w:sz w:val="15"/>
          <w:szCs w:val="15"/>
          <w:color w:val="auto"/>
        </w:rPr>
        <w:t>The unaudited pro forma information set forth below assumes 1997 first quarter and 1996 acquisitions accounted for as purchases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0"/>
        </w:trPr>
        <w:tc>
          <w:tcPr>
            <w:tcW w:w="37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246"/>
        </w:trPr>
        <w:tc>
          <w:tcPr>
            <w:tcW w:w="3780" w:type="dxa"/>
            <w:vAlign w:val="bottom"/>
          </w:tcPr>
          <w:p>
            <w:pPr>
              <w:spacing w:after="0"/>
              <w:rPr>
                <w:sz w:val="21"/>
                <w:szCs w:val="21"/>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$428,999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 919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54,720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44,771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0.33</w:t>
            </w:r>
          </w:p>
        </w:tc>
      </w:tr>
      <w:tr>
        <w:trPr>
          <w:trHeight w:val="246"/>
        </w:trPr>
        <w:tc>
          <w:tcPr>
            <w:tcW w:w="378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0.33</w:t>
            </w:r>
          </w:p>
        </w:tc>
      </w:tr>
    </w:tbl>
    <w:p>
      <w:pPr>
        <w:spacing w:after="0" w:line="200" w:lineRule="exact"/>
        <w:rPr>
          <w:sz w:val="20"/>
          <w:szCs w:val="20"/>
          <w:color w:val="auto"/>
        </w:rPr>
      </w:pPr>
    </w:p>
    <w:p>
      <w:pPr>
        <w:spacing w:after="0" w:line="232" w:lineRule="exact"/>
        <w:rPr>
          <w:sz w:val="20"/>
          <w:szCs w:val="20"/>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69" w:lineRule="exact"/>
        <w:rPr>
          <w:sz w:val="20"/>
          <w:szCs w:val="20"/>
          <w:color w:val="auto"/>
        </w:rPr>
      </w:pPr>
    </w:p>
    <w:p>
      <w:pPr>
        <w:ind w:left="10" w:right="3259"/>
        <w:spacing w:after="0" w:line="254" w:lineRule="auto"/>
        <w:rPr>
          <w:sz w:val="20"/>
          <w:szCs w:val="20"/>
          <w:color w:val="auto"/>
        </w:rPr>
      </w:pPr>
      <w:r>
        <w:rPr>
          <w:rFonts w:ascii="Courier New" w:cs="Courier New" w:eastAsia="Courier New" w:hAnsi="Courier New"/>
          <w:sz w:val="15"/>
          <w:szCs w:val="15"/>
          <w:color w:val="auto"/>
        </w:rPr>
        <w:t>In connection with the Company's merger with Sanifill, Inc., consummated on August 30, 1996, the United States Department of Justice ordered the divesture of certain solid waste collection and disposal assets and operations in Houston, Texas. On January 31, 1997, the Company sold these assets to TransAmerican Waste Industries, Inc. ("TransAmerican") for $13,600,000 in cash plus warrants to purchase 1,500,000 shares of TransAmerican's common stock at an exercise price of $1.50 per share. The warrants are exercisable for a period of five years.</w:t>
      </w:r>
    </w:p>
    <w:p>
      <w:pPr>
        <w:sectPr>
          <w:pgSz w:w="11900" w:h="16838" w:orient="portrait"/>
          <w:cols w:equalWidth="0" w:num="1">
            <w:col w:w="10229"/>
          </w:cols>
          <w:pgMar w:left="23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62"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6"/>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5980" w:type="dxa"/>
            <w:vAlign w:val="bottom"/>
          </w:tcPr>
          <w:p>
            <w:pPr>
              <w:spacing w:after="0"/>
              <w:rPr>
                <w:sz w:val="20"/>
                <w:szCs w:val="20"/>
                <w:color w:val="auto"/>
              </w:rPr>
            </w:pPr>
            <w:r>
              <w:rPr>
                <w:rFonts w:ascii="Courier New" w:cs="Courier New" w:eastAsia="Courier New" w:hAnsi="Courier New"/>
                <w:sz w:val="15"/>
                <w:szCs w:val="15"/>
                <w:color w:val="auto"/>
              </w:rPr>
              <w:t>3. LONG-TERM DEBT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 (in thousands):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598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980" w:type="dxa"/>
            <w:vAlign w:val="bottom"/>
          </w:tcPr>
          <w:p>
            <w:pPr>
              <w:spacing w:after="0"/>
              <w:rPr>
                <w:sz w:val="21"/>
                <w:szCs w:val="21"/>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Revolving credit facility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105,000</w:t>
            </w: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Senior notes, maturing in varying annual installments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107,500</w:t>
            </w: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through June 2005, interest ranging from 7.29% to 8.44%</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Convertible subordinated debentures, interest at 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Convertible subordinated notes, interest at 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535,275</w:t>
            </w: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Note payable to bank, interest at Banker's Acceptance plus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350,000</w:t>
            </w: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0.45%</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Subordinated debt, maturing in varying monthly installments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5,543</w:t>
            </w: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through January 2008, interest ranging from 7.25% to 10%</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Industrial revenue bonds, principal payable in annual</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installments, maturing in 1996-2021, variable interest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rates (3.1% to 3.4% at March 31, 1997), enhanced by</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162,804</w:t>
            </w:r>
          </w:p>
        </w:tc>
        <w:tc>
          <w:tcPr>
            <w:tcW w:w="0" w:type="dxa"/>
            <w:vAlign w:val="bottom"/>
          </w:tcPr>
          <w:p>
            <w:pPr>
              <w:spacing w:after="0"/>
              <w:rPr>
                <w:sz w:val="1"/>
                <w:szCs w:val="1"/>
                <w:color w:val="auto"/>
              </w:rPr>
            </w:pPr>
          </w:p>
        </w:tc>
      </w:tr>
      <w:tr>
        <w:trPr>
          <w:trHeight w:val="170"/>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letters of credit</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73,261</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9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1,454,383</w:t>
            </w: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31,025</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$1,423,358</w:t>
            </w:r>
          </w:p>
        </w:tc>
        <w:tc>
          <w:tcPr>
            <w:tcW w:w="0" w:type="dxa"/>
            <w:vAlign w:val="bottom"/>
          </w:tcPr>
          <w:p>
            <w:pPr>
              <w:spacing w:after="0"/>
              <w:rPr>
                <w:sz w:val="1"/>
                <w:szCs w:val="1"/>
                <w:color w:val="auto"/>
              </w:rPr>
            </w:pPr>
          </w:p>
        </w:tc>
      </w:tr>
      <w:tr>
        <w:trPr>
          <w:trHeight w:val="246"/>
        </w:trPr>
        <w:tc>
          <w:tcPr>
            <w:tcW w:w="59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 the Company had borrowed $637,000,000 under its</w:t>
      </w:r>
    </w:p>
    <w:p>
      <w:pPr>
        <w:spacing w:after="0" w:line="26" w:lineRule="exact"/>
        <w:rPr>
          <w:sz w:val="20"/>
          <w:szCs w:val="20"/>
          <w:color w:val="auto"/>
        </w:rPr>
      </w:pPr>
    </w:p>
    <w:p>
      <w:pPr>
        <w:ind w:right="340"/>
        <w:spacing w:after="0" w:line="256" w:lineRule="auto"/>
        <w:rPr>
          <w:sz w:val="20"/>
          <w:szCs w:val="20"/>
          <w:color w:val="auto"/>
        </w:rPr>
      </w:pPr>
      <w:r>
        <w:rPr>
          <w:rFonts w:ascii="Courier New" w:cs="Courier New" w:eastAsia="Courier New" w:hAnsi="Courier New"/>
          <w:sz w:val="14"/>
          <w:szCs w:val="14"/>
          <w:color w:val="auto"/>
        </w:rPr>
        <w:t>$1,200,000,000 senior revolving credit facility. The credit facility was used to refinance existing bank loans and letters of credit and to fund additional acquisitions and working capital. The credit facility was available for standby letters of credit of up to $400,000,000. Loans under the credit facility bore interest at a rate based on the Eurodollar rate plus a spread not to exceed 0.75% per annum (spread set at 0.30% per annum, or an applicable interest rate of 5.87% per annum at December 31, 1996). The credit facility required a facility fee not to exceed 0.375% per annum on the entire available credit facility (facility fee set at 0.15% per annum at December 31, 1996). The credit facility contained financial covenants with respect to interest</w:t>
      </w:r>
    </w:p>
    <w:p>
      <w:pPr>
        <w:spacing w:after="0" w:line="3"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5"/>
          <w:szCs w:val="15"/>
          <w:color w:val="auto"/>
        </w:rPr>
        <w:t>coverage and debt capitalization ratios.</w:t>
      </w:r>
      <w:r>
        <w:rPr>
          <w:sz w:val="20"/>
          <w:szCs w:val="20"/>
          <w:color w:val="auto"/>
        </w:rPr>
        <w:tab/>
      </w:r>
      <w:r>
        <w:rPr>
          <w:rFonts w:ascii="Courier New" w:cs="Courier New" w:eastAsia="Courier New" w:hAnsi="Courier New"/>
          <w:sz w:val="14"/>
          <w:szCs w:val="14"/>
          <w:color w:val="auto"/>
        </w:rPr>
        <w:t>The credit facility also contained</w:t>
      </w:r>
    </w:p>
    <w:p>
      <w:pPr>
        <w:spacing w:after="0"/>
        <w:rPr>
          <w:sz w:val="20"/>
          <w:szCs w:val="20"/>
          <w:color w:val="auto"/>
        </w:rPr>
      </w:pPr>
      <w:r>
        <w:rPr>
          <w:rFonts w:ascii="Courier New" w:cs="Courier New" w:eastAsia="Courier New" w:hAnsi="Courier New"/>
          <w:sz w:val="15"/>
          <w:szCs w:val="15"/>
          <w:color w:val="auto"/>
        </w:rPr>
        <w:t>limitations on dividends, additional indebtedness, liens, and asset sales.</w:t>
      </w:r>
    </w:p>
    <w:p>
      <w:pPr>
        <w:spacing w:after="0"/>
        <w:rPr>
          <w:sz w:val="20"/>
          <w:szCs w:val="20"/>
          <w:color w:val="auto"/>
        </w:rPr>
      </w:pPr>
      <w:r>
        <w:rPr>
          <w:rFonts w:ascii="Courier New" w:cs="Courier New" w:eastAsia="Courier New" w:hAnsi="Courier New"/>
          <w:sz w:val="15"/>
          <w:szCs w:val="15"/>
          <w:color w:val="auto"/>
        </w:rPr>
        <w:t>Principal reductions were not required during the five-year term of the credit</w:t>
      </w:r>
    </w:p>
    <w:p>
      <w:pPr>
        <w:spacing w:after="0"/>
        <w:tabs>
          <w:tab w:leader="none" w:pos="940" w:val="left"/>
        </w:tabs>
        <w:rPr>
          <w:sz w:val="20"/>
          <w:szCs w:val="20"/>
          <w:color w:val="auto"/>
        </w:rPr>
      </w:pPr>
      <w:r>
        <w:rPr>
          <w:rFonts w:ascii="Courier New" w:cs="Courier New" w:eastAsia="Courier New" w:hAnsi="Courier New"/>
          <w:sz w:val="15"/>
          <w:szCs w:val="15"/>
          <w:color w:val="auto"/>
        </w:rPr>
        <w:t>facility.</w:t>
        <w:tab/>
        <w:t>On March 5, 1997, the credit facility was replaced with a</w:t>
      </w:r>
    </w:p>
    <w:p>
      <w:pPr>
        <w:spacing w:after="0"/>
        <w:rPr>
          <w:sz w:val="20"/>
          <w:szCs w:val="20"/>
          <w:color w:val="auto"/>
        </w:rPr>
      </w:pPr>
      <w:r>
        <w:rPr>
          <w:rFonts w:ascii="Courier New" w:cs="Courier New" w:eastAsia="Courier New" w:hAnsi="Courier New"/>
          <w:sz w:val="15"/>
          <w:szCs w:val="15"/>
          <w:color w:val="auto"/>
        </w:rPr>
        <w:t>$1,600,000,000 senior revolving credit facility with the same general terms,</w:t>
      </w:r>
    </w:p>
    <w:p>
      <w:pPr>
        <w:spacing w:after="0"/>
        <w:rPr>
          <w:sz w:val="20"/>
          <w:szCs w:val="20"/>
          <w:color w:val="auto"/>
        </w:rPr>
      </w:pPr>
      <w:r>
        <w:rPr>
          <w:rFonts w:ascii="Courier New" w:cs="Courier New" w:eastAsia="Courier New" w:hAnsi="Courier New"/>
          <w:sz w:val="15"/>
          <w:szCs w:val="15"/>
          <w:color w:val="auto"/>
        </w:rPr>
        <w:t>covenants, and limitations, which is available for standby letters of credit of</w:t>
      </w:r>
    </w:p>
    <w:p>
      <w:pPr>
        <w:spacing w:after="0"/>
        <w:tabs>
          <w:tab w:leader="none" w:pos="1820" w:val="left"/>
        </w:tabs>
        <w:rPr>
          <w:sz w:val="20"/>
          <w:szCs w:val="20"/>
          <w:color w:val="auto"/>
        </w:rPr>
      </w:pPr>
      <w:r>
        <w:rPr>
          <w:rFonts w:ascii="Courier New" w:cs="Courier New" w:eastAsia="Courier New" w:hAnsi="Courier New"/>
          <w:sz w:val="15"/>
          <w:szCs w:val="15"/>
          <w:color w:val="auto"/>
        </w:rPr>
        <w:t>up to $500,000,000.</w:t>
      </w:r>
      <w:r>
        <w:rPr>
          <w:sz w:val="20"/>
          <w:szCs w:val="20"/>
          <w:color w:val="auto"/>
        </w:rPr>
        <w:tab/>
      </w:r>
      <w:r>
        <w:rPr>
          <w:rFonts w:ascii="Courier New" w:cs="Courier New" w:eastAsia="Courier New" w:hAnsi="Courier New"/>
          <w:sz w:val="14"/>
          <w:szCs w:val="14"/>
          <w:color w:val="auto"/>
        </w:rPr>
        <w:t>At March 31, 1997, the Company had borrowed $105,000,000</w:t>
      </w:r>
    </w:p>
    <w:p>
      <w:pPr>
        <w:spacing w:after="0"/>
        <w:tabs>
          <w:tab w:leader="none" w:pos="5260" w:val="left"/>
        </w:tabs>
        <w:rPr>
          <w:sz w:val="20"/>
          <w:szCs w:val="20"/>
          <w:color w:val="auto"/>
        </w:rPr>
      </w:pPr>
      <w:r>
        <w:rPr>
          <w:rFonts w:ascii="Courier New" w:cs="Courier New" w:eastAsia="Courier New" w:hAnsi="Courier New"/>
          <w:sz w:val="15"/>
          <w:szCs w:val="15"/>
          <w:color w:val="auto"/>
        </w:rPr>
        <w:t>under its $1,600,000,000 senior revolving credit facility.</w:t>
      </w:r>
      <w:r>
        <w:rPr>
          <w:sz w:val="20"/>
          <w:szCs w:val="20"/>
          <w:color w:val="auto"/>
        </w:rPr>
        <w:tab/>
      </w:r>
      <w:r>
        <w:rPr>
          <w:rFonts w:ascii="Courier New" w:cs="Courier New" w:eastAsia="Courier New" w:hAnsi="Courier New"/>
          <w:sz w:val="14"/>
          <w:szCs w:val="14"/>
          <w:color w:val="auto"/>
        </w:rPr>
        <w:t>The applicable</w:t>
      </w:r>
    </w:p>
    <w:p>
      <w:pPr>
        <w:spacing w:after="0"/>
        <w:rPr>
          <w:sz w:val="20"/>
          <w:szCs w:val="20"/>
          <w:color w:val="auto"/>
        </w:rPr>
      </w:pPr>
      <w:r>
        <w:rPr>
          <w:rFonts w:ascii="Courier New" w:cs="Courier New" w:eastAsia="Courier New" w:hAnsi="Courier New"/>
          <w:sz w:val="15"/>
          <w:szCs w:val="15"/>
          <w:color w:val="auto"/>
        </w:rPr>
        <w:t>interest rate and facility fee at March 31, 1997 were 6.15% per annum</w:t>
      </w:r>
    </w:p>
    <w:p>
      <w:pPr>
        <w:spacing w:after="0"/>
        <w:rPr>
          <w:sz w:val="20"/>
          <w:szCs w:val="20"/>
          <w:color w:val="auto"/>
        </w:rPr>
      </w:pPr>
      <w:r>
        <w:rPr>
          <w:rFonts w:ascii="Courier New" w:cs="Courier New" w:eastAsia="Courier New" w:hAnsi="Courier New"/>
          <w:sz w:val="15"/>
          <w:szCs w:val="15"/>
          <w:color w:val="auto"/>
        </w:rPr>
        <w:t>(including the spread set at 0.30% per annum) and 0.15% per annum, respectively.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February 7, 1997, the Company issued $535,275,000 of 4% convertible</w:t>
      </w:r>
    </w:p>
    <w:p>
      <w:pPr>
        <w:spacing w:after="0" w:line="25"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subordinated notes, due on February 1, 2002 ("Notes Offering").</w:t>
      </w:r>
      <w:r>
        <w:rPr>
          <w:sz w:val="20"/>
          <w:szCs w:val="20"/>
          <w:color w:val="auto"/>
        </w:rPr>
        <w:tab/>
      </w:r>
      <w:r>
        <w:rPr>
          <w:rFonts w:ascii="Courier New" w:cs="Courier New" w:eastAsia="Courier New" w:hAnsi="Courier New"/>
          <w:sz w:val="14"/>
          <w:szCs w:val="14"/>
          <w:color w:val="auto"/>
        </w:rPr>
        <w:t>Interest is</w:t>
      </w:r>
    </w:p>
    <w:p>
      <w:pPr>
        <w:spacing w:after="0"/>
        <w:tabs>
          <w:tab w:leader="none" w:pos="4120" w:val="left"/>
        </w:tabs>
        <w:rPr>
          <w:sz w:val="20"/>
          <w:szCs w:val="20"/>
          <w:color w:val="auto"/>
        </w:rPr>
      </w:pPr>
      <w:r>
        <w:rPr>
          <w:rFonts w:ascii="Courier New" w:cs="Courier New" w:eastAsia="Courier New" w:hAnsi="Courier New"/>
          <w:sz w:val="15"/>
          <w:szCs w:val="15"/>
          <w:color w:val="auto"/>
        </w:rPr>
        <w:t>payable semi-annually in February and August.</w:t>
      </w:r>
      <w:r>
        <w:rPr>
          <w:sz w:val="20"/>
          <w:szCs w:val="20"/>
          <w:color w:val="auto"/>
        </w:rPr>
        <w:tab/>
      </w:r>
      <w:r>
        <w:rPr>
          <w:rFonts w:ascii="Courier New" w:cs="Courier New" w:eastAsia="Courier New" w:hAnsi="Courier New"/>
          <w:sz w:val="14"/>
          <w:szCs w:val="14"/>
          <w:color w:val="auto"/>
        </w:rPr>
        <w:t>The notes are convertible into</w:t>
      </w:r>
    </w:p>
    <w:p>
      <w:pPr>
        <w:spacing w:after="0"/>
        <w:rPr>
          <w:sz w:val="20"/>
          <w:szCs w:val="20"/>
          <w:color w:val="auto"/>
        </w:rPr>
      </w:pPr>
      <w:r>
        <w:rPr>
          <w:rFonts w:ascii="Courier New" w:cs="Courier New" w:eastAsia="Courier New" w:hAnsi="Courier New"/>
          <w:sz w:val="15"/>
          <w:szCs w:val="15"/>
          <w:color w:val="auto"/>
        </w:rPr>
        <w:t>shares of the Company's common stock at a conversion price of $43.56 per share.</w:t>
      </w:r>
    </w:p>
    <w:p>
      <w:pPr>
        <w:spacing w:after="0"/>
        <w:rPr>
          <w:sz w:val="20"/>
          <w:szCs w:val="20"/>
          <w:color w:val="auto"/>
        </w:rPr>
      </w:pPr>
      <w:r>
        <w:rPr>
          <w:rFonts w:ascii="Courier New" w:cs="Courier New" w:eastAsia="Courier New" w:hAnsi="Courier New"/>
          <w:sz w:val="15"/>
          <w:szCs w:val="15"/>
          <w:color w:val="auto"/>
        </w:rPr>
        <w:t>The notes are subordinated in right of payment to all existing and future</w:t>
      </w:r>
    </w:p>
    <w:p>
      <w:pPr>
        <w:spacing w:after="0"/>
        <w:tabs>
          <w:tab w:leader="none" w:pos="2960" w:val="left"/>
        </w:tabs>
        <w:rPr>
          <w:sz w:val="20"/>
          <w:szCs w:val="20"/>
          <w:color w:val="auto"/>
        </w:rPr>
      </w:pPr>
      <w:r>
        <w:rPr>
          <w:rFonts w:ascii="Courier New" w:cs="Courier New" w:eastAsia="Courier New" w:hAnsi="Courier New"/>
          <w:sz w:val="15"/>
          <w:szCs w:val="15"/>
          <w:color w:val="auto"/>
        </w:rPr>
        <w:t>senior indebtedness, as defined.</w:t>
      </w:r>
      <w:r>
        <w:rPr>
          <w:sz w:val="20"/>
          <w:szCs w:val="20"/>
          <w:color w:val="auto"/>
        </w:rPr>
        <w:tab/>
      </w:r>
      <w:r>
        <w:rPr>
          <w:rFonts w:ascii="Courier New" w:cs="Courier New" w:eastAsia="Courier New" w:hAnsi="Courier New"/>
          <w:sz w:val="14"/>
          <w:szCs w:val="14"/>
          <w:color w:val="auto"/>
        </w:rPr>
        <w:t>The notes are redeemable after February 1,</w:t>
      </w:r>
    </w:p>
    <w:p>
      <w:pPr>
        <w:spacing w:after="0"/>
        <w:rPr>
          <w:sz w:val="20"/>
          <w:szCs w:val="20"/>
          <w:color w:val="auto"/>
        </w:rPr>
      </w:pPr>
      <w:r>
        <w:rPr>
          <w:rFonts w:ascii="Courier New" w:cs="Courier New" w:eastAsia="Courier New" w:hAnsi="Courier New"/>
          <w:sz w:val="15"/>
          <w:szCs w:val="15"/>
          <w:color w:val="auto"/>
        </w:rPr>
        <w:t>2000 at the option of the Company at 101.6% of the principal amount, declining</w:t>
      </w:r>
    </w:p>
    <w:p>
      <w:pPr>
        <w:spacing w:after="0"/>
        <w:rPr>
          <w:sz w:val="20"/>
          <w:szCs w:val="20"/>
          <w:color w:val="auto"/>
        </w:rPr>
      </w:pPr>
      <w:r>
        <w:rPr>
          <w:rFonts w:ascii="Courier New" w:cs="Courier New" w:eastAsia="Courier New" w:hAnsi="Courier New"/>
          <w:sz w:val="15"/>
          <w:szCs w:val="15"/>
          <w:color w:val="auto"/>
        </w:rPr>
        <w:t>to 100.8% of the principal amount on February 1, 2001 and thereafter until</w:t>
      </w:r>
    </w:p>
    <w:p>
      <w:pPr>
        <w:spacing w:after="0"/>
        <w:tabs>
          <w:tab w:leader="none" w:pos="2960" w:val="left"/>
        </w:tabs>
        <w:rPr>
          <w:sz w:val="20"/>
          <w:szCs w:val="20"/>
          <w:color w:val="auto"/>
        </w:rPr>
      </w:pPr>
      <w:r>
        <w:rPr>
          <w:rFonts w:ascii="Courier New" w:cs="Courier New" w:eastAsia="Courier New" w:hAnsi="Courier New"/>
          <w:sz w:val="15"/>
          <w:szCs w:val="15"/>
          <w:color w:val="auto"/>
        </w:rPr>
        <w:t>maturity, plus accrued interest.</w:t>
      </w:r>
      <w:r>
        <w:rPr>
          <w:sz w:val="20"/>
          <w:szCs w:val="20"/>
          <w:color w:val="auto"/>
        </w:rPr>
        <w:tab/>
      </w:r>
      <w:r>
        <w:rPr>
          <w:rFonts w:ascii="Courier New" w:cs="Courier New" w:eastAsia="Courier New" w:hAnsi="Courier New"/>
          <w:sz w:val="14"/>
          <w:szCs w:val="14"/>
          <w:color w:val="auto"/>
        </w:rPr>
        <w:t>Deferred offering costs of approximately</w:t>
      </w:r>
    </w:p>
    <w:p>
      <w:pPr>
        <w:spacing w:after="0"/>
        <w:rPr>
          <w:sz w:val="20"/>
          <w:szCs w:val="20"/>
          <w:color w:val="auto"/>
        </w:rPr>
      </w:pPr>
      <w:r>
        <w:rPr>
          <w:rFonts w:ascii="Courier New" w:cs="Courier New" w:eastAsia="Courier New" w:hAnsi="Courier New"/>
          <w:sz w:val="15"/>
          <w:szCs w:val="15"/>
          <w:color w:val="auto"/>
        </w:rPr>
        <w:t>$14,000,000 were incurred and are being amortized ratably over the life of the</w:t>
      </w:r>
    </w:p>
    <w:p>
      <w:pPr>
        <w:spacing w:after="0"/>
        <w:tabs>
          <w:tab w:leader="none" w:pos="680" w:val="left"/>
        </w:tabs>
        <w:rPr>
          <w:sz w:val="20"/>
          <w:szCs w:val="20"/>
          <w:color w:val="auto"/>
        </w:rPr>
      </w:pPr>
      <w:r>
        <w:rPr>
          <w:rFonts w:ascii="Courier New" w:cs="Courier New" w:eastAsia="Courier New" w:hAnsi="Courier New"/>
          <w:sz w:val="15"/>
          <w:szCs w:val="15"/>
          <w:color w:val="auto"/>
        </w:rPr>
        <w:t>notes.</w:t>
        <w:tab/>
        <w:t>The proceeds were primarily used to repay debt under the Company's</w:t>
      </w:r>
    </w:p>
    <w:p>
      <w:pPr>
        <w:spacing w:after="0"/>
        <w:rPr>
          <w:sz w:val="20"/>
          <w:szCs w:val="20"/>
          <w:color w:val="auto"/>
        </w:rPr>
      </w:pPr>
      <w:r>
        <w:rPr>
          <w:rFonts w:ascii="Courier New" w:cs="Courier New" w:eastAsia="Courier New" w:hAnsi="Courier New"/>
          <w:sz w:val="15"/>
          <w:szCs w:val="15"/>
          <w:color w:val="auto"/>
        </w:rPr>
        <w:t>credit facility, to fund acquisitions, and for general corporate purposes.</w:t>
      </w:r>
    </w:p>
    <w:p>
      <w:pPr>
        <w:spacing w:after="0" w:line="143" w:lineRule="exact"/>
        <w:rPr>
          <w:sz w:val="20"/>
          <w:szCs w:val="20"/>
          <w:color w:val="auto"/>
        </w:rPr>
      </w:pPr>
    </w:p>
    <w:p>
      <w:pPr>
        <w:ind w:right="440"/>
        <w:spacing w:after="0" w:line="266"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75" w:lineRule="exact"/>
        <w:rPr>
          <w:sz w:val="20"/>
          <w:szCs w:val="20"/>
          <w:color w:val="auto"/>
        </w:rPr>
      </w:pPr>
    </w:p>
    <w:p>
      <w:pPr>
        <w:ind w:right="440"/>
        <w:spacing w:after="0" w:line="289" w:lineRule="auto"/>
        <w:rPr>
          <w:sz w:val="20"/>
          <w:szCs w:val="20"/>
          <w:color w:val="auto"/>
        </w:rPr>
      </w:pPr>
      <w:r>
        <w:rPr>
          <w:rFonts w:ascii="Courier New" w:cs="Courier New" w:eastAsia="Courier New" w:hAnsi="Courier New"/>
          <w:sz w:val="14"/>
          <w:szCs w:val="14"/>
          <w:color w:val="auto"/>
        </w:rPr>
        <w:t>On March 12, 1997, the Company borrowed $350,000,000 from a Canadian bank to facilitate the acquisition of the Canadian solid waste subsidiaries of Allied Waste Industries, Inc. (see Note 1). The note bears interest at Banker's Acceptance plus 0.45%. On April 21, 1997, the Company retired the $350,000,000 Canadian borrowings with proceeds from its domestic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4"/>
          <w:szCs w:val="14"/>
          <w:color w:val="auto"/>
        </w:rPr>
        <w:t>December 31,</w:t>
      </w:r>
    </w:p>
    <w:p>
      <w:pPr>
        <w:spacing w:after="0" w:line="36"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5"/>
          <w:szCs w:val="15"/>
          <w:color w:val="auto"/>
        </w:rPr>
        <w:t>1996</w:t>
      </w:r>
    </w:p>
    <w:p>
      <w:pPr>
        <w:ind w:left="34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340" w:hanging="261"/>
        <w:spacing w:after="0"/>
        <w:tabs>
          <w:tab w:leader="none" w:pos="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637,000</w:t>
      </w:r>
    </w:p>
    <w:p>
      <w:pPr>
        <w:spacing w:after="0" w:line="169"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107,500</w:t>
      </w:r>
    </w:p>
    <w:p>
      <w:pPr>
        <w:spacing w:after="0" w:line="25"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115,000</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5"/>
          <w:szCs w:val="15"/>
          <w:color w:val="auto"/>
        </w:rPr>
        <w:t>5,589</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164,639</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157,272</w:t>
      </w:r>
    </w:p>
    <w:p>
      <w:pPr>
        <w:ind w:left="80"/>
        <w:spacing w:after="0"/>
        <w:rPr>
          <w:sz w:val="20"/>
          <w:szCs w:val="20"/>
          <w:color w:val="auto"/>
        </w:rPr>
      </w:pPr>
      <w:r>
        <w:rPr>
          <w:rFonts w:ascii="Courier New" w:cs="Courier New" w:eastAsia="Courier New" w:hAnsi="Courier New"/>
          <w:sz w:val="15"/>
          <w:szCs w:val="15"/>
          <w:color w:val="auto"/>
        </w:rPr>
        <w:t>----------</w:t>
      </w:r>
    </w:p>
    <w:p>
      <w:pPr>
        <w:jc w:val="right"/>
        <w:ind w:right="1239"/>
        <w:spacing w:after="0"/>
        <w:rPr>
          <w:sz w:val="20"/>
          <w:szCs w:val="20"/>
          <w:color w:val="auto"/>
        </w:rPr>
      </w:pPr>
      <w:r>
        <w:rPr>
          <w:rFonts w:ascii="Courier New" w:cs="Courier New" w:eastAsia="Courier New" w:hAnsi="Courier New"/>
          <w:sz w:val="15"/>
          <w:szCs w:val="15"/>
          <w:color w:val="auto"/>
        </w:rPr>
        <w:t>1,187,000</w:t>
      </w:r>
    </w:p>
    <w:p>
      <w:pPr>
        <w:jc w:val="right"/>
        <w:ind w:right="1239"/>
        <w:spacing w:after="0"/>
        <w:rPr>
          <w:sz w:val="20"/>
          <w:szCs w:val="20"/>
          <w:color w:val="auto"/>
        </w:rPr>
      </w:pPr>
      <w:r>
        <w:rPr>
          <w:rFonts w:ascii="Courier New" w:cs="Courier New" w:eastAsia="Courier New" w:hAnsi="Courier New"/>
          <w:sz w:val="15"/>
          <w:szCs w:val="15"/>
          <w:color w:val="auto"/>
        </w:rPr>
        <w:t>28,695</w:t>
      </w:r>
    </w:p>
    <w:p>
      <w:pPr>
        <w:ind w:left="80"/>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$1,158,305</w:t>
      </w:r>
    </w:p>
    <w:p>
      <w:pPr>
        <w:ind w:left="80"/>
        <w:spacing w:after="0"/>
        <w:rPr>
          <w:sz w:val="20"/>
          <w:szCs w:val="20"/>
          <w:color w:val="auto"/>
        </w:rPr>
      </w:pPr>
      <w:r>
        <w:rPr>
          <w:rFonts w:ascii="Courier New" w:cs="Courier New" w:eastAsia="Courier New" w:hAnsi="Courier New"/>
          <w:sz w:val="15"/>
          <w:szCs w:val="15"/>
          <w:color w:val="auto"/>
        </w:rPr>
        <w:t>==========</w:t>
      </w:r>
    </w:p>
    <w:p>
      <w:pPr>
        <w:spacing w:after="0" w:line="8417" w:lineRule="exact"/>
        <w:rPr>
          <w:sz w:val="20"/>
          <w:szCs w:val="20"/>
          <w:color w:val="auto"/>
        </w:rPr>
      </w:pPr>
    </w:p>
    <w:p>
      <w:pPr>
        <w:sectPr>
          <w:pgSz w:w="11900" w:h="16838" w:orient="portrait"/>
          <w:cols w:equalWidth="0" w:num="2">
            <w:col w:w="7300" w:space="720"/>
            <w:col w:w="2199"/>
          </w:cols>
          <w:pgMar w:left="240" w:top="262" w:right="1440" w:bottom="1440" w:gutter="0" w:footer="0" w:header="0"/>
        </w:sectPr>
      </w:pP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2" w:right="1440" w:bottom="1440" w:gutter="0" w:footer="0" w:header="0"/>
          <w:type w:val="continuous"/>
        </w:sectPr>
      </w:pPr>
    </w:p>
    <w:bookmarkStart w:id="7" w:name="page8"/>
    <w:bookmarkEnd w:id="7"/>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w:t>
      </w:r>
    </w:p>
    <w:p>
      <w:pPr>
        <w:spacing w:after="0" w:line="26" w:lineRule="exact"/>
        <w:rPr>
          <w:sz w:val="20"/>
          <w:szCs w:val="20"/>
          <w:color w:val="auto"/>
        </w:rPr>
      </w:pPr>
    </w:p>
    <w:p>
      <w:pPr>
        <w:ind w:right="3259"/>
        <w:spacing w:after="0" w:line="253" w:lineRule="auto"/>
        <w:rPr>
          <w:sz w:val="20"/>
          <w:szCs w:val="20"/>
          <w:color w:val="auto"/>
        </w:rPr>
      </w:pPr>
      <w:r>
        <w:rPr>
          <w:rFonts w:ascii="Courier New" w:cs="Courier New" w:eastAsia="Courier New" w:hAnsi="Courier New"/>
          <w:sz w:val="15"/>
          <w:szCs w:val="15"/>
          <w:color w:val="auto"/>
        </w:rPr>
        <w:t>Other long-term debt at March 31, 1997 and December 31, 1996 consists of miscellaneous notes payable and obligations under capital leases. Other long-term debt at December 31, 1996 also included $83,475,000 payable to the former owners of a landfill and collection operation acquired by the Company in December 1996. This amount was paid in January 1997 through additional borrowings under the credit facility.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 AND CONTINGENCIES</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88"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5"/>
          <w:szCs w:val="15"/>
          <w:color w:val="auto"/>
        </w:rPr>
        <w:t>Litigation -- On or about March 8, 1993, an action was filed in the United States District Court for the Western District of Pennsylvania,</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In response to discovery on damages, the plaintiffs reduced their damages claim to $433,000 in alleged losses, plus interest and attorneys' fees, for a total damage claim of $658,000 as of August 21, 1995. By order dated April 11, 1997, the Court denied plaintiffs' previously filed motion for summary judgement. Discovery has been completed, and a trial date is expected to be set for later in 1997. The Company intends to continue to vigorously defend against this action. Management of the Company believes the ultimate resolution of this case will not have a material adverse effect on the Company's financial position or results of operations.</w:t>
      </w:r>
    </w:p>
    <w:p>
      <w:pPr>
        <w:spacing w:after="0" w:line="103" w:lineRule="exact"/>
        <w:rPr>
          <w:sz w:val="20"/>
          <w:szCs w:val="20"/>
          <w:color w:val="auto"/>
        </w:rPr>
      </w:pPr>
    </w:p>
    <w:p>
      <w:pPr>
        <w:ind w:right="3259"/>
        <w:spacing w:after="0" w:line="245"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which is scheduled to close in June 1997. Management of the Company believes the ultimate resolution of this case will not have a material adverse effect on the Company's financial position or results of operations.</w:t>
      </w:r>
    </w:p>
    <w:p>
      <w:pPr>
        <w:spacing w:after="0" w:line="98"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8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$150,000,000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89" w:lineRule="exact"/>
        <w:rPr>
          <w:sz w:val="20"/>
          <w:szCs w:val="20"/>
          <w:color w:val="auto"/>
        </w:rPr>
      </w:pPr>
    </w:p>
    <w:p>
      <w:pPr>
        <w:ind w:right="3259"/>
        <w:spacing w:after="0" w:line="322"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and countries in which it has employees. The Company also currently has an environmental impairment liability ("EIL") insurance policy</w:t>
      </w:r>
    </w:p>
    <w:p>
      <w:pPr>
        <w:sectPr>
          <w:pgSz w:w="11900" w:h="16865" w:orient="portrait"/>
          <w:cols w:equalWidth="0" w:num="1">
            <w:col w:w="10219"/>
          </w:cols>
          <w:pgMar w:left="240" w:top="262" w:right="1440" w:bottom="0" w:gutter="0" w:footer="0" w:header="0"/>
        </w:sectPr>
      </w:pPr>
    </w:p>
    <w:bookmarkStart w:id="8" w:name="page9"/>
    <w:bookmarkEnd w:id="8"/>
    <w:p>
      <w:pPr>
        <w:ind w:right="3359"/>
        <w:spacing w:after="0" w:line="266" w:lineRule="auto"/>
        <w:rPr>
          <w:sz w:val="20"/>
          <w:szCs w:val="20"/>
          <w:color w:val="auto"/>
        </w:rPr>
      </w:pPr>
      <w:r>
        <w:rPr>
          <w:rFonts w:ascii="Courier New" w:cs="Courier New" w:eastAsia="Courier New" w:hAnsi="Courier New"/>
          <w:sz w:val="15"/>
          <w:szCs w:val="15"/>
          <w:color w:val="auto"/>
        </w:rPr>
        <w:t>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incident with a $10,000,000 aggregate limit.</w:t>
      </w:r>
    </w:p>
    <w:p>
      <w:pPr>
        <w:spacing w:after="0" w:line="75"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or results of operations. Additionally, continued availability of casualty and EIL insurance with sufficient limits at acceptable terms is an important aspect of obtaining revenue-producing waste service contracts.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SUBSEQUENT EVENTS</w:t>
      </w:r>
    </w:p>
    <w:p>
      <w:pPr>
        <w:spacing w:after="0" w:line="169"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a limited amount of debt assumption. The assets acquired include eleven collection businesses, eleven landfills, six transfer stations, and three recycling businesses. The acquisition will be accounted for as a purchase.</w:t>
      </w:r>
    </w:p>
    <w:p>
      <w:pPr>
        <w:spacing w:after="0" w:line="78"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On March 21, 1997, a Canadian subsidiary of the Company and WMX Technologies, Inc.'s Waste Management, Inc. subsidiary ("WMX") jointly executed a letter of intent whereby the Company will acquire the majority of WMX's Canadian solid waste businesses for approximately $186,000,000, including $124,000,000 in cash and $62,000,000 in Company common stock. The assets to be acquired include 13 collection businesses, one landfill, and three transfer stations in the provinces of Alberta, British Columbia, Ontario, and Quebec. The acquisition, which is expected to close by May 31, 1997, is subject to regulatory approval and final negotiation and execution of a definitive sales agreement. The acquisition will be accounted for as a purchase.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1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From April 1, 1997 through May 5, 1997, in addition to the two aforementioned transactions, the Company acquired eight collection businesses, one landfill, and one transfer station for approximately $41,437,000 in cash, $325,000 in liabilities incurred or debt assumed, and 404,506 shares of the Company's common stock. These acquisitions were accounted for as purchases.</w:t>
      </w:r>
    </w:p>
    <w:p>
      <w:pPr>
        <w:spacing w:after="0" w:line="75"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The unaudited pro forma information set forth below assumes 1997 and 1996 acquisitions accounted for as purchases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Three Months Ended March 31,</w:t>
            </w:r>
          </w:p>
        </w:tc>
      </w:tr>
      <w:tr>
        <w:trPr>
          <w:trHeight w:val="170"/>
        </w:trPr>
        <w:tc>
          <w:tcPr>
            <w:tcW w:w="386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246"/>
        </w:trPr>
        <w:tc>
          <w:tcPr>
            <w:tcW w:w="3860" w:type="dxa"/>
            <w:vAlign w:val="bottom"/>
          </w:tcPr>
          <w:p>
            <w:pPr>
              <w:spacing w:after="0"/>
              <w:rPr>
                <w:sz w:val="21"/>
                <w:szCs w:val="21"/>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$463,057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$472,977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57,608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47,659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0.35</w:t>
            </w: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0.35</w:t>
            </w:r>
          </w:p>
        </w:tc>
      </w:tr>
    </w:tbl>
    <w:p>
      <w:pPr>
        <w:spacing w:after="0" w:line="262"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On April 14, 1997, the Company entered into an Agreement and Plan of Merger (the "Merger Agreement") to acquire United Waste Systems, Inc. ("United") through a merger transaction ("United Merger"). The United Merger is subject to, among other conditions, antitrust clearance and approval of both companies' stockholders. It is anticipated that the United Merger will be completed in the third quarter of 1997 and that it will be accounted for as a pooling of interests. The Merger Agreement provides that on the effective date of the United Merger, the Company will issue 1.075 shares of its common stock for each share of United outstanding common stock. Additionally, at the effective date of the United Merger, all United stock options, whether or not such stock options have vested or become exercisable, will be cancelled in exchange for shares of the Company's common stock equal in market value to the fair value of such United stock options, as determined by an independent third party. The United Merger is expected to increase the Company's outstanding shares of common stock by approximately 47,800,000 shares. Following the United Merger, the Company's Board of Directors will include two members designated by United.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COMMON SHARE</w:t>
      </w:r>
    </w:p>
    <w:p>
      <w:pPr>
        <w:spacing w:after="0" w:line="169"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5"/>
          <w:szCs w:val="15"/>
          <w:color w:val="auto"/>
        </w:rPr>
        <w:t>Primary earnings per common share for the three months ended March 31, 1997 is computed by dividing net income, after adjusting for the after-tax interest expense of approximately $1,830,000 on the Company's 4% convertible subordinated notes that are considered to be common stock equivalents based upon the yield test at the time of issuance, by the weighted average number of common and dilutive common equivalent shares outstanding of 159,472,000. Fully diluted earnings per common share for the three months ended March 31, 1997 is computed by dividing net income, after adjusting for the after-tax interest expense of approximately $1,830,000 and $851,000 on the Company's 4% convertible subordinated notes and 5% convertible subordinated debentures, respectively, by the weighted average number of common, dilutive common equivalent, and all other potentially dilutive equivalent shares outstanding of 163,548,000.</w:t>
      </w:r>
    </w:p>
    <w:p>
      <w:pPr>
        <w:spacing w:after="0" w:line="91"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Primary and fully diluted earnings per common shares for the three months ended March 31, 1996 are computed by dividing net income by the weighted average number of common and dilutive common equivalent shares outstanding of 132,362,000 and 132,560,000, respectively.</w:t>
      </w:r>
    </w:p>
    <w:p>
      <w:pPr>
        <w:spacing w:after="0" w:line="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("SFAS No. 128"). SFAS No. 128 specifies the computation, presentation, and disclosure requirements of earnings per share and supersedes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both interim and annual periods ending after December 15, 1997. The following pro forma earnings per common share information assumes SFAS No. 128 was adopted in 1996 (in thousands, except per share amounts):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$0.32</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Primary earnings per common share</w:t>
            </w:r>
          </w:p>
        </w:tc>
        <w:tc>
          <w:tcPr>
            <w:tcW w:w="15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Weighted average number of common</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and common equivalent shares</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159,472</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132,362</w:t>
            </w:r>
          </w:p>
        </w:tc>
        <w:tc>
          <w:tcPr>
            <w:tcW w:w="0" w:type="dxa"/>
            <w:vAlign w:val="bottom"/>
          </w:tcPr>
          <w:p>
            <w:pPr>
              <w:spacing w:after="0"/>
              <w:rPr>
                <w:sz w:val="1"/>
                <w:szCs w:val="1"/>
                <w:color w:val="auto"/>
              </w:rPr>
            </w:pPr>
          </w:p>
        </w:tc>
      </w:tr>
      <w:tr>
        <w:trPr>
          <w:trHeight w:val="246"/>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Fully diluted earnings per common</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$0.32</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70"/>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share</w:t>
            </w:r>
          </w:p>
        </w:tc>
        <w:tc>
          <w:tcPr>
            <w:tcW w:w="15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Fully diluted weighted average</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number of common and common</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163,548</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132,560</w:t>
            </w:r>
          </w:p>
        </w:tc>
        <w:tc>
          <w:tcPr>
            <w:tcW w:w="0" w:type="dxa"/>
            <w:vAlign w:val="bottom"/>
          </w:tcPr>
          <w:p>
            <w:pPr>
              <w:spacing w:after="0"/>
              <w:rPr>
                <w:sz w:val="1"/>
                <w:szCs w:val="1"/>
                <w:color w:val="auto"/>
              </w:rPr>
            </w:pPr>
          </w:p>
        </w:tc>
      </w:tr>
      <w:tr>
        <w:trPr>
          <w:trHeight w:val="246"/>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equivalent shares outstanding</w:t>
            </w:r>
          </w:p>
        </w:tc>
        <w:tc>
          <w:tcPr>
            <w:tcW w:w="15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$0.33</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Basic earnings per common share</w:t>
            </w:r>
          </w:p>
        </w:tc>
        <w:tc>
          <w:tcPr>
            <w:tcW w:w="15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Basic weighted averages shares</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147,680</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127,996</w:t>
            </w:r>
          </w:p>
        </w:tc>
        <w:tc>
          <w:tcPr>
            <w:tcW w:w="0" w:type="dxa"/>
            <w:vAlign w:val="bottom"/>
          </w:tcPr>
          <w:p>
            <w:pPr>
              <w:spacing w:after="0"/>
              <w:rPr>
                <w:sz w:val="1"/>
                <w:szCs w:val="1"/>
                <w:color w:val="auto"/>
              </w:rPr>
            </w:pPr>
          </w:p>
        </w:tc>
      </w:tr>
      <w:tr>
        <w:trPr>
          <w:trHeight w:val="246"/>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Diluted earnings per common share</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Diluted weighted average shares</w:t>
            </w:r>
          </w:p>
        </w:tc>
        <w:tc>
          <w:tcPr>
            <w:tcW w:w="15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163,534</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132,362</w:t>
            </w:r>
          </w:p>
        </w:tc>
        <w:tc>
          <w:tcPr>
            <w:tcW w:w="0" w:type="dxa"/>
            <w:vAlign w:val="bottom"/>
          </w:tcPr>
          <w:p>
            <w:pPr>
              <w:spacing w:after="0"/>
              <w:rPr>
                <w:sz w:val="1"/>
                <w:szCs w:val="1"/>
                <w:color w:val="auto"/>
              </w:rPr>
            </w:pPr>
          </w:p>
        </w:tc>
      </w:tr>
      <w:tr>
        <w:trPr>
          <w:trHeight w:val="246"/>
        </w:trPr>
        <w:tc>
          <w:tcPr>
            <w:tcW w:w="3780" w:type="dxa"/>
            <w:vAlign w:val="bottom"/>
          </w:tcPr>
          <w:p>
            <w:pPr>
              <w:ind w:left="60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700" w:right="3259" w:hanging="704"/>
        <w:spacing w:after="0" w:line="3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The following discussion reviews the Company's operations for the three months ended March 31, 1997 and 1996,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1996, as amended on Form 10-K/A filed April 30, 1997.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4"/>
          <w:szCs w:val="14"/>
          <w:color w:val="auto"/>
        </w:rPr>
        <w:t>The Company provides non-hazardous solid waste management services, consisting of collection, transfer, disposal, recycling, and other miscellaneous services. Since August 1990, the Company has experienced significant growth principally through the acquisition and integration of solid waste businesses and is now the third largest non-hazardous solid waste company in North America. The Company conducts operations through subsidiaries in multiple locations throughout the United States, Canada, Puerto Rico, and Mexico. The Company owns or operates 203 collection businesses, 80 transfer stations, 119 landfills, and 20 recycling businesses serving more than 2,000,000 customers.</w:t>
      </w:r>
    </w:p>
    <w:p>
      <w:pPr>
        <w:spacing w:after="0" w:line="71"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and upon receipt of payment a liability for future service is recorded and operating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89"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Tipping fees are based on the volume or weight of solid waste disposed of at the Company's landfill sites. Fees are charged at transfer stations based on the volume or weight of solid waste deposited, taking into account the Company's cost of loading, transporting, and disposing of the solid waste at a landfill. Intercompany operating revenues between the Company's collection, transfer, and landfill operations have been eliminated in the condensed consolidated financial statements presented elsewhere herein.</w:t>
      </w:r>
    </w:p>
    <w:p>
      <w:pPr>
        <w:spacing w:after="0" w:line="71"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charged to expense in the period incurred.</w:t>
      </w:r>
    </w:p>
    <w:p>
      <w:pPr>
        <w:spacing w:after="0" w:line="8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43"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Condensed Consolidated Statements of Operations line items: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PERIOD</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TO PERIOD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CHANGE FOR THE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3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AND 1996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$82,380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28,767</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14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12,888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47,745</w:t>
            </w: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34,635</w:t>
            </w: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4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1,162</w:t>
            </w: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14,322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77.7</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$21,475</w:t>
            </w:r>
          </w:p>
        </w:tc>
        <w:tc>
          <w:tcPr>
            <w:tcW w:w="8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26"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Condensed Consolidated Statements of Operations line items bear to operating revenues: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8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Three Months Ended March 31,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8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55.7%</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53.7%</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Collection</w:t>
            </w:r>
          </w:p>
        </w:tc>
        <w:tc>
          <w:tcPr>
            <w:tcW w:w="1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Transfer stations</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Disposal</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51.5</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56.2</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1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80.8</w:t>
            </w:r>
          </w:p>
        </w:tc>
        <w:tc>
          <w:tcPr>
            <w:tcW w:w="0" w:type="dxa"/>
            <w:vAlign w:val="bottom"/>
          </w:tcPr>
          <w:p>
            <w:pPr>
              <w:spacing w:after="0"/>
              <w:rPr>
                <w:sz w:val="1"/>
                <w:szCs w:val="1"/>
                <w:color w:val="auto"/>
              </w:rPr>
            </w:pPr>
          </w:p>
        </w:tc>
      </w:tr>
      <w:tr>
        <w:trPr>
          <w:trHeight w:val="170"/>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24.3</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(3.3)</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0"/>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MONTHS ENDED MARCH 31, 1997 AND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w:t>
      </w:r>
    </w:p>
    <w:p>
      <w:pPr>
        <w:spacing w:after="0" w:line="169" w:lineRule="exact"/>
        <w:rPr>
          <w:sz w:val="20"/>
          <w:szCs w:val="20"/>
          <w:color w:val="auto"/>
        </w:rPr>
      </w:pPr>
    </w:p>
    <w:p>
      <w:pPr>
        <w:ind w:right="3179"/>
        <w:spacing w:after="0" w:line="251" w:lineRule="auto"/>
        <w:rPr>
          <w:sz w:val="20"/>
          <w:szCs w:val="20"/>
          <w:color w:val="auto"/>
        </w:rPr>
      </w:pPr>
      <w:r>
        <w:rPr>
          <w:rFonts w:ascii="Courier New" w:cs="Courier New" w:eastAsia="Courier New" w:hAnsi="Courier New"/>
          <w:sz w:val="15"/>
          <w:szCs w:val="15"/>
          <w:color w:val="auto"/>
        </w:rPr>
        <w:t>Operating revenues increased $82,830,000, or 29.2%, for the three months ended March 31, 1997 compared to respective prior year period. This increase is primarily attributable to acquisitions, in both 1997 and 1996, which resulted in an increase in operating revenues of $72,095,000. Internal growth of comparable businesses resulted in an increase in operating revenues of $29,193,000, consisting of increases of 2.3% due to pricing and 8.1% due to volumes. The remaining decrease in operating revenues was primarily the result of dispositions of certain solid waste collection and disposal operations in Houston, Texas, in 1997, related to the Company's merger with Sanifill, Inc. in August 1996, and dispositions of non-core businesses in 1997 and 1996.</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 and Expenses</w:t>
      </w:r>
    </w:p>
    <w:p>
      <w:pPr>
        <w:spacing w:after="0" w:line="169"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Operating costs and expenses increased $28,767,000, or 18.1%, for the three months ended March 31, 1997 compared to the respective prior year period, however, have decreased as a percentage of operating revenues from 56.2% in 1996 to 51.5% in 1997. The net increase in operating costs and expenses is primarily attributable to the effect of new acquisitions, net of dispositions, which resulted in an increase of $48,736,000. The increase was offset by a decrease of $9,414,000 related to increased utilization of internal disposal capacity from 40.3% in 1996 to 50.8% in 1997 and a decrease of $10,555,000 related to improvements in comparable operations, primarily resulting from operating synergies realized from tuck-in acquisitions and mergers with Sanifill, Inc. and Western Waste Industries in August 1996 and May 1996, respectively. The decrease in operating costs and expenses as a percentage of operating revenues is the result of increased utilization of internal disposal capacity, synergies related to the aforementioned mergers and tuck-in acquisitions, and the inclement weather conditions experienced in the first quarter of 1996.</w:t>
      </w:r>
    </w:p>
    <w:p>
      <w:pPr>
        <w:sectPr>
          <w:pgSz w:w="11900" w:h="16838" w:orient="portrait"/>
          <w:cols w:equalWidth="0" w:num="1">
            <w:col w:w="10219"/>
          </w:cols>
          <w:pgMar w:left="2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2"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43"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5"/>
          <w:szCs w:val="15"/>
          <w:color w:val="auto"/>
        </w:rPr>
        <w:t>General and administrative expenses have increased $6,090,000, or 16.6%, for the three months ended March 31, 1997 compared to the respective prior year period. As a percentage of operating revenues, however, general and administrative expenses decreased from 13.0% in 1996 to 11.7% in 1997. The decrease in general and administrative expenses as a percentage of operating revenues is primarily the result of the Company's ability to integrate new business acquisitions without a proportionate increase in general and administrative expenses as well as cost reductions resulting from mergers with Sanifill, Inc. and Western Waste Industries in August 1996 and May 1996, respectively.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69"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Depreciation and amortization increased $12,888,000, or 39.4%, for the three months ended March 31, 1997 compared to the respective prior year period. As a percentage of operating revenues, depreciation and amortization increased from 11.6% in 1996 to 12.5% in 1997. The increase in depreciation and amortization is primarily related to acquisitions and upgrades to existing operations as well as increased landfill disposal volumes. The increase in depreciation and amortization as a percentage of operating revenues is primarily the result of increased utilization of internal disposal capacity, as the resulting increased internal operating revenues are eliminated in consolidation. This increase in depreciation and amortization related to the internalization of landfill disposal volumes is offset by the aforementioned decrease in operating costs and expenses.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w:t>
      </w:r>
    </w:p>
    <w:p>
      <w:pPr>
        <w:spacing w:after="0" w:line="169"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Income from operations increased $34,635,000, or 63.9%, for the three months ended March 31, 1997 compared to the respective prior year period. As a percentage of operating revenues, income from operations increased from 19.2% in 1996 to 24.3% in 1997. The improvement in income from operations as a percentage of operating revenues is the result of economies of scale realized by the Company with respect to recent acquisitions, dispositions of less profitable businesses, and improvements in comparable operations.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6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Other income and expense consists of interest expense, interest income, and other income. Interest expense, gross of amounts capitalized, increased due to an increase in the Company's outstanding debt balance. Capitalized interest was $5,214,000 and $3,875,000 for the three months ended March 31, 1997 and 1996, respectively. The increase in capitalized interest is due to increased development activity incurred in connection with disposal sites. The increase in other income in 1997 is primarily related to realization of a portion of the deferred gain recorded in connection with the 1996 sale of certain nonhazardous oil field waste disposal operations.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69"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The Company recorded provision for income taxes of $32,752,000 and $18,430,000 for the three months ended March 31, 1997 and 1996, respectively. The differences in provision for income taxes at the federal statutory rate and the reported amounts recorded relate primarily to state and local income taxes.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69" w:lineRule="exact"/>
        <w:rPr>
          <w:sz w:val="20"/>
          <w:szCs w:val="20"/>
          <w:color w:val="auto"/>
        </w:rPr>
      </w:pPr>
    </w:p>
    <w:p>
      <w:pPr>
        <w:ind w:right="3359"/>
        <w:spacing w:after="0" w:line="389" w:lineRule="auto"/>
        <w:rPr>
          <w:sz w:val="20"/>
          <w:szCs w:val="20"/>
          <w:color w:val="auto"/>
        </w:rPr>
      </w:pPr>
      <w:r>
        <w:rPr>
          <w:rFonts w:ascii="Courier New" w:cs="Courier New" w:eastAsia="Courier New" w:hAnsi="Courier New"/>
          <w:sz w:val="14"/>
          <w:szCs w:val="14"/>
          <w:color w:val="auto"/>
        </w:rPr>
        <w:t>For reasons discussed above, net income increased $21,475,000 for the three months ended March 31, 1997 compared to the three months ended March 31, 1996.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43" w:lineRule="exact"/>
        <w:rPr>
          <w:sz w:val="20"/>
          <w:szCs w:val="20"/>
          <w:color w:val="auto"/>
        </w:rPr>
      </w:pPr>
    </w:p>
    <w:p>
      <w:pPr>
        <w:ind w:right="3259"/>
        <w:spacing w:after="0" w:line="269"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March 31, 1997, the Company had working capital of $70,640,000 (a ratio</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current assets to current liabilities of 1.22:1) and a cash balance of</w:t>
      </w:r>
    </w:p>
    <w:p>
      <w:pPr>
        <w:spacing w:after="0"/>
        <w:rPr>
          <w:sz w:val="20"/>
          <w:szCs w:val="20"/>
          <w:color w:val="auto"/>
        </w:rPr>
      </w:pPr>
      <w:r>
        <w:rPr>
          <w:rFonts w:ascii="Courier New" w:cs="Courier New" w:eastAsia="Courier New" w:hAnsi="Courier New"/>
          <w:sz w:val="15"/>
          <w:szCs w:val="15"/>
          <w:color w:val="auto"/>
        </w:rPr>
        <w:t>$23,441,000, which compares to working capital of $20,020,000 (a ratio of</w:t>
      </w:r>
    </w:p>
    <w:p>
      <w:pPr>
        <w:spacing w:after="0"/>
        <w:rPr>
          <w:sz w:val="20"/>
          <w:szCs w:val="20"/>
          <w:color w:val="auto"/>
        </w:rPr>
      </w:pPr>
      <w:r>
        <w:rPr>
          <w:rFonts w:ascii="Courier New" w:cs="Courier New" w:eastAsia="Courier New" w:hAnsi="Courier New"/>
          <w:sz w:val="15"/>
          <w:szCs w:val="15"/>
          <w:color w:val="auto"/>
        </w:rPr>
        <w:t>current assets to current liabilities of 1.06:1) and a cash balance of</w:t>
      </w:r>
    </w:p>
    <w:p>
      <w:pPr>
        <w:spacing w:after="0"/>
        <w:rPr>
          <w:sz w:val="20"/>
          <w:szCs w:val="20"/>
          <w:color w:val="auto"/>
        </w:rPr>
      </w:pPr>
      <w:r>
        <w:rPr>
          <w:rFonts w:ascii="Courier New" w:cs="Courier New" w:eastAsia="Courier New" w:hAnsi="Courier New"/>
          <w:sz w:val="15"/>
          <w:szCs w:val="15"/>
          <w:color w:val="auto"/>
        </w:rPr>
        <w:t>$23,511,000 as of December 31, 1996. For the first three months of 1997, net</w:t>
      </w:r>
    </w:p>
    <w:p>
      <w:pPr>
        <w:spacing w:after="0"/>
        <w:rPr>
          <w:sz w:val="20"/>
          <w:szCs w:val="20"/>
          <w:color w:val="auto"/>
        </w:rPr>
      </w:pPr>
      <w:r>
        <w:rPr>
          <w:rFonts w:ascii="Courier New" w:cs="Courier New" w:eastAsia="Courier New" w:hAnsi="Courier New"/>
          <w:sz w:val="15"/>
          <w:szCs w:val="15"/>
          <w:color w:val="auto"/>
        </w:rPr>
        <w:t>cash from operations was approximately $182,000 and net cash from</w:t>
      </w:r>
    </w:p>
    <w:p>
      <w:pPr>
        <w:spacing w:after="0"/>
        <w:rPr>
          <w:sz w:val="20"/>
          <w:szCs w:val="20"/>
          <w:color w:val="auto"/>
        </w:rPr>
      </w:pPr>
      <w:r>
        <w:rPr>
          <w:rFonts w:ascii="Courier New" w:cs="Courier New" w:eastAsia="Courier New" w:hAnsi="Courier New"/>
          <w:sz w:val="15"/>
          <w:szCs w:val="15"/>
          <w:color w:val="auto"/>
        </w:rPr>
        <w:t>financing activities was approximately $609,537,000. These funds were used</w:t>
      </w:r>
    </w:p>
    <w:p>
      <w:pPr>
        <w:spacing w:after="0"/>
        <w:rPr>
          <w:sz w:val="20"/>
          <w:szCs w:val="20"/>
          <w:color w:val="auto"/>
        </w:rPr>
      </w:pPr>
      <w:r>
        <w:rPr>
          <w:rFonts w:ascii="Courier New" w:cs="Courier New" w:eastAsia="Courier New" w:hAnsi="Courier New"/>
          <w:sz w:val="15"/>
          <w:szCs w:val="15"/>
          <w:color w:val="auto"/>
        </w:rPr>
        <w:t>primarily to fund investments in other businesses of $567,940,000 and for</w:t>
      </w:r>
    </w:p>
    <w:p>
      <w:pPr>
        <w:spacing w:after="0"/>
        <w:rPr>
          <w:sz w:val="20"/>
          <w:szCs w:val="20"/>
          <w:color w:val="auto"/>
        </w:rPr>
      </w:pPr>
      <w:r>
        <w:rPr>
          <w:rFonts w:ascii="Courier New" w:cs="Courier New" w:eastAsia="Courier New" w:hAnsi="Courier New"/>
          <w:sz w:val="15"/>
          <w:szCs w:val="15"/>
          <w:color w:val="auto"/>
        </w:rPr>
        <w:t>capital expenditures of approximately $66,755,000.</w:t>
      </w:r>
    </w:p>
    <w:p>
      <w:pPr>
        <w:spacing w:after="0" w:line="143"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 intends to finance the remainder of its 1997 capital expenditures through internally generated cash flow and amounts available under its revolving credit facility.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 the Company had borrowed $637,000,000 under its</w:t>
      </w:r>
    </w:p>
    <w:p>
      <w:pPr>
        <w:spacing w:after="0" w:line="26"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$1,200,000,000 senior revolving credit facility. The credit facility was used to refinance existing bank loans and letters of credit and to fund additional acquisitions and working capital. The credit facility was available for standby letters of credit of up to $400,000,000. Loans under the credit facility bore interest at a rate based on the Eurodollar rate plus a spread not to exceed 0.75% per annum (spread set at 0.30% per annum, or an applicable interest rate of 5.87% per annum at December 31, 1996). The credit facility required a facility fee not to exceed 0.375% per annum on the entire available credit facility (facility fee set at 0.15% per annum at December 31, 1996). The credit facility contained financial covenants with respect to interest</w:t>
      </w:r>
    </w:p>
    <w:p>
      <w:pPr>
        <w:spacing w:after="0" w:line="3"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5"/>
          <w:szCs w:val="15"/>
          <w:color w:val="auto"/>
        </w:rPr>
        <w:t>coverage and debt capitalization ratios.</w:t>
      </w:r>
      <w:r>
        <w:rPr>
          <w:sz w:val="20"/>
          <w:szCs w:val="20"/>
          <w:color w:val="auto"/>
        </w:rPr>
        <w:tab/>
      </w:r>
      <w:r>
        <w:rPr>
          <w:rFonts w:ascii="Courier New" w:cs="Courier New" w:eastAsia="Courier New" w:hAnsi="Courier New"/>
          <w:sz w:val="14"/>
          <w:szCs w:val="14"/>
          <w:color w:val="auto"/>
        </w:rPr>
        <w:t>The credit facility also contained</w:t>
      </w:r>
    </w:p>
    <w:p>
      <w:pPr>
        <w:spacing w:after="0"/>
        <w:rPr>
          <w:sz w:val="20"/>
          <w:szCs w:val="20"/>
          <w:color w:val="auto"/>
        </w:rPr>
      </w:pPr>
      <w:r>
        <w:rPr>
          <w:rFonts w:ascii="Courier New" w:cs="Courier New" w:eastAsia="Courier New" w:hAnsi="Courier New"/>
          <w:sz w:val="15"/>
          <w:szCs w:val="15"/>
          <w:color w:val="auto"/>
        </w:rPr>
        <w:t>limitations on dividends, additional indebtedness, liens, and asset sales.</w:t>
      </w:r>
    </w:p>
    <w:p>
      <w:pPr>
        <w:spacing w:after="0"/>
        <w:rPr>
          <w:sz w:val="20"/>
          <w:szCs w:val="20"/>
          <w:color w:val="auto"/>
        </w:rPr>
      </w:pPr>
      <w:r>
        <w:rPr>
          <w:rFonts w:ascii="Courier New" w:cs="Courier New" w:eastAsia="Courier New" w:hAnsi="Courier New"/>
          <w:sz w:val="15"/>
          <w:szCs w:val="15"/>
          <w:color w:val="auto"/>
        </w:rPr>
        <w:t>Principal reductions were not required during the five-year term of the credit</w:t>
      </w:r>
    </w:p>
    <w:p>
      <w:pPr>
        <w:spacing w:after="0"/>
        <w:tabs>
          <w:tab w:leader="none" w:pos="940" w:val="left"/>
        </w:tabs>
        <w:rPr>
          <w:sz w:val="20"/>
          <w:szCs w:val="20"/>
          <w:color w:val="auto"/>
        </w:rPr>
      </w:pPr>
      <w:r>
        <w:rPr>
          <w:rFonts w:ascii="Courier New" w:cs="Courier New" w:eastAsia="Courier New" w:hAnsi="Courier New"/>
          <w:sz w:val="15"/>
          <w:szCs w:val="15"/>
          <w:color w:val="auto"/>
        </w:rPr>
        <w:t>facility.</w:t>
        <w:tab/>
        <w:t>On March 5, 1997, the credit facility was replaced with a</w:t>
      </w:r>
    </w:p>
    <w:p>
      <w:pPr>
        <w:spacing w:after="0"/>
        <w:rPr>
          <w:sz w:val="20"/>
          <w:szCs w:val="20"/>
          <w:color w:val="auto"/>
        </w:rPr>
      </w:pPr>
      <w:r>
        <w:rPr>
          <w:rFonts w:ascii="Courier New" w:cs="Courier New" w:eastAsia="Courier New" w:hAnsi="Courier New"/>
          <w:sz w:val="15"/>
          <w:szCs w:val="15"/>
          <w:color w:val="auto"/>
        </w:rPr>
        <w:t>$1,600,000,000 senior revolving credit facility with the same general terms,</w:t>
      </w:r>
    </w:p>
    <w:p>
      <w:pPr>
        <w:spacing w:after="0"/>
        <w:rPr>
          <w:sz w:val="20"/>
          <w:szCs w:val="20"/>
          <w:color w:val="auto"/>
        </w:rPr>
      </w:pPr>
      <w:r>
        <w:rPr>
          <w:rFonts w:ascii="Courier New" w:cs="Courier New" w:eastAsia="Courier New" w:hAnsi="Courier New"/>
          <w:sz w:val="14"/>
          <w:szCs w:val="14"/>
          <w:color w:val="auto"/>
        </w:rPr>
        <w:t>covenants, and limitations, which is available for standby letters of credit of</w:t>
      </w:r>
    </w:p>
    <w:p>
      <w:pPr>
        <w:spacing w:after="0" w:line="10"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up to $500,000,000.</w:t>
      </w:r>
      <w:r>
        <w:rPr>
          <w:sz w:val="20"/>
          <w:szCs w:val="20"/>
          <w:color w:val="auto"/>
        </w:rPr>
        <w:tab/>
      </w:r>
      <w:r>
        <w:rPr>
          <w:rFonts w:ascii="Courier New" w:cs="Courier New" w:eastAsia="Courier New" w:hAnsi="Courier New"/>
          <w:sz w:val="14"/>
          <w:szCs w:val="14"/>
          <w:color w:val="auto"/>
        </w:rPr>
        <w:t>At March 31, 1997, the Company had borrowed $105,000,000</w:t>
      </w:r>
    </w:p>
    <w:p>
      <w:pPr>
        <w:spacing w:after="0"/>
        <w:tabs>
          <w:tab w:leader="none" w:pos="5260" w:val="left"/>
        </w:tabs>
        <w:rPr>
          <w:sz w:val="20"/>
          <w:szCs w:val="20"/>
          <w:color w:val="auto"/>
        </w:rPr>
      </w:pPr>
      <w:r>
        <w:rPr>
          <w:rFonts w:ascii="Courier New" w:cs="Courier New" w:eastAsia="Courier New" w:hAnsi="Courier New"/>
          <w:sz w:val="15"/>
          <w:szCs w:val="15"/>
          <w:color w:val="auto"/>
        </w:rPr>
        <w:t>under its $1,600,000,000 senior revolving credit facility.</w:t>
      </w:r>
      <w:r>
        <w:rPr>
          <w:sz w:val="20"/>
          <w:szCs w:val="20"/>
          <w:color w:val="auto"/>
        </w:rPr>
        <w:tab/>
      </w:r>
      <w:r>
        <w:rPr>
          <w:rFonts w:ascii="Courier New" w:cs="Courier New" w:eastAsia="Courier New" w:hAnsi="Courier New"/>
          <w:sz w:val="14"/>
          <w:szCs w:val="14"/>
          <w:color w:val="auto"/>
        </w:rPr>
        <w:t>The applicable</w:t>
      </w:r>
    </w:p>
    <w:p>
      <w:pPr>
        <w:spacing w:after="0"/>
        <w:rPr>
          <w:sz w:val="20"/>
          <w:szCs w:val="20"/>
          <w:color w:val="auto"/>
        </w:rPr>
      </w:pPr>
      <w:r>
        <w:rPr>
          <w:rFonts w:ascii="Courier New" w:cs="Courier New" w:eastAsia="Courier New" w:hAnsi="Courier New"/>
          <w:sz w:val="15"/>
          <w:szCs w:val="15"/>
          <w:color w:val="auto"/>
        </w:rPr>
        <w:t>interest rate and facility fee at March 31, 1997 were 6.15% per annum</w:t>
      </w:r>
    </w:p>
    <w:p>
      <w:pPr>
        <w:spacing w:after="0"/>
        <w:rPr>
          <w:sz w:val="20"/>
          <w:szCs w:val="20"/>
          <w:color w:val="auto"/>
        </w:rPr>
      </w:pPr>
      <w:r>
        <w:rPr>
          <w:rFonts w:ascii="Courier New" w:cs="Courier New" w:eastAsia="Courier New" w:hAnsi="Courier New"/>
          <w:sz w:val="14"/>
          <w:szCs w:val="14"/>
          <w:color w:val="auto"/>
        </w:rPr>
        <w:t>(including the spread set at 0.30% per annum) and 0.15% per annum, respectively.</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February 7, 1997, the Company issued $535,275,000 of 4% convertible</w:t>
      </w:r>
    </w:p>
    <w:p>
      <w:pPr>
        <w:spacing w:after="0" w:line="25"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subordinated notes, due on February 1, 2002 ("Notes Offering").</w:t>
      </w:r>
      <w:r>
        <w:rPr>
          <w:sz w:val="20"/>
          <w:szCs w:val="20"/>
          <w:color w:val="auto"/>
        </w:rPr>
        <w:tab/>
      </w:r>
      <w:r>
        <w:rPr>
          <w:rFonts w:ascii="Courier New" w:cs="Courier New" w:eastAsia="Courier New" w:hAnsi="Courier New"/>
          <w:sz w:val="14"/>
          <w:szCs w:val="14"/>
          <w:color w:val="auto"/>
        </w:rPr>
        <w:t>Interest is</w:t>
      </w:r>
    </w:p>
    <w:p>
      <w:pPr>
        <w:spacing w:after="0"/>
        <w:tabs>
          <w:tab w:leader="none" w:pos="4120" w:val="left"/>
        </w:tabs>
        <w:rPr>
          <w:sz w:val="20"/>
          <w:szCs w:val="20"/>
          <w:color w:val="auto"/>
        </w:rPr>
      </w:pPr>
      <w:r>
        <w:rPr>
          <w:rFonts w:ascii="Courier New" w:cs="Courier New" w:eastAsia="Courier New" w:hAnsi="Courier New"/>
          <w:sz w:val="15"/>
          <w:szCs w:val="15"/>
          <w:color w:val="auto"/>
        </w:rPr>
        <w:t>payable semi-annually in February and August.</w:t>
      </w:r>
      <w:r>
        <w:rPr>
          <w:sz w:val="20"/>
          <w:szCs w:val="20"/>
          <w:color w:val="auto"/>
        </w:rPr>
        <w:tab/>
      </w:r>
      <w:r>
        <w:rPr>
          <w:rFonts w:ascii="Courier New" w:cs="Courier New" w:eastAsia="Courier New" w:hAnsi="Courier New"/>
          <w:sz w:val="14"/>
          <w:szCs w:val="14"/>
          <w:color w:val="auto"/>
        </w:rPr>
        <w:t>The notes are convertible into</w:t>
      </w:r>
    </w:p>
    <w:p>
      <w:pPr>
        <w:spacing w:after="0"/>
        <w:rPr>
          <w:sz w:val="20"/>
          <w:szCs w:val="20"/>
          <w:color w:val="auto"/>
        </w:rPr>
      </w:pPr>
      <w:r>
        <w:rPr>
          <w:rFonts w:ascii="Courier New" w:cs="Courier New" w:eastAsia="Courier New" w:hAnsi="Courier New"/>
          <w:sz w:val="14"/>
          <w:szCs w:val="14"/>
          <w:color w:val="auto"/>
        </w:rPr>
        <w:t>shares of the Company's common stock at a conversion price of $43.56 per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are subordinated in right of payment to all existing and future</w:t>
      </w:r>
    </w:p>
    <w:p>
      <w:pPr>
        <w:spacing w:after="0"/>
        <w:tabs>
          <w:tab w:leader="none" w:pos="2960" w:val="left"/>
        </w:tabs>
        <w:rPr>
          <w:sz w:val="20"/>
          <w:szCs w:val="20"/>
          <w:color w:val="auto"/>
        </w:rPr>
      </w:pPr>
      <w:r>
        <w:rPr>
          <w:rFonts w:ascii="Courier New" w:cs="Courier New" w:eastAsia="Courier New" w:hAnsi="Courier New"/>
          <w:sz w:val="15"/>
          <w:szCs w:val="15"/>
          <w:color w:val="auto"/>
        </w:rPr>
        <w:t>senior indebtedness, as defined.</w:t>
      </w:r>
      <w:r>
        <w:rPr>
          <w:sz w:val="20"/>
          <w:szCs w:val="20"/>
          <w:color w:val="auto"/>
        </w:rPr>
        <w:tab/>
      </w:r>
      <w:r>
        <w:rPr>
          <w:rFonts w:ascii="Courier New" w:cs="Courier New" w:eastAsia="Courier New" w:hAnsi="Courier New"/>
          <w:sz w:val="14"/>
          <w:szCs w:val="14"/>
          <w:color w:val="auto"/>
        </w:rPr>
        <w:t>The notes are redeemable after February 1,</w:t>
      </w:r>
    </w:p>
    <w:p>
      <w:pPr>
        <w:spacing w:after="0"/>
        <w:rPr>
          <w:sz w:val="20"/>
          <w:szCs w:val="20"/>
          <w:color w:val="auto"/>
        </w:rPr>
      </w:pPr>
      <w:r>
        <w:rPr>
          <w:rFonts w:ascii="Courier New" w:cs="Courier New" w:eastAsia="Courier New" w:hAnsi="Courier New"/>
          <w:sz w:val="15"/>
          <w:szCs w:val="15"/>
          <w:color w:val="auto"/>
        </w:rPr>
        <w:t>2000 at the option of the Company at 101.6% of the principal amount, declining</w:t>
      </w:r>
    </w:p>
    <w:p>
      <w:pPr>
        <w:spacing w:after="0"/>
        <w:rPr>
          <w:sz w:val="20"/>
          <w:szCs w:val="20"/>
          <w:color w:val="auto"/>
        </w:rPr>
      </w:pPr>
      <w:r>
        <w:rPr>
          <w:rFonts w:ascii="Courier New" w:cs="Courier New" w:eastAsia="Courier New" w:hAnsi="Courier New"/>
          <w:sz w:val="15"/>
          <w:szCs w:val="15"/>
          <w:color w:val="auto"/>
        </w:rPr>
        <w:t>to 100.8% of the principal amount on February 1, 2001 and thereafter until</w:t>
      </w:r>
    </w:p>
    <w:p>
      <w:pPr>
        <w:spacing w:after="0"/>
        <w:tabs>
          <w:tab w:leader="none" w:pos="2960" w:val="left"/>
        </w:tabs>
        <w:rPr>
          <w:sz w:val="20"/>
          <w:szCs w:val="20"/>
          <w:color w:val="auto"/>
        </w:rPr>
      </w:pPr>
      <w:r>
        <w:rPr>
          <w:rFonts w:ascii="Courier New" w:cs="Courier New" w:eastAsia="Courier New" w:hAnsi="Courier New"/>
          <w:sz w:val="15"/>
          <w:szCs w:val="15"/>
          <w:color w:val="auto"/>
        </w:rPr>
        <w:t>maturity, plus accrued interest.</w:t>
      </w:r>
      <w:r>
        <w:rPr>
          <w:sz w:val="20"/>
          <w:szCs w:val="20"/>
          <w:color w:val="auto"/>
        </w:rPr>
        <w:tab/>
      </w:r>
      <w:r>
        <w:rPr>
          <w:rFonts w:ascii="Courier New" w:cs="Courier New" w:eastAsia="Courier New" w:hAnsi="Courier New"/>
          <w:sz w:val="14"/>
          <w:szCs w:val="14"/>
          <w:color w:val="auto"/>
        </w:rPr>
        <w:t>Deferred offering costs of approximately</w:t>
      </w:r>
    </w:p>
    <w:p>
      <w:pPr>
        <w:spacing w:after="0"/>
        <w:rPr>
          <w:sz w:val="20"/>
          <w:szCs w:val="20"/>
          <w:color w:val="auto"/>
        </w:rPr>
      </w:pPr>
      <w:r>
        <w:rPr>
          <w:rFonts w:ascii="Courier New" w:cs="Courier New" w:eastAsia="Courier New" w:hAnsi="Courier New"/>
          <w:sz w:val="15"/>
          <w:szCs w:val="15"/>
          <w:color w:val="auto"/>
        </w:rPr>
        <w:t>$14,000,000 were incurred and are being amortized ratably over the life of the</w:t>
      </w:r>
    </w:p>
    <w:p>
      <w:pPr>
        <w:spacing w:after="0"/>
        <w:tabs>
          <w:tab w:leader="none" w:pos="680" w:val="left"/>
        </w:tabs>
        <w:rPr>
          <w:sz w:val="20"/>
          <w:szCs w:val="20"/>
          <w:color w:val="auto"/>
        </w:rPr>
      </w:pPr>
      <w:r>
        <w:rPr>
          <w:rFonts w:ascii="Courier New" w:cs="Courier New" w:eastAsia="Courier New" w:hAnsi="Courier New"/>
          <w:sz w:val="15"/>
          <w:szCs w:val="15"/>
          <w:color w:val="auto"/>
        </w:rPr>
        <w:t>notes.</w:t>
        <w:tab/>
        <w:t>The proceeds were primarily used to repay debt under the Company's</w:t>
      </w:r>
    </w:p>
    <w:p>
      <w:pPr>
        <w:spacing w:after="0"/>
        <w:rPr>
          <w:sz w:val="20"/>
          <w:szCs w:val="20"/>
          <w:color w:val="auto"/>
        </w:rPr>
      </w:pPr>
      <w:r>
        <w:rPr>
          <w:rFonts w:ascii="Courier New" w:cs="Courier New" w:eastAsia="Courier New" w:hAnsi="Courier New"/>
          <w:sz w:val="15"/>
          <w:szCs w:val="15"/>
          <w:color w:val="auto"/>
        </w:rPr>
        <w:t>credit facility and for general corporate purposes.</w:t>
      </w:r>
    </w:p>
    <w:p>
      <w:pPr>
        <w:spacing w:after="0" w:line="143"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75"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for approximately $518,000,000 in cash. In connection with this transaction, the Company's Canadian subsidiary borrowed $350,000,000 as evidenced by a promissory note bearing interest at Banker's Acceptance plus 0.45%. On April 21, 1997, the Company retired the $350,000,000 Canadian borrowings with proceeds from its domestic credit facility.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April 1, 1997, the Company acquired substantially all of the assets of</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Mid-American Waste Systems, Inc. ("Mid- American") for approximately</w:t>
      </w:r>
    </w:p>
    <w:p>
      <w:pPr>
        <w:spacing w:after="0"/>
        <w:rPr>
          <w:sz w:val="20"/>
          <w:szCs w:val="20"/>
          <w:color w:val="auto"/>
        </w:rPr>
      </w:pPr>
      <w:r>
        <w:rPr>
          <w:rFonts w:ascii="Courier New" w:cs="Courier New" w:eastAsia="Courier New" w:hAnsi="Courier New"/>
          <w:sz w:val="15"/>
          <w:szCs w:val="15"/>
          <w:color w:val="auto"/>
        </w:rPr>
        <w:t>$201,000,000, consisting primarily of cash and a limited amount of debt</w:t>
      </w:r>
    </w:p>
    <w:p>
      <w:pPr>
        <w:spacing w:after="0"/>
        <w:rPr>
          <w:sz w:val="20"/>
          <w:szCs w:val="20"/>
          <w:color w:val="auto"/>
        </w:rPr>
      </w:pPr>
      <w:r>
        <w:rPr>
          <w:rFonts w:ascii="Courier New" w:cs="Courier New" w:eastAsia="Courier New" w:hAnsi="Courier New"/>
          <w:sz w:val="15"/>
          <w:szCs w:val="15"/>
          <w:color w:val="auto"/>
        </w:rPr>
        <w:t>assumption.</w:t>
      </w:r>
    </w:p>
    <w:p>
      <w:pPr>
        <w:sectPr>
          <w:pgSz w:w="11900" w:h="16838" w:orient="portrait"/>
          <w:cols w:equalWidth="0" w:num="1">
            <w:col w:w="10219"/>
          </w:cols>
          <w:pgMar w:left="240" w:top="262" w:right="1440" w:bottom="7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2" w:right="1440" w:bottom="755"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26" w:lineRule="exact"/>
        <w:rPr>
          <w:sz w:val="20"/>
          <w:szCs w:val="20"/>
          <w:color w:val="auto"/>
        </w:rPr>
      </w:pPr>
    </w:p>
    <w:p>
      <w:pPr>
        <w:ind w:right="3439"/>
        <w:spacing w:after="0" w:line="263" w:lineRule="auto"/>
        <w:rPr>
          <w:sz w:val="20"/>
          <w:szCs w:val="20"/>
          <w:color w:val="auto"/>
        </w:rPr>
      </w:pPr>
      <w:r>
        <w:rPr>
          <w:rFonts w:ascii="Courier New" w:cs="Courier New" w:eastAsia="Courier New" w:hAnsi="Courier New"/>
          <w:sz w:val="15"/>
          <w:szCs w:val="15"/>
          <w:color w:val="auto"/>
        </w:rPr>
        <w:t>Reducing the availability for April 1997 payments related to the Canadian borrowings and the Mid-American acquisition, the Company would have had approximately $649,000,000 available for additional cash borrowings under its credit facility as of March 31, 1997.</w:t>
      </w:r>
    </w:p>
    <w:p>
      <w:pPr>
        <w:spacing w:after="0" w:line="7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On March 21, 1997, a Canadian subsidiary of the Company and WMX Technologies, Inc.'s Waste Management, Inc. subsidiary ("WMX") jointly executed a letter of intent whereby the Company will acquire the majority of WMX's Canadian solid waste businesses for approximately $186,000,000, including $124,000,000 in cash and $62,000,000 in Company common stock. The acquisition, which is expected to close by May 31, 1997, is subject to regulatory approval and final negotiation and execution of a definitive sales agreement.</w:t>
      </w:r>
    </w:p>
    <w:p>
      <w:pPr>
        <w:spacing w:after="0" w:line="8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69"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results of operations and may also be reflected in its fourth quarter results of operations. This is primarily attributable to the fact that (i) the volume of waste relating to construction and demolition activities tends to increase in the spring and summer months and (ii) the volume of waste relating to industrial and residential waste in certain regions where the Company operates tends to decrease during the winter months.</w:t>
      </w:r>
    </w:p>
    <w:p>
      <w:pPr>
        <w:spacing w:after="0" w:line="87"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2"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43"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In response to discovery on damages, the plaintiffs reduced their damages claim to $433,000 in alleged losses, plus interest and attorneys' fees, for a total damage claim of $658,000 as of August 21, 1995. By order dated April 11, 1997, the Court denied plaintiffs' previously filed motion for summary judgement. Discovery has been completed, and a trial date is expected to be set for later in 1997. The Company intends to continue to vigorously defend against this action. Management of the Company believes the ultimate resolution of this case will not have a material adverse effect on the Company's financial position or results of operations.</w:t>
      </w:r>
    </w:p>
    <w:p>
      <w:pPr>
        <w:spacing w:after="0" w:line="259" w:lineRule="exact"/>
        <w:rPr>
          <w:sz w:val="20"/>
          <w:szCs w:val="20"/>
          <w:color w:val="auto"/>
        </w:rPr>
      </w:pPr>
    </w:p>
    <w:p>
      <w:pPr>
        <w:ind w:right="3259"/>
        <w:spacing w:after="0" w:line="245"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which is scheduled to close in June 1997. Management of the Company believes the ultimate resolution of this case will not have a material adverse effect on the Company's financial position or results of operations.</w:t>
      </w:r>
    </w:p>
    <w:p>
      <w:pPr>
        <w:spacing w:after="0" w:line="98"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exhibits to this report are listed in the Exhibit Index included elsewhere herein.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A report on Form 8-K was filed January 13, 1997. The Company filed information announcing that, although the Company is not a target, its subsidiary, Western Waste Industries, which the Company acquired in May of 1996, is a target of an ongoing investigation being conducted by the United States' Attorneys Office for the Central District of California.</w:t>
      </w:r>
    </w:p>
    <w:p>
      <w:pPr>
        <w:sectPr>
          <w:pgSz w:w="11900" w:h="16838" w:orient="portrait"/>
          <w:cols w:equalWidth="0" w:num="1">
            <w:col w:w="10219"/>
          </w:cols>
          <w:pgMar w:left="2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2"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2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5"/>
          <w:szCs w:val="15"/>
          <w:color w:val="auto"/>
        </w:rPr>
        <w:t>A report on Form 8-K was filed January 24, 1997. The Company filed information announcing definitive agreements to acquire the Canadian solid waste subsidiaries of Allied Waste Industries, Inc. and substantially all of the assets of Mid-American Waste Systems, Inc.</w:t>
      </w:r>
    </w:p>
    <w:p>
      <w:pPr>
        <w:spacing w:after="0" w:line="77"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A report on Form 8-K was filed February 6, 1997. The Company filed information relating to a Form T-1 filed by Texas Commerce Bank National Association, as trustee.</w:t>
      </w:r>
    </w:p>
    <w:p>
      <w:pPr>
        <w:spacing w:after="0" w:line="56"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A report on Form 8-K was filed February 7, 1997. The Company filed information related to its notes and equity offerings on February 7, 1997.</w:t>
      </w:r>
    </w:p>
    <w:p>
      <w:pPr>
        <w:spacing w:after="0" w:line="17"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A report on Form 8-K was filed March 27, 1997. The Company filed information with respect to the consummation of its acquisition of the Canadian solid waste subsidiaries of Allied Waste Industries, Inc. on March 12, 1997.</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2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43" w:lineRule="exact"/>
        <w:rPr>
          <w:sz w:val="20"/>
          <w:szCs w:val="20"/>
          <w:color w:val="auto"/>
        </w:rPr>
      </w:pPr>
    </w:p>
    <w:p>
      <w:pPr>
        <w:jc w:val="both"/>
        <w:ind w:right="38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USA WASTE SERVICES, INC.</w:t>
      </w:r>
    </w:p>
    <w:p>
      <w:pPr>
        <w:spacing w:after="0" w:line="2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15, 1997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Earl E. DeFrates</w:t>
      </w:r>
    </w:p>
    <w:p>
      <w:pPr>
        <w:spacing w:after="0" w:line="2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Earl E. DeFrates,</w:t>
      </w: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154" w:lineRule="exact"/>
        <w:rPr>
          <w:sz w:val="20"/>
          <w:szCs w:val="20"/>
          <w:color w:val="auto"/>
        </w:rPr>
      </w:pPr>
    </w:p>
    <w:p>
      <w:pPr>
        <w:sectPr>
          <w:pgSz w:w="11900" w:h="16838" w:orient="portrait"/>
          <w:cols w:equalWidth="0" w:num="2">
            <w:col w:w="3060" w:space="720"/>
            <w:col w:w="6439"/>
          </w:cols>
          <w:pgMar w:left="240" w:top="26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May 15, 1997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Bruce E. Snyder</w:t>
      </w:r>
    </w:p>
    <w:p>
      <w:pPr>
        <w:spacing w:after="0" w:line="2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Bruce E. Snyder,</w:t>
      </w:r>
    </w:p>
    <w:p>
      <w:pPr>
        <w:spacing w:after="0"/>
        <w:rPr>
          <w:sz w:val="20"/>
          <w:szCs w:val="20"/>
          <w:color w:val="auto"/>
        </w:rPr>
      </w:pPr>
      <w:r>
        <w:rPr>
          <w:rFonts w:ascii="Courier New" w:cs="Courier New" w:eastAsia="Courier New" w:hAnsi="Courier New"/>
          <w:sz w:val="15"/>
          <w:szCs w:val="15"/>
          <w:color w:val="auto"/>
        </w:rPr>
        <w:t>Vice President and</w:t>
      </w:r>
    </w:p>
    <w:p>
      <w:pPr>
        <w:spacing w:after="0"/>
        <w:rPr>
          <w:sz w:val="20"/>
          <w:szCs w:val="20"/>
          <w:color w:val="auto"/>
        </w:rPr>
      </w:pPr>
      <w:r>
        <w:rPr>
          <w:rFonts w:ascii="Courier New" w:cs="Courier New" w:eastAsia="Courier New" w:hAnsi="Courier New"/>
          <w:sz w:val="15"/>
          <w:szCs w:val="15"/>
          <w:color w:val="auto"/>
        </w:rPr>
        <w:t>Chief Accounting Officer</w:t>
      </w: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ectPr>
          <w:pgSz w:w="11900" w:h="16838" w:orient="portrait"/>
          <w:cols w:equalWidth="0" w:num="2">
            <w:col w:w="3060" w:space="720"/>
            <w:col w:w="6439"/>
          </w:cols>
          <w:pgMar w:left="240" w:top="2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2" w:right="1440" w:bottom="1440" w:gutter="0" w:footer="0" w:header="0"/>
          <w:type w:val="continuous"/>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20</w:t>
      </w:r>
    </w:p>
    <w:p>
      <w:pPr>
        <w:spacing w:after="0" w:line="26"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USA WASTE SERVICES, INC.</w:t>
      </w:r>
    </w:p>
    <w:p>
      <w:pPr>
        <w:spacing w:after="0" w:line="143"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Number and Description of Exhibit *</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410" w:hanging="528"/>
        <w:spacing w:after="0"/>
        <w:tabs>
          <w:tab w:leader="none" w:pos="14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1410" w:hanging="528"/>
        <w:spacing w:after="0"/>
        <w:tabs>
          <w:tab w:leader="none" w:pos="14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Computation of Earnings Per Common Share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24None</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69" w:lineRule="exact"/>
        <w:rPr>
          <w:sz w:val="20"/>
          <w:szCs w:val="20"/>
          <w:color w:val="auto"/>
        </w:rPr>
      </w:pPr>
    </w:p>
    <w:p>
      <w:pPr>
        <w:ind w:left="1410" w:hanging="528"/>
        <w:spacing w:after="0"/>
        <w:tabs>
          <w:tab w:leader="none" w:pos="141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Exhibits not listed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62"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1</w:t>
      </w:r>
    </w:p>
    <w:p>
      <w:pPr>
        <w:spacing w:after="0" w:line="26" w:lineRule="exact"/>
        <w:rPr>
          <w:sz w:val="20"/>
          <w:szCs w:val="20"/>
          <w:color w:val="auto"/>
        </w:rPr>
      </w:pPr>
    </w:p>
    <w:p>
      <w:pPr>
        <w:ind w:left="6170"/>
        <w:spacing w:after="0"/>
        <w:rPr>
          <w:sz w:val="20"/>
          <w:szCs w:val="20"/>
          <w:color w:val="auto"/>
        </w:rPr>
      </w:pPr>
      <w:r>
        <w:rPr>
          <w:rFonts w:ascii="Courier New" w:cs="Courier New" w:eastAsia="Courier New" w:hAnsi="Courier New"/>
          <w:sz w:val="15"/>
          <w:szCs w:val="15"/>
          <w:color w:val="auto"/>
        </w:rPr>
        <w:t>EXHIBIT 11</w:t>
      </w:r>
    </w:p>
    <w:p>
      <w:pPr>
        <w:spacing w:after="0" w:line="14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spacing w:after="0" w:line="25"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COMPUTATION OF EARNINGS PER COMMON SHARE</w:t>
      </w:r>
    </w:p>
    <w:p>
      <w:pPr>
        <w:ind w:left="177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6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8"/>
              </w:rPr>
              <w:t>THREE MONTHS ENDED MARCH 31,</w:t>
            </w: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2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1997</w:t>
            </w:r>
          </w:p>
        </w:tc>
        <w:tc>
          <w:tcPr>
            <w:tcW w:w="5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5"/>
              </w:rPr>
              <w:t>(RESTATED)</w:t>
            </w: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320" w:type="dxa"/>
            <w:vAlign w:val="bottom"/>
            <w:gridSpan w:val="2"/>
            <w:vMerge w:val="restart"/>
          </w:tcPr>
          <w:p>
            <w:pPr>
              <w:jc w:val="right"/>
              <w:ind w:right="507"/>
              <w:spacing w:after="0"/>
              <w:rPr>
                <w:sz w:val="20"/>
                <w:szCs w:val="20"/>
                <w:color w:val="auto"/>
              </w:rPr>
            </w:pPr>
            <w:r>
              <w:rPr>
                <w:rFonts w:ascii="Courier New" w:cs="Courier New" w:eastAsia="Courier New" w:hAnsi="Courier New"/>
                <w:sz w:val="15"/>
                <w:szCs w:val="15"/>
                <w:color w:val="auto"/>
                <w:w w:val="99"/>
              </w:rPr>
              <w:t>$ 49,127</w:t>
            </w:r>
          </w:p>
        </w:tc>
        <w:tc>
          <w:tcPr>
            <w:tcW w:w="5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27,652</w:t>
            </w:r>
          </w:p>
        </w:tc>
        <w:tc>
          <w:tcPr>
            <w:tcW w:w="0" w:type="dxa"/>
            <w:vAlign w:val="bottom"/>
          </w:tcPr>
          <w:p>
            <w:pPr>
              <w:spacing w:after="0"/>
              <w:rPr>
                <w:sz w:val="1"/>
                <w:szCs w:val="1"/>
                <w:color w:val="auto"/>
              </w:rPr>
            </w:pPr>
          </w:p>
        </w:tc>
      </w:tr>
      <w:tr>
        <w:trPr>
          <w:trHeight w:val="246"/>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Interest on convertible subordinated notes, net of taxes (2)</w:t>
            </w:r>
          </w:p>
        </w:tc>
        <w:tc>
          <w:tcPr>
            <w:tcW w:w="220" w:type="dxa"/>
            <w:vAlign w:val="bottom"/>
          </w:tcPr>
          <w:p>
            <w:pPr>
              <w:spacing w:after="0"/>
              <w:rPr>
                <w:sz w:val="22"/>
                <w:szCs w:val="22"/>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1,830</w:t>
            </w:r>
          </w:p>
        </w:tc>
        <w:tc>
          <w:tcPr>
            <w:tcW w:w="5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Net income -- primary</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$ 50,957</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27,652</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Number of common shares outstanding</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155,225</w:t>
            </w:r>
          </w:p>
        </w:tc>
        <w:tc>
          <w:tcPr>
            <w:tcW w:w="5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129,206</w:t>
            </w:r>
          </w:p>
        </w:tc>
        <w:tc>
          <w:tcPr>
            <w:tcW w:w="0" w:type="dxa"/>
            <w:vAlign w:val="bottom"/>
          </w:tcPr>
          <w:p>
            <w:pPr>
              <w:spacing w:after="0"/>
              <w:rPr>
                <w:sz w:val="1"/>
                <w:szCs w:val="1"/>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Effect of using weighted average common shares outstanding</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(7,545)</w:t>
            </w:r>
          </w:p>
        </w:tc>
        <w:tc>
          <w:tcPr>
            <w:tcW w:w="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0" w:type="dxa"/>
            <w:vAlign w:val="bottom"/>
          </w:tcPr>
          <w:p>
            <w:pPr>
              <w:spacing w:after="0"/>
              <w:rPr>
                <w:sz w:val="1"/>
                <w:szCs w:val="1"/>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Common stock equivalents:</w:t>
            </w:r>
          </w:p>
        </w:tc>
        <w:tc>
          <w:tcPr>
            <w:tcW w:w="220" w:type="dxa"/>
            <w:vAlign w:val="bottom"/>
          </w:tcPr>
          <w:p>
            <w:pPr>
              <w:spacing w:after="0"/>
              <w:rPr>
                <w:sz w:val="14"/>
                <w:szCs w:val="14"/>
                <w:color w:val="auto"/>
              </w:rPr>
            </w:pPr>
          </w:p>
        </w:tc>
        <w:tc>
          <w:tcPr>
            <w:tcW w:w="11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4,692</w:t>
            </w:r>
          </w:p>
        </w:tc>
        <w:tc>
          <w:tcPr>
            <w:tcW w:w="56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4,366</w:t>
            </w:r>
          </w:p>
        </w:tc>
        <w:tc>
          <w:tcPr>
            <w:tcW w:w="0" w:type="dxa"/>
            <w:vAlign w:val="bottom"/>
          </w:tcPr>
          <w:p>
            <w:pPr>
              <w:spacing w:after="0"/>
              <w:rPr>
                <w:sz w:val="1"/>
                <w:szCs w:val="1"/>
                <w:color w:val="auto"/>
              </w:rPr>
            </w:pPr>
          </w:p>
        </w:tc>
      </w:tr>
      <w:tr>
        <w:trPr>
          <w:trHeight w:val="170"/>
        </w:trPr>
        <w:tc>
          <w:tcPr>
            <w:tcW w:w="6300" w:type="dxa"/>
            <w:vAlign w:val="bottom"/>
          </w:tcPr>
          <w:p>
            <w:pPr>
              <w:ind w:left="1040"/>
              <w:spacing w:after="0"/>
              <w:rPr>
                <w:sz w:val="20"/>
                <w:szCs w:val="20"/>
                <w:color w:val="auto"/>
              </w:rPr>
            </w:pPr>
            <w:r>
              <w:rPr>
                <w:rFonts w:ascii="Courier New" w:cs="Courier New" w:eastAsia="Courier New" w:hAnsi="Courier New"/>
                <w:sz w:val="15"/>
                <w:szCs w:val="15"/>
                <w:color w:val="auto"/>
              </w:rPr>
              <w:t>Common stock options and warrants (1)</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1040"/>
              <w:spacing w:after="0"/>
              <w:rPr>
                <w:sz w:val="20"/>
                <w:szCs w:val="20"/>
                <w:color w:val="auto"/>
              </w:rPr>
            </w:pPr>
            <w:r>
              <w:rPr>
                <w:rFonts w:ascii="Courier New" w:cs="Courier New" w:eastAsia="Courier New" w:hAnsi="Courier New"/>
                <w:sz w:val="15"/>
                <w:szCs w:val="15"/>
                <w:color w:val="auto"/>
              </w:rPr>
              <w:t>Convertible subordinated notes (2)</w:t>
            </w: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7,100</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restart"/>
          </w:tcPr>
          <w:p>
            <w:pPr>
              <w:ind w:left="1580"/>
              <w:spacing w:after="0"/>
              <w:rPr>
                <w:sz w:val="20"/>
                <w:szCs w:val="20"/>
                <w:color w:val="auto"/>
              </w:rPr>
            </w:pPr>
            <w:r>
              <w:rPr>
                <w:rFonts w:ascii="Courier New" w:cs="Courier New" w:eastAsia="Courier New" w:hAnsi="Courier New"/>
                <w:sz w:val="15"/>
                <w:szCs w:val="15"/>
                <w:color w:val="auto"/>
              </w:rPr>
              <w:t>Total</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159,472</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132,362</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00" w:type="dxa"/>
            <w:vAlign w:val="bottom"/>
          </w:tcPr>
          <w:p>
            <w:pPr>
              <w:ind w:left="1580"/>
              <w:spacing w:after="0"/>
              <w:rPr>
                <w:sz w:val="20"/>
                <w:szCs w:val="20"/>
                <w:color w:val="auto"/>
              </w:rPr>
            </w:pPr>
            <w:r>
              <w:rPr>
                <w:rFonts w:ascii="Courier New" w:cs="Courier New" w:eastAsia="Courier New" w:hAnsi="Courier New"/>
                <w:sz w:val="15"/>
                <w:szCs w:val="15"/>
                <w:color w:val="auto"/>
              </w:rPr>
              <w:t>Primary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0.32</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320" w:type="dxa"/>
            <w:vAlign w:val="bottom"/>
            <w:gridSpan w:val="2"/>
            <w:vMerge w:val="restart"/>
          </w:tcPr>
          <w:p>
            <w:pPr>
              <w:jc w:val="right"/>
              <w:ind w:right="507"/>
              <w:spacing w:after="0"/>
              <w:rPr>
                <w:sz w:val="20"/>
                <w:szCs w:val="20"/>
                <w:color w:val="auto"/>
              </w:rPr>
            </w:pPr>
            <w:r>
              <w:rPr>
                <w:rFonts w:ascii="Courier New" w:cs="Courier New" w:eastAsia="Courier New" w:hAnsi="Courier New"/>
                <w:sz w:val="15"/>
                <w:szCs w:val="15"/>
                <w:color w:val="auto"/>
                <w:w w:val="99"/>
              </w:rPr>
              <w:t>$ 49,127</w:t>
            </w:r>
          </w:p>
        </w:tc>
        <w:tc>
          <w:tcPr>
            <w:tcW w:w="560" w:type="dxa"/>
            <w:vAlign w:val="bottom"/>
          </w:tcPr>
          <w:p>
            <w:pPr>
              <w:spacing w:after="0"/>
              <w:rPr>
                <w:sz w:val="22"/>
                <w:szCs w:val="22"/>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$ 27,652</w:t>
            </w:r>
          </w:p>
        </w:tc>
        <w:tc>
          <w:tcPr>
            <w:tcW w:w="0" w:type="dxa"/>
            <w:vAlign w:val="bottom"/>
          </w:tcPr>
          <w:p>
            <w:pPr>
              <w:spacing w:after="0"/>
              <w:rPr>
                <w:sz w:val="1"/>
                <w:szCs w:val="1"/>
                <w:color w:val="auto"/>
              </w:rPr>
            </w:pPr>
          </w:p>
        </w:tc>
      </w:tr>
      <w:tr>
        <w:trPr>
          <w:trHeight w:val="246"/>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Interest on convertible subordinated notes, net of taxes (2)</w:t>
            </w:r>
          </w:p>
        </w:tc>
        <w:tc>
          <w:tcPr>
            <w:tcW w:w="220" w:type="dxa"/>
            <w:vAlign w:val="bottom"/>
          </w:tcPr>
          <w:p>
            <w:pPr>
              <w:spacing w:after="0"/>
              <w:rPr>
                <w:sz w:val="22"/>
                <w:szCs w:val="22"/>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1,830</w:t>
            </w:r>
          </w:p>
        </w:tc>
        <w:tc>
          <w:tcPr>
            <w:tcW w:w="5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8"/>
              </w:rPr>
              <w:t>Interest on convertible subordinated debentures, net of taxes (3)</w:t>
            </w: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851</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Net income -- fully diluted</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$ 51,808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27,652</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Number of common shares outstanding</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155,225</w:t>
            </w:r>
          </w:p>
        </w:tc>
        <w:tc>
          <w:tcPr>
            <w:tcW w:w="5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129,206</w:t>
            </w:r>
          </w:p>
        </w:tc>
        <w:tc>
          <w:tcPr>
            <w:tcW w:w="0" w:type="dxa"/>
            <w:vAlign w:val="bottom"/>
          </w:tcPr>
          <w:p>
            <w:pPr>
              <w:spacing w:after="0"/>
              <w:rPr>
                <w:sz w:val="1"/>
                <w:szCs w:val="1"/>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Effect of using weighted average common shares outstanding</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(7,545)</w:t>
            </w:r>
          </w:p>
        </w:tc>
        <w:tc>
          <w:tcPr>
            <w:tcW w:w="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0" w:type="dxa"/>
            <w:vAlign w:val="bottom"/>
          </w:tcPr>
          <w:p>
            <w:pPr>
              <w:spacing w:after="0"/>
              <w:rPr>
                <w:sz w:val="1"/>
                <w:szCs w:val="1"/>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Common stock equivalents:</w:t>
            </w:r>
          </w:p>
        </w:tc>
        <w:tc>
          <w:tcPr>
            <w:tcW w:w="220" w:type="dxa"/>
            <w:vAlign w:val="bottom"/>
          </w:tcPr>
          <w:p>
            <w:pPr>
              <w:spacing w:after="0"/>
              <w:rPr>
                <w:sz w:val="14"/>
                <w:szCs w:val="14"/>
                <w:color w:val="auto"/>
              </w:rPr>
            </w:pPr>
          </w:p>
        </w:tc>
        <w:tc>
          <w:tcPr>
            <w:tcW w:w="11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4,706</w:t>
            </w:r>
          </w:p>
        </w:tc>
        <w:tc>
          <w:tcPr>
            <w:tcW w:w="56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4,564</w:t>
            </w:r>
          </w:p>
        </w:tc>
        <w:tc>
          <w:tcPr>
            <w:tcW w:w="0" w:type="dxa"/>
            <w:vAlign w:val="bottom"/>
          </w:tcPr>
          <w:p>
            <w:pPr>
              <w:spacing w:after="0"/>
              <w:rPr>
                <w:sz w:val="1"/>
                <w:szCs w:val="1"/>
                <w:color w:val="auto"/>
              </w:rPr>
            </w:pPr>
          </w:p>
        </w:tc>
      </w:tr>
      <w:tr>
        <w:trPr>
          <w:trHeight w:val="170"/>
        </w:trPr>
        <w:tc>
          <w:tcPr>
            <w:tcW w:w="6300" w:type="dxa"/>
            <w:vAlign w:val="bottom"/>
          </w:tcPr>
          <w:p>
            <w:pPr>
              <w:ind w:left="1040"/>
              <w:spacing w:after="0"/>
              <w:rPr>
                <w:sz w:val="20"/>
                <w:szCs w:val="20"/>
                <w:color w:val="auto"/>
              </w:rPr>
            </w:pPr>
            <w:r>
              <w:rPr>
                <w:rFonts w:ascii="Courier New" w:cs="Courier New" w:eastAsia="Courier New" w:hAnsi="Courier New"/>
                <w:sz w:val="15"/>
                <w:szCs w:val="15"/>
                <w:color w:val="auto"/>
              </w:rPr>
              <w:t>Common stock options and warrants (1)</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1040"/>
              <w:spacing w:after="0"/>
              <w:rPr>
                <w:sz w:val="20"/>
                <w:szCs w:val="20"/>
                <w:color w:val="auto"/>
              </w:rPr>
            </w:pPr>
            <w:r>
              <w:rPr>
                <w:rFonts w:ascii="Courier New" w:cs="Courier New" w:eastAsia="Courier New" w:hAnsi="Courier New"/>
                <w:sz w:val="15"/>
                <w:szCs w:val="15"/>
                <w:color w:val="auto"/>
              </w:rPr>
              <w:t>Convertible subordinated notes (2)</w:t>
            </w: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7,100</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tcPr>
          <w:p>
            <w:pPr>
              <w:ind w:left="1040"/>
              <w:spacing w:after="0"/>
              <w:rPr>
                <w:sz w:val="20"/>
                <w:szCs w:val="20"/>
                <w:color w:val="auto"/>
              </w:rPr>
            </w:pPr>
            <w:r>
              <w:rPr>
                <w:rFonts w:ascii="Courier New" w:cs="Courier New" w:eastAsia="Courier New" w:hAnsi="Courier New"/>
                <w:sz w:val="15"/>
                <w:szCs w:val="15"/>
                <w:color w:val="auto"/>
              </w:rPr>
              <w:t>Convertible subordinated debentures (3)</w:t>
            </w: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4,062</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restart"/>
          </w:tcPr>
          <w:p>
            <w:pPr>
              <w:ind w:left="1660"/>
              <w:spacing w:after="0"/>
              <w:rPr>
                <w:sz w:val="20"/>
                <w:szCs w:val="20"/>
                <w:color w:val="auto"/>
              </w:rPr>
            </w:pPr>
            <w:r>
              <w:rPr>
                <w:rFonts w:ascii="Courier New" w:cs="Courier New" w:eastAsia="Courier New" w:hAnsi="Courier New"/>
                <w:sz w:val="15"/>
                <w:szCs w:val="15"/>
                <w:color w:val="auto"/>
              </w:rPr>
              <w:t>Total</w:t>
            </w: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163,548</w:t>
            </w:r>
          </w:p>
        </w:tc>
        <w:tc>
          <w:tcPr>
            <w:tcW w:w="5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132,560</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00" w:type="dxa"/>
            <w:vAlign w:val="bottom"/>
          </w:tcPr>
          <w:p>
            <w:pPr>
              <w:ind w:left="1760"/>
              <w:spacing w:after="0"/>
              <w:rPr>
                <w:sz w:val="20"/>
                <w:szCs w:val="20"/>
                <w:color w:val="auto"/>
              </w:rPr>
            </w:pPr>
            <w:r>
              <w:rPr>
                <w:rFonts w:ascii="Courier New" w:cs="Courier New" w:eastAsia="Courier New" w:hAnsi="Courier New"/>
                <w:sz w:val="15"/>
                <w:szCs w:val="15"/>
                <w:color w:val="auto"/>
              </w:rPr>
              <w:t>Fully diluted earnings per common share</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0.32</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246"/>
        </w:trPr>
        <w:tc>
          <w:tcPr>
            <w:tcW w:w="6300" w:type="dxa"/>
            <w:vAlign w:val="bottom"/>
          </w:tcPr>
          <w:p>
            <w:pPr>
              <w:spacing w:after="0"/>
              <w:rPr>
                <w:sz w:val="21"/>
                <w:szCs w:val="21"/>
                <w:color w:val="auto"/>
              </w:rPr>
            </w:pPr>
          </w:p>
        </w:tc>
        <w:tc>
          <w:tcPr>
            <w:tcW w:w="1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right="3799" w:hanging="790"/>
        <w:spacing w:after="0" w:line="293"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dilutive impact of common stock options and warrants were determined based on the "Treasury Stock Method", as set forth in Accounting Principles Board Opinion No. 15.</w:t>
      </w:r>
    </w:p>
    <w:p>
      <w:pPr>
        <w:spacing w:after="0" w:line="55" w:lineRule="exact"/>
        <w:rPr>
          <w:rFonts w:ascii="Courier New" w:cs="Courier New" w:eastAsia="Courier New" w:hAnsi="Courier New"/>
          <w:sz w:val="15"/>
          <w:szCs w:val="15"/>
          <w:color w:val="auto"/>
        </w:rPr>
      </w:pPr>
    </w:p>
    <w:p>
      <w:pPr>
        <w:ind w:left="790" w:right="3179" w:hanging="790"/>
        <w:spacing w:after="0" w:line="251"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notes that are deemed to be common stock equivalents are considered in computing both primary and fully diluted earnings per common share if inclusion of such convertible subordinated notes is dilutive based on the "If-Converted Method". The Company's 4% convertible subordinated notes, issued February 7, 1997, are considered to be common stock equivalents based upon the yield test at the time of issuance. The 4% convertible subordinated notes are dilutive for both primary and fully diluted earnings per common share for the three months ended March 31, 1997.</w:t>
      </w:r>
    </w:p>
    <w:p>
      <w:pPr>
        <w:spacing w:after="0" w:line="87" w:lineRule="exact"/>
        <w:rPr>
          <w:rFonts w:ascii="Courier New" w:cs="Courier New" w:eastAsia="Courier New" w:hAnsi="Courier New"/>
          <w:sz w:val="15"/>
          <w:szCs w:val="15"/>
          <w:color w:val="auto"/>
        </w:rPr>
      </w:pPr>
    </w:p>
    <w:p>
      <w:pPr>
        <w:ind w:left="790" w:right="3179" w:hanging="790"/>
        <w:spacing w:after="0" w:line="261"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debentures are considered in computing fully diluted earnings per common share if inclusion of such convertible subordinated debentures is dilutive based on the "If-Converted Method". The Company's 5% convertible subordinated debentures are dilutive for the three months ended March 31, 1997.</w:t>
      </w:r>
    </w:p>
    <w:p>
      <w:pPr>
        <w:sectPr>
          <w:pgSz w:w="11900" w:h="16838" w:orient="portrait"/>
          <w:cols w:equalWidth="0" w:num="1">
            <w:col w:w="10229"/>
          </w:cols>
          <w:pgMar w:left="230" w:top="1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115" w:right="1440" w:bottom="1440" w:gutter="0" w:footer="0" w:header="0"/>
          <w:type w:val="continuous"/>
        </w:sectPr>
      </w:pPr>
    </w:p>
    <w:bookmarkStart w:id="22" w:name="page23"/>
    <w:bookmarkEnd w:id="22"/>
    <w:p>
      <w:pPr>
        <w:ind w:left="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THREE MONTHS ENDED MARCH 31, 1997 AND IS QUALIFIED IN ITS ENTIRETY BY REFERENCE TO SUCH FINANCIAL STATEMENTS.</w:t>
      </w:r>
    </w:p>
    <w:p>
      <w:pPr>
        <w:spacing w:after="0" w:line="200" w:lineRule="exact"/>
        <w:rPr>
          <w:sz w:val="20"/>
          <w:szCs w:val="20"/>
          <w:color w:val="auto"/>
        </w:rPr>
      </w:pPr>
    </w:p>
    <w:p>
      <w:pPr>
        <w:spacing w:after="0" w:line="20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3-MOS</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DEC-31-1997</w:t>
      </w:r>
    </w:p>
    <w:p>
      <w:pPr>
        <w:ind w:left="2520"/>
        <w:spacing w:after="0"/>
        <w:rPr>
          <w:sz w:val="20"/>
          <w:szCs w:val="20"/>
          <w:color w:val="auto"/>
        </w:rPr>
      </w:pPr>
      <w:r>
        <w:rPr>
          <w:rFonts w:ascii="Courier New" w:cs="Courier New" w:eastAsia="Courier New" w:hAnsi="Courier New"/>
          <w:sz w:val="15"/>
          <w:szCs w:val="15"/>
          <w:color w:val="auto"/>
        </w:rPr>
        <w:t>JAN-01-1997</w:t>
      </w:r>
    </w:p>
    <w:p>
      <w:pPr>
        <w:ind w:left="2700"/>
        <w:spacing w:after="0"/>
        <w:rPr>
          <w:sz w:val="20"/>
          <w:szCs w:val="20"/>
          <w:color w:val="auto"/>
        </w:rPr>
      </w:pPr>
      <w:r>
        <w:rPr>
          <w:rFonts w:ascii="Courier New" w:cs="Courier New" w:eastAsia="Courier New" w:hAnsi="Courier New"/>
          <w:sz w:val="15"/>
          <w:szCs w:val="15"/>
          <w:color w:val="auto"/>
        </w:rPr>
        <w:t>MAR-31-1997</w:t>
      </w:r>
    </w:p>
    <w:p>
      <w:pPr>
        <w:ind w:left="3320"/>
        <w:spacing w:after="0"/>
        <w:rPr>
          <w:sz w:val="20"/>
          <w:szCs w:val="20"/>
          <w:color w:val="auto"/>
        </w:rPr>
      </w:pPr>
      <w:r>
        <w:rPr>
          <w:rFonts w:ascii="Courier New" w:cs="Courier New" w:eastAsia="Courier New" w:hAnsi="Courier New"/>
          <w:sz w:val="15"/>
          <w:szCs w:val="15"/>
          <w:color w:val="auto"/>
        </w:rPr>
        <w:t>23,441,000</w:t>
      </w:r>
    </w:p>
    <w:p>
      <w:pPr>
        <w:ind w:left="3580"/>
        <w:spacing w:after="0"/>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281,707,000</w:t>
      </w:r>
    </w:p>
    <w:p>
      <w:pPr>
        <w:ind w:left="2700"/>
        <w:spacing w:after="0"/>
        <w:rPr>
          <w:sz w:val="20"/>
          <w:szCs w:val="20"/>
          <w:color w:val="auto"/>
        </w:rPr>
      </w:pPr>
      <w:r>
        <w:rPr>
          <w:rFonts w:ascii="Courier New" w:cs="Courier New" w:eastAsia="Courier New" w:hAnsi="Courier New"/>
          <w:sz w:val="15"/>
          <w:szCs w:val="15"/>
          <w:color w:val="auto"/>
        </w:rPr>
        <w:t>(4,925,000)</w:t>
      </w:r>
    </w:p>
    <w:p>
      <w:pPr>
        <w:ind w:left="3680"/>
        <w:spacing w:after="0"/>
        <w:rPr>
          <w:sz w:val="20"/>
          <w:szCs w:val="20"/>
          <w:color w:val="auto"/>
        </w:rPr>
      </w:pPr>
      <w:r>
        <w:rPr>
          <w:rFonts w:ascii="Courier New" w:cs="Courier New" w:eastAsia="Courier New" w:hAnsi="Courier New"/>
          <w:sz w:val="15"/>
          <w:szCs w:val="15"/>
          <w:color w:val="auto"/>
        </w:rPr>
        <w:t>0</w:t>
      </w:r>
    </w:p>
    <w:p>
      <w:pPr>
        <w:ind w:left="2360"/>
        <w:spacing w:after="0"/>
        <w:rPr>
          <w:sz w:val="20"/>
          <w:szCs w:val="20"/>
          <w:color w:val="auto"/>
        </w:rPr>
      </w:pPr>
      <w:r>
        <w:rPr>
          <w:rFonts w:ascii="Courier New" w:cs="Courier New" w:eastAsia="Courier New" w:hAnsi="Courier New"/>
          <w:sz w:val="15"/>
          <w:szCs w:val="15"/>
          <w:color w:val="auto"/>
        </w:rPr>
        <w:t>392,831,000</w:t>
      </w:r>
    </w:p>
    <w:p>
      <w:pPr>
        <w:ind w:left="3060"/>
        <w:spacing w:after="0"/>
        <w:rPr>
          <w:sz w:val="20"/>
          <w:szCs w:val="20"/>
          <w:color w:val="auto"/>
        </w:rPr>
      </w:pPr>
      <w:r>
        <w:rPr>
          <w:rFonts w:ascii="Courier New" w:cs="Courier New" w:eastAsia="Courier New" w:hAnsi="Courier New"/>
          <w:sz w:val="15"/>
          <w:szCs w:val="15"/>
          <w:color w:val="auto"/>
        </w:rPr>
        <w:t>2,878,915,000</w:t>
      </w:r>
    </w:p>
    <w:p>
      <w:pPr>
        <w:ind w:left="2360"/>
        <w:spacing w:after="0"/>
        <w:rPr>
          <w:sz w:val="20"/>
          <w:szCs w:val="20"/>
          <w:color w:val="auto"/>
        </w:rPr>
      </w:pPr>
      <w:r>
        <w:rPr>
          <w:rFonts w:ascii="Courier New" w:cs="Courier New" w:eastAsia="Courier New" w:hAnsi="Courier New"/>
          <w:sz w:val="15"/>
          <w:szCs w:val="15"/>
          <w:color w:val="auto"/>
        </w:rPr>
        <w:t>(618,764,000)</w:t>
      </w:r>
    </w:p>
    <w:p>
      <w:pPr>
        <w:ind w:left="2360"/>
        <w:spacing w:after="0"/>
        <w:rPr>
          <w:sz w:val="20"/>
          <w:szCs w:val="20"/>
          <w:color w:val="auto"/>
        </w:rPr>
      </w:pPr>
      <w:r>
        <w:rPr>
          <w:rFonts w:ascii="Courier New" w:cs="Courier New" w:eastAsia="Courier New" w:hAnsi="Courier New"/>
          <w:sz w:val="15"/>
          <w:szCs w:val="15"/>
          <w:color w:val="auto"/>
        </w:rPr>
        <w:t>3,686,795,000</w:t>
      </w:r>
    </w:p>
    <w:p>
      <w:pPr>
        <w:ind w:left="1900"/>
        <w:spacing w:after="0"/>
        <w:rPr>
          <w:sz w:val="20"/>
          <w:szCs w:val="20"/>
          <w:color w:val="auto"/>
        </w:rPr>
      </w:pPr>
      <w:r>
        <w:rPr>
          <w:rFonts w:ascii="Courier New" w:cs="Courier New" w:eastAsia="Courier New" w:hAnsi="Courier New"/>
          <w:sz w:val="15"/>
          <w:szCs w:val="15"/>
          <w:color w:val="auto"/>
        </w:rPr>
        <w:t>322,191,000</w:t>
      </w:r>
    </w:p>
    <w:p>
      <w:pPr>
        <w:ind w:left="2960"/>
        <w:spacing w:after="0"/>
        <w:rPr>
          <w:sz w:val="20"/>
          <w:szCs w:val="20"/>
          <w:color w:val="auto"/>
        </w:rPr>
      </w:pPr>
      <w:r>
        <w:rPr>
          <w:rFonts w:ascii="Courier New" w:cs="Courier New" w:eastAsia="Courier New" w:hAnsi="Courier New"/>
          <w:sz w:val="15"/>
          <w:szCs w:val="15"/>
          <w:color w:val="auto"/>
        </w:rPr>
        <w:t>1,423,358,000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1,541,000</w:t>
      </w:r>
    </w:p>
    <w:p>
      <w:pPr>
        <w:ind w:left="2700"/>
        <w:spacing w:after="0"/>
        <w:rPr>
          <w:sz w:val="20"/>
          <w:szCs w:val="20"/>
          <w:color w:val="auto"/>
        </w:rPr>
      </w:pPr>
      <w:r>
        <w:rPr>
          <w:rFonts w:ascii="Courier New" w:cs="Courier New" w:eastAsia="Courier New" w:hAnsi="Courier New"/>
          <w:sz w:val="15"/>
          <w:szCs w:val="15"/>
          <w:color w:val="auto"/>
        </w:rPr>
        <w:t>1,667,407,000</w:t>
      </w:r>
    </w:p>
    <w:p>
      <w:pPr>
        <w:ind w:left="1120"/>
        <w:spacing w:after="0"/>
        <w:rPr>
          <w:sz w:val="20"/>
          <w:szCs w:val="20"/>
          <w:color w:val="auto"/>
        </w:rPr>
      </w:pPr>
      <w:r>
        <w:rPr>
          <w:rFonts w:ascii="Courier New" w:cs="Courier New" w:eastAsia="Courier New" w:hAnsi="Courier New"/>
          <w:sz w:val="15"/>
          <w:szCs w:val="15"/>
          <w:color w:val="auto"/>
        </w:rPr>
        <w:t>3,686,795,000</w:t>
      </w:r>
    </w:p>
    <w:p>
      <w:pPr>
        <w:ind w:left="3140"/>
        <w:spacing w:after="0"/>
        <w:rPr>
          <w:sz w:val="20"/>
          <w:szCs w:val="20"/>
          <w:color w:val="auto"/>
        </w:rPr>
      </w:pPr>
      <w:r>
        <w:rPr>
          <w:rFonts w:ascii="Courier New" w:cs="Courier New" w:eastAsia="Courier New" w:hAnsi="Courier New"/>
          <w:sz w:val="15"/>
          <w:szCs w:val="15"/>
          <w:color w:val="auto"/>
        </w:rPr>
        <w:t>364,905,000</w:t>
      </w:r>
    </w:p>
    <w:p>
      <w:pPr>
        <w:ind w:left="2360"/>
        <w:spacing w:after="0"/>
        <w:rPr>
          <w:sz w:val="20"/>
          <w:szCs w:val="20"/>
          <w:color w:val="auto"/>
        </w:rPr>
      </w:pPr>
      <w:r>
        <w:rPr>
          <w:rFonts w:ascii="Courier New" w:cs="Courier New" w:eastAsia="Courier New" w:hAnsi="Courier New"/>
          <w:sz w:val="15"/>
          <w:szCs w:val="15"/>
          <w:color w:val="auto"/>
        </w:rPr>
        <w:t>364,905,000</w:t>
      </w:r>
    </w:p>
    <w:p>
      <w:pPr>
        <w:ind w:left="3320"/>
        <w:spacing w:after="0"/>
        <w:rPr>
          <w:sz w:val="20"/>
          <w:szCs w:val="20"/>
          <w:color w:val="auto"/>
        </w:rPr>
      </w:pPr>
      <w:r>
        <w:rPr>
          <w:rFonts w:ascii="Courier New" w:cs="Courier New" w:eastAsia="Courier New" w:hAnsi="Courier New"/>
          <w:sz w:val="15"/>
          <w:szCs w:val="15"/>
          <w:color w:val="auto"/>
        </w:rPr>
        <w:t>187,823,000</w:t>
      </w:r>
    </w:p>
    <w:p>
      <w:pPr>
        <w:ind w:left="2620"/>
        <w:spacing w:after="0"/>
        <w:rPr>
          <w:sz w:val="20"/>
          <w:szCs w:val="20"/>
          <w:color w:val="auto"/>
        </w:rPr>
      </w:pPr>
      <w:r>
        <w:rPr>
          <w:rFonts w:ascii="Courier New" w:cs="Courier New" w:eastAsia="Courier New" w:hAnsi="Courier New"/>
          <w:sz w:val="15"/>
          <w:szCs w:val="15"/>
          <w:color w:val="auto"/>
        </w:rPr>
        <w:t>276,106,000</w:t>
      </w:r>
    </w:p>
    <w:p>
      <w:pPr>
        <w:ind w:left="2360"/>
        <w:spacing w:after="0"/>
        <w:rPr>
          <w:sz w:val="20"/>
          <w:szCs w:val="20"/>
          <w:color w:val="auto"/>
        </w:rPr>
      </w:pPr>
      <w:r>
        <w:rPr>
          <w:rFonts w:ascii="Courier New" w:cs="Courier New" w:eastAsia="Courier New" w:hAnsi="Courier New"/>
          <w:sz w:val="15"/>
          <w:szCs w:val="15"/>
          <w:color w:val="auto"/>
        </w:rPr>
        <w:t>(5,037,000)</w:t>
      </w:r>
    </w:p>
    <w:p>
      <w:pPr>
        <w:ind w:left="3240"/>
        <w:spacing w:after="0"/>
        <w:rPr>
          <w:sz w:val="20"/>
          <w:szCs w:val="20"/>
          <w:color w:val="auto"/>
        </w:rPr>
      </w:pPr>
      <w:r>
        <w:rPr>
          <w:rFonts w:ascii="Courier New" w:cs="Courier New" w:eastAsia="Courier New" w:hAnsi="Courier New"/>
          <w:sz w:val="15"/>
          <w:szCs w:val="15"/>
          <w:color w:val="auto"/>
        </w:rPr>
        <w:t>0</w:t>
      </w:r>
    </w:p>
    <w:p>
      <w:pPr>
        <w:ind w:left="2260"/>
        <w:spacing w:after="0"/>
        <w:rPr>
          <w:sz w:val="20"/>
          <w:szCs w:val="20"/>
          <w:color w:val="auto"/>
        </w:rPr>
      </w:pPr>
      <w:r>
        <w:rPr>
          <w:rFonts w:ascii="Courier New" w:cs="Courier New" w:eastAsia="Courier New" w:hAnsi="Courier New"/>
          <w:sz w:val="15"/>
          <w:szCs w:val="15"/>
          <w:color w:val="auto"/>
        </w:rPr>
        <w:t>11,957,000</w:t>
      </w:r>
    </w:p>
    <w:p>
      <w:pPr>
        <w:ind w:left="2520"/>
        <w:spacing w:after="0"/>
        <w:rPr>
          <w:sz w:val="20"/>
          <w:szCs w:val="20"/>
          <w:color w:val="auto"/>
        </w:rPr>
      </w:pPr>
      <w:r>
        <w:rPr>
          <w:rFonts w:ascii="Courier New" w:cs="Courier New" w:eastAsia="Courier New" w:hAnsi="Courier New"/>
          <w:sz w:val="15"/>
          <w:szCs w:val="15"/>
          <w:color w:val="auto"/>
        </w:rPr>
        <w:t>81,879,000</w:t>
      </w:r>
    </w:p>
    <w:p>
      <w:pPr>
        <w:ind w:left="2800"/>
        <w:spacing w:after="0"/>
        <w:rPr>
          <w:sz w:val="20"/>
          <w:szCs w:val="20"/>
          <w:color w:val="auto"/>
        </w:rPr>
      </w:pPr>
      <w:r>
        <w:rPr>
          <w:rFonts w:ascii="Courier New" w:cs="Courier New" w:eastAsia="Courier New" w:hAnsi="Courier New"/>
          <w:sz w:val="15"/>
          <w:szCs w:val="15"/>
          <w:color w:val="auto"/>
        </w:rPr>
        <w:t>32,752,000</w:t>
      </w:r>
    </w:p>
    <w:p>
      <w:pPr>
        <w:ind w:left="2180"/>
        <w:spacing w:after="0"/>
        <w:rPr>
          <w:sz w:val="20"/>
          <w:szCs w:val="20"/>
          <w:color w:val="auto"/>
        </w:rPr>
      </w:pPr>
      <w:r>
        <w:rPr>
          <w:rFonts w:ascii="Courier New" w:cs="Courier New" w:eastAsia="Courier New" w:hAnsi="Courier New"/>
          <w:sz w:val="15"/>
          <w:szCs w:val="15"/>
          <w:color w:val="auto"/>
        </w:rPr>
        <w:t>49,127,000</w:t>
      </w:r>
    </w:p>
    <w:p>
      <w:pPr>
        <w:ind w:left="3400"/>
        <w:spacing w:after="0"/>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49,127,000</w:t>
      </w:r>
    </w:p>
    <w:p>
      <w:pPr>
        <w:ind w:left="3240"/>
        <w:spacing w:after="0"/>
        <w:rPr>
          <w:sz w:val="20"/>
          <w:szCs w:val="20"/>
          <w:color w:val="auto"/>
        </w:rPr>
      </w:pPr>
      <w:r>
        <w:rPr>
          <w:rFonts w:ascii="Courier New" w:cs="Courier New" w:eastAsia="Courier New" w:hAnsi="Courier New"/>
          <w:sz w:val="15"/>
          <w:szCs w:val="15"/>
          <w:color w:val="auto"/>
        </w:rPr>
        <w:t>0.32</w:t>
      </w:r>
    </w:p>
    <w:p>
      <w:pPr>
        <w:ind w:left="3240"/>
        <w:spacing w:after="0"/>
        <w:rPr>
          <w:sz w:val="20"/>
          <w:szCs w:val="20"/>
          <w:color w:val="auto"/>
        </w:rPr>
      </w:pPr>
      <w:r>
        <w:rPr>
          <w:rFonts w:ascii="Courier New" w:cs="Courier New" w:eastAsia="Courier New" w:hAnsi="Courier New"/>
          <w:sz w:val="15"/>
          <w:szCs w:val="15"/>
          <w:color w:val="auto"/>
        </w:rPr>
        <w:t>0.32</w:t>
      </w:r>
    </w:p>
    <w:sectPr>
      <w:pgSz w:w="11900" w:h="16838" w:orient="portrait"/>
      <w:cols w:equalWidth="0" w:num="1">
        <w:col w:w="10199"/>
      </w:cols>
      <w:pgMar w:left="26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
      <w:numFmt w:val="bullet"/>
      <w:start w:val="1"/>
    </w:lvl>
    <w:lvl w:ilvl="1">
      <w:lvlJc w:val="left"/>
      <w:lvlText w:val="%2"/>
      <w:numFmt w:val="decimal"/>
      <w:start w:val="99"/>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2019-12-20T04:57:34Z</dcterms:created>
  <dcterms:modified xsi:type="dcterms:W3CDTF">2019-12-20T04:57:34Z</dcterms:modified>
</cp:coreProperties>
</file>