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29, 2018</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Charter)</w:t>
      </w:r>
    </w:p>
    <w:p>
      <w:pPr>
        <w:sectPr>
          <w:pgSz w:w="11900" w:h="16887" w:orient="portrait"/>
          <w:cols w:equalWidth="0" w:num="1">
            <w:col w:w="11340"/>
          </w:cols>
          <w:pgMar w:left="240" w:top="544" w:right="319" w:bottom="0" w:gutter="0" w:footer="0" w:header="0"/>
        </w:sectPr>
      </w:pPr>
    </w:p>
    <w:p>
      <w:pPr>
        <w:spacing w:after="0" w:line="205"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87" w:orient="portrait"/>
          <w:cols w:equalWidth="0" w:num="3">
            <w:col w:w="4080" w:space="720"/>
            <w:col w:w="2740" w:space="720"/>
            <w:col w:w="3080"/>
          </w:cols>
          <w:pgMar w:left="240" w:top="544" w:right="319" w:bottom="0" w:gutter="0" w:footer="0" w:header="0"/>
          <w:type w:val="continuous"/>
        </w:sectPr>
      </w:pPr>
    </w:p>
    <w:p>
      <w:pPr>
        <w:spacing w:after="0" w:line="18"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87" w:orient="portrait"/>
          <w:cols w:equalWidth="0" w:num="2">
            <w:col w:w="7500" w:space="720"/>
            <w:col w:w="3120"/>
          </w:cols>
          <w:pgMar w:left="240" w:top="544" w:right="319" w:bottom="0" w:gutter="0" w:footer="0" w:header="0"/>
          <w:type w:val="continuous"/>
        </w:sectPr>
      </w:pP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16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6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360" w:firstLine="648"/>
        <w:spacing w:after="0" w:line="288" w:lineRule="auto"/>
        <w:rPr>
          <w:sz w:val="20"/>
          <w:szCs w:val="20"/>
          <w:color w:val="auto"/>
        </w:rPr>
      </w:pPr>
      <w:r>
        <w:rPr>
          <w:rFonts w:ascii="Arial" w:cs="Arial" w:eastAsia="Arial" w:hAnsi="Arial"/>
          <w:sz w:val="16"/>
          <w:szCs w:val="16"/>
          <w:color w:val="auto"/>
        </w:rPr>
        <w:t xml:space="preserve">On June 26, 2018, Waste Management, Inc. (the “Company”) amended and restated its revolving credit agreement with a syndicate of banks signatory thereto (the “Banks”) and Bank of America, N.A. (“BofA”), as administrative agent for the Banks (the “Agent”) (the “Fourth Amended and Restated Credit Agreement”) </w:t>
      </w:r>
      <w:r>
        <w:rPr>
          <w:rFonts w:ascii="Arial" w:cs="Arial" w:eastAsia="Arial" w:hAnsi="Arial"/>
          <w:sz w:val="15"/>
          <w:szCs w:val="15"/>
          <w:color w:val="auto"/>
        </w:rPr>
        <w:t>to extend the term and increase aggregate available revolving credit to serve U.S. and Canadian needs of the Company and its</w:t>
      </w:r>
    </w:p>
    <w:p>
      <w:pPr>
        <w:spacing w:after="0"/>
        <w:rPr>
          <w:sz w:val="20"/>
          <w:szCs w:val="20"/>
          <w:color w:val="auto"/>
        </w:rPr>
      </w:pPr>
      <w:r>
        <w:rPr>
          <w:rFonts w:ascii="Arial" w:cs="Arial" w:eastAsia="Arial" w:hAnsi="Arial"/>
          <w:sz w:val="18"/>
          <w:szCs w:val="18"/>
          <w:color w:val="auto"/>
        </w:rPr>
        <w:t>subsidiaries.</w:t>
      </w:r>
    </w:p>
    <w:p>
      <w:pPr>
        <w:spacing w:after="0" w:line="211" w:lineRule="exact"/>
        <w:rPr>
          <w:sz w:val="24"/>
          <w:szCs w:val="24"/>
          <w:color w:val="auto"/>
        </w:rPr>
      </w:pPr>
    </w:p>
    <w:p>
      <w:pPr>
        <w:ind w:right="60" w:firstLine="648"/>
        <w:spacing w:after="0" w:line="301" w:lineRule="auto"/>
        <w:rPr>
          <w:sz w:val="20"/>
          <w:szCs w:val="20"/>
          <w:color w:val="auto"/>
        </w:rPr>
      </w:pPr>
      <w:r>
        <w:rPr>
          <w:rFonts w:ascii="Arial" w:cs="Arial" w:eastAsia="Arial" w:hAnsi="Arial"/>
          <w:sz w:val="16"/>
          <w:szCs w:val="16"/>
          <w:color w:val="auto"/>
        </w:rPr>
        <w:t xml:space="preserve">The Fourth Amended and Restated Credit Agreement increased the total commitment under the facility from $2.25 billion to $2.75 billion (plus a $750 million accordion feature) and extended the maturity date to June 26, 2023, with the option to request up to two one-year extensions. </w:t>
      </w:r>
      <w:r>
        <w:rPr>
          <w:rFonts w:ascii="Arial" w:cs="Arial" w:eastAsia="Arial" w:hAnsi="Arial"/>
          <w:sz w:val="15"/>
          <w:szCs w:val="15"/>
          <w:color w:val="auto"/>
        </w:rPr>
        <w:t>Waste</w:t>
      </w:r>
      <w:r>
        <w:rPr>
          <w:rFonts w:ascii="Arial" w:cs="Arial" w:eastAsia="Arial" w:hAnsi="Arial"/>
          <w:sz w:val="16"/>
          <w:szCs w:val="16"/>
          <w:color w:val="auto"/>
        </w:rPr>
        <w:t xml:space="preserve"> </w:t>
      </w:r>
      <w:r>
        <w:rPr>
          <w:rFonts w:ascii="Arial" w:cs="Arial" w:eastAsia="Arial" w:hAnsi="Arial"/>
          <w:sz w:val="15"/>
          <w:szCs w:val="15"/>
          <w:color w:val="auto"/>
        </w:rPr>
        <w:t xml:space="preserve">Management of Canada Corporation and WM Quebec Inc., each a wholly-owned subsidiary of the Company (the “Canadian Borrowers”), were added as additional borrowers under the Fourth Amended and Restated Credit Agreement, and the Fourth Amended and Restated Credit Agreement permits borrowing in Canadian dollars up to the U.S. dollar equivalent of $375 million, with such borrowings to be repaid in Canadian dollars. </w:t>
      </w:r>
      <w:r>
        <w:rPr>
          <w:rFonts w:ascii="Arial" w:cs="Arial" w:eastAsia="Arial" w:hAnsi="Arial"/>
          <w:sz w:val="16"/>
          <w:szCs w:val="16"/>
          <w:color w:val="auto"/>
        </w:rPr>
        <w:t>Waste Management Holdings, Inc., a</w:t>
      </w:r>
      <w:r>
        <w:rPr>
          <w:rFonts w:ascii="Arial" w:cs="Arial" w:eastAsia="Arial" w:hAnsi="Arial"/>
          <w:sz w:val="15"/>
          <w:szCs w:val="15"/>
          <w:color w:val="auto"/>
        </w:rPr>
        <w:t xml:space="preserve"> </w:t>
      </w:r>
      <w:r>
        <w:rPr>
          <w:rFonts w:ascii="Arial" w:cs="Arial" w:eastAsia="Arial" w:hAnsi="Arial"/>
          <w:sz w:val="16"/>
          <w:szCs w:val="16"/>
          <w:color w:val="auto"/>
        </w:rPr>
        <w:t>wholly-owned subsidiary of the Company, guarantees all of the obligations under the Fourth Amended and Restated Credit Agreement.</w:t>
      </w:r>
    </w:p>
    <w:p>
      <w:pPr>
        <w:spacing w:after="0" w:line="157" w:lineRule="exact"/>
        <w:rPr>
          <w:sz w:val="24"/>
          <w:szCs w:val="24"/>
          <w:color w:val="auto"/>
        </w:rPr>
      </w:pPr>
    </w:p>
    <w:p>
      <w:pPr>
        <w:ind w:firstLine="648"/>
        <w:spacing w:after="0" w:line="297" w:lineRule="auto"/>
        <w:rPr>
          <w:sz w:val="20"/>
          <w:szCs w:val="20"/>
          <w:color w:val="auto"/>
        </w:rPr>
      </w:pPr>
      <w:r>
        <w:rPr>
          <w:rFonts w:ascii="Arial" w:cs="Arial" w:eastAsia="Arial" w:hAnsi="Arial"/>
          <w:sz w:val="16"/>
          <w:szCs w:val="16"/>
          <w:color w:val="auto"/>
        </w:rPr>
        <w:t>Under the Fourth Amended and Restated Credit Agreement, the Company is required to pay, quarterly in arrears, (a) an annual facility fee in an amount ranging from .06% to .15% of the $2.75 billion in letter of credit and borrowing availability under the agreement (the “Facility Fee”) and (b) letter of credit fees, payable quarterly, in an amount ranging from .69% to 1.05% of outstanding letters of credit issued under the agreement (the “L/C Fee”). Any borrowings in U.S. dollars under the Fourth Amended and Restated Credit Agreement will bear interest at (x) the London Interbank Offered Rate (“LIBOR”) for the applicable interest period, plus a spread ranging from .69% to 1.05% per annum (a “LIBOR Loan”), or (y) a base rate equal to the highest of (i) the</w:t>
      </w:r>
    </w:p>
    <w:p>
      <w:pPr>
        <w:sectPr>
          <w:pgSz w:w="11900" w:h="16887" w:orient="portrait"/>
          <w:cols w:equalWidth="0" w:num="1">
            <w:col w:w="11340"/>
          </w:cols>
          <w:pgMar w:left="240" w:top="544" w:right="319" w:bottom="0" w:gutter="0" w:footer="0" w:header="0"/>
          <w:type w:val="continuous"/>
        </w:sectPr>
      </w:pPr>
    </w:p>
    <w:bookmarkStart w:id="1" w:name="page2"/>
    <w:bookmarkEnd w:id="1"/>
    <w:p>
      <w:pPr>
        <w:ind w:right="120"/>
        <w:spacing w:after="0" w:line="273" w:lineRule="auto"/>
        <w:rPr>
          <w:sz w:val="20"/>
          <w:szCs w:val="20"/>
          <w:color w:val="auto"/>
        </w:rPr>
      </w:pPr>
      <w:r>
        <w:rPr>
          <w:rFonts w:ascii="Arial" w:cs="Arial" w:eastAsia="Arial" w:hAnsi="Arial"/>
          <w:sz w:val="17"/>
          <w:szCs w:val="17"/>
          <w:color w:val="auto"/>
        </w:rPr>
        <w:t xml:space="preserve">U.S. Federal Funds Rate plus .5%, (ii) BofA’s announced prime rate, or (iii) one-month LIBOR plus 1%, plus, in each case, a spread ranging from zero to .05% per annum (a “Base Rate Loan”). Any borrowings in Canadian dollars will bear interest at (x) the </w:t>
      </w:r>
      <w:r>
        <w:rPr>
          <w:rFonts w:ascii="Arial" w:cs="Arial" w:eastAsia="Arial" w:hAnsi="Arial"/>
          <w:sz w:val="16"/>
          <w:szCs w:val="16"/>
          <w:color w:val="auto"/>
        </w:rPr>
        <w:t>Canadian Dollar Offered Rate (</w:t>
      </w:r>
      <w:r>
        <w:rPr>
          <w:rFonts w:ascii="Arial" w:cs="Arial" w:eastAsia="Arial" w:hAnsi="Arial"/>
          <w:sz w:val="17"/>
          <w:szCs w:val="17"/>
          <w:color w:val="auto"/>
        </w:rPr>
        <w:t>“CDOR”) for the applicable interest period, plus a spread ranging from .69% to 1.05% per annum (any such CDOR loan, together with any LIBOR Loan, a “Eurocurrency Loan”), or (y) a base rate equal to the higher of (i) BofA’s announced prime rate for commercial loans in Canadian dollars in Canada to Canadian borrowers, or (ii) the average CDOR for a 30-day term, plus .5%, plus, in each case, a spread ranging from zero to .05% per annum (a “Canadian Prime Rate Loan”). In certain instances, the Agent may approve a comparable or successor reference rate.</w:t>
      </w:r>
    </w:p>
    <w:p>
      <w:pPr>
        <w:spacing w:after="0" w:line="178"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The Facility Fee and the L/C Fee percentages and the spread applicable to Eurocurrency Loans, Base Rate Loans and Canadian Prime Rate Loans depend on the Company’s senior public debt rating as determined by Standard &amp; Poor’s and Moody’s. Based on the Company’s current senior public debt rating, the Facility Fee is .09% per annum, the L/C Fee is .91% per annum, the spread applicable to Eurocurrency Loans is .91% per annum, and the spread applicable to Base Rate Loans and Canadian Prime Rate Loans is zero.</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Fourth Amended and Restated Credit Agreement contains customary representations and warranties and affirmative and negative covenants. The Fourth Amended and Restated Credit Agreement contains one financial covenant, which sets forth a maximum total debt to consolidated earnings before interest, taxes, depreciation and amortization (“EBITDA”) ratio. This covenant provides that the ratio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of the Company’s total debt to its EBITDA (the “Leverage Ratio”) for the preceding four fiscal quarters will not be more than 3.5 to 1, provided that if an acquisition permitted under the Fourth Amended and Restated Credit Agreement involving aggregate consideration in excess of $200 million occurs during the fiscal quarter, the Company shall have the right to increase the Leverage Ratio to 4 to 1 during such fiscal quarter and for the following three fiscal quarters (the “Elevated Leverage Ratio Period”). There shall be no more than two Elevated Leverage Ratio Periods during the term of the agreement, and the Leverage Ratio must return to 3.5 to 1 for at least one quarter between Elevated Leverage Ratio Periods. The calculation of all components used in the Leverage Ratio covenant are as defined in the Fourth Amended and Restated Credit Agreement. The Fourth Amended and Restated Credit Agreement also contains certain restrictions on the ability of the Company’s subsidiaries to incur additional indebtedness as well as restrictions on the ability of the Company and its subsidiaries to, among other things, incur liens; engage in sale-leaseback transactions; make certain investments; and engage in mergers and consolidations.</w:t>
      </w:r>
    </w:p>
    <w:p>
      <w:pPr>
        <w:spacing w:after="0" w:line="19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The Fourth Amended and Restated Credit Agreement contains customary events of default, including nonpayment of principal when due; nonpayment of interest, fees or other amounts after a stated grace period; inaccuracy of representations and warranties; violations of covenants, subject in certain cases to negotiated grace periods; certain bankruptcies and liquidations; a cross-default of more than $100 million; certain unsatisfied judgments of more than $100 million; certain ERISA-related events; and a change in control of the Company (as specified in the agreement). If an event of default occurs and is continuing, the Company may be required to repay all amounts outstanding under the Fourth Amended and Restated Credit Agreement and cash-collateralize any outstanding letters of credit supported by the Fourth Amended and Restated Credit Agreement. The Agent, or Banks that hold more than 50% of the commitments under the Fourth Amended and Restated Credit Agreement, may elect to accelerate the maturity of all amounts due upon the occurrence and during the continuation of an event of default.</w:t>
      </w:r>
    </w:p>
    <w:p>
      <w:pPr>
        <w:spacing w:after="0" w:line="179" w:lineRule="exact"/>
        <w:rPr>
          <w:sz w:val="20"/>
          <w:szCs w:val="20"/>
          <w:color w:val="auto"/>
        </w:rPr>
      </w:pPr>
    </w:p>
    <w:p>
      <w:pPr>
        <w:ind w:right="120" w:firstLine="648"/>
        <w:spacing w:after="0" w:line="294" w:lineRule="auto"/>
        <w:rPr>
          <w:sz w:val="20"/>
          <w:szCs w:val="20"/>
          <w:color w:val="auto"/>
        </w:rPr>
      </w:pPr>
      <w:r>
        <w:rPr>
          <w:rFonts w:ascii="Arial" w:cs="Arial" w:eastAsia="Arial" w:hAnsi="Arial"/>
          <w:sz w:val="17"/>
          <w:szCs w:val="17"/>
          <w:color w:val="auto"/>
        </w:rPr>
        <w:t>On June 27, 2018, the Company also increased its ability to borrow funds pursuant to its commercial paper program</w:t>
      </w:r>
      <w:r>
        <w:rPr>
          <w:rFonts w:ascii="Arial" w:cs="Arial" w:eastAsia="Arial" w:hAnsi="Arial"/>
          <w:sz w:val="16"/>
          <w:szCs w:val="16"/>
          <w:color w:val="auto"/>
        </w:rPr>
        <w:t>, provided that the aggregate</w:t>
      </w:r>
      <w:r>
        <w:rPr>
          <w:rFonts w:ascii="Arial" w:cs="Arial" w:eastAsia="Arial" w:hAnsi="Arial"/>
          <w:sz w:val="17"/>
          <w:szCs w:val="17"/>
          <w:color w:val="auto"/>
        </w:rPr>
        <w:t xml:space="preserve"> </w:t>
      </w:r>
      <w:r>
        <w:rPr>
          <w:rFonts w:ascii="Arial" w:cs="Arial" w:eastAsia="Arial" w:hAnsi="Arial"/>
          <w:sz w:val="16"/>
          <w:szCs w:val="16"/>
          <w:color w:val="auto"/>
        </w:rPr>
        <w:t>outstanding amount of promissory notes issued under such program, together with other borrowings under the Fourth Amended and Restated Credit Agreement, shall not at any time exceed the aggregate authorized borrowing capacity under the Fourth Amended and Restated Credit Agreement.</w:t>
      </w:r>
    </w:p>
    <w:p>
      <w:pPr>
        <w:spacing w:after="0" w:line="16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At closing, the Company had no outstanding borrowings and $603 million letters of credit issued under the Fourth Amended and Restated Credit Agreement. The Company also had $955 million of outstanding borrowings under its commercial paper program (excluding the related discount on issuance), which is supported by the Fourth Amended and Restated Credit Agreement, leaving unused and available credit capacity of approximately $1.2 billion.</w:t>
      </w:r>
    </w:p>
    <w:p>
      <w:pPr>
        <w:spacing w:after="0" w:line="18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Several of the Banks that are party to the Fourth Amended and Restated Credit Agreement have in the past performed, and may in the future from time to time perform, investment banking, financial advisory, lending and/or commercial banking services for the Company and its subsidiaries, for which they have received, and may in the future receive, customary compensation and reimbursement of expenses.</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Fourth Amended and Restated Credit Agreement is Exhibit 10.1 to this Current Report on Form 8-K. The above description of the Fourth Amended and Restated Credit Agreement is not complete and is qualified in its entirety by reference to the exhibit.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Each of the Canadian Borrowers are currently borrowers under the C$509,500,000 Credit Facilities Amended and Restated Credit Agreement dated as of March 24, 2016, with 3-year term, providing for a revolving operating credit in the maximum amount of C$50 million and a non-revolving term credit in the maximum amount of C$459.5 million (the “Existing Canadian Loan Agreement”). During the third quarter of 2018, the Canadian Borrowers anticipate repaying the balance of approximately C$94 million remaining on the term credit provided under the Existing Canadian Loan Agreement.</w:t>
      </w:r>
    </w:p>
    <w:p>
      <w:pPr>
        <w:spacing w:after="0" w:line="15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1.01 above is incorporated herein by reference as if fully set forth herein.</w:t>
      </w:r>
    </w:p>
    <w:p>
      <w:pPr>
        <w:spacing w:after="0" w:line="22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Index</w:t>
      </w:r>
    </w:p>
    <w:p>
      <w:pPr>
        <w:sectPr>
          <w:pgSz w:w="11900" w:h="16838" w:orient="portrait"/>
          <w:cols w:equalWidth="0" w:num="1">
            <w:col w:w="11400"/>
          </w:cols>
          <w:pgMar w:left="240" w:top="125" w:right="259" w:bottom="0"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40" w:type="dxa"/>
            <w:vAlign w:val="bottom"/>
            <w:vMerge w:val="restart"/>
          </w:tcPr>
          <w:p>
            <w:pPr>
              <w:ind w:left="272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20" w:type="dxa"/>
            <w:vAlign w:val="bottom"/>
          </w:tcPr>
          <w:p>
            <w:pPr>
              <w:jc w:val="right"/>
              <w:ind w:right="810"/>
              <w:spacing w:after="0"/>
              <w:rPr>
                <w:sz w:val="20"/>
                <w:szCs w:val="20"/>
                <w:color w:val="auto"/>
              </w:rPr>
            </w:pPr>
            <w:r>
              <w:rPr>
                <w:rFonts w:ascii="Arial" w:cs="Arial" w:eastAsia="Arial" w:hAnsi="Arial"/>
                <w:sz w:val="18"/>
                <w:szCs w:val="18"/>
                <w:color w:val="auto"/>
                <w:w w:val="85"/>
              </w:rPr>
              <w:t>10.1</w:t>
            </w:r>
          </w:p>
        </w:tc>
        <w:tc>
          <w:tcPr>
            <w:tcW w:w="10240" w:type="dxa"/>
            <w:vAlign w:val="bottom"/>
            <w:gridSpan w:val="4"/>
          </w:tcPr>
          <w:p>
            <w:pPr>
              <w:spacing w:after="0"/>
              <w:rPr>
                <w:rFonts w:ascii="Arial" w:cs="Arial" w:eastAsia="Arial" w:hAnsi="Arial"/>
                <w:sz w:val="18"/>
                <w:szCs w:val="18"/>
                <w:color w:val="0000EE"/>
                <w:w w:val="91"/>
              </w:rPr>
            </w:pPr>
            <w:hyperlink w:anchor="page3">
              <w:r>
                <w:rPr>
                  <w:rFonts w:ascii="Arial" w:cs="Arial" w:eastAsia="Arial" w:hAnsi="Arial"/>
                  <w:sz w:val="18"/>
                  <w:szCs w:val="18"/>
                  <w:u w:val="single" w:color="auto"/>
                  <w:color w:val="0000EE"/>
                  <w:w w:val="91"/>
                </w:rPr>
                <w:t>$</w:t>
              </w:r>
              <w:r>
                <w:rPr>
                  <w:rFonts w:ascii="Arial" w:cs="Arial" w:eastAsia="Arial" w:hAnsi="Arial"/>
                  <w:sz w:val="18"/>
                  <w:szCs w:val="18"/>
                  <w:color w:val="0000EE"/>
                  <w:w w:val="91"/>
                </w:rPr>
                <w:t>2.75 Billion Fourth Amended and Restated Revolving Credit Agreement dated as of June 26, 2018 by and among Waste Management, Inc.,</w:t>
              </w:r>
            </w:hyperlink>
          </w:p>
        </w:tc>
      </w:tr>
      <w:tr>
        <w:trPr>
          <w:trHeight w:val="196"/>
        </w:trPr>
        <w:tc>
          <w:tcPr>
            <w:tcW w:w="1220" w:type="dxa"/>
            <w:vAlign w:val="bottom"/>
          </w:tcPr>
          <w:p>
            <w:pPr>
              <w:spacing w:after="0"/>
              <w:rPr>
                <w:sz w:val="17"/>
                <w:szCs w:val="17"/>
                <w:color w:val="auto"/>
              </w:rPr>
            </w:pPr>
          </w:p>
        </w:tc>
        <w:tc>
          <w:tcPr>
            <w:tcW w:w="10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Waste Management of Canada Corporation, WM Quebec Inc. and Waste Management Holdings, Inc., certain banks party thereto, and Bank</w:t>
              </w:r>
            </w:hyperlink>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0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of America, N.A., as administrative agent.</w:t>
              </w:r>
            </w:hyperlink>
          </w:p>
        </w:tc>
        <w:tc>
          <w:tcPr>
            <w:tcW w:w="7200" w:type="dxa"/>
            <w:vAlign w:val="bottom"/>
            <w:gridSpan w:val="3"/>
          </w:tcPr>
          <w:p>
            <w:pPr>
              <w:spacing w:after="0"/>
              <w:rPr>
                <w:sz w:val="17"/>
                <w:szCs w:val="17"/>
                <w:color w:val="auto"/>
              </w:rPr>
            </w:pPr>
          </w:p>
        </w:tc>
      </w:tr>
      <w:tr>
        <w:trPr>
          <w:trHeight w:val="453"/>
        </w:trPr>
        <w:tc>
          <w:tcPr>
            <w:tcW w:w="1220" w:type="dxa"/>
            <w:vAlign w:val="bottom"/>
          </w:tcPr>
          <w:p>
            <w:pPr>
              <w:spacing w:after="0"/>
              <w:rPr>
                <w:sz w:val="24"/>
                <w:szCs w:val="24"/>
                <w:color w:val="auto"/>
              </w:rPr>
            </w:pPr>
          </w:p>
        </w:tc>
        <w:tc>
          <w:tcPr>
            <w:tcW w:w="10060" w:type="dxa"/>
            <w:vAlign w:val="bottom"/>
            <w:gridSpan w:val="2"/>
          </w:tcPr>
          <w:p>
            <w:pPr>
              <w:jc w:val="right"/>
              <w:ind w:right="55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32"/>
        </w:trPr>
        <w:tc>
          <w:tcPr>
            <w:tcW w:w="1220" w:type="dxa"/>
            <w:vAlign w:val="bottom"/>
            <w:tcBorders>
              <w:bottom w:val="single" w:sz="8" w:color="808080"/>
            </w:tcBorders>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70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2"/>
          </w:tcPr>
          <w:p>
            <w:pPr>
              <w:ind w:left="222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June 29, 2018</w:t>
            </w:r>
          </w:p>
        </w:tc>
        <w:tc>
          <w:tcPr>
            <w:tcW w:w="2860" w:type="dxa"/>
            <w:vAlign w:val="bottom"/>
          </w:tcPr>
          <w:p>
            <w:pPr>
              <w:ind w:left="22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Senior Vice President and Chief Legal Officer</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2860" w:type="dxa"/>
            <w:vAlign w:val="bottom"/>
          </w:tcPr>
          <w:p>
            <w:pPr>
              <w:jc w:val="right"/>
              <w:ind w:right="610"/>
              <w:spacing w:after="0"/>
              <w:rPr>
                <w:sz w:val="20"/>
                <w:szCs w:val="20"/>
                <w:color w:val="auto"/>
              </w:rPr>
            </w:pPr>
            <w:r>
              <w:rPr>
                <w:rFonts w:ascii="Arial" w:cs="Arial" w:eastAsia="Arial" w:hAnsi="Arial"/>
                <w:sz w:val="18"/>
                <w:szCs w:val="18"/>
                <w:color w:val="auto"/>
              </w:rPr>
              <w:t>5</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Published CUSIP Number: </w:t>
      </w:r>
      <w:r>
        <w:rPr>
          <w:rFonts w:ascii="Arial" w:cs="Arial" w:eastAsia="Arial" w:hAnsi="Arial"/>
          <w:sz w:val="17"/>
          <w:szCs w:val="17"/>
          <w:color w:val="auto"/>
        </w:rPr>
        <w:t>94107LAJ7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Published Revolver CUSIP Number: </w:t>
      </w:r>
      <w:r>
        <w:rPr>
          <w:rFonts w:ascii="Arial" w:cs="Arial" w:eastAsia="Arial" w:hAnsi="Arial"/>
          <w:sz w:val="17"/>
          <w:szCs w:val="17"/>
          <w:color w:val="auto"/>
        </w:rPr>
        <w:t>94107LAK4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$2,750,000,000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 REVOLVING 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June 26,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OF CANADA CORPORATION</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QUEBEC INC.</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Canadian Borrowers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HOLDINGS,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BANKS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CHASE BANK, N.A., BARCLAYS BANK PLC, MIZUHO BANK,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THE BANK OF NOVA SCOTIA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Syndication Agents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BNP PARIBAS, CITIBANK, N.A., DEUTSCHE BANK AG, NEW YORK BRANCH,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MUFG BANK, LTD., PNC BANK, NATIONAL ASSOCIATION, SUMITOMO MITSUI BANKING CORPORATION, U.S. BANK NATIONAL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Co-Documentation Agents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MERRILL LYNCH, PIERCE, FENNER &amp; SMITH INCORPORATED, JPMORGAN CHASE BANK, N.A., BARCLAYS BANK PLC, MIZUHO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BANK, LTD. </w:t>
      </w:r>
      <w:r>
        <w:rPr>
          <w:rFonts w:ascii="Arial" w:cs="Arial" w:eastAsia="Arial" w:hAnsi="Arial"/>
          <w:sz w:val="18"/>
          <w:szCs w:val="18"/>
          <w:color w:val="auto"/>
        </w:rPr>
        <w:t>and</w:t>
      </w:r>
      <w:r>
        <w:rPr>
          <w:rFonts w:ascii="Arial" w:cs="Arial" w:eastAsia="Arial" w:hAnsi="Arial"/>
          <w:sz w:val="18"/>
          <w:szCs w:val="18"/>
          <w:b w:val="1"/>
          <w:bCs w:val="1"/>
          <w:color w:val="auto"/>
        </w:rPr>
        <w:t xml:space="preserve"> THE BANK OF NOVA SCOTIA,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TABLE OF CONTENTS</w:t>
            </w:r>
          </w:p>
        </w:tc>
        <w:tc>
          <w:tcPr>
            <w:tcW w:w="4800" w:type="dxa"/>
            <w:vAlign w:val="bottom"/>
          </w:tcPr>
          <w:p>
            <w:pPr>
              <w:spacing w:after="0"/>
              <w:rPr>
                <w:sz w:val="18"/>
                <w:szCs w:val="18"/>
                <w:color w:val="auto"/>
              </w:rPr>
            </w:pPr>
          </w:p>
        </w:tc>
      </w:tr>
      <w:tr>
        <w:trPr>
          <w:trHeight w:val="412"/>
        </w:trPr>
        <w:tc>
          <w:tcPr>
            <w:tcW w:w="880" w:type="dxa"/>
            <w:vAlign w:val="bottom"/>
          </w:tcPr>
          <w:p>
            <w:pPr>
              <w:jc w:val="right"/>
              <w:ind w:right="550"/>
              <w:spacing w:after="0"/>
              <w:rPr>
                <w:sz w:val="20"/>
                <w:szCs w:val="20"/>
                <w:color w:val="auto"/>
              </w:rPr>
            </w:pPr>
            <w:r>
              <w:rPr>
                <w:rFonts w:ascii="Arial" w:cs="Arial" w:eastAsia="Arial" w:hAnsi="Arial"/>
                <w:sz w:val="18"/>
                <w:szCs w:val="18"/>
                <w:color w:val="auto"/>
                <w:w w:val="87"/>
              </w:rPr>
              <w:t>§1.</w:t>
            </w:r>
          </w:p>
        </w:tc>
        <w:tc>
          <w:tcPr>
            <w:tcW w:w="3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DEFINITIONS AND RULES OF INTERPRETATION</w:t>
            </w:r>
          </w:p>
        </w:tc>
        <w:tc>
          <w:tcPr>
            <w:tcW w:w="1760" w:type="dxa"/>
            <w:vAlign w:val="bottom"/>
          </w:tcPr>
          <w:p>
            <w:pPr>
              <w:spacing w:after="0"/>
              <w:rPr>
                <w:sz w:val="24"/>
                <w:szCs w:val="24"/>
                <w:color w:val="auto"/>
              </w:rPr>
            </w:pPr>
          </w:p>
        </w:tc>
        <w:tc>
          <w:tcPr>
            <w:tcW w:w="4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88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§1.1.</w:t>
            </w:r>
          </w:p>
        </w:tc>
        <w:tc>
          <w:tcPr>
            <w:tcW w:w="5180" w:type="dxa"/>
            <w:vAlign w:val="bottom"/>
            <w:gridSpan w:val="4"/>
          </w:tcPr>
          <w:p>
            <w:pPr>
              <w:ind w:left="200"/>
              <w:spacing w:after="0"/>
              <w:rPr>
                <w:sz w:val="20"/>
                <w:szCs w:val="20"/>
                <w:color w:val="auto"/>
              </w:rPr>
            </w:pPr>
            <w:r>
              <w:rPr>
                <w:rFonts w:ascii="Arial" w:cs="Arial" w:eastAsia="Arial" w:hAnsi="Arial"/>
                <w:sz w:val="18"/>
                <w:szCs w:val="18"/>
                <w:color w:val="auto"/>
              </w:rPr>
              <w:t>Definitions</w:t>
            </w:r>
          </w:p>
        </w:tc>
        <w:tc>
          <w:tcPr>
            <w:tcW w:w="4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§1.2.</w:t>
            </w:r>
          </w:p>
        </w:tc>
        <w:tc>
          <w:tcPr>
            <w:tcW w:w="5180" w:type="dxa"/>
            <w:vAlign w:val="bottom"/>
            <w:gridSpan w:val="4"/>
          </w:tcPr>
          <w:p>
            <w:pPr>
              <w:ind w:left="200"/>
              <w:spacing w:after="0"/>
              <w:rPr>
                <w:sz w:val="20"/>
                <w:szCs w:val="20"/>
                <w:color w:val="auto"/>
              </w:rPr>
            </w:pPr>
            <w:r>
              <w:rPr>
                <w:rFonts w:ascii="Arial" w:cs="Arial" w:eastAsia="Arial" w:hAnsi="Arial"/>
                <w:sz w:val="18"/>
                <w:szCs w:val="18"/>
                <w:color w:val="auto"/>
              </w:rPr>
              <w:t>Rules of Interpretation</w:t>
            </w:r>
          </w:p>
        </w:tc>
        <w:tc>
          <w:tcPr>
            <w:tcW w:w="4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§1.3.</w:t>
            </w:r>
          </w:p>
        </w:tc>
        <w:tc>
          <w:tcPr>
            <w:tcW w:w="5180" w:type="dxa"/>
            <w:vAlign w:val="bottom"/>
            <w:gridSpan w:val="4"/>
          </w:tcPr>
          <w:p>
            <w:pPr>
              <w:ind w:left="200"/>
              <w:spacing w:after="0"/>
              <w:rPr>
                <w:sz w:val="20"/>
                <w:szCs w:val="20"/>
                <w:color w:val="auto"/>
              </w:rPr>
            </w:pPr>
            <w:r>
              <w:rPr>
                <w:rFonts w:ascii="Arial" w:cs="Arial" w:eastAsia="Arial" w:hAnsi="Arial"/>
                <w:sz w:val="18"/>
                <w:szCs w:val="18"/>
                <w:color w:val="auto"/>
              </w:rPr>
              <w:t>Classification of Loans and Borrowings</w:t>
            </w:r>
          </w:p>
        </w:tc>
        <w:tc>
          <w:tcPr>
            <w:tcW w:w="4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§1.4.</w:t>
            </w:r>
          </w:p>
        </w:tc>
        <w:tc>
          <w:tcPr>
            <w:tcW w:w="5180" w:type="dxa"/>
            <w:vAlign w:val="bottom"/>
            <w:gridSpan w:val="4"/>
          </w:tcPr>
          <w:p>
            <w:pPr>
              <w:ind w:left="200"/>
              <w:spacing w:after="0"/>
              <w:rPr>
                <w:sz w:val="20"/>
                <w:szCs w:val="20"/>
                <w:color w:val="auto"/>
              </w:rPr>
            </w:pPr>
            <w:r>
              <w:rPr>
                <w:rFonts w:ascii="Arial" w:cs="Arial" w:eastAsia="Arial" w:hAnsi="Arial"/>
                <w:sz w:val="18"/>
                <w:szCs w:val="18"/>
                <w:color w:val="auto"/>
              </w:rPr>
              <w:t>Exchange Rates; Currency Equivalents</w:t>
            </w:r>
          </w:p>
        </w:tc>
        <w:tc>
          <w:tcPr>
            <w:tcW w:w="4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§1.5.</w:t>
            </w:r>
          </w:p>
        </w:tc>
        <w:tc>
          <w:tcPr>
            <w:tcW w:w="5180" w:type="dxa"/>
            <w:vAlign w:val="bottom"/>
            <w:gridSpan w:val="4"/>
          </w:tcPr>
          <w:p>
            <w:pPr>
              <w:ind w:left="200"/>
              <w:spacing w:after="0"/>
              <w:rPr>
                <w:sz w:val="20"/>
                <w:szCs w:val="20"/>
                <w:color w:val="auto"/>
              </w:rPr>
            </w:pPr>
            <w:r>
              <w:rPr>
                <w:rFonts w:ascii="Arial" w:cs="Arial" w:eastAsia="Arial" w:hAnsi="Arial"/>
                <w:sz w:val="18"/>
                <w:szCs w:val="18"/>
                <w:color w:val="auto"/>
              </w:rPr>
              <w:t>Letter of Credit Amounts</w:t>
            </w:r>
          </w:p>
        </w:tc>
        <w:tc>
          <w:tcPr>
            <w:tcW w:w="4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92"/>
        </w:trPr>
        <w:tc>
          <w:tcPr>
            <w:tcW w:w="880" w:type="dxa"/>
            <w:vAlign w:val="bottom"/>
          </w:tcPr>
          <w:p>
            <w:pPr>
              <w:jc w:val="right"/>
              <w:ind w:right="550"/>
              <w:spacing w:after="0"/>
              <w:rPr>
                <w:sz w:val="20"/>
                <w:szCs w:val="20"/>
                <w:color w:val="auto"/>
              </w:rPr>
            </w:pPr>
            <w:r>
              <w:rPr>
                <w:rFonts w:ascii="Arial" w:cs="Arial" w:eastAsia="Arial" w:hAnsi="Arial"/>
                <w:sz w:val="18"/>
                <w:szCs w:val="18"/>
                <w:color w:val="auto"/>
                <w:w w:val="87"/>
              </w:rPr>
              <w:t>§2.</w:t>
            </w: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THE LOAN FACILITIES</w:t>
            </w:r>
          </w:p>
        </w:tc>
        <w:tc>
          <w:tcPr>
            <w:tcW w:w="3860" w:type="dxa"/>
            <w:vAlign w:val="bottom"/>
            <w:gridSpan w:val="3"/>
          </w:tcPr>
          <w:p>
            <w:pPr>
              <w:spacing w:after="0"/>
              <w:rPr>
                <w:sz w:val="24"/>
                <w:szCs w:val="24"/>
                <w:color w:val="auto"/>
              </w:rPr>
            </w:pPr>
          </w:p>
        </w:tc>
        <w:tc>
          <w:tcPr>
            <w:tcW w:w="4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88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§2.1.</w:t>
            </w:r>
          </w:p>
        </w:tc>
        <w:tc>
          <w:tcPr>
            <w:tcW w:w="5180" w:type="dxa"/>
            <w:vAlign w:val="bottom"/>
            <w:gridSpan w:val="4"/>
          </w:tcPr>
          <w:p>
            <w:pPr>
              <w:ind w:left="200"/>
              <w:spacing w:after="0"/>
              <w:rPr>
                <w:sz w:val="20"/>
                <w:szCs w:val="20"/>
                <w:color w:val="auto"/>
              </w:rPr>
            </w:pPr>
            <w:r>
              <w:rPr>
                <w:rFonts w:ascii="Arial" w:cs="Arial" w:eastAsia="Arial" w:hAnsi="Arial"/>
                <w:sz w:val="18"/>
                <w:szCs w:val="18"/>
                <w:color w:val="auto"/>
              </w:rPr>
              <w:t>Committed Loans</w:t>
            </w:r>
          </w:p>
        </w:tc>
        <w:tc>
          <w:tcPr>
            <w:tcW w:w="4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§2.2.</w:t>
            </w:r>
          </w:p>
        </w:tc>
        <w:tc>
          <w:tcPr>
            <w:tcW w:w="5180" w:type="dxa"/>
            <w:vAlign w:val="bottom"/>
            <w:gridSpan w:val="4"/>
          </w:tcPr>
          <w:p>
            <w:pPr>
              <w:ind w:left="200"/>
              <w:spacing w:after="0"/>
              <w:rPr>
                <w:sz w:val="20"/>
                <w:szCs w:val="20"/>
                <w:color w:val="auto"/>
              </w:rPr>
            </w:pPr>
            <w:r>
              <w:rPr>
                <w:rFonts w:ascii="Arial" w:cs="Arial" w:eastAsia="Arial" w:hAnsi="Arial"/>
                <w:sz w:val="18"/>
                <w:szCs w:val="18"/>
                <w:color w:val="auto"/>
              </w:rPr>
              <w:t>Fees. In addition to certain fees described herein:</w:t>
            </w:r>
          </w:p>
        </w:tc>
        <w:tc>
          <w:tcPr>
            <w:tcW w:w="4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§2.3.</w:t>
            </w:r>
          </w:p>
        </w:tc>
        <w:tc>
          <w:tcPr>
            <w:tcW w:w="5180" w:type="dxa"/>
            <w:vAlign w:val="bottom"/>
            <w:gridSpan w:val="4"/>
          </w:tcPr>
          <w:p>
            <w:pPr>
              <w:ind w:left="200"/>
              <w:spacing w:after="0"/>
              <w:rPr>
                <w:sz w:val="20"/>
                <w:szCs w:val="20"/>
                <w:color w:val="auto"/>
              </w:rPr>
            </w:pPr>
            <w:r>
              <w:rPr>
                <w:rFonts w:ascii="Arial" w:cs="Arial" w:eastAsia="Arial" w:hAnsi="Arial"/>
                <w:sz w:val="18"/>
                <w:szCs w:val="18"/>
                <w:color w:val="auto"/>
              </w:rPr>
              <w:t>Reduction and Increase of Total Commitment</w:t>
            </w:r>
          </w:p>
        </w:tc>
        <w:tc>
          <w:tcPr>
            <w:tcW w:w="4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§2.4.</w:t>
            </w:r>
          </w:p>
        </w:tc>
        <w:tc>
          <w:tcPr>
            <w:tcW w:w="5180" w:type="dxa"/>
            <w:vAlign w:val="bottom"/>
            <w:gridSpan w:val="4"/>
          </w:tcPr>
          <w:p>
            <w:pPr>
              <w:ind w:left="200"/>
              <w:spacing w:after="0"/>
              <w:rPr>
                <w:sz w:val="20"/>
                <w:szCs w:val="20"/>
                <w:color w:val="auto"/>
              </w:rPr>
            </w:pPr>
            <w:r>
              <w:rPr>
                <w:rFonts w:ascii="Arial" w:cs="Arial" w:eastAsia="Arial" w:hAnsi="Arial"/>
                <w:sz w:val="18"/>
                <w:szCs w:val="18"/>
                <w:color w:val="auto"/>
                <w:w w:val="96"/>
              </w:rPr>
              <w:t>Borrowings, Conversions and Continuations of Committed Loans</w:t>
            </w:r>
          </w:p>
        </w:tc>
        <w:tc>
          <w:tcPr>
            <w:tcW w:w="4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§2.5.</w:t>
            </w:r>
          </w:p>
        </w:tc>
        <w:tc>
          <w:tcPr>
            <w:tcW w:w="5180" w:type="dxa"/>
            <w:vAlign w:val="bottom"/>
            <w:gridSpan w:val="4"/>
          </w:tcPr>
          <w:p>
            <w:pPr>
              <w:ind w:left="200"/>
              <w:spacing w:after="0"/>
              <w:rPr>
                <w:sz w:val="20"/>
                <w:szCs w:val="20"/>
                <w:color w:val="auto"/>
              </w:rPr>
            </w:pPr>
            <w:r>
              <w:rPr>
                <w:rFonts w:ascii="Arial" w:cs="Arial" w:eastAsia="Arial" w:hAnsi="Arial"/>
                <w:sz w:val="18"/>
                <w:szCs w:val="18"/>
                <w:color w:val="auto"/>
              </w:rPr>
              <w:t>Swing Line Loans</w:t>
            </w:r>
          </w:p>
        </w:tc>
        <w:tc>
          <w:tcPr>
            <w:tcW w:w="480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12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§2.6.</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Letters of Credit</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§2.7.</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Prepayments</w:t>
            </w: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§2.8.</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Repayment of Loans</w:t>
            </w: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§2.9.</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Interest</w:t>
            </w: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§2.10.</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Computation of Interest and Fees</w:t>
            </w: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§2.11.</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Evidence of Debt</w:t>
            </w: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§2.12.</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Payments Generally; Administrative Agent’s Clawback</w:t>
            </w: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§2.13.</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Sharing of Payments by Banks</w:t>
            </w: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§2.14.</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Canadian Borrowers</w:t>
            </w: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§2.15.</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Extension of Maturity Date</w:t>
            </w: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§2.16.</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Cash Collateral</w:t>
            </w: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§2.17.</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Defaulting Banks</w:t>
            </w: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§2.18.</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Replacement of Banks; Termination of Commitments</w:t>
            </w: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92"/>
        </w:trPr>
        <w:tc>
          <w:tcPr>
            <w:tcW w:w="880" w:type="dxa"/>
            <w:vAlign w:val="bottom"/>
          </w:tcPr>
          <w:p>
            <w:pPr>
              <w:jc w:val="right"/>
              <w:ind w:right="550"/>
              <w:spacing w:after="0"/>
              <w:rPr>
                <w:sz w:val="20"/>
                <w:szCs w:val="20"/>
                <w:color w:val="auto"/>
              </w:rPr>
            </w:pPr>
            <w:r>
              <w:rPr>
                <w:rFonts w:ascii="Arial" w:cs="Arial" w:eastAsia="Arial" w:hAnsi="Arial"/>
                <w:sz w:val="18"/>
                <w:szCs w:val="18"/>
                <w:color w:val="auto"/>
                <w:w w:val="87"/>
              </w:rPr>
              <w:t>§3.</w:t>
            </w:r>
          </w:p>
        </w:tc>
        <w:tc>
          <w:tcPr>
            <w:tcW w:w="39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8"/>
              </w:rPr>
              <w:t>TAXES, YIELD PROTECTION AND ILLEGALITY</w:t>
            </w:r>
          </w:p>
        </w:tc>
        <w:tc>
          <w:tcPr>
            <w:tcW w:w="5420" w:type="dxa"/>
            <w:vAlign w:val="bottom"/>
            <w:gridSpan w:val="2"/>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8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§3.1.</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Taxes</w:t>
            </w: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§3.2.</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Illegality</w:t>
            </w: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§3.3.</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Inability to Determine Rates</w:t>
            </w: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§3.4.</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Increased Costs</w:t>
            </w:r>
          </w:p>
        </w:tc>
        <w:tc>
          <w:tcPr>
            <w:tcW w:w="1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§3.5.</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Compensation for Losses</w:t>
            </w: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§3.6.</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Mitigation Obligations; Replacement of Banks</w:t>
            </w: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§3.7.</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Survival</w:t>
            </w: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92"/>
        </w:trPr>
        <w:tc>
          <w:tcPr>
            <w:tcW w:w="880" w:type="dxa"/>
            <w:vAlign w:val="bottom"/>
          </w:tcPr>
          <w:p>
            <w:pPr>
              <w:jc w:val="right"/>
              <w:ind w:right="550"/>
              <w:spacing w:after="0"/>
              <w:rPr>
                <w:sz w:val="20"/>
                <w:szCs w:val="20"/>
                <w:color w:val="auto"/>
              </w:rPr>
            </w:pPr>
            <w:r>
              <w:rPr>
                <w:rFonts w:ascii="Arial" w:cs="Arial" w:eastAsia="Arial" w:hAnsi="Arial"/>
                <w:sz w:val="18"/>
                <w:szCs w:val="18"/>
                <w:color w:val="auto"/>
                <w:w w:val="87"/>
              </w:rPr>
              <w:t>§4.</w:t>
            </w: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[RESERVED.]</w:t>
            </w:r>
          </w:p>
        </w:tc>
        <w:tc>
          <w:tcPr>
            <w:tcW w:w="8240" w:type="dxa"/>
            <w:vAlign w:val="bottom"/>
            <w:gridSpan w:val="5"/>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2"/>
        </w:trPr>
        <w:tc>
          <w:tcPr>
            <w:tcW w:w="880" w:type="dxa"/>
            <w:vAlign w:val="bottom"/>
          </w:tcPr>
          <w:p>
            <w:pPr>
              <w:jc w:val="right"/>
              <w:ind w:right="550"/>
              <w:spacing w:after="0"/>
              <w:rPr>
                <w:sz w:val="20"/>
                <w:szCs w:val="20"/>
                <w:color w:val="auto"/>
              </w:rPr>
            </w:pPr>
            <w:r>
              <w:rPr>
                <w:rFonts w:ascii="Arial" w:cs="Arial" w:eastAsia="Arial" w:hAnsi="Arial"/>
                <w:sz w:val="18"/>
                <w:szCs w:val="18"/>
                <w:color w:val="auto"/>
                <w:w w:val="87"/>
              </w:rPr>
              <w:t>§5.</w:t>
            </w: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[RESERVED.]</w:t>
            </w:r>
          </w:p>
        </w:tc>
        <w:tc>
          <w:tcPr>
            <w:tcW w:w="8240" w:type="dxa"/>
            <w:vAlign w:val="bottom"/>
            <w:gridSpan w:val="5"/>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2"/>
        </w:trPr>
        <w:tc>
          <w:tcPr>
            <w:tcW w:w="880" w:type="dxa"/>
            <w:vAlign w:val="bottom"/>
          </w:tcPr>
          <w:p>
            <w:pPr>
              <w:jc w:val="right"/>
              <w:ind w:right="550"/>
              <w:spacing w:after="0"/>
              <w:rPr>
                <w:sz w:val="20"/>
                <w:szCs w:val="20"/>
                <w:color w:val="auto"/>
              </w:rPr>
            </w:pPr>
            <w:r>
              <w:rPr>
                <w:rFonts w:ascii="Arial" w:cs="Arial" w:eastAsia="Arial" w:hAnsi="Arial"/>
                <w:sz w:val="18"/>
                <w:szCs w:val="18"/>
                <w:color w:val="auto"/>
                <w:w w:val="87"/>
              </w:rPr>
              <w:t>§6.</w:t>
            </w:r>
          </w:p>
        </w:tc>
        <w:tc>
          <w:tcPr>
            <w:tcW w:w="9320" w:type="dxa"/>
            <w:vAlign w:val="bottom"/>
            <w:gridSpan w:val="7"/>
          </w:tcPr>
          <w:p>
            <w:pPr>
              <w:spacing w:after="0"/>
              <w:rPr>
                <w:sz w:val="20"/>
                <w:szCs w:val="20"/>
                <w:color w:val="auto"/>
              </w:rPr>
            </w:pPr>
            <w:r>
              <w:rPr>
                <w:rFonts w:ascii="Arial" w:cs="Arial" w:eastAsia="Arial" w:hAnsi="Arial"/>
                <w:sz w:val="18"/>
                <w:szCs w:val="18"/>
                <w:color w:val="auto"/>
              </w:rPr>
              <w:t>REPRESENTATIONS AND WARRANTIES</w:t>
            </w: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2"/>
        </w:trPr>
        <w:tc>
          <w:tcPr>
            <w:tcW w:w="88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§6.1.</w:t>
            </w:r>
          </w:p>
        </w:tc>
        <w:tc>
          <w:tcPr>
            <w:tcW w:w="26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Corporate Authority</w:t>
            </w:r>
          </w:p>
        </w:tc>
        <w:tc>
          <w:tcPr>
            <w:tcW w:w="6060" w:type="dxa"/>
            <w:vAlign w:val="bottom"/>
            <w:gridSpan w:val="4"/>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§6.2.</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Governmental and Other Approvals</w:t>
            </w: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§6.3.</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Title to Properties; Leases</w:t>
            </w: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§6.4.</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Financial Statements; Solvency</w:t>
            </w: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§6.5.</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No Material Changes, Etc.</w:t>
            </w: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§6.6.</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Franchises, Patents, Copyrights, Etc.</w:t>
            </w: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§6.7.</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Litigation</w:t>
            </w: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i</w:t>
            </w:r>
          </w:p>
        </w:tc>
        <w:tc>
          <w:tcPr>
            <w:tcW w:w="1260" w:type="dxa"/>
            <w:vAlign w:val="bottom"/>
          </w:tcPr>
          <w:p>
            <w:pPr>
              <w:spacing w:after="0"/>
              <w:rPr>
                <w:sz w:val="24"/>
                <w:szCs w:val="24"/>
                <w:color w:val="auto"/>
              </w:rPr>
            </w:pPr>
          </w:p>
        </w:tc>
      </w:tr>
      <w:tr>
        <w:trPr>
          <w:trHeight w:val="132"/>
        </w:trPr>
        <w:tc>
          <w:tcPr>
            <w:tcW w:w="8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16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r>
      <w:tr>
        <w:trPr>
          <w:trHeight w:val="766"/>
        </w:trPr>
        <w:tc>
          <w:tcPr>
            <w:tcW w:w="88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§6.8.</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No Materially Adverse Contracts, Etc.</w:t>
            </w: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§6.9.</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Compliance With Other Instruments, Laws, Etc.</w:t>
            </w: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§6.10.</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Tax Status</w:t>
            </w: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§6.11.</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No Event of Default</w:t>
            </w: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§6.12.</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Investment Company Act</w:t>
            </w: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§6.13.</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Absence of Financing Statements, Etc.</w:t>
            </w: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§6.14.</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Employee Benefit Plans</w:t>
            </w: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§6.15.</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Environmental Compliance</w:t>
            </w: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§6.16.</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Disclosure</w:t>
            </w: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§6.17.</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Permits and Governmental Authority</w:t>
            </w: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§6.18.</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Margin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§6.19.</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Sanctions</w:t>
            </w: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§6.20.</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Anti-Corruption Laws</w:t>
            </w: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§6.21.</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EEA Financial Institutions; Beneficial Ownership Certification</w:t>
            </w: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92"/>
        </w:trPr>
        <w:tc>
          <w:tcPr>
            <w:tcW w:w="880" w:type="dxa"/>
            <w:vAlign w:val="bottom"/>
          </w:tcPr>
          <w:p>
            <w:pPr>
              <w:jc w:val="right"/>
              <w:ind w:right="550"/>
              <w:spacing w:after="0"/>
              <w:rPr>
                <w:sz w:val="20"/>
                <w:szCs w:val="20"/>
                <w:color w:val="auto"/>
              </w:rPr>
            </w:pPr>
            <w:r>
              <w:rPr>
                <w:rFonts w:ascii="Arial" w:cs="Arial" w:eastAsia="Arial" w:hAnsi="Arial"/>
                <w:sz w:val="18"/>
                <w:szCs w:val="18"/>
                <w:color w:val="auto"/>
                <w:w w:val="87"/>
              </w:rPr>
              <w:t>§7.</w:t>
            </w:r>
          </w:p>
        </w:tc>
        <w:tc>
          <w:tcPr>
            <w:tcW w:w="41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5"/>
              </w:rPr>
              <w:t>AFFIRMATIVE COVENANTS OF THE BORROWERS</w:t>
            </w:r>
          </w:p>
        </w:tc>
        <w:tc>
          <w:tcPr>
            <w:tcW w:w="5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8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§7.1.</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Punctual Payment</w:t>
            </w: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§7.2.</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Maintenance of U.S. Office</w:t>
            </w: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§7.3.</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Records and Accounts</w:t>
            </w: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§7.4.</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Financial Statements, Certificates and Information</w:t>
            </w: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§7.5.</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Existence and Conduct of Business</w:t>
            </w: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§7.6.</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Maintenance of Properties</w:t>
            </w: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§7.7.</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Insurance</w:t>
            </w: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§7.8.</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Taxes</w:t>
            </w: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§7.9.</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Inspection of Properties, Books and Contracts</w:t>
            </w: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§7.10.</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Compliance with Laws, Contracts, Licenses and Permits; Maintenance of Material Licenses and Permits</w:t>
            </w: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§7.11.</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Environmental Indemnification</w:t>
            </w: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§7.12.</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Further Assurances</w:t>
            </w: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§7.13.</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Notice of Potential Claims or Litigation</w:t>
            </w: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§7.14.</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Notice of Certain Events Concerning Environmental Claims and/or ERISA Reportable Events</w:t>
            </w: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§7.15.</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Notice of Default</w:t>
            </w:r>
          </w:p>
        </w:tc>
        <w:tc>
          <w:tcPr>
            <w:tcW w:w="12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§7.16.</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Use of Proceeds</w:t>
            </w:r>
          </w:p>
        </w:tc>
        <w:tc>
          <w:tcPr>
            <w:tcW w:w="12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§7.17.</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Certain Transactions</w:t>
            </w: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§7.18.</w:t>
            </w:r>
          </w:p>
        </w:tc>
        <w:tc>
          <w:tcPr>
            <w:tcW w:w="8720" w:type="dxa"/>
            <w:vAlign w:val="bottom"/>
            <w:gridSpan w:val="6"/>
          </w:tcPr>
          <w:p>
            <w:pPr>
              <w:ind w:left="160"/>
              <w:spacing w:after="0"/>
              <w:rPr>
                <w:sz w:val="20"/>
                <w:szCs w:val="20"/>
                <w:color w:val="auto"/>
              </w:rPr>
            </w:pPr>
            <w:r>
              <w:rPr>
                <w:rFonts w:ascii="Arial" w:cs="Arial" w:eastAsia="Arial" w:hAnsi="Arial"/>
                <w:sz w:val="18"/>
                <w:szCs w:val="18"/>
                <w:color w:val="auto"/>
              </w:rPr>
              <w:t>Anti-Corruption Laws</w:t>
            </w: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92"/>
        </w:trPr>
        <w:tc>
          <w:tcPr>
            <w:tcW w:w="880" w:type="dxa"/>
            <w:vAlign w:val="bottom"/>
          </w:tcPr>
          <w:p>
            <w:pPr>
              <w:jc w:val="right"/>
              <w:ind w:right="550"/>
              <w:spacing w:after="0"/>
              <w:rPr>
                <w:sz w:val="20"/>
                <w:szCs w:val="20"/>
                <w:color w:val="auto"/>
              </w:rPr>
            </w:pPr>
            <w:r>
              <w:rPr>
                <w:rFonts w:ascii="Arial" w:cs="Arial" w:eastAsia="Arial" w:hAnsi="Arial"/>
                <w:sz w:val="18"/>
                <w:szCs w:val="18"/>
                <w:color w:val="auto"/>
                <w:w w:val="87"/>
              </w:rPr>
              <w:t>§8.</w:t>
            </w:r>
          </w:p>
        </w:tc>
        <w:tc>
          <w:tcPr>
            <w:tcW w:w="38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NEGATIVE COVENANTS OF THE BORROWERS</w:t>
            </w:r>
          </w:p>
        </w:tc>
        <w:tc>
          <w:tcPr>
            <w:tcW w:w="5460" w:type="dxa"/>
            <w:vAlign w:val="bottom"/>
            <w:gridSpan w:val="3"/>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-5309870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-5309870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§8.1.</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Restrictions on Indebtedness</w:t>
            </w:r>
          </w:p>
        </w:tc>
        <w:tc>
          <w:tcPr>
            <w:tcW w:w="2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§8.2.</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Restrictions on Liens</w:t>
            </w:r>
          </w:p>
        </w:tc>
        <w:tc>
          <w:tcPr>
            <w:tcW w:w="2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§8.3.</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Restrictions on Investments</w:t>
            </w:r>
          </w:p>
        </w:tc>
        <w:tc>
          <w:tcPr>
            <w:tcW w:w="2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§8.4.</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Mergers, Consolidations, Sales</w:t>
            </w:r>
          </w:p>
        </w:tc>
        <w:tc>
          <w:tcPr>
            <w:tcW w:w="2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§8.5.</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Restricted Distributions and Redemptions</w:t>
            </w:r>
          </w:p>
        </w:tc>
        <w:tc>
          <w:tcPr>
            <w:tcW w:w="23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§8.6.</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Canadian Defined Benefit Pension Plans</w:t>
            </w:r>
          </w:p>
        </w:tc>
        <w:tc>
          <w:tcPr>
            <w:tcW w:w="23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§8.7.</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Sanctions</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§8.8.</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Anti-Corruption Laws</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§9.</w:t>
            </w:r>
          </w:p>
        </w:tc>
        <w:tc>
          <w:tcPr>
            <w:tcW w:w="200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9"/>
              </w:rPr>
              <w:t>FINANCIAL COVENANT</w:t>
            </w:r>
          </w:p>
        </w:tc>
        <w:tc>
          <w:tcPr>
            <w:tcW w:w="6240" w:type="dxa"/>
            <w:vAlign w:val="bottom"/>
            <w:gridSpan w:val="9"/>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w:t>
            </w:r>
          </w:p>
        </w:tc>
        <w:tc>
          <w:tcPr>
            <w:tcW w:w="218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4"/>
              </w:rPr>
              <w:t>CONDITIONS PRECEDENT</w:t>
            </w:r>
          </w:p>
        </w:tc>
        <w:tc>
          <w:tcPr>
            <w:tcW w:w="6060" w:type="dxa"/>
            <w:vAlign w:val="bottom"/>
            <w:gridSpan w:val="7"/>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8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Conditions To Effectiveness</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20" w:type="dxa"/>
            <w:vAlign w:val="bottom"/>
            <w:gridSpan w:val="3"/>
          </w:tcPr>
          <w:p>
            <w:pPr>
              <w:ind w:left="560"/>
              <w:spacing w:after="0"/>
              <w:rPr>
                <w:sz w:val="20"/>
                <w:szCs w:val="20"/>
                <w:color w:val="auto"/>
              </w:rPr>
            </w:pPr>
            <w:r>
              <w:rPr>
                <w:rFonts w:ascii="Arial" w:cs="Arial" w:eastAsia="Arial" w:hAnsi="Arial"/>
                <w:sz w:val="18"/>
                <w:szCs w:val="18"/>
                <w:color w:val="auto"/>
              </w:rPr>
              <w:t>ii</w:t>
            </w:r>
          </w:p>
        </w:tc>
        <w:tc>
          <w:tcPr>
            <w:tcW w:w="2340" w:type="dxa"/>
            <w:vAlign w:val="bottom"/>
          </w:tcPr>
          <w:p>
            <w:pPr>
              <w:spacing w:after="0"/>
              <w:rPr>
                <w:sz w:val="24"/>
                <w:szCs w:val="24"/>
                <w:color w:val="auto"/>
              </w:rPr>
            </w:pPr>
          </w:p>
        </w:tc>
      </w:tr>
      <w:tr>
        <w:trPr>
          <w:trHeight w:val="132"/>
        </w:trPr>
        <w:tc>
          <w:tcPr>
            <w:tcW w:w="8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gridSpan w:val="2"/>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2340" w:type="dxa"/>
            <w:vAlign w:val="bottom"/>
            <w:tcBorders>
              <w:bottom w:val="single" w:sz="8" w:color="808080"/>
            </w:tcBorders>
          </w:tcPr>
          <w:p>
            <w:pPr>
              <w:spacing w:after="0"/>
              <w:rPr>
                <w:sz w:val="11"/>
                <w:szCs w:val="11"/>
                <w:color w:val="auto"/>
              </w:rPr>
            </w:pPr>
          </w:p>
        </w:tc>
      </w:tr>
      <w:tr>
        <w:trPr>
          <w:trHeight w:val="740"/>
        </w:trPr>
        <w:tc>
          <w:tcPr>
            <w:tcW w:w="880" w:type="dxa"/>
            <w:vAlign w:val="bottom"/>
          </w:tcPr>
          <w:p>
            <w:pPr>
              <w:spacing w:after="0"/>
              <w:rPr>
                <w:sz w:val="20"/>
                <w:szCs w:val="20"/>
                <w:color w:val="auto"/>
              </w:rPr>
            </w:pPr>
            <w:r>
              <w:rPr>
                <w:rFonts w:ascii="Arial" w:cs="Arial" w:eastAsia="Arial" w:hAnsi="Arial"/>
                <w:sz w:val="18"/>
                <w:szCs w:val="18"/>
                <w:color w:val="auto"/>
              </w:rPr>
              <w:t>§11.</w:t>
            </w:r>
          </w:p>
        </w:tc>
        <w:tc>
          <w:tcPr>
            <w:tcW w:w="242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97"/>
              </w:rPr>
              <w:t>CONDITIONS TO ALL LOANS</w:t>
            </w:r>
          </w:p>
        </w:tc>
        <w:tc>
          <w:tcPr>
            <w:tcW w:w="5820" w:type="dxa"/>
            <w:vAlign w:val="bottom"/>
            <w:gridSpan w:val="6"/>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2"/>
        </w:trPr>
        <w:tc>
          <w:tcPr>
            <w:tcW w:w="8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§11.1.</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Representations True</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§11.2.</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Performance; No Event of Default</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§11.3.</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Proceedings and Documents</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§11.4.</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Extensions of Credit in Canadian Dollars</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§12.</w:t>
            </w:r>
          </w:p>
        </w:tc>
        <w:tc>
          <w:tcPr>
            <w:tcW w:w="6140" w:type="dxa"/>
            <w:vAlign w:val="bottom"/>
            <w:tcBorders>
              <w:bottom w:val="single" w:sz="8" w:color="auto"/>
            </w:tcBorders>
            <w:gridSpan w:val="18"/>
          </w:tcPr>
          <w:p>
            <w:pPr>
              <w:spacing w:after="0"/>
              <w:rPr>
                <w:sz w:val="20"/>
                <w:szCs w:val="20"/>
                <w:color w:val="auto"/>
              </w:rPr>
            </w:pPr>
            <w:r>
              <w:rPr>
                <w:rFonts w:ascii="Arial" w:cs="Arial" w:eastAsia="Arial" w:hAnsi="Arial"/>
                <w:sz w:val="18"/>
                <w:szCs w:val="18"/>
                <w:color w:val="auto"/>
                <w:w w:val="96"/>
              </w:rPr>
              <w:t>EVENTS OF DEFAULT; ACCELERATION; TERMINATION OF COMMITMENT</w:t>
            </w:r>
          </w:p>
        </w:tc>
        <w:tc>
          <w:tcPr>
            <w:tcW w:w="210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2"/>
        </w:trPr>
        <w:tc>
          <w:tcPr>
            <w:tcW w:w="8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§12.1.</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Events of Default and Acceleration</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§12.2.</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Termination of Commitments</w:t>
            </w: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§12.3.</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Remedies</w:t>
            </w: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§13.</w:t>
            </w: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SETOFF</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§14.</w:t>
            </w:r>
          </w:p>
        </w:tc>
        <w:tc>
          <w:tcPr>
            <w:tcW w:w="8240" w:type="dxa"/>
            <w:vAlign w:val="bottom"/>
            <w:gridSpan w:val="19"/>
          </w:tcPr>
          <w:p>
            <w:pPr>
              <w:spacing w:after="0"/>
              <w:rPr>
                <w:sz w:val="20"/>
                <w:szCs w:val="20"/>
                <w:color w:val="auto"/>
              </w:rPr>
            </w:pPr>
            <w:r>
              <w:rPr>
                <w:rFonts w:ascii="Arial" w:cs="Arial" w:eastAsia="Arial" w:hAnsi="Arial"/>
                <w:sz w:val="18"/>
                <w:szCs w:val="18"/>
                <w:color w:val="auto"/>
              </w:rPr>
              <w:t>EXPENSES</w:t>
            </w:r>
          </w:p>
        </w:tc>
        <w:tc>
          <w:tcPr>
            <w:tcW w:w="23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8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§15.</w:t>
            </w: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THE AGENTS</w:t>
            </w:r>
          </w:p>
        </w:tc>
        <w:tc>
          <w:tcPr>
            <w:tcW w:w="7140" w:type="dxa"/>
            <w:vAlign w:val="bottom"/>
            <w:gridSpan w:val="15"/>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2"/>
        </w:trPr>
        <w:tc>
          <w:tcPr>
            <w:tcW w:w="8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§15.1.</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Authorization and Action</w:t>
            </w:r>
          </w:p>
        </w:tc>
        <w:tc>
          <w:tcPr>
            <w:tcW w:w="23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§15.2.</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Administrative Agent’s Reliance, Etc.</w:t>
            </w:r>
          </w:p>
        </w:tc>
        <w:tc>
          <w:tcPr>
            <w:tcW w:w="23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§15.3.</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Bank of America and Affiliates</w:t>
            </w:r>
          </w:p>
        </w:tc>
        <w:tc>
          <w:tcPr>
            <w:tcW w:w="23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§15.4.</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Bank Credit Decision</w:t>
            </w:r>
          </w:p>
        </w:tc>
        <w:tc>
          <w:tcPr>
            <w:tcW w:w="23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§15.5.</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Indemnification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§15.6.</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Successor Administrative Agent</w:t>
            </w:r>
          </w:p>
        </w:tc>
        <w:tc>
          <w:tcPr>
            <w:tcW w:w="23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§15.7.</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Lead Arrangers, Etc.</w:t>
            </w:r>
          </w:p>
        </w:tc>
        <w:tc>
          <w:tcPr>
            <w:tcW w:w="23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§15.8.</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Documents</w:t>
            </w:r>
          </w:p>
        </w:tc>
        <w:tc>
          <w:tcPr>
            <w:tcW w:w="23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§15.9.</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Action by the Banks, Consents, Amendments, Waivers, Etc.</w:t>
            </w:r>
          </w:p>
        </w:tc>
        <w:tc>
          <w:tcPr>
            <w:tcW w:w="23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§15.10.</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Bank ERISA Representation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§16.</w:t>
            </w:r>
          </w:p>
        </w:tc>
        <w:tc>
          <w:tcPr>
            <w:tcW w:w="160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8"/>
              </w:rPr>
              <w:t>INDEMNIFICATION</w:t>
            </w:r>
          </w:p>
        </w:tc>
        <w:tc>
          <w:tcPr>
            <w:tcW w:w="6640" w:type="dxa"/>
            <w:vAlign w:val="bottom"/>
            <w:gridSpan w:val="11"/>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§17.</w:t>
            </w: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[RESERVED.]</w:t>
            </w:r>
          </w:p>
        </w:tc>
        <w:tc>
          <w:tcPr>
            <w:tcW w:w="7160" w:type="dxa"/>
            <w:vAlign w:val="bottom"/>
            <w:gridSpan w:val="16"/>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§18.</w:t>
            </w:r>
          </w:p>
        </w:tc>
        <w:tc>
          <w:tcPr>
            <w:tcW w:w="8240" w:type="dxa"/>
            <w:vAlign w:val="bottom"/>
            <w:gridSpan w:val="19"/>
          </w:tcPr>
          <w:p>
            <w:pPr>
              <w:spacing w:after="0"/>
              <w:rPr>
                <w:sz w:val="20"/>
                <w:szCs w:val="20"/>
                <w:color w:val="auto"/>
              </w:rPr>
            </w:pPr>
            <w:r>
              <w:rPr>
                <w:rFonts w:ascii="Arial" w:cs="Arial" w:eastAsia="Arial" w:hAnsi="Arial"/>
                <w:sz w:val="18"/>
                <w:szCs w:val="18"/>
                <w:color w:val="auto"/>
              </w:rPr>
              <w:t>TREATMENT OF CERTAIN CONFIDENTIAL INFORMATION</w:t>
            </w:r>
          </w:p>
        </w:tc>
        <w:tc>
          <w:tcPr>
            <w:tcW w:w="23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880" w:type="dxa"/>
            <w:vAlign w:val="bottom"/>
          </w:tcPr>
          <w:p>
            <w:pPr>
              <w:spacing w:after="0"/>
              <w:rPr>
                <w:sz w:val="19"/>
                <w:szCs w:val="19"/>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§18.1.</w:t>
            </w:r>
          </w:p>
        </w:tc>
        <w:tc>
          <w:tcPr>
            <w:tcW w:w="4140" w:type="dxa"/>
            <w:vAlign w:val="bottom"/>
            <w:tcBorders>
              <w:top w:val="single" w:sz="8" w:color="auto"/>
            </w:tcBorders>
            <w:gridSpan w:val="16"/>
          </w:tcPr>
          <w:p>
            <w:pPr>
              <w:ind w:left="120"/>
              <w:spacing w:after="0"/>
              <w:rPr>
                <w:sz w:val="20"/>
                <w:szCs w:val="20"/>
                <w:color w:val="auto"/>
              </w:rPr>
            </w:pPr>
            <w:r>
              <w:rPr>
                <w:rFonts w:ascii="Arial" w:cs="Arial" w:eastAsia="Arial" w:hAnsi="Arial"/>
                <w:sz w:val="18"/>
                <w:szCs w:val="18"/>
                <w:color w:val="auto"/>
              </w:rPr>
              <w:t>Confidentiality</w:t>
            </w:r>
          </w:p>
        </w:tc>
        <w:tc>
          <w:tcPr>
            <w:tcW w:w="3460" w:type="dxa"/>
            <w:vAlign w:val="bottom"/>
            <w:gridSpan w:val="2"/>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§18.2.</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Prior Notification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8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§18.3.</w:t>
            </w:r>
          </w:p>
        </w:tc>
        <w:tc>
          <w:tcPr>
            <w:tcW w:w="7600" w:type="dxa"/>
            <w:vAlign w:val="bottom"/>
            <w:gridSpan w:val="18"/>
          </w:tcPr>
          <w:p>
            <w:pPr>
              <w:ind w:left="120"/>
              <w:spacing w:after="0"/>
              <w:rPr>
                <w:sz w:val="20"/>
                <w:szCs w:val="20"/>
                <w:color w:val="auto"/>
              </w:rPr>
            </w:pPr>
            <w:r>
              <w:rPr>
                <w:rFonts w:ascii="Arial" w:cs="Arial" w:eastAsia="Arial" w:hAnsi="Arial"/>
                <w:sz w:val="18"/>
                <w:szCs w:val="18"/>
                <w:color w:val="auto"/>
              </w:rPr>
              <w:t>Other</w:t>
            </w:r>
          </w:p>
        </w:tc>
        <w:tc>
          <w:tcPr>
            <w:tcW w:w="2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§19.</w:t>
            </w:r>
          </w:p>
        </w:tc>
        <w:tc>
          <w:tcPr>
            <w:tcW w:w="8240" w:type="dxa"/>
            <w:vAlign w:val="bottom"/>
            <w:gridSpan w:val="19"/>
          </w:tcPr>
          <w:p>
            <w:pPr>
              <w:spacing w:after="0"/>
              <w:rPr>
                <w:sz w:val="20"/>
                <w:szCs w:val="20"/>
                <w:color w:val="auto"/>
              </w:rPr>
            </w:pPr>
            <w:r>
              <w:rPr>
                <w:rFonts w:ascii="Arial" w:cs="Arial" w:eastAsia="Arial" w:hAnsi="Arial"/>
                <w:sz w:val="18"/>
                <w:szCs w:val="18"/>
                <w:color w:val="auto"/>
              </w:rPr>
              <w:t>SURVIVAL OF COVENANTS, ETC.</w:t>
            </w:r>
          </w:p>
        </w:tc>
        <w:tc>
          <w:tcPr>
            <w:tcW w:w="2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880" w:type="dxa"/>
            <w:vAlign w:val="bottom"/>
          </w:tcPr>
          <w:p>
            <w:pPr>
              <w:spacing w:after="0" w:line="20" w:lineRule="exact"/>
              <w:rPr>
                <w:sz w:val="1"/>
                <w:szCs w:val="1"/>
                <w:color w:val="auto"/>
              </w:rPr>
            </w:pPr>
          </w:p>
        </w:tc>
        <w:tc>
          <w:tcPr>
            <w:tcW w:w="1220" w:type="dxa"/>
            <w:vAlign w:val="bottom"/>
            <w:gridSpan w:val="5"/>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§20.</w:t>
            </w:r>
          </w:p>
        </w:tc>
        <w:tc>
          <w:tcPr>
            <w:tcW w:w="8240" w:type="dxa"/>
            <w:vAlign w:val="bottom"/>
            <w:gridSpan w:val="19"/>
          </w:tcPr>
          <w:p>
            <w:pPr>
              <w:spacing w:after="0"/>
              <w:rPr>
                <w:sz w:val="20"/>
                <w:szCs w:val="20"/>
                <w:color w:val="auto"/>
              </w:rPr>
            </w:pPr>
            <w:r>
              <w:rPr>
                <w:rFonts w:ascii="Arial" w:cs="Arial" w:eastAsia="Arial" w:hAnsi="Arial"/>
                <w:sz w:val="18"/>
                <w:szCs w:val="18"/>
                <w:color w:val="auto"/>
              </w:rPr>
              <w:t>ASSIGNMENT AND PARTICIPATION</w:t>
            </w:r>
          </w:p>
        </w:tc>
        <w:tc>
          <w:tcPr>
            <w:tcW w:w="2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2920" w:type="dxa"/>
            <w:vAlign w:val="bottom"/>
            <w:tcBorders>
              <w:top w:val="single" w:sz="8" w:color="auto"/>
            </w:tcBorders>
            <w:gridSpan w:val="15"/>
          </w:tcPr>
          <w:p>
            <w:pPr>
              <w:spacing w:after="0"/>
              <w:rPr>
                <w:sz w:val="20"/>
                <w:szCs w:val="20"/>
                <w:color w:val="auto"/>
              </w:rPr>
            </w:pPr>
            <w:r>
              <w:rPr>
                <w:rFonts w:ascii="Arial" w:cs="Arial" w:eastAsia="Arial" w:hAnsi="Arial"/>
                <w:sz w:val="18"/>
                <w:szCs w:val="18"/>
                <w:color w:val="auto"/>
              </w:rPr>
              <w:t>PARTIES IN INTEREST</w:t>
            </w:r>
          </w:p>
        </w:tc>
        <w:tc>
          <w:tcPr>
            <w:tcW w:w="5320" w:type="dxa"/>
            <w:vAlign w:val="bottom"/>
            <w:gridSpan w:val="4"/>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§22.</w:t>
            </w:r>
          </w:p>
        </w:tc>
        <w:tc>
          <w:tcPr>
            <w:tcW w:w="182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NOTICES, ETC.</w:t>
            </w:r>
          </w:p>
        </w:tc>
        <w:tc>
          <w:tcPr>
            <w:tcW w:w="6420" w:type="dxa"/>
            <w:vAlign w:val="bottom"/>
            <w:gridSpan w:val="10"/>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880" w:type="dxa"/>
            <w:vAlign w:val="bottom"/>
          </w:tcPr>
          <w:p>
            <w:pPr>
              <w:spacing w:after="0" w:line="20" w:lineRule="exact"/>
              <w:rPr>
                <w:sz w:val="1"/>
                <w:szCs w:val="1"/>
                <w:color w:val="auto"/>
              </w:rPr>
            </w:pPr>
          </w:p>
        </w:tc>
        <w:tc>
          <w:tcPr>
            <w:tcW w:w="1220" w:type="dxa"/>
            <w:vAlign w:val="bottom"/>
            <w:gridSpan w:val="5"/>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§23.</w:t>
            </w:r>
          </w:p>
        </w:tc>
        <w:tc>
          <w:tcPr>
            <w:tcW w:w="15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6"/>
              </w:rPr>
              <w:t>MISCELLANEOUS</w:t>
            </w:r>
          </w:p>
        </w:tc>
        <w:tc>
          <w:tcPr>
            <w:tcW w:w="6740" w:type="dxa"/>
            <w:vAlign w:val="bottom"/>
            <w:gridSpan w:val="1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§24.</w:t>
            </w:r>
          </w:p>
        </w:tc>
        <w:tc>
          <w:tcPr>
            <w:tcW w:w="14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CONSENTS, ETC.</w:t>
            </w:r>
          </w:p>
        </w:tc>
        <w:tc>
          <w:tcPr>
            <w:tcW w:w="6840" w:type="dxa"/>
            <w:vAlign w:val="bottom"/>
            <w:gridSpan w:val="13"/>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§25.</w:t>
            </w:r>
          </w:p>
        </w:tc>
        <w:tc>
          <w:tcPr>
            <w:tcW w:w="8240" w:type="dxa"/>
            <w:vAlign w:val="bottom"/>
            <w:gridSpan w:val="19"/>
          </w:tcPr>
          <w:p>
            <w:pPr>
              <w:spacing w:after="0"/>
              <w:rPr>
                <w:sz w:val="20"/>
                <w:szCs w:val="20"/>
                <w:color w:val="auto"/>
              </w:rPr>
            </w:pPr>
            <w:r>
              <w:rPr>
                <w:rFonts w:ascii="Arial" w:cs="Arial" w:eastAsia="Arial" w:hAnsi="Arial"/>
                <w:sz w:val="18"/>
                <w:szCs w:val="18"/>
                <w:color w:val="auto"/>
              </w:rPr>
              <w:t>WAIVER OF JURY TRIAL</w:t>
            </w:r>
          </w:p>
        </w:tc>
        <w:tc>
          <w:tcPr>
            <w:tcW w:w="23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880" w:type="dxa"/>
            <w:vAlign w:val="bottom"/>
          </w:tcPr>
          <w:p>
            <w:pPr>
              <w:spacing w:after="0" w:line="20" w:lineRule="exact"/>
              <w:rPr>
                <w:sz w:val="1"/>
                <w:szCs w:val="1"/>
                <w:color w:val="auto"/>
              </w:rPr>
            </w:pPr>
          </w:p>
        </w:tc>
        <w:tc>
          <w:tcPr>
            <w:tcW w:w="1220" w:type="dxa"/>
            <w:vAlign w:val="bottom"/>
            <w:gridSpan w:val="5"/>
            <w:shd w:val="clear" w:color="auto" w:fill="000000"/>
          </w:tcPr>
          <w:p>
            <w:pPr>
              <w:spacing w:after="0" w:line="20" w:lineRule="exact"/>
              <w:rPr>
                <w:sz w:val="1"/>
                <w:szCs w:val="1"/>
                <w:color w:val="auto"/>
              </w:rPr>
            </w:pPr>
          </w:p>
        </w:tc>
        <w:tc>
          <w:tcPr>
            <w:tcW w:w="800" w:type="dxa"/>
            <w:vAlign w:val="bottom"/>
            <w:tcBorders>
              <w:left w:val="single" w:sz="8" w:color="auto"/>
            </w:tcBorders>
            <w:gridSpan w:val="6"/>
            <w:shd w:val="clear" w:color="auto" w:fill="000000"/>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§26.</w:t>
            </w:r>
          </w:p>
        </w:tc>
        <w:tc>
          <w:tcPr>
            <w:tcW w:w="8240" w:type="dxa"/>
            <w:vAlign w:val="bottom"/>
            <w:gridSpan w:val="19"/>
          </w:tcPr>
          <w:p>
            <w:pPr>
              <w:spacing w:after="0"/>
              <w:rPr>
                <w:sz w:val="20"/>
                <w:szCs w:val="20"/>
                <w:color w:val="auto"/>
              </w:rPr>
            </w:pPr>
            <w:r>
              <w:rPr>
                <w:rFonts w:ascii="Arial" w:cs="Arial" w:eastAsia="Arial" w:hAnsi="Arial"/>
                <w:sz w:val="18"/>
                <w:szCs w:val="18"/>
                <w:color w:val="auto"/>
              </w:rPr>
              <w:t>GOVERNING LAW; SUBMISSION TO JURISDICTION</w:t>
            </w:r>
          </w:p>
        </w:tc>
        <w:tc>
          <w:tcPr>
            <w:tcW w:w="23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53"/>
        </w:trPr>
        <w:tc>
          <w:tcPr>
            <w:tcW w:w="8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20" w:type="dxa"/>
            <w:vAlign w:val="bottom"/>
            <w:gridSpan w:val="3"/>
          </w:tcPr>
          <w:p>
            <w:pPr>
              <w:ind w:left="540"/>
              <w:spacing w:after="0"/>
              <w:rPr>
                <w:sz w:val="20"/>
                <w:szCs w:val="20"/>
                <w:color w:val="auto"/>
              </w:rPr>
            </w:pPr>
            <w:r>
              <w:rPr>
                <w:rFonts w:ascii="Arial" w:cs="Arial" w:eastAsia="Arial" w:hAnsi="Arial"/>
                <w:sz w:val="18"/>
                <w:szCs w:val="18"/>
                <w:color w:val="auto"/>
              </w:rPr>
              <w:t>iii</w:t>
            </w:r>
          </w:p>
        </w:tc>
        <w:tc>
          <w:tcPr>
            <w:tcW w:w="2340" w:type="dxa"/>
            <w:vAlign w:val="bottom"/>
          </w:tcPr>
          <w:p>
            <w:pPr>
              <w:spacing w:after="0"/>
              <w:rPr>
                <w:sz w:val="24"/>
                <w:szCs w:val="24"/>
                <w:color w:val="auto"/>
              </w:rPr>
            </w:pPr>
          </w:p>
        </w:tc>
      </w:tr>
      <w:tr>
        <w:trPr>
          <w:trHeight w:val="132"/>
        </w:trPr>
        <w:tc>
          <w:tcPr>
            <w:tcW w:w="8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gridSpan w:val="2"/>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2340" w:type="dxa"/>
            <w:vAlign w:val="bottom"/>
            <w:tcBorders>
              <w:bottom w:val="single" w:sz="8" w:color="808080"/>
            </w:tcBorders>
          </w:tcPr>
          <w:p>
            <w:pPr>
              <w:spacing w:after="0"/>
              <w:rPr>
                <w:sz w:val="11"/>
                <w:szCs w:val="11"/>
                <w:color w:val="auto"/>
              </w:rPr>
            </w:pPr>
          </w:p>
        </w:tc>
      </w:tr>
      <w:tr>
        <w:trPr>
          <w:trHeight w:val="740"/>
        </w:trPr>
        <w:tc>
          <w:tcPr>
            <w:tcW w:w="880" w:type="dxa"/>
            <w:vAlign w:val="bottom"/>
          </w:tcPr>
          <w:p>
            <w:pPr>
              <w:spacing w:after="0"/>
              <w:rPr>
                <w:sz w:val="20"/>
                <w:szCs w:val="20"/>
                <w:color w:val="auto"/>
              </w:rPr>
            </w:pPr>
            <w:r>
              <w:rPr>
                <w:rFonts w:ascii="Arial" w:cs="Arial" w:eastAsia="Arial" w:hAnsi="Arial"/>
                <w:sz w:val="18"/>
                <w:szCs w:val="18"/>
                <w:color w:val="auto"/>
              </w:rPr>
              <w:t>§27.</w:t>
            </w:r>
          </w:p>
        </w:tc>
        <w:tc>
          <w:tcPr>
            <w:tcW w:w="8240" w:type="dxa"/>
            <w:vAlign w:val="bottom"/>
            <w:gridSpan w:val="19"/>
          </w:tcPr>
          <w:p>
            <w:pPr>
              <w:spacing w:after="0"/>
              <w:rPr>
                <w:sz w:val="20"/>
                <w:szCs w:val="20"/>
                <w:color w:val="auto"/>
              </w:rPr>
            </w:pPr>
            <w:r>
              <w:rPr>
                <w:rFonts w:ascii="Arial" w:cs="Arial" w:eastAsia="Arial" w:hAnsi="Arial"/>
                <w:sz w:val="18"/>
                <w:szCs w:val="18"/>
                <w:color w:val="auto"/>
              </w:rPr>
              <w:t>SEVERABILITY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-8234045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-8234045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-507365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-507365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6" w:name="page7"/>
    <w:bookmarkEnd w:id="6"/>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§28.</w:t>
            </w:r>
          </w:p>
        </w:tc>
        <w:tc>
          <w:tcPr>
            <w:tcW w:w="8740" w:type="dxa"/>
            <w:vAlign w:val="bottom"/>
            <w:gridSpan w:val="15"/>
          </w:tcPr>
          <w:p>
            <w:pPr>
              <w:spacing w:after="0"/>
              <w:rPr>
                <w:sz w:val="20"/>
                <w:szCs w:val="20"/>
                <w:color w:val="auto"/>
              </w:rPr>
            </w:pPr>
            <w:r>
              <w:rPr>
                <w:rFonts w:ascii="Arial" w:cs="Arial" w:eastAsia="Arial" w:hAnsi="Arial"/>
                <w:sz w:val="18"/>
                <w:szCs w:val="18"/>
                <w:color w:val="auto"/>
              </w:rPr>
              <w:t>GUARANTY</w:t>
            </w:r>
          </w:p>
        </w:tc>
        <w:tc>
          <w:tcPr>
            <w:tcW w:w="1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9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2"/>
        </w:trPr>
        <w:tc>
          <w:tcPr>
            <w:tcW w:w="90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§28.1.</w:t>
            </w:r>
          </w:p>
        </w:tc>
        <w:tc>
          <w:tcPr>
            <w:tcW w:w="8160" w:type="dxa"/>
            <w:vAlign w:val="bottom"/>
            <w:gridSpan w:val="13"/>
          </w:tcPr>
          <w:p>
            <w:pPr>
              <w:ind w:left="160"/>
              <w:spacing w:after="0"/>
              <w:rPr>
                <w:sz w:val="20"/>
                <w:szCs w:val="20"/>
                <w:color w:val="auto"/>
              </w:rPr>
            </w:pPr>
            <w:r>
              <w:rPr>
                <w:rFonts w:ascii="Arial" w:cs="Arial" w:eastAsia="Arial" w:hAnsi="Arial"/>
                <w:sz w:val="18"/>
                <w:szCs w:val="18"/>
                <w:color w:val="auto"/>
              </w:rPr>
              <w:t>Guaranty</w:t>
            </w:r>
          </w:p>
        </w:tc>
        <w:tc>
          <w:tcPr>
            <w:tcW w:w="1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0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§28.2.</w:t>
            </w:r>
          </w:p>
        </w:tc>
        <w:tc>
          <w:tcPr>
            <w:tcW w:w="8160" w:type="dxa"/>
            <w:vAlign w:val="bottom"/>
            <w:gridSpan w:val="13"/>
          </w:tcPr>
          <w:p>
            <w:pPr>
              <w:ind w:left="160"/>
              <w:spacing w:after="0"/>
              <w:rPr>
                <w:sz w:val="20"/>
                <w:szCs w:val="20"/>
                <w:color w:val="auto"/>
              </w:rPr>
            </w:pPr>
            <w:r>
              <w:rPr>
                <w:rFonts w:ascii="Arial" w:cs="Arial" w:eastAsia="Arial" w:hAnsi="Arial"/>
                <w:sz w:val="18"/>
                <w:szCs w:val="18"/>
                <w:color w:val="auto"/>
              </w:rPr>
              <w:t>Guaranty Absolute</w:t>
            </w:r>
          </w:p>
        </w:tc>
        <w:tc>
          <w:tcPr>
            <w:tcW w:w="1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0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§28.3.</w:t>
            </w:r>
          </w:p>
        </w:tc>
        <w:tc>
          <w:tcPr>
            <w:tcW w:w="8160" w:type="dxa"/>
            <w:vAlign w:val="bottom"/>
            <w:gridSpan w:val="13"/>
          </w:tcPr>
          <w:p>
            <w:pPr>
              <w:ind w:left="160"/>
              <w:spacing w:after="0"/>
              <w:rPr>
                <w:sz w:val="20"/>
                <w:szCs w:val="20"/>
                <w:color w:val="auto"/>
              </w:rPr>
            </w:pPr>
            <w:r>
              <w:rPr>
                <w:rFonts w:ascii="Arial" w:cs="Arial" w:eastAsia="Arial" w:hAnsi="Arial"/>
                <w:sz w:val="18"/>
                <w:szCs w:val="18"/>
                <w:color w:val="auto"/>
              </w:rPr>
              <w:t>Effectiveness; Enforcement</w:t>
            </w:r>
          </w:p>
        </w:tc>
        <w:tc>
          <w:tcPr>
            <w:tcW w:w="18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0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§28.4.</w:t>
            </w:r>
          </w:p>
        </w:tc>
        <w:tc>
          <w:tcPr>
            <w:tcW w:w="8160" w:type="dxa"/>
            <w:vAlign w:val="bottom"/>
            <w:gridSpan w:val="13"/>
          </w:tcPr>
          <w:p>
            <w:pPr>
              <w:ind w:left="160"/>
              <w:spacing w:after="0"/>
              <w:rPr>
                <w:sz w:val="20"/>
                <w:szCs w:val="20"/>
                <w:color w:val="auto"/>
              </w:rPr>
            </w:pPr>
            <w:r>
              <w:rPr>
                <w:rFonts w:ascii="Arial" w:cs="Arial" w:eastAsia="Arial" w:hAnsi="Arial"/>
                <w:sz w:val="18"/>
                <w:szCs w:val="18"/>
                <w:color w:val="auto"/>
              </w:rPr>
              <w:t>Waiver</w:t>
            </w:r>
          </w:p>
        </w:tc>
        <w:tc>
          <w:tcPr>
            <w:tcW w:w="18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0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§28.5.</w:t>
            </w:r>
          </w:p>
        </w:tc>
        <w:tc>
          <w:tcPr>
            <w:tcW w:w="8160" w:type="dxa"/>
            <w:vAlign w:val="bottom"/>
            <w:gridSpan w:val="13"/>
          </w:tcPr>
          <w:p>
            <w:pPr>
              <w:ind w:left="160"/>
              <w:spacing w:after="0"/>
              <w:rPr>
                <w:sz w:val="20"/>
                <w:szCs w:val="20"/>
                <w:color w:val="auto"/>
              </w:rPr>
            </w:pPr>
            <w:r>
              <w:rPr>
                <w:rFonts w:ascii="Arial" w:cs="Arial" w:eastAsia="Arial" w:hAnsi="Arial"/>
                <w:sz w:val="18"/>
                <w:szCs w:val="18"/>
                <w:color w:val="auto"/>
              </w:rPr>
              <w:t>Expenses</w:t>
            </w:r>
          </w:p>
        </w:tc>
        <w:tc>
          <w:tcPr>
            <w:tcW w:w="18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0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§28.6.</w:t>
            </w:r>
          </w:p>
        </w:tc>
        <w:tc>
          <w:tcPr>
            <w:tcW w:w="8160" w:type="dxa"/>
            <w:vAlign w:val="bottom"/>
            <w:gridSpan w:val="13"/>
          </w:tcPr>
          <w:p>
            <w:pPr>
              <w:ind w:left="160"/>
              <w:spacing w:after="0"/>
              <w:rPr>
                <w:sz w:val="20"/>
                <w:szCs w:val="20"/>
                <w:color w:val="auto"/>
              </w:rPr>
            </w:pPr>
            <w:r>
              <w:rPr>
                <w:rFonts w:ascii="Arial" w:cs="Arial" w:eastAsia="Arial" w:hAnsi="Arial"/>
                <w:sz w:val="18"/>
                <w:szCs w:val="18"/>
                <w:color w:val="auto"/>
              </w:rPr>
              <w:t>Concerning Joint and Several Liability of the Guarantor</w:t>
            </w:r>
          </w:p>
        </w:tc>
        <w:tc>
          <w:tcPr>
            <w:tcW w:w="18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0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§28.7.</w:t>
            </w:r>
          </w:p>
        </w:tc>
        <w:tc>
          <w:tcPr>
            <w:tcW w:w="8160" w:type="dxa"/>
            <w:vAlign w:val="bottom"/>
            <w:gridSpan w:val="13"/>
          </w:tcPr>
          <w:p>
            <w:pPr>
              <w:ind w:left="160"/>
              <w:spacing w:after="0"/>
              <w:rPr>
                <w:sz w:val="20"/>
                <w:szCs w:val="20"/>
                <w:color w:val="auto"/>
              </w:rPr>
            </w:pPr>
            <w:r>
              <w:rPr>
                <w:rFonts w:ascii="Arial" w:cs="Arial" w:eastAsia="Arial" w:hAnsi="Arial"/>
                <w:sz w:val="18"/>
                <w:szCs w:val="18"/>
                <w:color w:val="auto"/>
              </w:rPr>
              <w:t>Waiver</w:t>
            </w:r>
          </w:p>
        </w:tc>
        <w:tc>
          <w:tcPr>
            <w:tcW w:w="18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0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§28.8.</w:t>
            </w:r>
          </w:p>
        </w:tc>
        <w:tc>
          <w:tcPr>
            <w:tcW w:w="8160" w:type="dxa"/>
            <w:vAlign w:val="bottom"/>
            <w:gridSpan w:val="13"/>
          </w:tcPr>
          <w:p>
            <w:pPr>
              <w:ind w:left="160"/>
              <w:spacing w:after="0"/>
              <w:rPr>
                <w:sz w:val="20"/>
                <w:szCs w:val="20"/>
                <w:color w:val="auto"/>
              </w:rPr>
            </w:pPr>
            <w:r>
              <w:rPr>
                <w:rFonts w:ascii="Arial" w:cs="Arial" w:eastAsia="Arial" w:hAnsi="Arial"/>
                <w:sz w:val="18"/>
                <w:szCs w:val="18"/>
                <w:color w:val="auto"/>
              </w:rPr>
              <w:t>Subrogation; Subordination</w:t>
            </w:r>
          </w:p>
        </w:tc>
        <w:tc>
          <w:tcPr>
            <w:tcW w:w="18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90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§28.9.</w:t>
            </w:r>
          </w:p>
        </w:tc>
        <w:tc>
          <w:tcPr>
            <w:tcW w:w="8160" w:type="dxa"/>
            <w:vAlign w:val="bottom"/>
            <w:gridSpan w:val="13"/>
          </w:tcPr>
          <w:p>
            <w:pPr>
              <w:ind w:left="160"/>
              <w:spacing w:after="0"/>
              <w:rPr>
                <w:sz w:val="20"/>
                <w:szCs w:val="20"/>
                <w:color w:val="auto"/>
              </w:rPr>
            </w:pPr>
            <w:r>
              <w:rPr>
                <w:rFonts w:ascii="Arial" w:cs="Arial" w:eastAsia="Arial" w:hAnsi="Arial"/>
                <w:sz w:val="18"/>
                <w:szCs w:val="18"/>
                <w:color w:val="auto"/>
              </w:rPr>
              <w:t>Consent and Confirmation</w:t>
            </w:r>
          </w:p>
        </w:tc>
        <w:tc>
          <w:tcPr>
            <w:tcW w:w="18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§29.</w:t>
            </w:r>
          </w:p>
        </w:tc>
        <w:tc>
          <w:tcPr>
            <w:tcW w:w="19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2"/>
              </w:rPr>
              <w:t>PRO RATA TREATMENT</w:t>
            </w:r>
          </w:p>
        </w:tc>
        <w:tc>
          <w:tcPr>
            <w:tcW w:w="6800" w:type="dxa"/>
            <w:vAlign w:val="bottom"/>
            <w:gridSpan w:val="6"/>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§30.</w:t>
            </w:r>
          </w:p>
        </w:tc>
        <w:tc>
          <w:tcPr>
            <w:tcW w:w="16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6"/>
              </w:rPr>
              <w:t>FINAL AGREEMENT</w:t>
            </w:r>
          </w:p>
        </w:tc>
        <w:tc>
          <w:tcPr>
            <w:tcW w:w="7080" w:type="dxa"/>
            <w:vAlign w:val="bottom"/>
            <w:gridSpan w:val="9"/>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w:t>
            </w:r>
          </w:p>
        </w:tc>
        <w:tc>
          <w:tcPr>
            <w:tcW w:w="8740" w:type="dxa"/>
            <w:vAlign w:val="bottom"/>
            <w:gridSpan w:val="15"/>
          </w:tcPr>
          <w:p>
            <w:pPr>
              <w:spacing w:after="0"/>
              <w:rPr>
                <w:sz w:val="20"/>
                <w:szCs w:val="20"/>
                <w:color w:val="auto"/>
              </w:rPr>
            </w:pPr>
            <w:r>
              <w:rPr>
                <w:rFonts w:ascii="Arial" w:cs="Arial" w:eastAsia="Arial" w:hAnsi="Arial"/>
                <w:sz w:val="18"/>
                <w:szCs w:val="18"/>
                <w:color w:val="auto"/>
              </w:rPr>
              <w:t>USA PATRIOT ACT</w:t>
            </w:r>
          </w:p>
        </w:tc>
        <w:tc>
          <w:tcPr>
            <w:tcW w:w="1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9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400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6"/>
              </w:rPr>
              <w:t>NO ADVISORY OR FIDUCIARY RESPONSIBILITY</w:t>
            </w:r>
          </w:p>
        </w:tc>
        <w:tc>
          <w:tcPr>
            <w:tcW w:w="4740" w:type="dxa"/>
            <w:vAlign w:val="bottom"/>
            <w:gridSpan w:val="3"/>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§33.</w:t>
            </w:r>
          </w:p>
        </w:tc>
        <w:tc>
          <w:tcPr>
            <w:tcW w:w="8740" w:type="dxa"/>
            <w:vAlign w:val="bottom"/>
            <w:gridSpan w:val="15"/>
          </w:tcPr>
          <w:p>
            <w:pPr>
              <w:spacing w:after="0"/>
              <w:rPr>
                <w:sz w:val="20"/>
                <w:szCs w:val="20"/>
                <w:color w:val="auto"/>
              </w:rPr>
            </w:pPr>
            <w:r>
              <w:rPr>
                <w:rFonts w:ascii="Arial" w:cs="Arial" w:eastAsia="Arial" w:hAnsi="Arial"/>
                <w:sz w:val="18"/>
                <w:szCs w:val="18"/>
                <w:color w:val="auto"/>
              </w:rPr>
              <w:t>PAYMENTS SET ASIDE</w:t>
            </w:r>
          </w:p>
        </w:tc>
        <w:tc>
          <w:tcPr>
            <w:tcW w:w="18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9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§34.</w:t>
            </w:r>
          </w:p>
        </w:tc>
        <w:tc>
          <w:tcPr>
            <w:tcW w:w="680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95"/>
              </w:rPr>
              <w:t>ELECTRONIC EXECUTION OF ASSIGNMENTS AND CERTAIN OTHER DOCUMENTS</w:t>
            </w:r>
          </w:p>
        </w:tc>
        <w:tc>
          <w:tcPr>
            <w:tcW w:w="1940" w:type="dxa"/>
            <w:vAlign w:val="bottom"/>
            <w:gridSpan w:val="2"/>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§35.</w:t>
            </w:r>
          </w:p>
        </w:tc>
        <w:tc>
          <w:tcPr>
            <w:tcW w:w="8740" w:type="dxa"/>
            <w:vAlign w:val="bottom"/>
            <w:gridSpan w:val="15"/>
          </w:tcPr>
          <w:p>
            <w:pPr>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18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§36.</w:t>
            </w:r>
          </w:p>
        </w:tc>
        <w:tc>
          <w:tcPr>
            <w:tcW w:w="714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rPr>
              <w:t>INTEREST RATE LIMITATION</w:t>
            </w:r>
          </w:p>
        </w:tc>
        <w:tc>
          <w:tcPr>
            <w:tcW w:w="16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§37.</w:t>
            </w:r>
          </w:p>
        </w:tc>
        <w:tc>
          <w:tcPr>
            <w:tcW w:w="238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JUDGMENT CURRENCY</w:t>
            </w:r>
          </w:p>
        </w:tc>
        <w:tc>
          <w:tcPr>
            <w:tcW w:w="6360" w:type="dxa"/>
            <w:vAlign w:val="bottom"/>
            <w:gridSpan w:val="4"/>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53"/>
        </w:trPr>
        <w:tc>
          <w:tcPr>
            <w:tcW w:w="9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740" w:type="dxa"/>
            <w:vAlign w:val="bottom"/>
            <w:gridSpan w:val="3"/>
          </w:tcPr>
          <w:p>
            <w:pPr>
              <w:ind w:left="740"/>
              <w:spacing w:after="0"/>
              <w:rPr>
                <w:sz w:val="20"/>
                <w:szCs w:val="20"/>
                <w:color w:val="auto"/>
              </w:rPr>
            </w:pPr>
            <w:r>
              <w:rPr>
                <w:rFonts w:ascii="Arial" w:cs="Arial" w:eastAsia="Arial" w:hAnsi="Arial"/>
                <w:sz w:val="18"/>
                <w:szCs w:val="18"/>
                <w:color w:val="auto"/>
              </w:rPr>
              <w:t>iv</w:t>
            </w:r>
          </w:p>
        </w:tc>
        <w:tc>
          <w:tcPr>
            <w:tcW w:w="1820" w:type="dxa"/>
            <w:vAlign w:val="bottom"/>
          </w:tcPr>
          <w:p>
            <w:pPr>
              <w:spacing w:after="0"/>
              <w:rPr>
                <w:sz w:val="24"/>
                <w:szCs w:val="24"/>
                <w:color w:val="auto"/>
              </w:rPr>
            </w:pPr>
          </w:p>
        </w:tc>
      </w:tr>
      <w:tr>
        <w:trPr>
          <w:trHeight w:val="132"/>
        </w:trPr>
        <w:tc>
          <w:tcPr>
            <w:tcW w:w="9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r>
      <w:tr>
        <w:trPr>
          <w:trHeight w:val="740"/>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12"/>
        </w:trPr>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Form of:</w:t>
            </w:r>
          </w:p>
        </w:tc>
        <w:tc>
          <w:tcPr>
            <w:tcW w:w="18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Exhibit A</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Committed Loan Notice</w:t>
            </w:r>
          </w:p>
        </w:tc>
        <w:tc>
          <w:tcPr>
            <w:tcW w:w="1820" w:type="dxa"/>
            <w:vAlign w:val="bottom"/>
          </w:tcPr>
          <w:p>
            <w:pPr>
              <w:spacing w:after="0"/>
              <w:rPr>
                <w:sz w:val="19"/>
                <w:szCs w:val="19"/>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Exhibit B</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Swing Line Loan Request</w:t>
            </w:r>
          </w:p>
        </w:tc>
        <w:tc>
          <w:tcPr>
            <w:tcW w:w="18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Exhibit C</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Compliance Certificate</w:t>
            </w:r>
          </w:p>
        </w:tc>
        <w:tc>
          <w:tcPr>
            <w:tcW w:w="18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Exhibit D</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Assignment and Assumption</w:t>
            </w:r>
          </w:p>
        </w:tc>
        <w:tc>
          <w:tcPr>
            <w:tcW w:w="18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Exhibit E</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Administrative Questionnaire</w:t>
            </w:r>
          </w:p>
        </w:tc>
        <w:tc>
          <w:tcPr>
            <w:tcW w:w="18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Exhibit F</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Letter of Credit Request</w:t>
            </w:r>
          </w:p>
        </w:tc>
        <w:tc>
          <w:tcPr>
            <w:tcW w:w="1820" w:type="dxa"/>
            <w:vAlign w:val="bottom"/>
          </w:tcPr>
          <w:p>
            <w:pPr>
              <w:spacing w:after="0"/>
              <w:rPr>
                <w:sz w:val="18"/>
                <w:szCs w:val="18"/>
                <w:color w:val="auto"/>
              </w:rPr>
            </w:pPr>
          </w:p>
        </w:tc>
      </w:tr>
      <w:tr>
        <w:trPr>
          <w:trHeight w:val="230"/>
        </w:trPr>
        <w:tc>
          <w:tcPr>
            <w:tcW w:w="1480" w:type="dxa"/>
            <w:vAlign w:val="bottom"/>
            <w:gridSpan w:val="3"/>
          </w:tcPr>
          <w:p>
            <w:pPr>
              <w:spacing w:after="0"/>
              <w:rPr>
                <w:sz w:val="20"/>
                <w:szCs w:val="20"/>
                <w:color w:val="auto"/>
              </w:rPr>
            </w:pPr>
            <w:r>
              <w:rPr>
                <w:rFonts w:ascii="Arial" w:cs="Arial" w:eastAsia="Arial" w:hAnsi="Arial"/>
                <w:sz w:val="18"/>
                <w:szCs w:val="18"/>
                <w:color w:val="auto"/>
              </w:rPr>
              <w:t>Exhibit G-1-4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U.S. Tax Compliance Certificates</w:t>
            </w:r>
          </w:p>
        </w:tc>
        <w:tc>
          <w:tcPr>
            <w:tcW w:w="1820" w:type="dxa"/>
            <w:vAlign w:val="bottom"/>
          </w:tcPr>
          <w:p>
            <w:pPr>
              <w:spacing w:after="0"/>
              <w:rPr>
                <w:sz w:val="20"/>
                <w:szCs w:val="20"/>
                <w:color w:val="auto"/>
              </w:rPr>
            </w:pPr>
          </w:p>
        </w:tc>
      </w:tr>
      <w:tr>
        <w:trPr>
          <w:trHeight w:val="392"/>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SCHEDULES</w:t>
            </w: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38"/>
        </w:trPr>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Schedule 1</w:t>
            </w:r>
          </w:p>
        </w:tc>
        <w:tc>
          <w:tcPr>
            <w:tcW w:w="2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Banks; Commitments</w:t>
            </w:r>
          </w:p>
        </w:tc>
        <w:tc>
          <w:tcPr>
            <w:tcW w:w="1820" w:type="dxa"/>
            <w:vAlign w:val="bottom"/>
          </w:tcPr>
          <w:p>
            <w:pPr>
              <w:spacing w:after="0"/>
              <w:rPr>
                <w:sz w:val="24"/>
                <w:szCs w:val="24"/>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1.1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Existing Liens</w:t>
            </w:r>
          </w:p>
        </w:tc>
        <w:tc>
          <w:tcPr>
            <w:tcW w:w="1820" w:type="dxa"/>
            <w:vAlign w:val="bottom"/>
          </w:tcPr>
          <w:p>
            <w:pPr>
              <w:spacing w:after="0"/>
              <w:rPr>
                <w:sz w:val="18"/>
                <w:szCs w:val="18"/>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2.6.1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Issuing Banks and Letter of Credit Commitments</w:t>
            </w:r>
          </w:p>
        </w:tc>
        <w:tc>
          <w:tcPr>
            <w:tcW w:w="1820" w:type="dxa"/>
            <w:vAlign w:val="bottom"/>
          </w:tcPr>
          <w:p>
            <w:pPr>
              <w:spacing w:after="0"/>
              <w:rPr>
                <w:sz w:val="18"/>
                <w:szCs w:val="18"/>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2.6.1(a)</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Form of Increase/Decrease Letter</w:t>
            </w:r>
          </w:p>
        </w:tc>
        <w:tc>
          <w:tcPr>
            <w:tcW w:w="1820" w:type="dxa"/>
            <w:vAlign w:val="bottom"/>
          </w:tcPr>
          <w:p>
            <w:pPr>
              <w:spacing w:after="0"/>
              <w:rPr>
                <w:sz w:val="18"/>
                <w:szCs w:val="18"/>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2.6.1(f)</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Existing Letters of Credit</w:t>
            </w:r>
          </w:p>
        </w:tc>
        <w:tc>
          <w:tcPr>
            <w:tcW w:w="1820" w:type="dxa"/>
            <w:vAlign w:val="bottom"/>
          </w:tcPr>
          <w:p>
            <w:pPr>
              <w:spacing w:after="0"/>
              <w:rPr>
                <w:sz w:val="18"/>
                <w:szCs w:val="18"/>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6.7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Litigation</w:t>
            </w:r>
          </w:p>
        </w:tc>
        <w:tc>
          <w:tcPr>
            <w:tcW w:w="1820" w:type="dxa"/>
            <w:vAlign w:val="bottom"/>
          </w:tcPr>
          <w:p>
            <w:pPr>
              <w:spacing w:after="0"/>
              <w:rPr>
                <w:sz w:val="18"/>
                <w:szCs w:val="18"/>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6.15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Environmental Compliance</w:t>
            </w:r>
          </w:p>
        </w:tc>
        <w:tc>
          <w:tcPr>
            <w:tcW w:w="1820" w:type="dxa"/>
            <w:vAlign w:val="bottom"/>
          </w:tcPr>
          <w:p>
            <w:pPr>
              <w:spacing w:after="0"/>
              <w:rPr>
                <w:sz w:val="18"/>
                <w:szCs w:val="18"/>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8.1(a)</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Existing Indebtedness</w:t>
            </w:r>
          </w:p>
        </w:tc>
        <w:tc>
          <w:tcPr>
            <w:tcW w:w="1820" w:type="dxa"/>
            <w:vAlign w:val="bottom"/>
          </w:tcPr>
          <w:p>
            <w:pPr>
              <w:spacing w:after="0"/>
              <w:rPr>
                <w:sz w:val="18"/>
                <w:szCs w:val="18"/>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8.3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Existing Investments</w:t>
            </w:r>
          </w:p>
        </w:tc>
        <w:tc>
          <w:tcPr>
            <w:tcW w:w="1820" w:type="dxa"/>
            <w:vAlign w:val="bottom"/>
          </w:tcPr>
          <w:p>
            <w:pPr>
              <w:spacing w:after="0"/>
              <w:rPr>
                <w:sz w:val="18"/>
                <w:szCs w:val="18"/>
                <w:color w:val="auto"/>
              </w:rPr>
            </w:pPr>
          </w:p>
        </w:tc>
      </w:tr>
      <w:tr>
        <w:trPr>
          <w:trHeight w:val="230"/>
        </w:trPr>
        <w:tc>
          <w:tcPr>
            <w:tcW w:w="1480" w:type="dxa"/>
            <w:vAlign w:val="bottom"/>
            <w:gridSpan w:val="3"/>
          </w:tcPr>
          <w:p>
            <w:pPr>
              <w:spacing w:after="0"/>
              <w:rPr>
                <w:sz w:val="20"/>
                <w:szCs w:val="20"/>
                <w:color w:val="auto"/>
              </w:rPr>
            </w:pPr>
            <w:r>
              <w:rPr>
                <w:rFonts w:ascii="Arial" w:cs="Arial" w:eastAsia="Arial" w:hAnsi="Arial"/>
                <w:sz w:val="18"/>
                <w:szCs w:val="18"/>
                <w:color w:val="auto"/>
              </w:rPr>
              <w:t>Schedule 22</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Administrative Agent’s Office; Certain Addresses for Notices</w:t>
            </w:r>
          </w:p>
        </w:tc>
        <w:tc>
          <w:tcPr>
            <w:tcW w:w="1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-3543300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-3543300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4180"/>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jc w:val="right"/>
        <w:ind w:right="4220"/>
        <w:spacing w:after="0"/>
        <w:rPr>
          <w:sz w:val="20"/>
          <w:szCs w:val="20"/>
          <w:color w:val="auto"/>
        </w:rPr>
      </w:pPr>
      <w:r>
        <w:rPr>
          <w:rFonts w:ascii="Arial" w:cs="Arial" w:eastAsia="Arial" w:hAnsi="Arial"/>
          <w:sz w:val="18"/>
          <w:szCs w:val="18"/>
          <w:b w:val="1"/>
          <w:bCs w:val="1"/>
          <w:color w:val="auto"/>
        </w:rPr>
        <w:t>REVOLVING CREDIT AGREEMENT</w:t>
      </w:r>
    </w:p>
    <w:p>
      <w:pPr>
        <w:spacing w:after="0" w:line="20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FOURTH AMENDED AND RESTATED REVOLVING CREDIT AGREEMENT</w:t>
      </w:r>
      <w:r>
        <w:rPr>
          <w:rFonts w:ascii="Arial" w:cs="Arial" w:eastAsia="Arial" w:hAnsi="Arial"/>
          <w:sz w:val="18"/>
          <w:szCs w:val="18"/>
          <w:color w:val="auto"/>
        </w:rPr>
        <w:t xml:space="preserve"> is made as of June 26, 2018, by and among </w:t>
      </w:r>
      <w:r>
        <w:rPr>
          <w:rFonts w:ascii="Arial" w:cs="Arial" w:eastAsia="Arial" w:hAnsi="Arial"/>
          <w:sz w:val="18"/>
          <w:szCs w:val="18"/>
          <w:b w:val="1"/>
          <w:bCs w:val="1"/>
          <w:color w:val="auto"/>
        </w:rPr>
        <w:t>WASTE</w:t>
      </w:r>
      <w:r>
        <w:rPr>
          <w:rFonts w:ascii="Arial" w:cs="Arial" w:eastAsia="Arial" w:hAnsi="Arial"/>
          <w:sz w:val="18"/>
          <w:szCs w:val="18"/>
          <w:color w:val="auto"/>
        </w:rPr>
        <w:t xml:space="preserve"> </w:t>
      </w:r>
      <w:r>
        <w:rPr>
          <w:rFonts w:ascii="Arial" w:cs="Arial" w:eastAsia="Arial" w:hAnsi="Arial"/>
          <w:sz w:val="18"/>
          <w:szCs w:val="18"/>
          <w:b w:val="1"/>
          <w:bCs w:val="1"/>
          <w:color w:val="auto"/>
        </w:rPr>
        <w:t>MANAGEMENT, INC.</w:t>
      </w:r>
      <w:r>
        <w:rPr>
          <w:rFonts w:ascii="Arial" w:cs="Arial" w:eastAsia="Arial" w:hAnsi="Arial"/>
          <w:sz w:val="18"/>
          <w:szCs w:val="18"/>
          <w:color w:val="auto"/>
        </w:rPr>
        <w:t>, a Delaware corporation having its chief executive office at 1001 Fannin Street, Houston, Texas 77002 (the “</w:t>
      </w:r>
      <w:r>
        <w:rPr>
          <w:rFonts w:ascii="Arial" w:cs="Arial" w:eastAsia="Arial" w:hAnsi="Arial"/>
          <w:sz w:val="18"/>
          <w:szCs w:val="18"/>
          <w:u w:val="single" w:color="auto"/>
          <w:color w:val="auto"/>
        </w:rPr>
        <w:t>Company</w:t>
      </w:r>
      <w:r>
        <w:rPr>
          <w:rFonts w:ascii="Arial" w:cs="Arial" w:eastAsia="Arial" w:hAnsi="Arial"/>
          <w:sz w:val="18"/>
          <w:szCs w:val="18"/>
          <w:color w:val="auto"/>
        </w:rPr>
        <w:t>”),</w:t>
      </w:r>
      <w:r>
        <w:rPr>
          <w:rFonts w:ascii="Arial" w:cs="Arial" w:eastAsia="Arial" w:hAnsi="Arial"/>
          <w:sz w:val="18"/>
          <w:szCs w:val="18"/>
          <w:b w:val="1"/>
          <w:bCs w:val="1"/>
          <w:color w:val="auto"/>
        </w:rPr>
        <w:t xml:space="preserve"> WASTE MANAGEMENT OF CANADA CORPORATION</w:t>
      </w:r>
      <w:r>
        <w:rPr>
          <w:rFonts w:ascii="Arial" w:cs="Arial" w:eastAsia="Arial" w:hAnsi="Arial"/>
          <w:sz w:val="18"/>
          <w:szCs w:val="18"/>
          <w:color w:val="auto"/>
        </w:rPr>
        <w:t>, a Nova Scotia unlimited company (“</w:t>
      </w:r>
      <w:r>
        <w:rPr>
          <w:rFonts w:ascii="Arial" w:cs="Arial" w:eastAsia="Arial" w:hAnsi="Arial"/>
          <w:sz w:val="18"/>
          <w:szCs w:val="18"/>
          <w:u w:val="single" w:color="auto"/>
          <w:color w:val="auto"/>
        </w:rPr>
        <w:t>WMOCC</w:t>
      </w:r>
      <w:r>
        <w:rPr>
          <w:rFonts w:ascii="Arial" w:cs="Arial" w:eastAsia="Arial" w:hAnsi="Arial"/>
          <w:sz w:val="18"/>
          <w:szCs w:val="18"/>
          <w:color w:val="auto"/>
        </w:rPr>
        <w:t>”), and</w:t>
      </w:r>
      <w:r>
        <w:rPr>
          <w:rFonts w:ascii="Arial" w:cs="Arial" w:eastAsia="Arial" w:hAnsi="Arial"/>
          <w:sz w:val="18"/>
          <w:szCs w:val="18"/>
          <w:b w:val="1"/>
          <w:bCs w:val="1"/>
          <w:color w:val="auto"/>
        </w:rPr>
        <w:t xml:space="preserve"> WM QUEBEC INC.</w:t>
      </w:r>
      <w:r>
        <w:rPr>
          <w:rFonts w:ascii="Arial" w:cs="Arial" w:eastAsia="Arial" w:hAnsi="Arial"/>
          <w:sz w:val="18"/>
          <w:szCs w:val="18"/>
          <w:color w:val="auto"/>
        </w:rPr>
        <w:t>, 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under the laws of Canada (“</w:t>
      </w:r>
      <w:r>
        <w:rPr>
          <w:rFonts w:ascii="Arial" w:cs="Arial" w:eastAsia="Arial" w:hAnsi="Arial"/>
          <w:sz w:val="18"/>
          <w:szCs w:val="18"/>
          <w:u w:val="single" w:color="auto"/>
          <w:color w:val="auto"/>
        </w:rPr>
        <w:t>WMQ</w:t>
      </w:r>
      <w:r>
        <w:rPr>
          <w:rFonts w:ascii="Arial" w:cs="Arial" w:eastAsia="Arial" w:hAnsi="Arial"/>
          <w:sz w:val="18"/>
          <w:szCs w:val="18"/>
          <w:color w:val="auto"/>
        </w:rPr>
        <w:t>”, and together with WMOCC, the “</w:t>
      </w:r>
      <w:r>
        <w:rPr>
          <w:rFonts w:ascii="Arial" w:cs="Arial" w:eastAsia="Arial" w:hAnsi="Arial"/>
          <w:sz w:val="18"/>
          <w:szCs w:val="18"/>
          <w:u w:val="single" w:color="auto"/>
          <w:color w:val="auto"/>
        </w:rPr>
        <w:t>Canadian Borrowers</w:t>
      </w:r>
      <w:r>
        <w:rPr>
          <w:rFonts w:ascii="Arial" w:cs="Arial" w:eastAsia="Arial" w:hAnsi="Arial"/>
          <w:sz w:val="18"/>
          <w:szCs w:val="18"/>
          <w:color w:val="auto"/>
        </w:rPr>
        <w:t>”, and the Canadian Borrowers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w:t>
      </w:r>
      <w:r>
        <w:rPr>
          <w:rFonts w:ascii="Arial" w:cs="Arial" w:eastAsia="Arial" w:hAnsi="Arial"/>
          <w:sz w:val="18"/>
          <w:szCs w:val="18"/>
          <w:b w:val="1"/>
          <w:bCs w:val="1"/>
          <w:color w:val="auto"/>
        </w:rPr>
        <w:t>WASTE MANAGEMENT HOLDINGS, INC.</w:t>
      </w:r>
      <w:r>
        <w:rPr>
          <w:rFonts w:ascii="Arial" w:cs="Arial" w:eastAsia="Arial" w:hAnsi="Arial"/>
          <w:sz w:val="18"/>
          <w:szCs w:val="18"/>
          <w:color w:val="auto"/>
        </w:rPr>
        <w:t>, a wholly-owned Subsidiary of the Company (the “</w:t>
      </w:r>
      <w:r>
        <w:rPr>
          <w:rFonts w:ascii="Arial" w:cs="Arial" w:eastAsia="Arial" w:hAnsi="Arial"/>
          <w:sz w:val="18"/>
          <w:szCs w:val="18"/>
          <w:u w:val="single" w:color="auto"/>
          <w:color w:val="auto"/>
        </w:rPr>
        <w:t>Guarantor</w:t>
      </w:r>
      <w:r>
        <w:rPr>
          <w:rFonts w:ascii="Arial" w:cs="Arial" w:eastAsia="Arial" w:hAnsi="Arial"/>
          <w:sz w:val="18"/>
          <w:szCs w:val="18"/>
          <w:color w:val="auto"/>
        </w:rPr>
        <w:t>”), the lenders from time to time party hereto (the “</w:t>
      </w:r>
      <w:r>
        <w:rPr>
          <w:rFonts w:ascii="Arial" w:cs="Arial" w:eastAsia="Arial" w:hAnsi="Arial"/>
          <w:sz w:val="18"/>
          <w:szCs w:val="18"/>
          <w:u w:val="single" w:color="auto"/>
          <w:color w:val="auto"/>
        </w:rPr>
        <w:t>Banks</w:t>
      </w:r>
      <w:r>
        <w:rPr>
          <w:rFonts w:ascii="Arial" w:cs="Arial" w:eastAsia="Arial" w:hAnsi="Arial"/>
          <w:sz w:val="18"/>
          <w:szCs w:val="18"/>
          <w:color w:val="auto"/>
        </w:rPr>
        <w:t xml:space="preserve">”) and </w:t>
      </w:r>
      <w:r>
        <w:rPr>
          <w:rFonts w:ascii="Arial" w:cs="Arial" w:eastAsia="Arial" w:hAnsi="Arial"/>
          <w:sz w:val="18"/>
          <w:szCs w:val="18"/>
          <w:b w:val="1"/>
          <w:bCs w:val="1"/>
          <w:color w:val="auto"/>
        </w:rPr>
        <w:t>BANK OF AMERICA, N.A.</w:t>
      </w:r>
      <w:r>
        <w:rPr>
          <w:rFonts w:ascii="Arial" w:cs="Arial" w:eastAsia="Arial" w:hAnsi="Arial"/>
          <w:sz w:val="18"/>
          <w:szCs w:val="18"/>
          <w:color w:val="auto"/>
        </w:rPr>
        <w:t>,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93" w:lineRule="exact"/>
        <w:rPr>
          <w:sz w:val="20"/>
          <w:szCs w:val="20"/>
          <w:color w:val="auto"/>
        </w:rPr>
      </w:pPr>
    </w:p>
    <w:p>
      <w:pPr>
        <w:ind w:right="80" w:firstLine="980"/>
        <w:spacing w:after="0" w:line="259" w:lineRule="auto"/>
        <w:tabs>
          <w:tab w:leader="none" w:pos="130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Bank of America, N.A, as administrative agent, and the lenders party thereto (the “</w:t>
      </w:r>
      <w:r>
        <w:rPr>
          <w:rFonts w:ascii="Arial" w:cs="Arial" w:eastAsia="Arial" w:hAnsi="Arial"/>
          <w:sz w:val="18"/>
          <w:szCs w:val="18"/>
          <w:u w:val="single" w:color="auto"/>
          <w:color w:val="auto"/>
        </w:rPr>
        <w:t>Existing Banks</w:t>
      </w:r>
      <w:r>
        <w:rPr>
          <w:rFonts w:ascii="Arial" w:cs="Arial" w:eastAsia="Arial" w:hAnsi="Arial"/>
          <w:sz w:val="18"/>
          <w:szCs w:val="18"/>
          <w:color w:val="auto"/>
        </w:rPr>
        <w:t>”) entered into that certain Third Amended and Restated Credit Agreement dated as of July 10, 2015 (as amended, supplemented or otherwise modified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pursuant to which the Existing Banks have made available to the Company a revolving credit facility, with a letter of credit sub-facility and a swing loan sub-facility.</w:t>
      </w:r>
    </w:p>
    <w:p>
      <w:pPr>
        <w:sectPr>
          <w:pgSz w:w="11900" w:h="16912" w:orient="portrait"/>
          <w:cols w:equalWidth="0" w:num="1">
            <w:col w:w="11460"/>
          </w:cols>
          <w:pgMar w:left="240" w:top="108" w:right="199" w:bottom="0" w:gutter="0" w:footer="0" w:header="0"/>
        </w:sectPr>
      </w:pPr>
    </w:p>
    <w:bookmarkStart w:id="7" w:name="page8"/>
    <w:bookmarkEnd w:id="7"/>
    <w:p>
      <w:pPr>
        <w:spacing w:after="0" w:line="82" w:lineRule="exact"/>
        <w:rPr>
          <w:sz w:val="20"/>
          <w:szCs w:val="20"/>
          <w:color w:val="auto"/>
        </w:rPr>
      </w:pPr>
    </w:p>
    <w:p>
      <w:pPr>
        <w:ind w:right="360" w:firstLine="980"/>
        <w:spacing w:after="0" w:line="277" w:lineRule="auto"/>
        <w:tabs>
          <w:tab w:leader="none" w:pos="129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As further provided herein and upon the terms and conditions contained herein, the Banks and the Administrative Agent have agreed to reallocate the Commitment and Commitment Percentages of each of the Banks as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20" w:firstLine="980"/>
        <w:spacing w:after="0" w:line="264" w:lineRule="auto"/>
        <w:tabs>
          <w:tab w:leader="none" w:pos="129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Borrowers and the Guarantor have requested that the Existing Credit Agreement be further amended and restated, among other things, to extend the maturity date and make certain other changes as set forth herein, and the Administrative Agent and the Banks are willing to make such amendments to the Existing Credit Agreement.</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ind w:right="140" w:firstLine="624"/>
        <w:spacing w:after="0" w:line="287" w:lineRule="auto"/>
        <w:tabs>
          <w:tab w:leader="none" w:pos="1312"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Simultaneously with the Effective Date and after giving effect to any assignments on the Effective Date from Existing Banks under the Existing Credit Agreement who elect not to become Banks under this Agreement, but immediately prior to giving effect to </w:t>
      </w:r>
      <w:r>
        <w:rPr>
          <w:rFonts w:ascii="Arial" w:cs="Arial" w:eastAsia="Arial" w:hAnsi="Arial"/>
          <w:sz w:val="16"/>
          <w:szCs w:val="16"/>
          <w:u w:val="single" w:color="auto"/>
          <w:color w:val="auto"/>
        </w:rPr>
        <w:t>paragraph (iv)</w:t>
      </w:r>
      <w:r>
        <w:rPr>
          <w:rFonts w:ascii="Arial" w:cs="Arial" w:eastAsia="Arial" w:hAnsi="Arial"/>
          <w:sz w:val="16"/>
          <w:szCs w:val="16"/>
          <w:color w:val="auto"/>
        </w:rPr>
        <w:t xml:space="preserve"> below, the parties hereby agree that (A) the Commitment of each of the Banks shall be as set forth in </w:t>
      </w:r>
      <w:r>
        <w:rPr>
          <w:rFonts w:ascii="Arial" w:cs="Arial" w:eastAsia="Arial" w:hAnsi="Arial"/>
          <w:sz w:val="16"/>
          <w:szCs w:val="16"/>
          <w:u w:val="single" w:color="auto"/>
          <w:color w:val="auto"/>
        </w:rPr>
        <w:t>Schedule 1</w:t>
      </w:r>
      <w:r>
        <w:rPr>
          <w:rFonts w:ascii="Arial" w:cs="Arial" w:eastAsia="Arial" w:hAnsi="Arial"/>
          <w:sz w:val="16"/>
          <w:szCs w:val="16"/>
          <w:color w:val="auto"/>
        </w:rPr>
        <w:t>, and the outstanding amount of the Syndicated Loans (as defined in and under the Existing Credit Agreement, without giving effect to any Borrowings of Loans under this Agreement on the Effective Date, but after giving effect to any repayment or reduction thereof with the proceeds of any applicable sources) shall be reallocated in accordance with such Commitments, and the requisite assignments shall be deemed to be made in such amounts among the Banks and from each Bank to each other Bank (including from Banks who reduce their commitments in connection with this Agreement), with the same force and effect as if such assignments were evidenced by applicable Assignments and Assumptions (as defined in the Existing Credit Agreement) under the Existing Credit Agreement, but without the payment of any related assignment fee and (B) the swing line subfacility under the Existing Credit Agreement shall continue as the swing line subfacility hereunder, with the Swing Line Sublimit set out herein, and the Swing Line Loans (as defined in the Existing Credit Agreement), if any, shall continue as and be deemed to be Swing Line Loans hereunder, and (C) the letter of credit subfacility provided in the Existing Credit Agreement shall continue as the Letter of Credit facility hereunder and the Existing Letters of Credit shall be deemed to be Letters of Credit issued hereunder.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24"/>
        <w:spacing w:after="0" w:line="271" w:lineRule="auto"/>
        <w:tabs>
          <w:tab w:leader="none" w:pos="1322" w:val="left"/>
        </w:tabs>
        <w:numPr>
          <w:ilvl w:val="1"/>
          <w:numId w:val="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§20 of the Existing Credit Agreement or §20 of this Agreement, no other documents or instruments, including any Assignment and Assumption, shall be executed in connection with these assignments (all of which requirements are hereby waived), and such assignments shall be deemed to be made with all applicable representations, warranties and covenants as if evidenced by an Assignment and Assumption. On the Effective Date, the applicable Banks shall make full cash settlement with one another (including with any Bank whose commitments are being decreased), either directly or through the Administrative Agent, as the Administrative Agent may direct or approve, with respect to all assignments, reallocations and other changes in Commitments, such that after giving effect to such settlements (A) the Commitment of each Bank shall be as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to this Agreement, (B) each Bank’s Commitment Percentage of the Total Commitment equals (with customary rounding) its Commitment Percentage of (x) the outstanding amount of all Loans, and (y) the outstanding amount of all Letters of Credit.</w:t>
      </w:r>
    </w:p>
    <w:p>
      <w:pPr>
        <w:spacing w:after="0" w:line="178" w:lineRule="exact"/>
        <w:rPr>
          <w:rFonts w:ascii="Arial" w:cs="Arial" w:eastAsia="Arial" w:hAnsi="Arial"/>
          <w:sz w:val="17"/>
          <w:szCs w:val="17"/>
          <w:color w:val="auto"/>
        </w:rPr>
      </w:pPr>
    </w:p>
    <w:p>
      <w:pPr>
        <w:ind w:right="40" w:firstLine="624"/>
        <w:spacing w:after="0" w:line="257" w:lineRule="auto"/>
        <w:tabs>
          <w:tab w:leader="none" w:pos="1331"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Borrowers, the Guarantor, the Administrative Agent and the Banks hereby agree that upon the effectiveness of this Agreement, the terms and provisions of the Existing Credit Agreement which in any manner govern or evidence the Obligations, the rights and interests of the Administrative Agent and the Banks and any terms, conditions or matters related to any thereof, shall be and hereby are amended and restated in their entirety by the terms, conditions and provisions of this Agreement, and the terms and provisions of the Existing Credit Agreement, except as otherwise expressly provided herein, shall be superseded by this Agreement.</w:t>
      </w:r>
    </w:p>
    <w:p>
      <w:pPr>
        <w:spacing w:after="0" w:line="188" w:lineRule="exact"/>
        <w:rPr>
          <w:rFonts w:ascii="Arial" w:cs="Arial" w:eastAsia="Arial" w:hAnsi="Arial"/>
          <w:sz w:val="18"/>
          <w:szCs w:val="18"/>
          <w:color w:val="auto"/>
        </w:rPr>
      </w:pPr>
    </w:p>
    <w:p>
      <w:pPr>
        <w:ind w:right="60" w:firstLine="624"/>
        <w:spacing w:after="0" w:line="284" w:lineRule="auto"/>
        <w:tabs>
          <w:tab w:leader="none" w:pos="1308" w:val="left"/>
        </w:tabs>
        <w:numPr>
          <w:ilvl w:val="1"/>
          <w:numId w:val="4"/>
        </w:numPr>
        <w:rPr>
          <w:rFonts w:ascii="Arial" w:cs="Arial" w:eastAsia="Arial" w:hAnsi="Arial"/>
          <w:sz w:val="16"/>
          <w:szCs w:val="16"/>
          <w:color w:val="auto"/>
        </w:rPr>
      </w:pPr>
      <w:r>
        <w:rPr>
          <w:rFonts w:ascii="Arial" w:cs="Arial" w:eastAsia="Arial" w:hAnsi="Arial"/>
          <w:sz w:val="16"/>
          <w:szCs w:val="16"/>
          <w:color w:val="auto"/>
        </w:rPr>
        <w:t>Notwithstanding this amendment and restatement of the Existing Credit Agreement and any related Loan Documents (as such term is defined in the Existing Credit Agreement and referred to herein, individually or collectively, as the “</w:t>
      </w:r>
      <w:r>
        <w:rPr>
          <w:rFonts w:ascii="Arial" w:cs="Arial" w:eastAsia="Arial" w:hAnsi="Arial"/>
          <w:sz w:val="16"/>
          <w:szCs w:val="16"/>
          <w:u w:val="single" w:color="auto"/>
          <w:color w:val="auto"/>
        </w:rPr>
        <w:t>Existing Loan Documents</w:t>
      </w:r>
      <w:r>
        <w:rPr>
          <w:rFonts w:ascii="Arial" w:cs="Arial" w:eastAsia="Arial" w:hAnsi="Arial"/>
          <w:sz w:val="16"/>
          <w:szCs w:val="16"/>
          <w:color w:val="auto"/>
        </w:rPr>
        <w:t>”), (A) all of the indebtedness, liabilities and obligations owing by any Person under the Existing Credit Agreement and other Existing Loan Documents outstanding as of the Effective Date shall continue as Obligations hereunder, (B) each of this Agreement and the Notes and the other Loan Documents is given as a substitution or supplement of, as the case may be, and not as a payment of, the indebtedness, liabilities and obligations of the Company and the Guarantor under the Existing Credit Agreement or any Existing Loan Document and is not intended to constitute a novation thereof or of any of the other Existing Loan Documents, and</w:t>
      </w:r>
    </w:p>
    <w:p>
      <w:pPr>
        <w:spacing w:after="0" w:line="4" w:lineRule="exact"/>
        <w:rPr>
          <w:rFonts w:ascii="Arial" w:cs="Arial" w:eastAsia="Arial" w:hAnsi="Arial"/>
          <w:sz w:val="16"/>
          <w:szCs w:val="16"/>
          <w:color w:val="auto"/>
        </w:rPr>
      </w:pPr>
    </w:p>
    <w:p>
      <w:pPr>
        <w:ind w:firstLine="8"/>
        <w:spacing w:after="0" w:line="287" w:lineRule="auto"/>
        <w:tabs>
          <w:tab w:leader="none" w:pos="285"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of the Existing Loan Documents will remain in full force and effect, as set forth in this Agreement. Upon the effectiveness of this Agreement all loans outstanding and owing by the Company under the Existing Credit Agreement as of the Effective Date, shall constitute Loans hereunder accruing interest with respect to the Base Rate Loans under the Existing Credit Agreement, and as Base Rate Loans hereunder. The parties hereto agree that the Interest Periods for all Eurocurrency Loans outstanding under the Existing Credit Agreement on the Effective Date shall be terminated, the Borrowers shall pay (on the Effective Date) all accrued interest with respect to such Loans, and the Company shall furnish to the Administrative Agent interest rate selection notices for existing Loans and borrowing notices for additional Loans as may be required in connection with the allocation of Loans among Banks in accordance with their Commitment Percentages. The Administrative Agent and the Existing Banks agree that the transactions contemplated in these recitals shall not give rise to any obligation of the Borrowers or the Guarantor to make any payment under §5.8 of the Existing Credit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b w:val="1"/>
          <w:bCs w:val="1"/>
          <w:u w:val="single" w:color="auto"/>
          <w:color w:val="auto"/>
        </w:rPr>
        <w:t>DEFINITIONS AND RULES OF INTERPRETATION</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The following terms shall have the meanings set forth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w:t>
      </w:r>
      <w:r>
        <w:rPr>
          <w:rFonts w:ascii="Arial" w:cs="Arial" w:eastAsia="Arial" w:hAnsi="Arial"/>
          <w:sz w:val="16"/>
          <w:szCs w:val="16"/>
          <w:b w:val="1"/>
          <w:bCs w:val="1"/>
          <w:color w:val="auto"/>
        </w:rPr>
        <w:t xml:space="preserve"> </w:t>
      </w:r>
      <w:r>
        <w:rPr>
          <w:rFonts w:ascii="Arial" w:cs="Arial" w:eastAsia="Arial" w:hAnsi="Arial"/>
          <w:sz w:val="16"/>
          <w:szCs w:val="16"/>
          <w:color w:val="auto"/>
        </w:rPr>
        <w:t>or elsewhere in the provisions of this Agreement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referred to below:</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Accountants</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§7.4(a)</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any transaction, or any series of related transactions, consummated on or after the date of this Agreement, by which any Loan Party or any of its Subsidiaries (a) acquires any business or all or substantially all of the assets of any Person, or division thereof, whether through purchase of assets, merger, amalgamation or otherwise or (b)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w:t>
      </w:r>
    </w:p>
    <w:p>
      <w:pPr>
        <w:sectPr>
          <w:pgSz w:w="11900" w:h="16921" w:orient="portrait"/>
          <w:cols w:equalWidth="0" w:num="1">
            <w:col w:w="11420"/>
          </w:cols>
          <w:pgMar w:left="240" w:top="341" w:right="239" w:bottom="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 Bank</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§2.15.4</w:t>
      </w:r>
      <w:r>
        <w:rPr>
          <w:rFonts w:ascii="Arial" w:cs="Arial" w:eastAsia="Arial" w:hAnsi="Arial"/>
          <w:sz w:val="18"/>
          <w:szCs w:val="18"/>
          <w:color w:val="auto"/>
        </w:rPr>
        <w: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Bank of America (including Bank of America, acting through its Canada Branch, for Loans denominated in Canadian Dollars) in its capacity as administrative agent under any of the Loan Documents, or any successor administrative agent.</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With respect to any currency, the Administrative Agent’s address and, as appropriate, account as set forth on </w:t>
      </w:r>
      <w:r>
        <w:rPr>
          <w:rFonts w:ascii="Arial" w:cs="Arial" w:eastAsia="Arial" w:hAnsi="Arial"/>
          <w:sz w:val="18"/>
          <w:szCs w:val="18"/>
          <w:u w:val="single" w:color="auto"/>
          <w:color w:val="auto"/>
        </w:rPr>
        <w:t>Schedule 22</w:t>
      </w:r>
      <w:r>
        <w:rPr>
          <w:rFonts w:ascii="Arial" w:cs="Arial" w:eastAsia="Arial" w:hAnsi="Arial"/>
          <w:sz w:val="18"/>
          <w:szCs w:val="18"/>
          <w:color w:val="auto"/>
        </w:rPr>
        <w:t xml:space="preserve"> with respect to such currency, or such other address or account with respect to such currency as the Administrative Agent may from time to time notify the Company and the Banks.</w:t>
      </w:r>
    </w:p>
    <w:p>
      <w:pPr>
        <w:spacing w:after="0" w:line="18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An Administrative Questionnaire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Bank</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§2.18</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Fourth Amended and Restated Revolving Credit Agreement, including the Schedules and Exhibits hereto, as from time to time amended and supplemented in accordance with the terms hereof.</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The applicable rate per annum with respect to Base Rate Loans, Canadian Prime Rate Loans, Eurocurrency Rate Loans, the Letter of Credit Fee and the Facility Fee, in each case as set forth in the Pricing Table.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Requirements</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§7.10</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Canadian Dollars, the local time in the place of settlement for Canadian Dollars as may be determined by the Administrative Agent or the applicable Issuing Bank, as the case may be, to be necessary for timely settlement on the relevant date in accordance with normal banking procedures in the place of payment.</w:t>
      </w:r>
    </w:p>
    <w:p>
      <w:pPr>
        <w:spacing w:after="0" w:line="18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Any Person (other than a natural person) that is engaged in making, purchasing, holding or investing in bank loans and similar extensions of credit in the ordinary course of its activities and that is administered or managed by (a) a Bank or (b) a Bank Affiliate.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§20</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The period from and including the Effective Date to the earliest of (a) the Maturity Date, (b) the date of termination of the Total Commitments pursuant to </w:t>
      </w:r>
      <w:r>
        <w:rPr>
          <w:rFonts w:ascii="Arial" w:cs="Arial" w:eastAsia="Arial" w:hAnsi="Arial"/>
          <w:sz w:val="18"/>
          <w:szCs w:val="18"/>
          <w:u w:val="single" w:color="auto"/>
          <w:color w:val="auto"/>
        </w:rPr>
        <w:t>§2.18</w:t>
      </w:r>
      <w:r>
        <w:rPr>
          <w:rFonts w:ascii="Arial" w:cs="Arial" w:eastAsia="Arial" w:hAnsi="Arial"/>
          <w:sz w:val="18"/>
          <w:szCs w:val="18"/>
          <w:color w:val="auto"/>
        </w:rPr>
        <w:t>, and (c) the date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termination of the commitment of each Bank to make Loans and of the obligation of the Issuing Banks to make L/C Credit Extensions pursuant to </w:t>
      </w:r>
      <w:r>
        <w:rPr>
          <w:rFonts w:ascii="Arial" w:cs="Arial" w:eastAsia="Arial" w:hAnsi="Arial"/>
          <w:sz w:val="16"/>
          <w:szCs w:val="16"/>
          <w:u w:val="single" w:color="auto"/>
          <w:color w:val="auto"/>
        </w:rPr>
        <w:t>§12.2</w:t>
      </w:r>
      <w:r>
        <w:rPr>
          <w:rFonts w:ascii="Arial" w:cs="Arial" w:eastAsia="Arial" w:hAnsi="Arial"/>
          <w:sz w:val="16"/>
          <w:szCs w:val="16"/>
          <w:color w:val="auto"/>
        </w:rPr>
        <w:t>.</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December 31, 2017.</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Affiliate</w:t>
      </w:r>
      <w:r>
        <w:rPr>
          <w:rFonts w:ascii="Arial" w:cs="Arial" w:eastAsia="Arial" w:hAnsi="Arial"/>
          <w:sz w:val="17"/>
          <w:szCs w:val="17"/>
          <w:color w:val="auto"/>
        </w:rPr>
        <w:t>”. (a) With respect to any Bank, (i) a Person that directly, or indirectly through one or more intermediaries, possesses, directly or indirectly, the power to direct or cause the direction of the management or policies of such Bank, whether through the ability to exercise voting power, by contract or otherwise or is controlled by or is under common control with such Bank (an “</w:t>
      </w:r>
      <w:r>
        <w:rPr>
          <w:rFonts w:ascii="Arial" w:cs="Arial" w:eastAsia="Arial" w:hAnsi="Arial"/>
          <w:sz w:val="17"/>
          <w:szCs w:val="17"/>
          <w:u w:val="single" w:color="auto"/>
          <w:color w:val="auto"/>
        </w:rPr>
        <w:t>Affiliate</w:t>
      </w:r>
      <w:r>
        <w:rPr>
          <w:rFonts w:ascii="Arial" w:cs="Arial" w:eastAsia="Arial" w:hAnsi="Arial"/>
          <w:sz w:val="17"/>
          <w:szCs w:val="17"/>
          <w:color w:val="auto"/>
        </w:rPr>
        <w:t>”) or (ii) any entity (whether a corporation, partnership, trust or otherwise) that is engaged in making, purchasing, holding or otherwise investing in bank loans and similar extensions of credit in the ordinary course of its activities and is administered or managed by a Bank or an Affiliate of such Bank and (b) with respect to any Bank that is a fund which invests in bank loans and similar extensions of credit, any other fund that invests in bank loans and similar extensions of credit and is managed by the same investment advisor as such Bank or by an Affiliate of such investment advisor.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Bank of America, N.A.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Banks</w:t>
      </w:r>
      <w:r>
        <w:rPr>
          <w:rFonts w:ascii="Arial" w:cs="Arial" w:eastAsia="Arial" w:hAnsi="Arial"/>
          <w:sz w:val="18"/>
          <w:szCs w:val="18"/>
          <w:color w:val="auto"/>
        </w:rPr>
        <w:t>”. See Preamble.</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For any day, a fluctuating rate per annum equal to the highest of (a) the Federal Funds Rate plus 1/2 of 1%, (b) the rate of interest in effect for such day as publicly announced from time to time by Bank of America as its “prime rate,” and (c) the Eurocurrency Rate plus 1.00%; and if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Loans</w:t>
      </w:r>
      <w:r>
        <w:rPr>
          <w:rFonts w:ascii="Arial" w:cs="Arial" w:eastAsia="Arial" w:hAnsi="Arial"/>
          <w:sz w:val="18"/>
          <w:szCs w:val="18"/>
          <w:color w:val="auto"/>
        </w:rPr>
        <w:t>”. Committed Loans or Swing Line Loans bearing interest calculated by reference to the Base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A certification regarding beneficial ownership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31 C.F.R. § 1010.230.</w:t>
      </w:r>
    </w:p>
    <w:p>
      <w:pPr>
        <w:sectPr>
          <w:pgSz w:w="11900" w:h="16838" w:orient="portrait"/>
          <w:cols w:equalWidth="0" w:num="1">
            <w:col w:w="11400"/>
          </w:cols>
          <w:pgMar w:left="240" w:top="341" w:right="259" w:bottom="100" w:gutter="0" w:footer="0" w:header="0"/>
        </w:sectPr>
      </w:pPr>
    </w:p>
    <w:bookmarkStart w:id="9" w:name="page10"/>
    <w:bookmarkEnd w:id="9"/>
    <w:p>
      <w:pPr>
        <w:ind w:right="4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See Preamble.</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Committed Loans of the same Type, made, converted or continued on the same date and, in the case of Eurocurrency Loans, as to which a single Interest Period is in effect or Swing Line Loans.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Any day, other than a Saturday, Sunday or any day on which banking institutions in New York, New York are authorized by law to close, and:</w:t>
      </w:r>
    </w:p>
    <w:p>
      <w:pPr>
        <w:spacing w:after="0" w:line="170"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 used in connection with a Eurocurrency Loan:</w:t>
      </w:r>
    </w:p>
    <w:p>
      <w:pPr>
        <w:spacing w:after="0" w:line="225" w:lineRule="exact"/>
        <w:rPr>
          <w:rFonts w:ascii="Arial" w:cs="Arial" w:eastAsia="Arial" w:hAnsi="Arial"/>
          <w:sz w:val="18"/>
          <w:szCs w:val="18"/>
          <w:color w:val="auto"/>
        </w:rPr>
      </w:pPr>
    </w:p>
    <w:p>
      <w:pPr>
        <w:ind w:left="660" w:firstLine="645"/>
        <w:spacing w:after="0" w:line="259" w:lineRule="auto"/>
        <w:tabs>
          <w:tab w:leader="none" w:pos="1978"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that is also a day on which dealings in Dollar deposits are conducted by and between banks in the London interbank Eurocurrency market;</w:t>
      </w:r>
    </w:p>
    <w:p>
      <w:pPr>
        <w:spacing w:after="0" w:line="186" w:lineRule="exact"/>
        <w:rPr>
          <w:rFonts w:ascii="Arial" w:cs="Arial" w:eastAsia="Arial" w:hAnsi="Arial"/>
          <w:sz w:val="18"/>
          <w:szCs w:val="18"/>
          <w:color w:val="auto"/>
        </w:rPr>
      </w:pPr>
    </w:p>
    <w:p>
      <w:pPr>
        <w:ind w:left="660" w:firstLine="645"/>
        <w:spacing w:after="0" w:line="257" w:lineRule="auto"/>
        <w:tabs>
          <w:tab w:leader="none" w:pos="1987"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Canadian Dollars or to fundings, disbursements, settlements and payment in respect of a Eurocurrency Rate Loan denominated in Canadian Dollars, or any other dealings in Canadian Dollars to be carried out pursuant to this Agreement in respect to any such Eurocurrency Rate Loan, means any such day on which dealings in deposits in Canadian Dollars are conducted by and between banks in the interbank market for such currency other than a day on which banking institutions in Toronto, Ontario are authorized by law to close; and</w:t>
      </w:r>
    </w:p>
    <w:p>
      <w:pPr>
        <w:spacing w:after="0" w:line="188" w:lineRule="exact"/>
        <w:rPr>
          <w:rFonts w:ascii="Arial" w:cs="Arial" w:eastAsia="Arial" w:hAnsi="Arial"/>
          <w:sz w:val="18"/>
          <w:szCs w:val="18"/>
          <w:color w:val="auto"/>
        </w:rPr>
      </w:pPr>
    </w:p>
    <w:p>
      <w:pPr>
        <w:ind w:left="660" w:hanging="4"/>
        <w:spacing w:after="0" w:line="259" w:lineRule="auto"/>
        <w:tabs>
          <w:tab w:leader="none" w:pos="1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 used in connection with a Canadian Prime Rate Loan, if such day relates to any interest rate settings as to a Canadian Prime Rate Loan or to fundings, disbursements, settlements and payment in respect of a Canadian Prime Rate Loan, or any other dealings in Canadian Dollars to be carried out pursuant to this Agreement in respect to any such Canadian Prime Rate, means any such day other than a day on which banking institutions in Toronto, Ontario are authorized by law to close.</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AML Acts</w:t>
      </w:r>
      <w:r>
        <w:rPr>
          <w:rFonts w:ascii="Arial" w:cs="Arial" w:eastAsia="Arial" w:hAnsi="Arial"/>
          <w:sz w:val="18"/>
          <w:szCs w:val="18"/>
          <w:color w:val="auto"/>
        </w:rPr>
        <w:t>”. Applicable Canadian law regarding anti-money laundering, anti-terrorist financing, government sanction and “know your client” matters, including the Proceeds of Crime (Money Laundering) and Terrorist Financing Act (Canada).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Borrowers</w:t>
      </w:r>
      <w:r>
        <w:rPr>
          <w:rFonts w:ascii="Arial" w:cs="Arial" w:eastAsia="Arial" w:hAnsi="Arial"/>
          <w:sz w:val="18"/>
          <w:szCs w:val="18"/>
          <w:color w:val="auto"/>
        </w:rPr>
        <w:t>”. See Preamble.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Defined Benefit Pension Plan</w:t>
      </w:r>
      <w:r>
        <w:rPr>
          <w:rFonts w:ascii="Arial" w:cs="Arial" w:eastAsia="Arial" w:hAnsi="Arial"/>
          <w:sz w:val="18"/>
          <w:szCs w:val="18"/>
          <w:color w:val="auto"/>
        </w:rPr>
        <w:t>”. A Canadian Pension Plan that contains or has ever contained a “defined benefit provision” as such term is defined in Section 147.1(1) of the Income Tax Act (Canada).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or “</w:t>
      </w:r>
      <w:r>
        <w:rPr>
          <w:rFonts w:ascii="Arial" w:cs="Arial" w:eastAsia="Arial" w:hAnsi="Arial"/>
          <w:sz w:val="18"/>
          <w:szCs w:val="18"/>
          <w:u w:val="single" w:color="auto"/>
          <w:color w:val="auto"/>
        </w:rPr>
        <w:t>C$</w:t>
      </w:r>
      <w:r>
        <w:rPr>
          <w:rFonts w:ascii="Arial" w:cs="Arial" w:eastAsia="Arial" w:hAnsi="Arial"/>
          <w:sz w:val="18"/>
          <w:szCs w:val="18"/>
          <w:color w:val="auto"/>
        </w:rPr>
        <w:t>”. The lawful currency of Canada.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Letter of Credit</w:t>
      </w:r>
      <w:r>
        <w:rPr>
          <w:rFonts w:ascii="Arial" w:cs="Arial" w:eastAsia="Arial" w:hAnsi="Arial"/>
          <w:sz w:val="18"/>
          <w:szCs w:val="18"/>
          <w:color w:val="auto"/>
        </w:rPr>
        <w:t>”. Letters of Credit denominated in Canadian Dollars.</w:t>
      </w:r>
    </w:p>
    <w:p>
      <w:pPr>
        <w:spacing w:after="0" w:line="22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Sublimit</w:t>
      </w:r>
      <w:r>
        <w:rPr>
          <w:rFonts w:ascii="Arial" w:cs="Arial" w:eastAsia="Arial" w:hAnsi="Arial"/>
          <w:sz w:val="18"/>
          <w:szCs w:val="18"/>
          <w:color w:val="auto"/>
        </w:rPr>
        <w:t>”. An amount equal to $375,000,000. The Canadian Dollar Sublimit is part of, and not in addition to, the Total Commitments.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Letter of Credit Sublimit</w:t>
      </w:r>
      <w:r>
        <w:rPr>
          <w:rFonts w:ascii="Arial" w:cs="Arial" w:eastAsia="Arial" w:hAnsi="Arial"/>
          <w:sz w:val="18"/>
          <w:szCs w:val="18"/>
          <w:color w:val="auto"/>
        </w:rPr>
        <w:t>”. An amount equal to $150,000,000. The Canadian Letter of Credit Sublimit is part of, and not in addition to, the Total Commitments.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Plan</w:t>
      </w:r>
      <w:r>
        <w:rPr>
          <w:rFonts w:ascii="Arial" w:cs="Arial" w:eastAsia="Arial" w:hAnsi="Arial"/>
          <w:sz w:val="18"/>
          <w:szCs w:val="18"/>
          <w:color w:val="auto"/>
        </w:rPr>
        <w:t>”. A pension plan or plan that is subject to applicable pension benefits legislation in any jurisdiction of Canada and that is organized and administered to provide pensions, pension benefits or retirement benefits for employees and former employees of any Loan Party or any Subsidiary thereof.</w:t>
      </w:r>
    </w:p>
    <w:p>
      <w:pPr>
        <w:spacing w:after="0" w:line="18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Prime Rate</w:t>
      </w:r>
      <w:r>
        <w:rPr>
          <w:rFonts w:ascii="Arial" w:cs="Arial" w:eastAsia="Arial" w:hAnsi="Arial"/>
          <w:sz w:val="16"/>
          <w:szCs w:val="16"/>
          <w:color w:val="auto"/>
        </w:rPr>
        <w:t>”. For any day, a fluctuating rate per annum equal to the greater of (a) the per annum rate of interest quoted or established as the “prime rate” of the Administrative Agent which it quotes or establishes for such day as its reference rate of interest in order to determine interest rates for commercial loans in Canadian Dollars in Canada to its Canadian borrowers, and (b) the average CDOR for a 30-day term plus 0.50% per annum, adjusted automatically with each quoted or established change in such rate, all without the necessity of any notice to any Borrower or any other Person; and if the Canadian Prime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Loans</w:t>
      </w:r>
      <w:r>
        <w:rPr>
          <w:rFonts w:ascii="Arial" w:cs="Arial" w:eastAsia="Arial" w:hAnsi="Arial"/>
          <w:sz w:val="18"/>
          <w:szCs w:val="18"/>
          <w:color w:val="auto"/>
        </w:rPr>
        <w:t>”. A Loan that bears interest based on the Canadian Prime Rate.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Sanctions List</w:t>
      </w:r>
      <w:r>
        <w:rPr>
          <w:rFonts w:ascii="Arial" w:cs="Arial" w:eastAsia="Arial" w:hAnsi="Arial"/>
          <w:sz w:val="18"/>
          <w:szCs w:val="18"/>
          <w:color w:val="auto"/>
        </w:rPr>
        <w:t>”. The list of names subject to the Regulations Establishing a List of Entities made under subsection 83.05(1) of the Criminal Code (Canada), the Regulations Implementing the United Nations Resolutions on the Suppression of Terrorism and/or the United Nations Al-Qaida and Taliban Regulations as published by the Office of the Superintendent of Financial Institutions Canada.</w:t>
      </w:r>
    </w:p>
    <w:p>
      <w:pPr>
        <w:sectPr>
          <w:pgSz w:w="11900" w:h="16838" w:orient="portrait"/>
          <w:cols w:equalWidth="0" w:num="1">
            <w:col w:w="11400"/>
          </w:cols>
          <w:pgMar w:left="240" w:top="125" w:right="259" w:bottom="0" w:gutter="0" w:footer="0" w:header="0"/>
        </w:sectPr>
      </w:pPr>
    </w:p>
    <w:bookmarkStart w:id="10" w:name="page11"/>
    <w:bookmarkEnd w:id="10"/>
    <w:p>
      <w:pPr>
        <w:spacing w:after="0" w:line="3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Leases</w:t>
      </w:r>
      <w:r>
        <w:rPr>
          <w:rFonts w:ascii="Arial" w:cs="Arial" w:eastAsia="Arial" w:hAnsi="Arial"/>
          <w:sz w:val="17"/>
          <w:szCs w:val="17"/>
          <w:color w:val="auto"/>
        </w:rPr>
        <w:t>” or “</w:t>
      </w:r>
      <w:r>
        <w:rPr>
          <w:rFonts w:ascii="Arial" w:cs="Arial" w:eastAsia="Arial" w:hAnsi="Arial"/>
          <w:sz w:val="17"/>
          <w:szCs w:val="17"/>
          <w:u w:val="single" w:color="auto"/>
          <w:color w:val="auto"/>
        </w:rPr>
        <w:t>Capital Leases</w:t>
      </w:r>
      <w:r>
        <w:rPr>
          <w:rFonts w:ascii="Arial" w:cs="Arial" w:eastAsia="Arial" w:hAnsi="Arial"/>
          <w:sz w:val="17"/>
          <w:szCs w:val="17"/>
          <w:color w:val="auto"/>
        </w:rPr>
        <w:t>”. Leases under which a Person is the lessee or obligor and the discounted future rental payment obligations under which are required to be capitalized on the consolidated balance sheet of the lessee or obligor in accordance with GAAP.</w:t>
      </w:r>
    </w:p>
    <w:p>
      <w:pPr>
        <w:spacing w:after="0" w:line="14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To pledge and deposit with or deliver to the Administrative Agent, for the benefit of one or more of the Issuing Banks or the Banks, as collateral for L/C Obligations or obligations of the Banks to fund participations in respect of L/C Obligations, cash or deposit account balances or, if the Administrative Agent or applicable Issuing Bank shall agree in their sole discretion, other credit support, in each case pursuant to documentation in form and substance satisfactory to the Administrative Agent and such Issuing Bank. “Cash Collateral” shall have a meaning correlative to the foregoing and shall include the proceeds of such cash collateral and other credit support.</w:t>
      </w:r>
    </w:p>
    <w:p>
      <w:pPr>
        <w:spacing w:after="0" w:line="18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Investments in (i) direct obligations of, or unconditionally guaranteed by, the United States of America or any agency or instrumentality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full faith and credit of the United States of America is pledged in support thereof) having maturities of less than one year, (ii) U.S. Dollar-denominated time deposits, certificates of deposit and banker’s acceptances of any Bank or any other bank whose short-term commercial paper rating from Standard &amp; Poor’s is at least A-1 or from Moody’s is at least P-1 (each an “</w:t>
      </w:r>
      <w:r>
        <w:rPr>
          <w:rFonts w:ascii="Arial" w:cs="Arial" w:eastAsia="Arial" w:hAnsi="Arial"/>
          <w:sz w:val="16"/>
          <w:szCs w:val="16"/>
          <w:u w:val="single" w:color="auto"/>
          <w:color w:val="auto"/>
        </w:rPr>
        <w:t>Approved Bank</w:t>
      </w:r>
      <w:r>
        <w:rPr>
          <w:rFonts w:ascii="Arial" w:cs="Arial" w:eastAsia="Arial" w:hAnsi="Arial"/>
          <w:sz w:val="16"/>
          <w:szCs w:val="16"/>
          <w:color w:val="auto"/>
        </w:rPr>
        <w:t>”) with maturities of not more than one year from the date of investment, (iii) commercial paper issued by, or guaranteed by, an Approved Bank or by the parent company of an Approved Bank, or issued by, or guaranteed by, any company with a short-term debt rating of at least A-1 by Standard &amp; Poor’s and P-1 by Moody’s, in each case maturing within one year from the date of investment, (iv) repurchase agreements with a term of less than one year for underlying securities of the types described in</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clauses (ii) and (iii) entered into with an Approved Bank, (v) variable rate demand notes with a put option no longer than seven days from date of purchase to the extent backed by letters of credit issued by banks having a credit rating of at least A1 from Moody’s or P1 from Standard &amp; Poor’s; (vi) municipal securities rated at least A1 by Moody’s or P-1 by Standard &amp; Poor’s with a maturity of one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year or less; (vii) any money market fund that meets the requirements of Rule 2a-7 (c) (2), (3) and (4) promulgated under the Investment Company Act of 1940, as amended; and (viii) any other fund or funds making substantially all of their Investments in Investments of the kinds described in clauses (i) through (vi) above.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§6.15(a)</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Certified</w:t>
      </w:r>
      <w:r>
        <w:rPr>
          <w:rFonts w:ascii="Arial" w:cs="Arial" w:eastAsia="Arial" w:hAnsi="Arial"/>
          <w:sz w:val="18"/>
          <w:szCs w:val="18"/>
          <w:color w:val="auto"/>
        </w:rPr>
        <w:t>” or “</w:t>
      </w:r>
      <w:r>
        <w:rPr>
          <w:rFonts w:ascii="Arial" w:cs="Arial" w:eastAsia="Arial" w:hAnsi="Arial"/>
          <w:sz w:val="18"/>
          <w:szCs w:val="18"/>
          <w:u w:val="single" w:color="auto"/>
          <w:color w:val="auto"/>
        </w:rPr>
        <w:t>certified</w:t>
      </w:r>
      <w:r>
        <w:rPr>
          <w:rFonts w:ascii="Arial" w:cs="Arial" w:eastAsia="Arial" w:hAnsi="Arial"/>
          <w:sz w:val="18"/>
          <w:szCs w:val="18"/>
          <w:color w:val="auto"/>
        </w:rPr>
        <w:t>”.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CFO</w:t>
      </w:r>
      <w:r>
        <w:rPr>
          <w:rFonts w:ascii="Arial" w:cs="Arial" w:eastAsia="Arial" w:hAnsi="Arial"/>
          <w:sz w:val="18"/>
          <w:szCs w:val="18"/>
          <w:color w:val="auto"/>
        </w:rPr>
        <w:t>”or “</w:t>
      </w:r>
      <w:r>
        <w:rPr>
          <w:rFonts w:ascii="Arial" w:cs="Arial" w:eastAsia="Arial" w:hAnsi="Arial"/>
          <w:sz w:val="18"/>
          <w:szCs w:val="18"/>
          <w:u w:val="single" w:color="auto"/>
          <w:color w:val="auto"/>
        </w:rPr>
        <w:t>CAO</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§7.4(b)</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Canada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Committed Loans or Swing Line Loans.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and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Committed Loans</w:t>
      </w:r>
      <w:r>
        <w:rPr>
          <w:rFonts w:ascii="Arial" w:cs="Arial" w:eastAsia="Arial" w:hAnsi="Arial"/>
          <w:sz w:val="16"/>
          <w:szCs w:val="16"/>
          <w:color w:val="auto"/>
        </w:rPr>
        <w:t>”. A Borrowing hereunder consisting of one or more loans made by the Banks to a Borrower under the procedures described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§2.1</w:t>
      </w:r>
      <w:r>
        <w:rPr>
          <w:rFonts w:ascii="Arial" w:cs="Arial" w:eastAsia="Arial" w:hAnsi="Arial"/>
          <w:sz w:val="18"/>
          <w:szCs w:val="18"/>
          <w:color w:val="auto"/>
        </w:rPr>
        <w:t>.</w:t>
      </w:r>
    </w:p>
    <w:p>
      <w:pPr>
        <w:spacing w:after="0" w:line="211" w:lineRule="exact"/>
        <w:rPr>
          <w:sz w:val="20"/>
          <w:szCs w:val="20"/>
          <w:color w:val="auto"/>
        </w:rPr>
      </w:pPr>
    </w:p>
    <w:p>
      <w:pPr>
        <w:ind w:right="180" w:firstLine="68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Notice</w:t>
      </w:r>
      <w:r>
        <w:rPr>
          <w:rFonts w:ascii="Arial" w:cs="Arial" w:eastAsia="Arial" w:hAnsi="Arial"/>
          <w:sz w:val="18"/>
          <w:szCs w:val="18"/>
          <w:color w:val="auto"/>
        </w:rPr>
        <w:t xml:space="preserve">”. A notice of (a) a Borrowing, (b) a conversion of Committed Loans from one Type to the other, or (c) a continuation of Eurocurrency Rate Loans, pursuant to </w:t>
      </w:r>
      <w:r>
        <w:rPr>
          <w:rFonts w:ascii="Arial" w:cs="Arial" w:eastAsia="Arial" w:hAnsi="Arial"/>
          <w:sz w:val="18"/>
          <w:szCs w:val="18"/>
          <w:u w:val="single" w:color="auto"/>
          <w:color w:val="auto"/>
        </w:rPr>
        <w:t>§2.4.1</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an authorized officer of the Company.</w:t>
      </w:r>
    </w:p>
    <w:p>
      <w:pPr>
        <w:spacing w:after="0" w:line="187"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With respect to each Bank, such Bank’s commitment to make Committed Loans to, and to participate in Swing Line Loans and Letters of Credit for the account of, the Borrowers, determined by multiplying such Bank’s Commitment Percentage by the Total Commitment.</w:t>
      </w:r>
    </w:p>
    <w:p>
      <w:pPr>
        <w:spacing w:after="0" w:line="147"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Percentage</w:t>
      </w:r>
      <w:r>
        <w:rPr>
          <w:rFonts w:ascii="Arial" w:cs="Arial" w:eastAsia="Arial" w:hAnsi="Arial"/>
          <w:sz w:val="16"/>
          <w:szCs w:val="16"/>
          <w:color w:val="auto"/>
        </w:rPr>
        <w:t xml:space="preserve">”. With respect to any Bank at any time, the percentage (carried out to the ninth decimal place) of the Total Commitment represented by such Bank’s Commitment at such time, as the same may be adjusted in accordance with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If the commitment of a Bank to make Committed Loans and the obligation of the Issuing Banks to issue, extend and renew Letters of Credit have been terminated pursuant to </w:t>
      </w:r>
      <w:r>
        <w:rPr>
          <w:rFonts w:ascii="Arial" w:cs="Arial" w:eastAsia="Arial" w:hAnsi="Arial"/>
          <w:sz w:val="16"/>
          <w:szCs w:val="16"/>
          <w:u w:val="single" w:color="auto"/>
          <w:color w:val="auto"/>
        </w:rPr>
        <w:t>§12.2</w:t>
      </w:r>
      <w:r>
        <w:rPr>
          <w:rFonts w:ascii="Arial" w:cs="Arial" w:eastAsia="Arial" w:hAnsi="Arial"/>
          <w:sz w:val="16"/>
          <w:szCs w:val="16"/>
          <w:color w:val="auto"/>
        </w:rPr>
        <w:t xml:space="preserve"> or otherwise, then the Commitment Percentage of each Bank shall be determined based on the Commitment Percentage of such Bank most recently in effect, giving effect to any subsequent assignments. The initial Commitment Percentage of each Bank is set forth opposite the 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such Bank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or in the Assignment and Assumption pursuant to which such Bank becomes a party hereto,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See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§7.4(c)</w:t>
      </w:r>
      <w:r>
        <w:rPr>
          <w:rFonts w:ascii="Arial" w:cs="Arial" w:eastAsia="Arial" w:hAnsi="Arial"/>
          <w:sz w:val="18"/>
          <w:szCs w:val="18"/>
          <w:color w:val="auto"/>
        </w:rPr>
        <w:t>.</w:t>
      </w:r>
    </w:p>
    <w:p>
      <w:pPr>
        <w:sectPr>
          <w:pgSz w:w="11900" w:h="16874" w:orient="portrait"/>
          <w:cols w:equalWidth="0" w:num="1">
            <w:col w:w="11420"/>
          </w:cols>
          <w:pgMar w:left="240" w:top="125" w:right="239" w:bottom="0" w:gutter="0" w:footer="0" w:header="0"/>
        </w:sectPr>
      </w:pPr>
    </w:p>
    <w:bookmarkStart w:id="11" w:name="page12"/>
    <w:bookmarkEnd w:id="11"/>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Other Connection Taxes that are imposed on or measured by net income (however denominated) or that are franchise Taxes or branch profits Taxes.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or “</w:t>
      </w:r>
      <w:r>
        <w:rPr>
          <w:rFonts w:ascii="Arial" w:cs="Arial" w:eastAsia="Arial" w:hAnsi="Arial"/>
          <w:sz w:val="18"/>
          <w:szCs w:val="18"/>
          <w:u w:val="single" w:color="auto"/>
          <w:color w:val="auto"/>
        </w:rPr>
        <w:t>consolidated</w:t>
      </w:r>
      <w:r>
        <w:rPr>
          <w:rFonts w:ascii="Arial" w:cs="Arial" w:eastAsia="Arial" w:hAnsi="Arial"/>
          <w:sz w:val="18"/>
          <w:szCs w:val="18"/>
          <w:color w:val="auto"/>
        </w:rPr>
        <w:t>”. With reference to any term defined herein, shall mean that term as applied to the accounts of the Company, its Subsidiaries and all variable interest entities consolidated in accordance with GAAP.</w:t>
      </w:r>
    </w:p>
    <w:p>
      <w:pPr>
        <w:spacing w:after="0" w:line="170" w:lineRule="exact"/>
        <w:rPr>
          <w:sz w:val="20"/>
          <w:szCs w:val="20"/>
          <w:color w:val="auto"/>
        </w:rPr>
      </w:pPr>
    </w:p>
    <w:p>
      <w:pPr>
        <w:jc w:val="both"/>
        <w:ind w:right="4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Earnings Before Interest and Taxes</w:t>
      </w:r>
      <w:r>
        <w:rPr>
          <w:rFonts w:ascii="Arial" w:cs="Arial" w:eastAsia="Arial" w:hAnsi="Arial"/>
          <w:sz w:val="16"/>
          <w:szCs w:val="16"/>
          <w:color w:val="auto"/>
        </w:rPr>
        <w:t>” or “</w:t>
      </w:r>
      <w:r>
        <w:rPr>
          <w:rFonts w:ascii="Arial" w:cs="Arial" w:eastAsia="Arial" w:hAnsi="Arial"/>
          <w:sz w:val="16"/>
          <w:szCs w:val="16"/>
          <w:u w:val="single" w:color="auto"/>
          <w:color w:val="auto"/>
        </w:rPr>
        <w:t>EBIT</w:t>
      </w:r>
      <w:r>
        <w:rPr>
          <w:rFonts w:ascii="Arial" w:cs="Arial" w:eastAsia="Arial" w:hAnsi="Arial"/>
          <w:sz w:val="16"/>
          <w:szCs w:val="16"/>
          <w:color w:val="auto"/>
        </w:rPr>
        <w:t xml:space="preserve">”. For any period, the Consolidated Net Income (or Deficit) of the Company on a consolidated basis </w:t>
      </w:r>
      <w:r>
        <w:rPr>
          <w:rFonts w:ascii="Arial" w:cs="Arial" w:eastAsia="Arial" w:hAnsi="Arial"/>
          <w:sz w:val="16"/>
          <w:szCs w:val="16"/>
          <w:u w:val="single" w:color="auto"/>
          <w:color w:val="auto"/>
        </w:rPr>
        <w:t>plus</w:t>
      </w:r>
      <w:r>
        <w:rPr>
          <w:rFonts w:ascii="Arial" w:cs="Arial" w:eastAsia="Arial" w:hAnsi="Arial"/>
          <w:sz w:val="16"/>
          <w:szCs w:val="16"/>
          <w:color w:val="auto"/>
        </w:rPr>
        <w:t>, without duplication, the sum of (1) interest expense, (2) equity in losses (earnings) of unconsolidated entities, (3) income taxes,</w:t>
      </w:r>
    </w:p>
    <w:p>
      <w:pPr>
        <w:ind w:firstLine="8"/>
        <w:spacing w:after="0" w:line="252"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non-cash write-downs or write-offs of assets, including non-cash losses on the sale of assets outside the ordinary course of business, (5) losses attributable to the extinguishment of Indebtedness and (6) EBIT of the businesses acquired by the Company or any of its Subsidiaries (through asset purchases or otherwise) (each an “</w:t>
      </w:r>
      <w:r>
        <w:rPr>
          <w:rFonts w:ascii="Arial" w:cs="Arial" w:eastAsia="Arial" w:hAnsi="Arial"/>
          <w:sz w:val="18"/>
          <w:szCs w:val="18"/>
          <w:u w:val="single" w:color="auto"/>
          <w:color w:val="auto"/>
        </w:rPr>
        <w:t>Acquired Business</w:t>
      </w:r>
      <w:r>
        <w:rPr>
          <w:rFonts w:ascii="Arial" w:cs="Arial" w:eastAsia="Arial" w:hAnsi="Arial"/>
          <w:sz w:val="18"/>
          <w:szCs w:val="18"/>
          <w:color w:val="auto"/>
        </w:rPr>
        <w:t>”) or the Subsidiaries acquired or formed since the beginning of such period (each a “</w:t>
      </w:r>
      <w:r>
        <w:rPr>
          <w:rFonts w:ascii="Arial" w:cs="Arial" w:eastAsia="Arial" w:hAnsi="Arial"/>
          <w:sz w:val="18"/>
          <w:szCs w:val="18"/>
          <w:u w:val="single" w:color="auto"/>
          <w:color w:val="auto"/>
        </w:rPr>
        <w:t>New Subsidiary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statement identifying all such Acquired Businesses and the EBIT of such Acquired Businesses is delivered to the Banks with the Compliance Certificate for such period, all to the extent that each of items (1) through (5) was deducted in determining Consolidated Net Income (or Deficit) in the relevant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non-cash extraordinary gains on the sale of assets outside the ordinary course of business to the extent included in Consolidated Net Income (or Deficit).</w:t>
      </w:r>
    </w:p>
    <w:p>
      <w:pPr>
        <w:spacing w:after="0" w:line="19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Earnings Before Interest, Taxes, Depreciation and Amortization</w:t>
      </w:r>
      <w:r>
        <w:rPr>
          <w:rFonts w:ascii="Arial" w:cs="Arial" w:eastAsia="Arial" w:hAnsi="Arial"/>
          <w:sz w:val="18"/>
          <w:szCs w:val="18"/>
          <w:color w:val="auto"/>
        </w:rPr>
        <w:t>” or “</w:t>
      </w:r>
      <w:r>
        <w:rPr>
          <w:rFonts w:ascii="Arial" w:cs="Arial" w:eastAsia="Arial" w:hAnsi="Arial"/>
          <w:sz w:val="18"/>
          <w:szCs w:val="18"/>
          <w:u w:val="single" w:color="auto"/>
          <w:color w:val="auto"/>
        </w:rPr>
        <w:t>EBITDA</w:t>
      </w:r>
      <w:r>
        <w:rPr>
          <w:rFonts w:ascii="Arial" w:cs="Arial" w:eastAsia="Arial" w:hAnsi="Arial"/>
          <w:sz w:val="18"/>
          <w:szCs w:val="18"/>
          <w:color w:val="auto"/>
        </w:rPr>
        <w:t xml:space="preserve">”. For any period, EBIT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depreciation expense, and (b) amortization expense to the extent the same would be included in the calculation of Consolidated Net Income (or Deficit) for such period, determined in accordance with GAAP.</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 (or Deficit)</w:t>
      </w:r>
      <w:r>
        <w:rPr>
          <w:rFonts w:ascii="Arial" w:cs="Arial" w:eastAsia="Arial" w:hAnsi="Arial"/>
          <w:sz w:val="18"/>
          <w:szCs w:val="18"/>
          <w:color w:val="auto"/>
        </w:rPr>
        <w:t>”. The consolidated net income (or deficit) of the Company on a consolidated basis, after deduction of all expenses, taxes, and other proper charges, determined in accordance with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Consolidated Total Assets less the sum of:</w:t>
      </w:r>
    </w:p>
    <w:p>
      <w:pPr>
        <w:spacing w:after="0" w:line="225" w:lineRule="exact"/>
        <w:rPr>
          <w:sz w:val="20"/>
          <w:szCs w:val="20"/>
          <w:color w:val="auto"/>
        </w:rPr>
      </w:pPr>
    </w:p>
    <w:p>
      <w:pPr>
        <w:ind w:left="660" w:right="220" w:firstLine="645"/>
        <w:spacing w:after="0" w:line="286" w:lineRule="auto"/>
        <w:tabs>
          <w:tab w:leader="none" w:pos="1954"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total book value of all assets of the Company on a consolidated basis properly classified as intangible assets under GAAP, including such items as goodwill, the purchase price of acquired assets in excess of the fair market value thereof, trademarks, trade names, service marks, customer lists, brand names, copyrights, patents and licenses, and rights with respect to the foregoing; </w:t>
      </w:r>
      <w:r>
        <w:rPr>
          <w:rFonts w:ascii="Arial" w:cs="Arial" w:eastAsia="Arial" w:hAnsi="Arial"/>
          <w:sz w:val="17"/>
          <w:szCs w:val="17"/>
          <w:u w:val="single" w:color="auto"/>
          <w:color w:val="auto"/>
        </w:rPr>
        <w:t>plus</w:t>
      </w:r>
    </w:p>
    <w:p>
      <w:pPr>
        <w:spacing w:after="0" w:line="165" w:lineRule="exact"/>
        <w:rPr>
          <w:rFonts w:ascii="Arial" w:cs="Arial" w:eastAsia="Arial" w:hAnsi="Arial"/>
          <w:sz w:val="17"/>
          <w:szCs w:val="17"/>
          <w:color w:val="auto"/>
        </w:rPr>
      </w:pPr>
    </w:p>
    <w:p>
      <w:pPr>
        <w:ind w:left="660" w:right="340" w:firstLine="645"/>
        <w:spacing w:after="0" w:line="277" w:lineRule="auto"/>
        <w:tabs>
          <w:tab w:leader="none" w:pos="1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amounts representing any write-up in the book value of any assets of the Company on a consolidated basis resulting from a revaluation thereof subsequent to the Balance Sheet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All assets of the Company determined on a consolidated basis in accordance with GAAP.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Each of the following: (a) a Borrowing and (b) an L/C Credit Extension.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The Bankruptcy Code of the United States, the Bankruptcy and Insolvency Act (Canada), the Companies’ Creditors Arrangement Act (Canada), the Winding-Up and Restructuring Act (Canada),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Bank</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§2.17</w:t>
      </w:r>
      <w:r>
        <w:rPr>
          <w:rFonts w:ascii="Arial" w:cs="Arial" w:eastAsia="Arial" w:hAnsi="Arial"/>
          <w:sz w:val="16"/>
          <w:szCs w:val="16"/>
          <w:color w:val="auto"/>
        </w:rPr>
        <w:t>, any Bank that (a) has failed to (i) perform all or any portion of its funding obligations hereunder, including in respect of Loans or participations in respect of Letters of Credit or Swing Line Loans within three Business Days of the date required to be funded by it hereunder unless such Bank notifies the Administrative Agent and the Company in writing that such failure is the result of such Bank’s determination that one or more conditions precedent to funding (each of which conditions precedent, together with any applicable default, shall be specifically identified in such writing) has not been satisfied, or (ii) pay to Administrative Agent, any Issuing Bank, the Swing Line Bank or any other Bank any other amount required to be paid by it hereunder (including in respect of its participation in Letters of Credit or Swing Line Loans) within three Business Days of the date when due,</w:t>
      </w:r>
    </w:p>
    <w:p>
      <w:pPr>
        <w:spacing w:after="0" w:line="5" w:lineRule="exact"/>
        <w:rPr>
          <w:sz w:val="20"/>
          <w:szCs w:val="20"/>
          <w:color w:val="auto"/>
        </w:rPr>
      </w:pPr>
    </w:p>
    <w:p>
      <w:pPr>
        <w:ind w:firstLine="8"/>
        <w:spacing w:after="0" w:line="281"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has notified the Company, the Administrative Agent or any Bank that it does not intend to comply with its funding obligations or has made a public statement to that effect with respect to its funding obligations hereunder or under other agreements generally in which it commits to extend credit (unless such writing or public statement relates to such Bank’s obligation to fund a Loan hereunder and states that such position is based on such Bank’s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to confirm in writing to the Administrative Agent that it will comply with its funding obligations (provided that such Bank shall cease to be a Defaulting Bank pursuant to this clause</w:t>
      </w:r>
    </w:p>
    <w:p>
      <w:pPr>
        <w:spacing w:after="0" w:line="4" w:lineRule="exact"/>
        <w:rPr>
          <w:rFonts w:ascii="Arial" w:cs="Arial" w:eastAsia="Arial" w:hAnsi="Arial"/>
          <w:sz w:val="16"/>
          <w:szCs w:val="16"/>
          <w:color w:val="auto"/>
        </w:rPr>
      </w:pPr>
    </w:p>
    <w:p>
      <w:pPr>
        <w:ind w:right="60" w:firstLine="8"/>
        <w:spacing w:after="0" w:line="267" w:lineRule="auto"/>
        <w:tabs>
          <w:tab w:leader="none" w:pos="24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upon receipt of such written confirmation by the Administrative Agent),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Bank shall not be a Defaulting Bank solely by virtue of the ownership or acquisition of any equity interest in that Bank or any direct or indirect parent company thereof by a governmental agency so long as such ownership interest does not result in or provide such Bank with immunity from the jurisdiction of courts within the United States or from enforcement of judgments or writs of attachment on its assets or permit such Bank (or governmental agency) to reject, repudiate, disavow or disaffirm any contracts or agreements made with such Bank. Any determination by the Administrative Agent that a Bank is a Defaulting Bank under clauses (a) through (d) above, and of the effective date of such status, shall be conclusive and binding absent manifest error, and such Bank shall be deemed to be a Defaulting Bank (subject to </w:t>
      </w:r>
      <w:r>
        <w:rPr>
          <w:rFonts w:ascii="Arial" w:cs="Arial" w:eastAsia="Arial" w:hAnsi="Arial"/>
          <w:sz w:val="17"/>
          <w:szCs w:val="17"/>
          <w:u w:val="single" w:color="auto"/>
          <w:color w:val="auto"/>
        </w:rPr>
        <w:t>§2.17</w:t>
      </w:r>
      <w:r>
        <w:rPr>
          <w:rFonts w:ascii="Arial" w:cs="Arial" w:eastAsia="Arial" w:hAnsi="Arial"/>
          <w:sz w:val="17"/>
          <w:szCs w:val="17"/>
          <w:color w:val="auto"/>
        </w:rPr>
        <w:t>) as of the date established therefor by the Administrative Agent in a written notice of such determination, which shall be delivered by the Administrative Agent to the Company, each Issuing Bank, the Swing Line Bank and each Bank promptly following such determination.</w:t>
      </w:r>
    </w:p>
    <w:p>
      <w:pPr>
        <w:spacing w:after="0" w:line="18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(a) When used with respect to Obligations other than Letter of Credit Fees, an interest rate equal to (i)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for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 Loan denominated in Canadian Dollars, the Default Rate shall be an interest rate equal to the interest rate (including any Applicable Rate) otherwise applicable to such Loan plus 2% per annum, and (b) when used with respect to Letter of Credit Fees, a rate equal to the Applicable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w:t>
      </w:r>
    </w:p>
    <w:p>
      <w:pPr>
        <w:sectPr>
          <w:pgSz w:w="11900" w:h="16838" w:orient="portrait"/>
          <w:cols w:equalWidth="0" w:num="1">
            <w:col w:w="11400"/>
          </w:cols>
          <w:pgMar w:left="240" w:top="341" w:right="259" w:bottom="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Defaults</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§12.1</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Any country, region or territory to the extent that such country, region or territory itself is, or whose government is, the subject of any Sanction.</w:t>
      </w:r>
    </w:p>
    <w:p>
      <w:pPr>
        <w:spacing w:after="0" w:line="170"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Disclosure Documents</w:t>
      </w:r>
      <w:r>
        <w:rPr>
          <w:rFonts w:ascii="Arial" w:cs="Arial" w:eastAsia="Arial" w:hAnsi="Arial"/>
          <w:sz w:val="17"/>
          <w:szCs w:val="17"/>
          <w:color w:val="auto"/>
        </w:rPr>
        <w:t xml:space="preserve">”. The Company’s financial statements referred to in </w:t>
      </w:r>
      <w:r>
        <w:rPr>
          <w:rFonts w:ascii="Arial" w:cs="Arial" w:eastAsia="Arial" w:hAnsi="Arial"/>
          <w:sz w:val="17"/>
          <w:szCs w:val="17"/>
          <w:u w:val="single" w:color="auto"/>
          <w:color w:val="auto"/>
        </w:rPr>
        <w:t>§6.4</w:t>
      </w:r>
      <w:r>
        <w:rPr>
          <w:rFonts w:ascii="Arial" w:cs="Arial" w:eastAsia="Arial" w:hAnsi="Arial"/>
          <w:sz w:val="17"/>
          <w:szCs w:val="17"/>
          <w:color w:val="auto"/>
        </w:rPr>
        <w:t xml:space="preserve"> and filings made by the Company or the Guarantor with the Securities and Exchange Commission that were publicly available prior to the Effective Date which were provided to the Banks.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Disposal</w:t>
      </w:r>
      <w:r>
        <w:rPr>
          <w:rFonts w:ascii="Arial" w:cs="Arial" w:eastAsia="Arial" w:hAnsi="Arial"/>
          <w:sz w:val="18"/>
          <w:szCs w:val="18"/>
          <w:color w:val="auto"/>
        </w:rPr>
        <w:t>” or “</w:t>
      </w:r>
      <w:r>
        <w:rPr>
          <w:rFonts w:ascii="Arial" w:cs="Arial" w:eastAsia="Arial" w:hAnsi="Arial"/>
          <w:sz w:val="18"/>
          <w:szCs w:val="18"/>
          <w:u w:val="single" w:color="auto"/>
          <w:color w:val="auto"/>
        </w:rPr>
        <w:t>Disposed</w:t>
      </w:r>
      <w:r>
        <w:rPr>
          <w:rFonts w:ascii="Arial" w:cs="Arial" w:eastAsia="Arial" w:hAnsi="Arial"/>
          <w:sz w:val="18"/>
          <w:szCs w:val="18"/>
          <w:color w:val="auto"/>
        </w:rPr>
        <w:t>”. See “Release”.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The declaration or payment of any dividend or other return on equity on or in respect of any shares of any class of capital stock, any partnership interests or any membership interests of any Person (other than dividends or other such returns payable solely in shares of capital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or “</w:t>
      </w:r>
      <w:r>
        <w:rPr>
          <w:rFonts w:ascii="Arial" w:cs="Arial" w:eastAsia="Arial" w:hAnsi="Arial"/>
          <w:sz w:val="18"/>
          <w:szCs w:val="18"/>
          <w:u w:val="single" w:color="auto"/>
          <w:color w:val="auto"/>
        </w:rPr>
        <w:t>U.S. Dollars</w:t>
      </w:r>
      <w:r>
        <w:rPr>
          <w:rFonts w:ascii="Arial" w:cs="Arial" w:eastAsia="Arial" w:hAnsi="Arial"/>
          <w:sz w:val="18"/>
          <w:szCs w:val="18"/>
          <w:color w:val="auto"/>
        </w:rPr>
        <w:t>”. The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Drawdown Date</w:t>
      </w:r>
      <w:r>
        <w:rPr>
          <w:rFonts w:ascii="Arial" w:cs="Arial" w:eastAsia="Arial" w:hAnsi="Arial"/>
          <w:sz w:val="17"/>
          <w:szCs w:val="17"/>
          <w:color w:val="auto"/>
        </w:rPr>
        <w:t>”. The date on which any Loan is made or is to be made, or any amount is paid by an Issuing Bank under a Letter of Credit.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w:t>
      </w:r>
      <w:r>
        <w:rPr>
          <w:rFonts w:ascii="Arial" w:cs="Arial" w:eastAsia="Arial" w:hAnsi="Arial"/>
          <w:sz w:val="18"/>
          <w:szCs w:val="18"/>
          <w:color w:val="auto"/>
        </w:rPr>
        <w:t>”. See definition of Consolidated Earnings Before Interest and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See definition of Consolidated Earnings Before Interest, Taxes, Depreciation and Amortization.</w:t>
      </w:r>
    </w:p>
    <w:p>
      <w:pPr>
        <w:spacing w:after="0" w:line="225"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Any of the member states of the European Union, Iceland, Liechtenstein, and Norway.</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date on which the conditions precedent set forth in </w:t>
      </w:r>
      <w:r>
        <w:rPr>
          <w:rFonts w:ascii="Arial" w:cs="Arial" w:eastAsia="Arial" w:hAnsi="Arial"/>
          <w:sz w:val="18"/>
          <w:szCs w:val="18"/>
          <w:u w:val="single" w:color="auto"/>
          <w:color w:val="auto"/>
        </w:rPr>
        <w:t>§10.1</w:t>
      </w:r>
      <w:r>
        <w:rPr>
          <w:rFonts w:ascii="Arial" w:cs="Arial" w:eastAsia="Arial" w:hAnsi="Arial"/>
          <w:sz w:val="18"/>
          <w:szCs w:val="18"/>
          <w:color w:val="auto"/>
        </w:rPr>
        <w:t xml:space="preserve"> hereof are satisfied.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Elevated Leverage Ratio Period</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§9</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Any employee benefit plan within the meaning of §3(3) of ERISA maintained or contributed to by the Company, any of its Subsidiaries, or any ERISA Affiliate, other than a Multiemployer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§6.15(a)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EPA</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§6.15(b)</w:t>
      </w:r>
      <w:r>
        <w:rPr>
          <w:rFonts w:ascii="Arial" w:cs="Arial" w:eastAsia="Arial" w:hAnsi="Arial"/>
          <w:sz w:val="18"/>
          <w:szCs w:val="18"/>
          <w:color w:val="auto"/>
        </w:rPr>
        <w:t>.</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and in effect from time to time, and the rules and regulations promulgated thereunder.</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Any Person which is treated as a single employer, member of a controlled group, or under common control with the Company or any of its Subsidiaries under §412, §414 or §430 of the Code.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Reportable Event</w:t>
      </w:r>
      <w:r>
        <w:rPr>
          <w:rFonts w:ascii="Arial" w:cs="Arial" w:eastAsia="Arial" w:hAnsi="Arial"/>
          <w:sz w:val="18"/>
          <w:szCs w:val="18"/>
          <w:color w:val="auto"/>
        </w:rPr>
        <w:t>”. A reportable event within the meaning of §4043 of ERISA and the regulations promulgated thereunder with respect to a Guaranteed Pension Plan irrespective of whether or not the requirement of notice has been waived.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any Credit Extension:</w:t>
      </w:r>
    </w:p>
    <w:p>
      <w:pPr>
        <w:spacing w:after="0" w:line="225" w:lineRule="exact"/>
        <w:rPr>
          <w:sz w:val="20"/>
          <w:szCs w:val="20"/>
          <w:color w:val="auto"/>
        </w:rPr>
      </w:pPr>
    </w:p>
    <w:p>
      <w:pPr>
        <w:ind w:firstLine="656"/>
        <w:spacing w:after="0" w:line="257" w:lineRule="auto"/>
        <w:tabs>
          <w:tab w:leader="none" w:pos="13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denominated in a U.S. Dollars,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w:t>
      </w:r>
    </w:p>
    <w:p>
      <w:pPr>
        <w:sectPr>
          <w:pgSz w:w="11900" w:h="16838" w:orient="portrait"/>
          <w:cols w:equalWidth="0" w:num="1">
            <w:col w:w="11400"/>
          </w:cols>
          <w:pgMar w:left="240" w:top="125" w:right="259" w:bottom="0" w:gutter="0" w:footer="0" w:header="0"/>
        </w:sectPr>
      </w:pPr>
    </w:p>
    <w:bookmarkStart w:id="13" w:name="page14"/>
    <w:bookmarkEnd w:id="13"/>
    <w:p>
      <w:pPr>
        <w:spacing w:after="0" w:line="114" w:lineRule="exact"/>
        <w:rPr>
          <w:sz w:val="20"/>
          <w:szCs w:val="20"/>
          <w:color w:val="auto"/>
        </w:rPr>
      </w:pPr>
    </w:p>
    <w:p>
      <w:pPr>
        <w:ind w:right="40" w:firstLine="656"/>
        <w:spacing w:after="0" w:line="302" w:lineRule="auto"/>
        <w:tabs>
          <w:tab w:leader="none" w:pos="1327"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denominated in Canadian dollars, the rate per annum equal to the Canadian Dollar Offered Rate (“</w:t>
      </w:r>
      <w:r>
        <w:rPr>
          <w:rFonts w:ascii="Arial" w:cs="Arial" w:eastAsia="Arial" w:hAnsi="Arial"/>
          <w:sz w:val="16"/>
          <w:szCs w:val="16"/>
          <w:u w:val="single" w:color="auto"/>
          <w:color w:val="auto"/>
        </w:rPr>
        <w:t>CDOR</w:t>
      </w:r>
      <w:r>
        <w:rPr>
          <w:rFonts w:ascii="Arial" w:cs="Arial" w:eastAsia="Arial" w:hAnsi="Arial"/>
          <w:sz w:val="16"/>
          <w:szCs w:val="16"/>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10:00 a.m., Toronto, Ontario time, on the first day of such Interest Period (or if such day is not a Business Day, then on the immediately preceding Business Day) with a term equivalent to such Interest Period;</w:t>
      </w:r>
    </w:p>
    <w:p>
      <w:pPr>
        <w:spacing w:after="0" w:line="154" w:lineRule="exact"/>
        <w:rPr>
          <w:sz w:val="20"/>
          <w:szCs w:val="20"/>
          <w:color w:val="auto"/>
        </w:rPr>
      </w:pPr>
    </w:p>
    <w:p>
      <w:pPr>
        <w:ind w:right="200" w:firstLine="656"/>
        <w:spacing w:after="0" w:line="277" w:lineRule="auto"/>
        <w:tabs>
          <w:tab w:leader="none" w:pos="1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any rate calculation with respect to a Base Rate Loan on any date, the rate per annum equal to LIBOR, at or about 11:00 a.m., London time determined two Business Days prior to such date for U.S. Dollar deposits with a term of one month commencing that day;</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 comparable or successor rate is approved by the Administrative Agent in connection with any rate set forth in this definition, the approved rate shall be applied in a manner consistent with market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to the extent such market practice is not administratively feasible for the Administrative Agent, such approved rate shall be applied in a manner as otherwise reasonably determined by the Administrative Agent; and if the Eurocurrency Rate shall be less than zero, such rate shall be deemed zero for purposes of this Agreement. The Administrative Agent does not warrant, nor accept responsibility, nor shall the Administrative Agent have any liability with respect to the administration, submission or any other matter related to the rates in the definition of “Eurocurrency Rate” or with respect to any comparable or successor rate thereto.</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xml:space="preserve">”. A Committed Loan that bears interest at a rate based on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“Eurocurrency Rate”.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Eurocurrency Rate Loans may be denominated in Dollars or in Canadian Dollars.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§12.1</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Bank, its Lending Office located in, the jurisdiction imposing such Tax (or any political subdivision thereof) or (ii) that are Other Connection Taxes, (b) in the case of a Bank, U.S. federal withholding Taxes imposed on amounts payable to or for the account of such Bank with respect to an applicable interest in a Loan or Commitment pursuant to a law in effect on the date on which (i) such Bank acquires such interest in the Loan or Commitment (other than pursuant to an assignment request by the Company under </w:t>
      </w:r>
      <w:r>
        <w:rPr>
          <w:rFonts w:ascii="Arial" w:cs="Arial" w:eastAsia="Arial" w:hAnsi="Arial"/>
          <w:sz w:val="18"/>
          <w:szCs w:val="18"/>
          <w:u w:val="single" w:color="auto"/>
          <w:color w:val="auto"/>
        </w:rPr>
        <w:t>§2.18</w:t>
      </w:r>
      <w:r>
        <w:rPr>
          <w:rFonts w:ascii="Arial" w:cs="Arial" w:eastAsia="Arial" w:hAnsi="Arial"/>
          <w:sz w:val="18"/>
          <w:szCs w:val="18"/>
          <w:color w:val="auto"/>
        </w:rPr>
        <w:t>) or (ii) such Bank changes its Lending Office, except in each case to the extent that, pursuant to §</w:t>
      </w:r>
      <w:r>
        <w:rPr>
          <w:rFonts w:ascii="Arial" w:cs="Arial" w:eastAsia="Arial" w:hAnsi="Arial"/>
          <w:sz w:val="18"/>
          <w:szCs w:val="18"/>
          <w:u w:val="single" w:color="auto"/>
          <w:color w:val="auto"/>
        </w:rPr>
        <w:t>3.1.1(b)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§3.1.3</w:t>
      </w:r>
      <w:r>
        <w:rPr>
          <w:rFonts w:ascii="Arial" w:cs="Arial" w:eastAsia="Arial" w:hAnsi="Arial"/>
          <w:sz w:val="18"/>
          <w:szCs w:val="18"/>
          <w:color w:val="auto"/>
        </w:rPr>
        <w:t xml:space="preserve">, amounts with respect to such Taxes were payable either to such Bank’s assignor immediately before such Bank became a party hereto or to such Bank immediately before it changed its Lending Office, (c) Taxes attributable to such Recipient’s failure to comply with </w:t>
      </w:r>
      <w:r>
        <w:rPr>
          <w:rFonts w:ascii="Arial" w:cs="Arial" w:eastAsia="Arial" w:hAnsi="Arial"/>
          <w:sz w:val="18"/>
          <w:szCs w:val="18"/>
          <w:u w:val="single" w:color="auto"/>
          <w:color w:val="auto"/>
        </w:rPr>
        <w:t>§3.1.5</w:t>
      </w:r>
      <w:r>
        <w:rPr>
          <w:rFonts w:ascii="Arial" w:cs="Arial" w:eastAsia="Arial" w:hAnsi="Arial"/>
          <w:sz w:val="18"/>
          <w:szCs w:val="18"/>
          <w:color w:val="auto"/>
        </w:rPr>
        <w:t xml:space="preserve"> and (d) any U.S. federal withholding Taxes imposed pursuant to FATCA.</w:t>
      </w:r>
    </w:p>
    <w:p>
      <w:pPr>
        <w:spacing w:after="0" w:line="19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Canadian Credit Agreement</w:t>
      </w:r>
      <w:r>
        <w:rPr>
          <w:rFonts w:ascii="Arial" w:cs="Arial" w:eastAsia="Arial" w:hAnsi="Arial"/>
          <w:sz w:val="18"/>
          <w:szCs w:val="18"/>
          <w:color w:val="auto"/>
        </w:rPr>
        <w:t>”. That certain Amended and Restated Credit Agreement, dated as of March 24, 2016, by and among the Canadian Borrowers, the Guarantor, The Bank of Nova Scotia, as administrative agent, and the lenders party thereto, as amended, supplemented or otherwise modified prior to the date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See Recital A in the Preamble.</w:t>
      </w:r>
    </w:p>
    <w:p>
      <w:pPr>
        <w:spacing w:after="0" w:line="225"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xml:space="preserve">”. Those Letters of Credit that were issued under the Existing Credit Agreement or the Existing Canadian Credit Agreement, and in each case which are outstanding as of the date hereof, and which are identified in </w:t>
      </w:r>
      <w:r>
        <w:rPr>
          <w:rFonts w:ascii="Arial" w:cs="Arial" w:eastAsia="Arial" w:hAnsi="Arial"/>
          <w:sz w:val="17"/>
          <w:szCs w:val="17"/>
          <w:u w:val="single" w:color="auto"/>
          <w:color w:val="auto"/>
        </w:rPr>
        <w:t>Schedule 2.6.1(f)</w:t>
      </w:r>
      <w:r>
        <w:rPr>
          <w:rFonts w:ascii="Arial" w:cs="Arial" w:eastAsia="Arial" w:hAnsi="Arial"/>
          <w:sz w:val="17"/>
          <w:szCs w:val="17"/>
          <w:color w:val="auto"/>
        </w:rPr>
        <w:t xml:space="preserve"> 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§2.15.1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Bank</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§2.15.5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The Accounting Standards Codification of the Financial Accounting Standards Board.</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§1471(b)(1) of the Code.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United States Foreign Corrupt Practices Act of 1977.</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For any day, the rate per annum (rounded upward, if necessary, to a whole multiple of 1/100 of 1%)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if necessary, to a whole multiple of 1/100 of 1%) charged to Bank of America on such day on such transactions as determined by the Administrative Agent.</w:t>
      </w:r>
    </w:p>
    <w:p>
      <w:pPr>
        <w:spacing w:after="0" w:line="24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Affiliate</w:t>
      </w:r>
      <w:r>
        <w:rPr>
          <w:rFonts w:ascii="Arial" w:cs="Arial" w:eastAsia="Arial" w:hAnsi="Arial"/>
          <w:sz w:val="18"/>
          <w:szCs w:val="18"/>
          <w:color w:val="auto"/>
        </w:rPr>
        <w:t>”. A subsidiary of the bank holding company controlling any Bank, which subsidiary is engaging in any of the activities permitted by §4(e) of the Bank Holding Company Act of 1956 (12 U.S.C. §1843).</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Bank</w:t>
      </w:r>
      <w:r>
        <w:rPr>
          <w:rFonts w:ascii="Arial" w:cs="Arial" w:eastAsia="Arial" w:hAnsi="Arial"/>
          <w:sz w:val="16"/>
          <w:szCs w:val="16"/>
          <w:color w:val="auto"/>
        </w:rPr>
        <w:t>”. With respect to any Borrower, (a) if such Borrower is a U.S. Person, a Bank that is not a U.S. Person, and (b) if such Borrower is not a U.S. Person, a Bank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ectPr>
          <w:pgSz w:w="11900" w:h="16952" w:orient="portrait"/>
          <w:cols w:equalWidth="0" w:num="1">
            <w:col w:w="11420"/>
          </w:cols>
          <w:pgMar w:left="240" w:top="125" w:right="239" w:bottom="0" w:gutter="0" w:footer="0" w:header="0"/>
        </w:sectPr>
      </w:pPr>
    </w:p>
    <w:bookmarkStart w:id="14" w:name="page15"/>
    <w:bookmarkEnd w:id="14"/>
    <w:p>
      <w:pPr>
        <w:ind w:right="1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At any time there is a Defaulting Bank, (a) with respect to any Issuing Bank, such Defaulting Lender’s Commitment Percentage of the Outstanding Amount of all outstanding L/C Obligations other than L/C Obligations as to which such Defaulting Bank’s participation obligation has been reallocated to other Banks or Cash Collateralized in accordance with the terms hereof, and (b) with respect to the Swing Line Bank, such Defaulting Bank’s Commitment Percentage of Swing Line Loans other than Swing Line Loans as to which such Defaulting Bank’s participation obligation has been reallocated to other Banks in accordance with the terms 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Fee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§2.6.6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Generally accepted accounting principles</w:t>
      </w:r>
      <w:r>
        <w:rPr>
          <w:rFonts w:ascii="Arial" w:cs="Arial" w:eastAsia="Arial" w:hAnsi="Arial"/>
          <w:sz w:val="17"/>
          <w:szCs w:val="17"/>
          <w:color w:val="auto"/>
        </w:rPr>
        <w:t>” or “</w:t>
      </w:r>
      <w:r>
        <w:rPr>
          <w:rFonts w:ascii="Arial" w:cs="Arial" w:eastAsia="Arial" w:hAnsi="Arial"/>
          <w:sz w:val="17"/>
          <w:szCs w:val="17"/>
          <w:u w:val="single" w:color="auto"/>
          <w:color w:val="auto"/>
        </w:rPr>
        <w:t>GAAP</w:t>
      </w:r>
      <w:r>
        <w:rPr>
          <w:rFonts w:ascii="Arial" w:cs="Arial" w:eastAsia="Arial" w:hAnsi="Arial"/>
          <w:sz w:val="17"/>
          <w:szCs w:val="17"/>
          <w:color w:val="auto"/>
        </w:rPr>
        <w:t>”. When used in this Agreement, whether directly or indirectly through reference to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capitalized term used therein, means principles that are consistent with the principles promulgated or adopted by the Financial Accounting Standards Board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its predecessors as in effect from time to time, except as otherwise specifically prescribed herein. If any “Accounting Change” (as defined below) occurs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subsequent to the Effective Date, such change results in a material change in the method of calculation of financial covenants, standards or terms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or any other Loan Document and any of the Company, the Administrative Agent or the Majority Banks shall so request, then (A)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Banks and the Administrative Agent agree to enter into negotiations in good faith in order to amend such provisions of this Agreement or such other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Document so as to reflect equitably such Accounting Changes with the desired result that the criteria for evaluating the Borrowers’ financial condition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the same after such Accounting Changes as if such Accounting Changes had not been made (subject to the approval of the Majority Banks), and (B)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time as such an amendment shall have been executed and delivered by each Borrower, the Administrative Agent and the Majority Banks, (i) the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covenants, standards and terms in this Agreement and the other Loan Documents impacted by such material change shall continue to be calculated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construed as if such Accounting Changes had not occurred and (ii) the Company shall provide to the Administrative Agent and the Banks a reconciliation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between the calculation of such impacted covenants, standards and terms before and after giving effect to such Accounting Changes;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limiting the foregoing, leases (including any new leases entered into after any change in GAAP referred to below) shall continue to be classified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accounted for on a basis consistent with that reflected in the audited financial statements of the Company and its Subsidiaries for the fiscal year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for all purposes of this Agreement, notwithstanding any change in GAAP relating thereto, unless the parties hereto shall enter into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mutually acceptable amendment addressing such changes, as provided for above. For the avoidance of doubt, any new leases entered into after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of any such change in GAAP shall continue to be classified and accounted for in the same manner as if such leases had been outstanding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w:t>
      </w:r>
      <w:r>
        <w:rPr>
          <w:rFonts w:ascii="Arial" w:cs="Arial" w:eastAsia="Arial" w:hAnsi="Arial"/>
          <w:sz w:val="16"/>
          <w:szCs w:val="16"/>
          <w:u w:val="single" w:color="auto"/>
          <w:color w:val="auto"/>
        </w:rPr>
        <w:t>Accounting Changes</w:t>
      </w:r>
      <w:r>
        <w:rPr>
          <w:rFonts w:ascii="Arial" w:cs="Arial" w:eastAsia="Arial" w:hAnsi="Arial"/>
          <w:sz w:val="16"/>
          <w:szCs w:val="16"/>
          <w:color w:val="auto"/>
        </w:rPr>
        <w:t>” refers to changes in accounting principles required by the promulgation of any rule, regulation, pronouncement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opinion by the Financial Accounting Standards Board of the American Institute of Certified Public Accountants or, if applicable, the Securities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Exchange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Commission.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The government of the United States, Canada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§28.1</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Pension Plan</w:t>
      </w:r>
      <w:r>
        <w:rPr>
          <w:rFonts w:ascii="Arial" w:cs="Arial" w:eastAsia="Arial" w:hAnsi="Arial"/>
          <w:sz w:val="18"/>
          <w:szCs w:val="18"/>
          <w:color w:val="auto"/>
        </w:rPr>
        <w:t>”. Any employee pension benefit plan within the meaning of §3(2) of ERISA maintained or contributed to by the Company, its Subsidiaries or any ERISA Affiliate (or pursuant to which any such Person accrued an obligation to make contributions at any time during the preceding five plan years) the benefits of which are guaranteed on termination in full or in part by the PBGC pursuant to Title IV of ERISA, other than a Multiemployer Plan.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See Preamble.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Guaranty</w:t>
      </w:r>
      <w:r>
        <w:rPr>
          <w:rFonts w:ascii="Arial" w:cs="Arial" w:eastAsia="Arial" w:hAnsi="Arial"/>
          <w:sz w:val="17"/>
          <w:szCs w:val="17"/>
          <w:color w:val="auto"/>
        </w:rPr>
        <w:t>”. Any obligation, contingent or otherwise, of a Person guaranteeing or having the economic effect of guaranteeing any Indebtedness or other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Guaranty shall not include endorsements for collection or deposit in the ordinary course of business.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§6.15(b)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§2.3.2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Collectively, without duplication, whether classified as indebtedness, an investment or otherwise on the obligor’s balance sheet,</w:t>
      </w:r>
    </w:p>
    <w:p>
      <w:pPr>
        <w:spacing w:after="0" w:line="46" w:lineRule="exact"/>
        <w:rPr>
          <w:sz w:val="20"/>
          <w:szCs w:val="20"/>
          <w:color w:val="auto"/>
        </w:rPr>
      </w:pPr>
    </w:p>
    <w:p>
      <w:pPr>
        <w:ind w:right="40" w:firstLine="8"/>
        <w:spacing w:after="0" w:line="268" w:lineRule="auto"/>
        <w:tabs>
          <w:tab w:leader="none" w:pos="24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indebtedness for borrowed money, (b) all obligations for the deferred purchase price of property or services (other than trade payables incurred in the ordinary course of business which either (i) are not overdue by more than ninety (90) 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arising from the making of a drawing under surety, performance bonds, or any other bonding arrangement, (g) Guaranties with respect to all Indebtedness of others referred to in clauses (a) through (f) above, and (h) all Indebtedness of others referred to in clauses (a) through (f) above secured or supported by (or for which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0" w:gutter="0" w:footer="0" w:header="0"/>
        </w:sectPr>
      </w:pPr>
    </w:p>
    <w:bookmarkStart w:id="15" w:name="page16"/>
    <w:bookmarkEnd w:id="1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holder of such Indebtedness has an existing right, contingent or otherwise, to be secured or supported by) any Lien on the property or assets of the Company or any Subsidiary, even though the owner of the property has not assumed or become liable, contractually or otherwise, for the payment of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uncollected purchase price with respect to any Permitted Receivables Transaction remains outstanding and such transaction is accounted for as a sale of accounts receivable under generally accepted accounting principles, Indebtedness shall also include the additional Indebtedness, determined on a consolidated basis, which would have been outstanding had such uncollected purchase price with respect to any Permitted Receivables Transaction been accounted for as a borrowing unless any such sales are non-recourse to the Company or any Subsidiary (other than a Receivables Subsidiary) or if such sales only contain customary recourse exceptions not pertaining to credit risk.</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xml:space="preserve">”.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Other Taxes.</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(a) as to any Loan other than a Base Rate Loan or Canadian Prime Rate Loan, the last day of each Interest Period applicable to such Loan and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Interest Period for a Eurocurrency Rate Loan exceeds three months, the respective dates that fall every three months after the beginning of such Interest Period shall also be Interest Payment Dates; and (b) as to any Base Rate Loan (including a Swing Line Loan) or Canadian Prime Rate Loan, the first Business Day of each calendar quarter, and the Maturity Date.</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With respect to each Loan (a) initially, the period commencing on the Drawdown Date of such Loan and ending on the last day of one of the periods set forth below, as selected by the applicable Borrower in accordance with this Agreement for any Eurocurrency Loan, 1, 2, 3, or 6 months (in each case subject to availability) and (b) thereafter, each period commencing on the last day of the next preceding Interest Period applicable to such Loan and ending on the last day of one of the periods set forth above, as selected by the applicable Borrower in accordance with this Agreement or if such period has no numerically corresponding day, on the last Business Day of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Interest Period which would otherwise end on a day which is not a Business Day shall be deemed to end on the next succeeding Business Day;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for any Interest Period for any Eurocurrency Loan, if such next succeeding Business Day falls in the next succeeding calendar month, such Interest Period shall be deemed to end on the next preceding Business Day;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Interest Period shall extend beyond the Maturity Date.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Balance Sheet Date</w:t>
      </w:r>
      <w:r>
        <w:rPr>
          <w:rFonts w:ascii="Arial" w:cs="Arial" w:eastAsia="Arial" w:hAnsi="Arial"/>
          <w:sz w:val="18"/>
          <w:szCs w:val="18"/>
          <w:color w:val="auto"/>
        </w:rPr>
        <w:t>”. March 31, 2018.</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Investments</w:t>
      </w:r>
      <w:r>
        <w:rPr>
          <w:rFonts w:ascii="Arial" w:cs="Arial" w:eastAsia="Arial" w:hAnsi="Arial"/>
          <w:sz w:val="17"/>
          <w:szCs w:val="17"/>
          <w:color w:val="auto"/>
        </w:rPr>
        <w:t>”. All expenditures made by a Person and all liabilities incurred (contingently or otherwise) by a Person for the acquisition of stock of (other than the stock of Subsidiaries),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Subsidiaries or variable interest entities consolidated in accordance with FASB ASC 810, or Guaranties with respect to Indebtedness of any Subsidiary or variable interest entities consolidated in accordance with FASB ASC 810).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partial or full repurchase, redemption, retirement, repayment, liquidating dividend or liquidating distribution); (d) there shall not be deducted 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ind w:right="100" w:firstLine="6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Banks</w:t>
      </w:r>
      <w:r>
        <w:rPr>
          <w:rFonts w:ascii="Arial" w:cs="Arial" w:eastAsia="Arial" w:hAnsi="Arial"/>
          <w:sz w:val="18"/>
          <w:szCs w:val="18"/>
          <w:color w:val="auto"/>
        </w:rPr>
        <w:t xml:space="preserve">”. (i) the Banks listed on </w:t>
      </w:r>
      <w:r>
        <w:rPr>
          <w:rFonts w:ascii="Arial" w:cs="Arial" w:eastAsia="Arial" w:hAnsi="Arial"/>
          <w:sz w:val="18"/>
          <w:szCs w:val="18"/>
          <w:u w:val="single" w:color="auto"/>
          <w:color w:val="auto"/>
        </w:rPr>
        <w:t>Schedule 2.6.1</w:t>
      </w:r>
      <w:r>
        <w:rPr>
          <w:rFonts w:ascii="Arial" w:cs="Arial" w:eastAsia="Arial" w:hAnsi="Arial"/>
          <w:sz w:val="18"/>
          <w:szCs w:val="18"/>
          <w:color w:val="auto"/>
        </w:rPr>
        <w:t xml:space="preserve"> hereto, and (ii) any other Bank that agrees (in its sole discretion) to act as Issuing Bank pursuant to an instrument in writing in form and substance satisfactory to such Bank, the Company and the Administrative Agent and signed by them (which instrument shall set forth the maximum aggregate face amount of all Letters of Credit to be issued by such Issuing Bank and shall, as to such maximum amount, automatically be deemed to supplement </w:t>
      </w:r>
      <w:r>
        <w:rPr>
          <w:rFonts w:ascii="Arial" w:cs="Arial" w:eastAsia="Arial" w:hAnsi="Arial"/>
          <w:sz w:val="18"/>
          <w:szCs w:val="18"/>
          <w:u w:val="single" w:color="auto"/>
          <w:color w:val="auto"/>
        </w:rPr>
        <w:t>Schedule 2.6.1</w:t>
      </w:r>
      <w:r>
        <w:rPr>
          <w:rFonts w:ascii="Arial" w:cs="Arial" w:eastAsia="Arial" w:hAnsi="Arial"/>
          <w:sz w:val="18"/>
          <w:szCs w:val="18"/>
          <w:color w:val="auto"/>
        </w:rPr>
        <w:t xml:space="preserve">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Existing Letter of Credit that was issued through a Bank Affiliate of an Issuing Bank, such Letter of Credit shall be deemed for purposes of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to have been issued by such Issuing Bank and the provisions of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shall apply.</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An extension of credit resulting from a drawing under any Letter of Credit which has not been reimbursed on the date when made or refinanced as a Borrowing.</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With respect to any Letter of Credit, the issuance thereof or extension of the expiry date thereof, or the increase of the amount thereof.</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As at any date of determination, the aggregate amount available to be drawn under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§1.5</w:t>
      </w:r>
      <w:r>
        <w:rPr>
          <w:rFonts w:ascii="Arial" w:cs="Arial" w:eastAsia="Arial" w:hAnsi="Arial"/>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Lead Arrangers</w:t>
      </w:r>
      <w:r>
        <w:rPr>
          <w:rFonts w:ascii="Arial" w:cs="Arial" w:eastAsia="Arial" w:hAnsi="Arial"/>
          <w:sz w:val="17"/>
          <w:szCs w:val="17"/>
          <w:color w:val="auto"/>
        </w:rPr>
        <w:t>”.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JPMorgan Chase Bank, N.A., Barclays Bank PLC, Mizuho Bank, Ltd. and The Bank of Nova Scotia, as Lead Arrangers and Joint Bookrunners in connection with the credit facility provided herein.</w:t>
      </w:r>
    </w:p>
    <w:p>
      <w:pPr>
        <w:sectPr>
          <w:pgSz w:w="11900" w:h="16838" w:orient="portrait"/>
          <w:cols w:equalWidth="0" w:num="1">
            <w:col w:w="11420"/>
          </w:cols>
          <w:pgMar w:left="240" w:top="733" w:right="239" w:bottom="0" w:gutter="0" w:footer="0" w:header="0"/>
        </w:sectPr>
      </w:pPr>
    </w:p>
    <w:bookmarkStart w:id="16" w:name="page17"/>
    <w:bookmarkEnd w:id="16"/>
    <w:p>
      <w:pPr>
        <w:spacing w:after="0" w:line="9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As to any Bank, the office or offices of such Bank described as such in such Bank’s Administrative Questionnaire, or such other office or offices as a Bank may from time to time notify the Company and the Administrative Agent which office may include any affiliate of such Bank or any domestic or foreign branch of such Bank or such affiliate. Unless the context otherwise requires each reference to a Bank shall include its applicable Lending Office.</w:t>
      </w:r>
    </w:p>
    <w:p>
      <w:pPr>
        <w:spacing w:after="0" w:line="187"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xml:space="preserve">”. Any letter of credit applications in such form or forms as may be agreed upon by the Company and the relevant Issuing Bank from time to time with respect to each Letter of Credit issued or deemed issued hereunder, as such Letter of Credit Applications may be amended, varied or supplemented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event of any conflict or inconsistency between the terms of any Letter of Credit Application and this Agreement, the terms of this Agreement shall control.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§2.6.6</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Participation</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§2.6.1(c)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§2.6.1(a)</w:t>
      </w:r>
      <w:r>
        <w:rPr>
          <w:rFonts w:ascii="Arial" w:cs="Arial" w:eastAsia="Arial" w:hAnsi="Arial"/>
          <w:sz w:val="18"/>
          <w:szCs w:val="18"/>
          <w:color w:val="auto"/>
        </w:rPr>
        <w: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Letters of credit issued or to be issued by an Issuing Bank under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hereof for the account of the Company or any of its Subsidiaries (including without limitation any Canadian Dollar Letters of Credit), and the Existing Letters of Credit.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Ratio</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See definition of “Eurocurrency Rate”.</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Screen Rate</w:t>
      </w:r>
      <w:r>
        <w:rPr>
          <w:rFonts w:ascii="Arial" w:cs="Arial" w:eastAsia="Arial" w:hAnsi="Arial"/>
          <w:sz w:val="17"/>
          <w:szCs w:val="17"/>
          <w:color w:val="auto"/>
        </w:rPr>
        <w:t>”. The LIBOR quote on the applicable screen page the Administrative Agent designates to determine LIBOR (or such other commercially available source providing such quotations as may be designated by the Administrative Agent from time to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§3.3.2</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Successor Rate Conforming Changes</w:t>
      </w:r>
      <w:r>
        <w:rPr>
          <w:rFonts w:ascii="Arial" w:cs="Arial" w:eastAsia="Arial" w:hAnsi="Arial"/>
          <w:sz w:val="17"/>
          <w:szCs w:val="17"/>
          <w:color w:val="auto"/>
        </w:rPr>
        <w:t>”.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Borrowers).</w:t>
      </w:r>
    </w:p>
    <w:p>
      <w:pPr>
        <w:spacing w:after="0" w:line="178" w:lineRule="exact"/>
        <w:rPr>
          <w:sz w:val="20"/>
          <w:szCs w:val="20"/>
          <w:color w:val="auto"/>
        </w:rPr>
      </w:pPr>
    </w:p>
    <w:p>
      <w:pPr>
        <w:ind w:right="3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With respect to any asset, (a) any mortgage, deed of trust, lien (statutory or otherwise), pledge, hypothecation, encumbrance, charge, security interest, hypothec,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54"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This Agreement, the Letter of Credit Applications, the Letters of Credit, each Note and any documents, instruments or agreements executed in connection with any of the foregoing, each as amended, modified, supplemented, or replaced from time to time.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Collectively, the Company, each Canadian Borrower and the Guarantor.</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Collectively, the Committed Loans and the Swing Line Loans.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Banks</w:t>
      </w:r>
      <w:r>
        <w:rPr>
          <w:rFonts w:ascii="Arial" w:cs="Arial" w:eastAsia="Arial" w:hAnsi="Arial"/>
          <w:sz w:val="16"/>
          <w:szCs w:val="16"/>
          <w:color w:val="auto"/>
        </w:rPr>
        <w:t xml:space="preserve">”. At any date, Banks the aggregate amount of whose Commitments is greater than fifty percent (50%) of the Total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the Total Commitment has been terminated, the Majority Banks shall be Banks holding greater than fifty percent (50%) of the aggregate outstanding principal amount of the Obligations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Commitment of, and the portion of the outstanding principal amount of the Obligations held or deemed held by, any Defaulting Bank shall be excluded for purposes of making a determination of Majority Banks and</w:t>
      </w:r>
    </w:p>
    <w:p>
      <w:pPr>
        <w:spacing w:after="0" w:line="2" w:lineRule="exact"/>
        <w:rPr>
          <w:sz w:val="20"/>
          <w:szCs w:val="20"/>
          <w:color w:val="auto"/>
        </w:rPr>
      </w:pPr>
    </w:p>
    <w:p>
      <w:pPr>
        <w:ind w:right="340" w:firstLine="8"/>
        <w:spacing w:after="0" w:line="261"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any risk participation in any Swing Line Loan or Letter of Credit Participation that such Defaulting Bank has failed to fund that has not been reallocated to and funded by another Bank shall be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deemed to be held by the Bank that is the Swing Line Bank or applicable Issuing Bank, as the case may be, in making such determination.</w:t>
      </w:r>
    </w:p>
    <w:p>
      <w:pPr>
        <w:spacing w:after="0" w:line="22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A material adverse effect on (a) the business, assets, operations, or financial condition of the Company and its Subsidiaries taken as a whole, (b) the ability of any Borrower or the Guarantor to perform any of its obligations under any Loan Document to which it is a party, or (c) the rights of, or remedies or benefits available to, the Administrative Agent or any Bank under any Loan Document.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June 26, 2023.</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Maximum Drawing Amount</w:t>
      </w:r>
      <w:r>
        <w:rPr>
          <w:rFonts w:ascii="Arial" w:cs="Arial" w:eastAsia="Arial" w:hAnsi="Arial"/>
          <w:sz w:val="16"/>
          <w:szCs w:val="16"/>
          <w:color w:val="auto"/>
        </w:rPr>
        <w:t>”. At any time, the maximum aggregate amount from time to time that the beneficiaries may draw under outstanding Letters of Credit (using, in the case of Canadian Dollar Letters of Credit, the U.S. Dollar Equivalent of the aggregate undrawn face amount thereof on the relevant date) (plus, for purposes of computing amounts outstanding including under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2.3.1(a)</w:t>
      </w:r>
      <w:r>
        <w:rPr>
          <w:rFonts w:ascii="Arial" w:cs="Arial" w:eastAsia="Arial" w:hAnsi="Arial"/>
          <w:sz w:val="16"/>
          <w:szCs w:val="16"/>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w:t>
      </w:r>
      <w:r>
        <w:rPr>
          <w:rFonts w:ascii="Arial" w:cs="Arial" w:eastAsia="Arial" w:hAnsi="Arial"/>
          <w:sz w:val="16"/>
          <w:szCs w:val="16"/>
          <w:u w:val="single" w:color="auto"/>
          <w:color w:val="auto"/>
        </w:rPr>
        <w:t>2.6.2</w:t>
      </w:r>
      <w:r>
        <w:rPr>
          <w:rFonts w:ascii="Arial" w:cs="Arial" w:eastAsia="Arial" w:hAnsi="Arial"/>
          <w:sz w:val="16"/>
          <w:szCs w:val="16"/>
          <w:color w:val="auto"/>
        </w:rPr>
        <w:t xml:space="preserve">,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12.1</w:t>
      </w:r>
      <w:r>
        <w:rPr>
          <w:rFonts w:ascii="Arial" w:cs="Arial" w:eastAsia="Arial" w:hAnsi="Arial"/>
          <w:sz w:val="16"/>
          <w:szCs w:val="16"/>
          <w:color w:val="auto"/>
        </w:rPr>
        <w:t xml:space="preserve">, but without duplication, unpaid Reimbursement Obligations, if any). Unless otherwise specified herein, the outstanding amount of a Letter of Credit at any time shall be deemed to be the stated amount of such Letter of Credit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any Letter of Credit that, by its terms or the terms of any document or agreement related thereto, provides for one or more automatic increases in the stated amount thereof, the amount of such Letter of Credit shall be</w:t>
      </w:r>
    </w:p>
    <w:p>
      <w:pPr>
        <w:sectPr>
          <w:pgSz w:w="11900" w:h="16934" w:orient="portrait"/>
          <w:cols w:equalWidth="0" w:num="1">
            <w:col w:w="11400"/>
          </w:cols>
          <w:pgMar w:left="240" w:top="125" w:right="259" w:bottom="0" w:gutter="0" w:footer="0" w:header="0"/>
        </w:sectPr>
      </w:pPr>
    </w:p>
    <w:bookmarkStart w:id="17" w:name="page18"/>
    <w:bookmarkEnd w:id="17"/>
    <w:p>
      <w:pPr>
        <w:spacing w:after="0" w:line="1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deemed to be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Collateral Amount</w:t>
      </w:r>
      <w:r>
        <w:rPr>
          <w:rFonts w:ascii="Arial" w:cs="Arial" w:eastAsia="Arial" w:hAnsi="Arial"/>
          <w:sz w:val="17"/>
          <w:szCs w:val="17"/>
          <w:color w:val="auto"/>
        </w:rPr>
        <w:t>”. At any time, (a) with respect to Cash Collateral consisting of cash or deposit account balances provided to reduce or eliminate Fronting Exposure during the existence of a Defaulting Bank, an amount equal to 102% of the Fronting Exposure of the applicable Issuing Bank with respect to Letters of Credit issued and outstanding at such time, (b) with respect to Cash Collateral consisting of cash or deposit account balances provided in accordance with the provisions of §</w:t>
      </w:r>
      <w:r>
        <w:rPr>
          <w:rFonts w:ascii="Arial" w:cs="Arial" w:eastAsia="Arial" w:hAnsi="Arial"/>
          <w:sz w:val="17"/>
          <w:szCs w:val="17"/>
          <w:u w:val="single" w:color="auto"/>
          <w:color w:val="auto"/>
        </w:rPr>
        <w:t>2.16.1</w:t>
      </w:r>
      <w:r>
        <w:rPr>
          <w:rFonts w:ascii="Arial" w:cs="Arial" w:eastAsia="Arial" w:hAnsi="Arial"/>
          <w:sz w:val="17"/>
          <w:szCs w:val="17"/>
          <w:color w:val="auto"/>
        </w:rPr>
        <w:t>, an amount equal to 102% of the Outstanding Amount of all L/C Obligations, and (c) otherwise, an amount determined by the Administrative Agent and the applicable Issuing Bank in their sole discretion.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Any multiemployer plan within the meaning of §3(37) of ERISA maintained or contributed to by the Company, any of its Subsidiaries, or any ERISA Affiliate (or pursuant to which any such Person accrued an obligation to make contributions at any time during the preceding five plan years).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Bank</w:t>
      </w:r>
      <w:r>
        <w:rPr>
          <w:rFonts w:ascii="Arial" w:cs="Arial" w:eastAsia="Arial" w:hAnsi="Arial"/>
          <w:sz w:val="18"/>
          <w:szCs w:val="18"/>
          <w:color w:val="auto"/>
        </w:rPr>
        <w:t>” means any Bank that does not approve any consent, waiver or amendment that (i) requires the approval of all Banks or all affected Banks in accordance with the terms of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and (ii) has been approved by the Majority Banks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Bank</w:t>
      </w:r>
      <w:r>
        <w:rPr>
          <w:rFonts w:ascii="Arial" w:cs="Arial" w:eastAsia="Arial" w:hAnsi="Arial"/>
          <w:sz w:val="18"/>
          <w:szCs w:val="18"/>
          <w:color w:val="auto"/>
        </w:rPr>
        <w:t>”. At any time, each Bank that is not a Defaulting Bank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Bank</w:t>
      </w:r>
      <w:r>
        <w:rPr>
          <w:rFonts w:ascii="Arial" w:cs="Arial" w:eastAsia="Arial" w:hAnsi="Arial"/>
          <w:sz w:val="18"/>
          <w:szCs w:val="18"/>
          <w:color w:val="auto"/>
        </w:rPr>
        <w:t>”. See §</w:t>
      </w:r>
      <w:r>
        <w:rPr>
          <w:rFonts w:ascii="Arial" w:cs="Arial" w:eastAsia="Arial" w:hAnsi="Arial"/>
          <w:sz w:val="18"/>
          <w:szCs w:val="18"/>
          <w:u w:val="single" w:color="auto"/>
          <w:color w:val="auto"/>
        </w:rPr>
        <w:t>2.15.2</w:t>
      </w:r>
      <w:r>
        <w:rPr>
          <w:rFonts w:ascii="Arial" w:cs="Arial" w:eastAsia="Arial" w:hAnsi="Arial"/>
          <w:sz w:val="18"/>
          <w:szCs w:val="18"/>
          <w:color w:val="auto"/>
        </w:rPr>
        <w: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Any promissory note issued according to §</w:t>
      </w:r>
      <w:r>
        <w:rPr>
          <w:rFonts w:ascii="Arial" w:cs="Arial" w:eastAsia="Arial" w:hAnsi="Arial"/>
          <w:sz w:val="18"/>
          <w:szCs w:val="18"/>
          <w:u w:val="single" w:color="auto"/>
          <w:color w:val="auto"/>
        </w:rPr>
        <w:t>2.11.1</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Date</w:t>
      </w:r>
      <w:r>
        <w:rPr>
          <w:rFonts w:ascii="Arial" w:cs="Arial" w:eastAsia="Arial" w:hAnsi="Arial"/>
          <w:sz w:val="18"/>
          <w:szCs w:val="18"/>
          <w:color w:val="auto"/>
        </w:rPr>
        <w:t>”. See §</w:t>
      </w:r>
      <w:r>
        <w:rPr>
          <w:rFonts w:ascii="Arial" w:cs="Arial" w:eastAsia="Arial" w:hAnsi="Arial"/>
          <w:sz w:val="18"/>
          <w:szCs w:val="18"/>
          <w:u w:val="single" w:color="auto"/>
          <w:color w:val="auto"/>
        </w:rPr>
        <w:t>2.15.1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All indebtedness, obligations and liabilities of any Borrower to any of the Banks and the Administrative Agent arising or incurred under this Agreement or any of the other Loan Documents or in respect of any of the Loans made or Reimbursement Obligations incurred or the Letters of Credit, or any other instrument at any time evidencing any thereof, individually or collectively, existing on the date of this Agreement or arising thereafter, whether direct or indirect, joint or several, absolute or contingent, matured or unmatured, liquidated or unliquidated, secured or unsecured, arising by contract, operation of law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The Office of Foreign Assets Control of the United States Department of the Treasury.</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§3.6</w:t>
      </w:r>
      <w:r>
        <w:rPr>
          <w:rFonts w:ascii="Arial" w:cs="Arial" w:eastAsia="Arial" w:hAnsi="Arial"/>
          <w:sz w:val="18"/>
          <w:szCs w:val="18"/>
          <w:color w:val="auto"/>
        </w:rPr>
        <w:t>).</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(a) With respect to Committed Loans on any date, the U.S. Dollar Equivalent amount of the aggregate outstanding principal amount thereof after giving effect to any borrowings and prepayments or repayments of such Committed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U.S.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w:t>
      </w:r>
    </w:p>
    <w:p>
      <w:pPr>
        <w:spacing w:after="0" w:line="16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Rate</w:t>
      </w:r>
      <w:r>
        <w:rPr>
          <w:rFonts w:ascii="Arial" w:cs="Arial" w:eastAsia="Arial" w:hAnsi="Arial"/>
          <w:sz w:val="16"/>
          <w:szCs w:val="16"/>
          <w:color w:val="auto"/>
        </w:rPr>
        <w:t>”. For any day, (a) with respect to any amount denominated in Dollars, the greater of (i) the Federal Funds Rate and (ii) an overnight rate determined by the Administrative Agent, the applicable Issuing Bank, or the Swing Line Bank, as the case may be, in accordance with banking industry rules on interbank compensation, and (b) with respect to any amount denominated in Canadian Dollars, the rate of interest per annum at which overnight deposits in Canadian Dollars, in an amount approximately equal to the amount with respect to which such rate is being determined, would be offered for such day by a branch or Affiliate of Bank of America in the applicable interbank market for Canadian Dollars to major banks in such interbank market.</w:t>
      </w:r>
    </w:p>
    <w:p>
      <w:pPr>
        <w:spacing w:after="0" w:line="158" w:lineRule="exact"/>
        <w:rPr>
          <w:sz w:val="20"/>
          <w:szCs w:val="20"/>
          <w:color w:val="auto"/>
        </w:rPr>
      </w:pPr>
    </w:p>
    <w:p>
      <w:pPr>
        <w:ind w:right="118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created by §4002 of ERISA and any successor entity or entities having similar responsibilities.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Any of the following Liens:</w:t>
      </w:r>
    </w:p>
    <w:p>
      <w:pPr>
        <w:spacing w:after="0" w:line="225" w:lineRule="exact"/>
        <w:rPr>
          <w:sz w:val="20"/>
          <w:szCs w:val="20"/>
          <w:color w:val="auto"/>
        </w:rPr>
      </w:pPr>
    </w:p>
    <w:p>
      <w:pPr>
        <w:ind w:left="5620" w:right="3780" w:hanging="4315"/>
        <w:spacing w:after="0" w:line="528" w:lineRule="auto"/>
        <w:tabs>
          <w:tab w:leader="none" w:pos="19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Liens for taxes not yet due or that are being contested in compliance with </w:t>
      </w:r>
      <w:r>
        <w:rPr>
          <w:rFonts w:ascii="Arial" w:cs="Arial" w:eastAsia="Arial" w:hAnsi="Arial"/>
          <w:sz w:val="18"/>
          <w:szCs w:val="18"/>
          <w:u w:val="single" w:color="auto"/>
          <w:color w:val="auto"/>
        </w:rPr>
        <w:t>§7.8</w:t>
      </w:r>
      <w:r>
        <w:rPr>
          <w:rFonts w:ascii="Arial" w:cs="Arial" w:eastAsia="Arial" w:hAnsi="Arial"/>
          <w:sz w:val="18"/>
          <w:szCs w:val="18"/>
          <w:color w:val="auto"/>
        </w:rPr>
        <w:t>; 19</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jc w:val="both"/>
        <w:ind w:left="660" w:right="160" w:firstLine="645"/>
        <w:spacing w:after="0" w:line="342" w:lineRule="auto"/>
        <w:tabs>
          <w:tab w:leader="none" w:pos="19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carriers’, warehousemen’s, maritime, mechanics’, materialmen’s, repairmen’s or other like Liens arising in the ordinary course of business that are being contested in good faith by appropriate proceedings and for which adequate reserves with respect thereto have been set aside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75" w:orient="portrait"/>
          <w:cols w:equalWidth="0" w:num="1">
            <w:col w:w="11420"/>
          </w:cols>
          <w:pgMar w:left="240" w:top="125" w:right="239" w:bottom="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as required by GAAP;</w:t>
      </w:r>
    </w:p>
    <w:p>
      <w:pPr>
        <w:spacing w:after="0" w:line="225" w:lineRule="exact"/>
        <w:rPr>
          <w:sz w:val="20"/>
          <w:szCs w:val="20"/>
          <w:color w:val="auto"/>
        </w:rPr>
      </w:pPr>
    </w:p>
    <w:p>
      <w:pPr>
        <w:ind w:left="660" w:right="580" w:firstLine="645"/>
        <w:spacing w:after="0" w:line="277" w:lineRule="auto"/>
        <w:tabs>
          <w:tab w:leader="none" w:pos="19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workmen’s compensation, unemployment insurance and other social security laws or regulations;</w:t>
      </w:r>
    </w:p>
    <w:p>
      <w:pPr>
        <w:spacing w:after="0" w:line="170" w:lineRule="exact"/>
        <w:rPr>
          <w:rFonts w:ascii="Arial" w:cs="Arial" w:eastAsia="Arial" w:hAnsi="Arial"/>
          <w:sz w:val="18"/>
          <w:szCs w:val="18"/>
          <w:color w:val="auto"/>
        </w:rPr>
      </w:pPr>
    </w:p>
    <w:p>
      <w:pPr>
        <w:ind w:left="660" w:right="100" w:firstLine="645"/>
        <w:spacing w:after="0" w:line="264" w:lineRule="auto"/>
        <w:tabs>
          <w:tab w:leader="none" w:pos="19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181" w:lineRule="exact"/>
        <w:rPr>
          <w:rFonts w:ascii="Arial" w:cs="Arial" w:eastAsia="Arial" w:hAnsi="Arial"/>
          <w:sz w:val="18"/>
          <w:szCs w:val="18"/>
          <w:color w:val="auto"/>
        </w:rPr>
      </w:pPr>
    </w:p>
    <w:p>
      <w:pPr>
        <w:ind w:left="660" w:right="20" w:firstLine="645"/>
        <w:spacing w:after="0" w:line="264" w:lineRule="auto"/>
        <w:tabs>
          <w:tab w:leader="none" w:pos="19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Company or any of its Subsidiaries;</w:t>
      </w:r>
    </w:p>
    <w:p>
      <w:pPr>
        <w:spacing w:after="0" w:line="181" w:lineRule="exact"/>
        <w:rPr>
          <w:rFonts w:ascii="Arial" w:cs="Arial" w:eastAsia="Arial" w:hAnsi="Arial"/>
          <w:sz w:val="18"/>
          <w:szCs w:val="18"/>
          <w:color w:val="auto"/>
        </w:rPr>
      </w:pPr>
    </w:p>
    <w:p>
      <w:pPr>
        <w:ind w:left="660" w:right="80" w:firstLine="645"/>
        <w:spacing w:after="0" w:line="276" w:lineRule="auto"/>
        <w:tabs>
          <w:tab w:leader="none" w:pos="1961"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Liens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hereto securing the obligations listed on such Schedule and any replacement Lien securing any renewal, extension or refunding of such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aggregate principal amount of obligations secured by any renewal, extension or refunding Lien permitted by this clause (f) shall not exceed the aggregate outstanding principal amount of the obligations secured by the Lien being replaced at the time of such renewal, extension or refunding (plus transaction costs, including premiums and fees, related thereto), and (ii) each replacement Lien shall be limited to substantially the same property that secured the Lien so replaced;</w:t>
      </w:r>
    </w:p>
    <w:p>
      <w:pPr>
        <w:spacing w:after="0" w:line="172" w:lineRule="exact"/>
        <w:rPr>
          <w:rFonts w:ascii="Arial" w:cs="Arial" w:eastAsia="Arial" w:hAnsi="Arial"/>
          <w:sz w:val="17"/>
          <w:szCs w:val="17"/>
          <w:color w:val="auto"/>
        </w:rPr>
      </w:pPr>
    </w:p>
    <w:p>
      <w:pPr>
        <w:ind w:left="660" w:right="260" w:firstLine="645"/>
        <w:spacing w:after="0" w:line="286" w:lineRule="auto"/>
        <w:tabs>
          <w:tab w:leader="none" w:pos="1977"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165" w:lineRule="exact"/>
        <w:rPr>
          <w:rFonts w:ascii="Arial" w:cs="Arial" w:eastAsia="Arial" w:hAnsi="Arial"/>
          <w:sz w:val="17"/>
          <w:szCs w:val="17"/>
          <w:color w:val="auto"/>
        </w:rPr>
      </w:pPr>
    </w:p>
    <w:p>
      <w:pPr>
        <w:ind w:left="660" w:right="200" w:firstLine="645"/>
        <w:spacing w:after="0" w:line="264" w:lineRule="auto"/>
        <w:tabs>
          <w:tab w:leader="none" w:pos="19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rights reserved or vested in any municipality or governmental, statutory or public authority to control or regulate any property of the Company or any Subsidiary, or to use such property in a manner that does not materially impair the use of such property for the purposes for which it is held by the Company or such Subsidiary;</w:t>
      </w:r>
    </w:p>
    <w:p>
      <w:pPr>
        <w:spacing w:after="0" w:line="181" w:lineRule="exact"/>
        <w:rPr>
          <w:rFonts w:ascii="Arial" w:cs="Arial" w:eastAsia="Arial" w:hAnsi="Arial"/>
          <w:sz w:val="18"/>
          <w:szCs w:val="18"/>
          <w:color w:val="auto"/>
        </w:rPr>
      </w:pPr>
    </w:p>
    <w:p>
      <w:pPr>
        <w:ind w:left="660" w:right="480" w:firstLine="645"/>
        <w:spacing w:after="0" w:line="277" w:lineRule="auto"/>
        <w:tabs>
          <w:tab w:leader="none" w:pos="19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obligations or duties affecting the property of the Company or any of its Subsidiaries to any municipality, governmental, statutory or public authority with respect to any franchise, grant, license or permit;</w:t>
      </w:r>
    </w:p>
    <w:p>
      <w:pPr>
        <w:spacing w:after="0" w:line="170" w:lineRule="exact"/>
        <w:rPr>
          <w:rFonts w:ascii="Arial" w:cs="Arial" w:eastAsia="Arial" w:hAnsi="Arial"/>
          <w:sz w:val="18"/>
          <w:szCs w:val="18"/>
          <w:color w:val="auto"/>
        </w:rPr>
      </w:pPr>
    </w:p>
    <w:p>
      <w:pPr>
        <w:ind w:left="660" w:right="80" w:firstLine="645"/>
        <w:spacing w:after="0" w:line="264" w:lineRule="auto"/>
        <w:tabs>
          <w:tab w:leader="none" w:pos="19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Liens filed in connection with sales of receivables by any of the Subsidiaries (other than the Guarantor) to a wholly-owned special purpose financing Subsidiary for purposes of perfecting such sales,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third party has any rights with respect to such Liens or any assets subject thereto;</w:t>
      </w:r>
    </w:p>
    <w:p>
      <w:pPr>
        <w:spacing w:after="0" w:line="181" w:lineRule="exact"/>
        <w:rPr>
          <w:rFonts w:ascii="Arial" w:cs="Arial" w:eastAsia="Arial" w:hAnsi="Arial"/>
          <w:sz w:val="18"/>
          <w:szCs w:val="18"/>
          <w:color w:val="auto"/>
        </w:rPr>
      </w:pPr>
    </w:p>
    <w:p>
      <w:pPr>
        <w:ind w:left="660" w:right="360" w:firstLine="645"/>
        <w:spacing w:after="0" w:line="277" w:lineRule="auto"/>
        <w:tabs>
          <w:tab w:leader="none" w:pos="19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any interest or title of a lessor under any sale lease-back transaction entered into by the Company or any Subsidiary conveying only the assets so leased back to the extent the related Indebtedness is permitted under </w:t>
      </w:r>
      <w:r>
        <w:rPr>
          <w:rFonts w:ascii="Arial" w:cs="Arial" w:eastAsia="Arial" w:hAnsi="Arial"/>
          <w:sz w:val="18"/>
          <w:szCs w:val="18"/>
          <w:u w:val="single" w:color="auto"/>
          <w:color w:val="auto"/>
        </w:rPr>
        <w:t>§8.1</w:t>
      </w:r>
      <w:r>
        <w:rPr>
          <w:rFonts w:ascii="Arial" w:cs="Arial" w:eastAsia="Arial" w:hAnsi="Arial"/>
          <w:sz w:val="18"/>
          <w:szCs w:val="18"/>
          <w:color w:val="auto"/>
        </w:rPr>
        <w:t xml:space="preserve">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5"/>
        <w:spacing w:after="0" w:line="255" w:lineRule="auto"/>
        <w:tabs>
          <w:tab w:leader="none" w:pos="19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Company and any of its Subsidiaries, as lessors or sublessors) from time to time purporting to secure the payment by the obligors of such trade receivables (together with any financing statements authorized by such obligors describing the collateral securing such trade receivables) pursuant to such Permitted Receivables Transactions; and</w:t>
      </w:r>
    </w:p>
    <w:p>
      <w:pPr>
        <w:spacing w:after="0" w:line="189" w:lineRule="exact"/>
        <w:rPr>
          <w:rFonts w:ascii="Arial" w:cs="Arial" w:eastAsia="Arial" w:hAnsi="Arial"/>
          <w:sz w:val="18"/>
          <w:szCs w:val="18"/>
          <w:color w:val="auto"/>
        </w:rPr>
      </w:pPr>
    </w:p>
    <w:p>
      <w:pPr>
        <w:ind w:left="660" w:right="460" w:firstLine="645"/>
        <w:spacing w:after="0" w:line="279" w:lineRule="auto"/>
        <w:tabs>
          <w:tab w:leader="none" w:pos="1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Liens securing other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all liabilities, including any Indebtedness, of the Company and its Subsidiaries secured by all Liens permitted in subsections (k), (1) and (m), when added (without duplication) to the aggregate outstanding amount of Indebtedness of the Subsidiaries of the Company permitted under </w:t>
      </w:r>
      <w:r>
        <w:rPr>
          <w:rFonts w:ascii="Arial" w:cs="Arial" w:eastAsia="Arial" w:hAnsi="Arial"/>
          <w:sz w:val="17"/>
          <w:szCs w:val="17"/>
          <w:u w:val="single" w:color="auto"/>
          <w:color w:val="auto"/>
        </w:rPr>
        <w:t>§8.1(b)</w:t>
      </w:r>
      <w:r>
        <w:rPr>
          <w:rFonts w:ascii="Arial" w:cs="Arial" w:eastAsia="Arial" w:hAnsi="Arial"/>
          <w:sz w:val="17"/>
          <w:szCs w:val="17"/>
          <w:color w:val="auto"/>
        </w:rPr>
        <w:t xml:space="preserve"> and Indebtedness with respect to Permitted Receivables Transactions, shall not exceed 15% of Consolidated Tangible Assets at any time.</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Transaction</w:t>
      </w:r>
      <w:r>
        <w:rPr>
          <w:rFonts w:ascii="Arial" w:cs="Arial" w:eastAsia="Arial" w:hAnsi="Arial"/>
          <w:sz w:val="18"/>
          <w:szCs w:val="18"/>
          <w:color w:val="auto"/>
        </w:rPr>
        <w:t>”. Any sale or sales of, and/or securitization of, any accounts receivable of the Company and/or any of its Subsidiaries (the “</w:t>
      </w:r>
      <w:r>
        <w:rPr>
          <w:rFonts w:ascii="Arial" w:cs="Arial" w:eastAsia="Arial" w:hAnsi="Arial"/>
          <w:sz w:val="18"/>
          <w:szCs w:val="18"/>
          <w:u w:val="single" w:color="auto"/>
          <w:color w:val="auto"/>
        </w:rPr>
        <w:t>Receivables</w:t>
      </w:r>
      <w:r>
        <w:rPr>
          <w:rFonts w:ascii="Arial" w:cs="Arial" w:eastAsia="Arial" w:hAnsi="Arial"/>
          <w:sz w:val="18"/>
          <w:szCs w:val="18"/>
          <w:color w:val="auto"/>
        </w:rPr>
        <w:t>”) pursuant to which (a) the Company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Any individual, corporation, partnership, joint venture, limited liability company, trust, unincorporated association, business, or other legal entity, and any government or any governmental agency or political subdivision thereof.</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ectPr>
          <w:pgSz w:w="11900" w:h="16838" w:orient="portrait"/>
          <w:cols w:equalWidth="0" w:num="1">
            <w:col w:w="11420"/>
          </w:cols>
          <w:pgMar w:left="240" w:top="125" w:right="239" w:bottom="0" w:gutter="0" w:footer="0" w:header="0"/>
        </w:sectPr>
      </w:pP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Table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1820" w:val="left"/>
        </w:tabs>
        <w:rPr>
          <w:sz w:val="20"/>
          <w:szCs w:val="20"/>
          <w:color w:val="auto"/>
        </w:rPr>
      </w:pPr>
      <w:r>
        <w:rPr>
          <w:rFonts w:ascii="Arial" w:cs="Arial" w:eastAsia="Arial" w:hAnsi="Arial"/>
          <w:sz w:val="14"/>
          <w:szCs w:val="14"/>
          <w:b w:val="1"/>
          <w:bCs w:val="1"/>
          <w:color w:val="auto"/>
        </w:rPr>
        <w:t>Level</w:t>
      </w:r>
      <w:r>
        <w:rPr>
          <w:sz w:val="20"/>
          <w:szCs w:val="20"/>
          <w:color w:val="auto"/>
        </w:rPr>
        <w:tab/>
      </w:r>
      <w:r>
        <w:rPr>
          <w:rFonts w:ascii="Arial" w:cs="Arial" w:eastAsia="Arial" w:hAnsi="Arial"/>
          <w:sz w:val="14"/>
          <w:szCs w:val="14"/>
          <w:b w:val="1"/>
          <w:bCs w:val="1"/>
          <w:color w:val="auto"/>
        </w:rPr>
        <w:t>Senior Public Debt Rating</w:t>
      </w:r>
    </w:p>
    <w:p>
      <w:pPr>
        <w:spacing w:after="0" w:line="25" w:lineRule="exact"/>
        <w:rPr>
          <w:sz w:val="20"/>
          <w:szCs w:val="20"/>
          <w:color w:val="auto"/>
        </w:rPr>
      </w:pPr>
    </w:p>
    <w:p>
      <w:pPr>
        <w:ind w:left="800" w:hanging="553"/>
        <w:spacing w:after="0" w:line="280" w:lineRule="auto"/>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Greater than or equal to A+ by Standard &amp; Poor’s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greater than or equal to A1 by Moody’s</w:t>
      </w:r>
    </w:p>
    <w:p>
      <w:pPr>
        <w:spacing w:after="0" w:line="1" w:lineRule="exact"/>
        <w:rPr>
          <w:sz w:val="20"/>
          <w:szCs w:val="20"/>
          <w:color w:val="auto"/>
        </w:rPr>
      </w:pPr>
    </w:p>
    <w:p>
      <w:pPr>
        <w:ind w:left="800" w:hanging="553"/>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by Standard &amp; Poor’s or A2 by Moody’s</w:t>
      </w:r>
    </w:p>
    <w:p>
      <w:pPr>
        <w:spacing w:after="0" w:line="9"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 xml:space="preserve">A- by Standard &amp; Poor’s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A3 by Moody’s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Applicable</w:t>
            </w: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Applicable</w:t>
            </w:r>
          </w:p>
        </w:tc>
        <w:tc>
          <w:tcPr>
            <w:tcW w:w="1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Applicable Base</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9"/>
        </w:trPr>
        <w:tc>
          <w:tcPr>
            <w:tcW w:w="1740" w:type="dxa"/>
            <w:vAlign w:val="bottom"/>
            <w:gridSpan w:val="2"/>
            <w:vMerge w:val="continue"/>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Letter of</w:t>
            </w:r>
          </w:p>
        </w:tc>
        <w:tc>
          <w:tcPr>
            <w:tcW w:w="174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Facility</w:t>
            </w: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Credit Fee</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Rate/Canadian</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Eurocurrency</w:t>
            </w:r>
          </w:p>
        </w:tc>
        <w:tc>
          <w:tcPr>
            <w:tcW w:w="0" w:type="dxa"/>
            <w:vAlign w:val="bottom"/>
          </w:tcPr>
          <w:p>
            <w:pPr>
              <w:spacing w:after="0"/>
              <w:rPr>
                <w:sz w:val="1"/>
                <w:szCs w:val="1"/>
                <w:color w:val="auto"/>
              </w:rPr>
            </w:pPr>
          </w:p>
        </w:tc>
      </w:tr>
      <w:tr>
        <w:trPr>
          <w:trHeight w:val="171"/>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Fee Rate</w:t>
            </w:r>
          </w:p>
        </w:tc>
        <w:tc>
          <w:tcPr>
            <w:tcW w:w="24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Prime Rate</w:t>
            </w:r>
          </w:p>
        </w:tc>
        <w:tc>
          <w:tcPr>
            <w:tcW w:w="24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318"/>
        </w:trPr>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0.06% per annum</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0.69% per annum</w:t>
            </w: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0.0% per annum</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0.69% per annum</w:t>
            </w:r>
          </w:p>
        </w:tc>
        <w:tc>
          <w:tcPr>
            <w:tcW w:w="0" w:type="dxa"/>
            <w:vAlign w:val="bottom"/>
          </w:tcPr>
          <w:p>
            <w:pPr>
              <w:spacing w:after="0"/>
              <w:rPr>
                <w:sz w:val="1"/>
                <w:szCs w:val="1"/>
                <w:color w:val="auto"/>
              </w:rPr>
            </w:pPr>
          </w:p>
        </w:tc>
      </w:tr>
      <w:tr>
        <w:trPr>
          <w:trHeight w:val="310"/>
        </w:trPr>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0.07% per annum</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0.805% per annum</w:t>
            </w: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0.0% per annum</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0.805% per annum</w:t>
            </w:r>
          </w:p>
        </w:tc>
        <w:tc>
          <w:tcPr>
            <w:tcW w:w="0" w:type="dxa"/>
            <w:vAlign w:val="bottom"/>
          </w:tcPr>
          <w:p>
            <w:pPr>
              <w:spacing w:after="0"/>
              <w:rPr>
                <w:sz w:val="1"/>
                <w:szCs w:val="1"/>
                <w:color w:val="auto"/>
              </w:rPr>
            </w:pPr>
          </w:p>
        </w:tc>
      </w:tr>
      <w:tr>
        <w:trPr>
          <w:trHeight w:val="230"/>
        </w:trPr>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0.09% per annum</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0.91% per annum</w:t>
            </w: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0.0% per annum</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0.91% per annum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-136525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-556895</wp:posOffset>
            </wp:positionV>
            <wp:extent cx="7246620" cy="283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ectPr>
          <w:pgSz w:w="11900" w:h="16838" w:orient="portrait"/>
          <w:cols w:equalWidth="0" w:num="2">
            <w:col w:w="4380" w:space="320"/>
            <w:col w:w="6720"/>
          </w:cols>
          <w:pgMar w:left="240" w:top="125" w:right="239" w:bottom="0" w:gutter="0" w:footer="0" w:header="0"/>
          <w:type w:val="continuous"/>
        </w:sectPr>
      </w:pPr>
    </w:p>
    <w:bookmarkStart w:id="19" w:name="page20"/>
    <w:bookmarkEnd w:id="19"/>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77"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820" w:val="left"/>
        </w:tabs>
        <w:rPr>
          <w:sz w:val="20"/>
          <w:szCs w:val="20"/>
          <w:color w:val="auto"/>
        </w:rPr>
      </w:pPr>
      <w:r>
        <w:rPr>
          <w:rFonts w:ascii="Arial" w:cs="Arial" w:eastAsia="Arial" w:hAnsi="Arial"/>
          <w:sz w:val="14"/>
          <w:szCs w:val="14"/>
          <w:b w:val="1"/>
          <w:bCs w:val="1"/>
          <w:color w:val="auto"/>
        </w:rPr>
        <w:t>Level</w:t>
      </w:r>
      <w:r>
        <w:rPr>
          <w:sz w:val="20"/>
          <w:szCs w:val="20"/>
          <w:color w:val="auto"/>
        </w:rPr>
        <w:tab/>
      </w:r>
      <w:r>
        <w:rPr>
          <w:rFonts w:ascii="Arial" w:cs="Arial" w:eastAsia="Arial" w:hAnsi="Arial"/>
          <w:sz w:val="14"/>
          <w:szCs w:val="14"/>
          <w:b w:val="1"/>
          <w:bCs w:val="1"/>
          <w:color w:val="auto"/>
        </w:rPr>
        <w:t>Senior Public Debt Rating</w:t>
      </w:r>
    </w:p>
    <w:p>
      <w:pPr>
        <w:spacing w:after="0" w:line="25" w:lineRule="exact"/>
        <w:rPr>
          <w:sz w:val="20"/>
          <w:szCs w:val="20"/>
          <w:color w:val="auto"/>
        </w:rPr>
      </w:pPr>
    </w:p>
    <w:p>
      <w:pPr>
        <w:ind w:left="800" w:hanging="553"/>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BBB+ by Standard &amp; Poor’s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Baa1 by Moody’s</w:t>
      </w:r>
    </w:p>
    <w:p>
      <w:pPr>
        <w:spacing w:after="0" w:line="30"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5</w:t>
      </w:r>
      <w:r>
        <w:rPr>
          <w:rFonts w:ascii="Arial" w:cs="Arial" w:eastAsia="Arial" w:hAnsi="Arial"/>
          <w:sz w:val="16"/>
          <w:szCs w:val="16"/>
          <w:color w:val="auto"/>
        </w:rPr>
        <w:t>Less than or equal to BBB by Standard &amp; Poor’s</w:t>
      </w:r>
    </w:p>
    <w:p>
      <w:pPr>
        <w:spacing w:after="0" w:line="9"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8"/>
          <w:szCs w:val="18"/>
          <w:u w:val="single" w:color="auto"/>
          <w:color w:val="auto"/>
        </w:rPr>
        <w:t>or</w:t>
      </w:r>
      <w:r>
        <w:rPr>
          <w:rFonts w:ascii="Arial" w:cs="Arial" w:eastAsia="Arial" w:hAnsi="Arial"/>
          <w:sz w:val="18"/>
          <w:szCs w:val="18"/>
          <w:color w:val="auto"/>
        </w:rPr>
        <w:t xml:space="preserve"> less than or equal to Baa2 by Moody’s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Applicable</w:t>
            </w: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Applicable</w:t>
            </w:r>
          </w:p>
        </w:tc>
        <w:tc>
          <w:tcPr>
            <w:tcW w:w="1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Applicable Base</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9"/>
        </w:trPr>
        <w:tc>
          <w:tcPr>
            <w:tcW w:w="1740" w:type="dxa"/>
            <w:vAlign w:val="bottom"/>
            <w:gridSpan w:val="2"/>
            <w:vMerge w:val="continue"/>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Letter of</w:t>
            </w:r>
          </w:p>
        </w:tc>
        <w:tc>
          <w:tcPr>
            <w:tcW w:w="174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Facility</w:t>
            </w: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Credit Fee</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Rate/Canadian</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Eurocurrency</w:t>
            </w:r>
          </w:p>
        </w:tc>
        <w:tc>
          <w:tcPr>
            <w:tcW w:w="0" w:type="dxa"/>
            <w:vAlign w:val="bottom"/>
          </w:tcPr>
          <w:p>
            <w:pPr>
              <w:spacing w:after="0"/>
              <w:rPr>
                <w:sz w:val="1"/>
                <w:szCs w:val="1"/>
                <w:color w:val="auto"/>
              </w:rPr>
            </w:pPr>
          </w:p>
        </w:tc>
      </w:tr>
      <w:tr>
        <w:trPr>
          <w:trHeight w:val="171"/>
        </w:trPr>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Fee Rate</w:t>
            </w: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Rate</w:t>
            </w: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Prime Rate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24"/>
        </w:trPr>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0.10% per annum</w:t>
            </w:r>
          </w:p>
        </w:tc>
        <w:tc>
          <w:tcPr>
            <w:tcW w:w="24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1.00% per annum</w:t>
            </w:r>
          </w:p>
        </w:tc>
        <w:tc>
          <w:tcPr>
            <w:tcW w:w="22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0.0% per annum</w:t>
            </w:r>
          </w:p>
        </w:tc>
        <w:tc>
          <w:tcPr>
            <w:tcW w:w="240" w:type="dxa"/>
            <w:vAlign w:val="bottom"/>
          </w:tcPr>
          <w:p>
            <w:pPr>
              <w:spacing w:after="0"/>
              <w:rPr>
                <w:sz w:val="19"/>
                <w:szCs w:val="19"/>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1.00% per annum</w:t>
            </w:r>
          </w:p>
        </w:tc>
        <w:tc>
          <w:tcPr>
            <w:tcW w:w="0" w:type="dxa"/>
            <w:vAlign w:val="bottom"/>
          </w:tcPr>
          <w:p>
            <w:pPr>
              <w:spacing w:after="0"/>
              <w:rPr>
                <w:sz w:val="1"/>
                <w:szCs w:val="1"/>
                <w:color w:val="auto"/>
              </w:rPr>
            </w:pPr>
          </w:p>
        </w:tc>
      </w:tr>
      <w:tr>
        <w:trPr>
          <w:trHeight w:val="310"/>
        </w:trPr>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0.15% per annum</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1.05% per annum</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0.05% per annum</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1.05% per annum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-351155</wp:posOffset>
            </wp:positionV>
            <wp:extent cx="72466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98" w:lineRule="exact"/>
        <w:rPr>
          <w:sz w:val="20"/>
          <w:szCs w:val="20"/>
          <w:color w:val="auto"/>
        </w:rPr>
      </w:pPr>
    </w:p>
    <w:p>
      <w:pPr>
        <w:sectPr>
          <w:pgSz w:w="11900" w:h="16877" w:orient="portrait"/>
          <w:cols w:equalWidth="0" w:num="2">
            <w:col w:w="4380" w:space="320"/>
            <w:col w:w="6720"/>
          </w:cols>
          <w:pgMar w:left="240" w:top="125" w:right="239" w:bottom="0" w:gutter="0" w:footer="0" w:header="0"/>
          <w:type w:val="continuous"/>
        </w:sectPr>
      </w:pPr>
    </w:p>
    <w:p>
      <w:pPr>
        <w:spacing w:after="0" w:line="1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The applicable rates charged for any day shall be determined by the higher Senior Public Debt Rating in effect as of that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higher Senior Public Debt Rating is more than one level higher than the lower Senior Public Debt Rating, the applicable rate shall be set at one level below the higher Senior Public Debt Rating. If the Company does not have any Senior Public Debt Rating, Pricing Level 5 shall apply. For purposes of each of the rates set forth in the table above such rates shall be the applicable rate per annum determined as of the day of receipt by the Administrative Agent from the Company of evidence satisfactory to the Administrative Agent of the then-applicable Senior Public Debt Rating. Initially, the Pricing Level as of the Effective Date shall be Pricing Level 3. Thereafter, each change in the Pricing Level resulting from a publicly announced change in the Senior Public Debt Rating shall be effective during the period commencing on the date of delivery by the Company to the Administrative Agent of notice thereof pursuant to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(or, if earlier, on the date that the Administrative Agent becomes aware of such public announcement) and ending on the date immediately preceding the effective date of the next such change.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A prohibited transaction class exemption issued by the U.S. Department of Labor, as any such exemption may be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Rate Determination Date</w:t>
      </w:r>
      <w:r>
        <w:rPr>
          <w:rFonts w:ascii="Arial" w:cs="Arial" w:eastAsia="Arial" w:hAnsi="Arial"/>
          <w:sz w:val="16"/>
          <w:szCs w:val="16"/>
          <w:color w:val="auto"/>
        </w:rPr>
        <w:t xml:space="preserve">”.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market practice is not administratively feasible for the Administrative Agent, such other day as otherwise reasonably determined by the Administrative Agent).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RCRA</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§6.15(a)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All real property heretofore, now, or hereafter owned, operated, or leased by a Borrower or any of its Subsidiaries.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Subsidiary</w:t>
      </w:r>
      <w:r>
        <w:rPr>
          <w:rFonts w:ascii="Arial" w:cs="Arial" w:eastAsia="Arial" w:hAnsi="Arial"/>
          <w:sz w:val="18"/>
          <w:szCs w:val="18"/>
          <w:color w:val="auto"/>
        </w:rPr>
        <w:t>”. Any special purpose, bankruptcy-remote Subsidiary of the Company that purchases, on a revolving basis, receivables generated by the Company or any of its Subsidiaries pursuant to a Permitted Receivables Transaction.</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The Administrative Agent, any Bank, any Issuing Bank or any other recipient of any payment to be made by or on account of any obligation of any Loan Party hereunder.</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xml:space="preserve">”. The applicable Borrower’s obligation to reimburse the applicable Issuing Bank and the Banks on account of any drawing under any Letter of Credit, all as provided in </w:t>
      </w:r>
      <w:r>
        <w:rPr>
          <w:rFonts w:ascii="Arial" w:cs="Arial" w:eastAsia="Arial" w:hAnsi="Arial"/>
          <w:sz w:val="18"/>
          <w:szCs w:val="18"/>
          <w:u w:val="single" w:color="auto"/>
          <w:color w:val="auto"/>
        </w:rPr>
        <w:t>§2.6.2</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With respect to any Person, such Person’s affiliates and the partners, directors, officers, employees, agents, trustees, administrators, managers, advisors and representatives of such Person and of such Person’s affiliates.</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Shall have the meaning specified in CERCLA and the term “Disposal” (or “Disposed”) shall have the meaning specified in the RCRA and regulations promulgated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Company’s or any of its Subsidiaries’ activities in that state, province, territory or political subdivision.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Bank</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§2.18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Notice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§2.18</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xml:space="preserve">”. With respect to (a) any Letter of Credit issued in Canadian Dollars, each of the following: (i) each date of the issuance of such Letter of Credit in Canadian Dollars, (ii) each date of an amendment thereof having the effect of increasing the amount thereof (solely with respect to the increased amount), (iii) each date of any payment by the applicable Issuing Bank thereunder, and (iv) such additional dates as the Administrative Agent or the applicable Issuing Bank shall determine or the Majority Banks shall require, and (b) any Loan, each of the following: (i) each date of a Borrowing of a Eurocurrency Rate Loan denominated in Canadian Dollars, (ii) each date of a continuation of a Eurocurrency Rate Loan denominated in Canadian Dollars pursuant to </w:t>
      </w:r>
      <w:r>
        <w:rPr>
          <w:rFonts w:ascii="Arial" w:cs="Arial" w:eastAsia="Arial" w:hAnsi="Arial"/>
          <w:sz w:val="17"/>
          <w:szCs w:val="17"/>
          <w:u w:val="single" w:color="auto"/>
          <w:color w:val="auto"/>
        </w:rPr>
        <w:t>§2.4</w:t>
      </w:r>
      <w:r>
        <w:rPr>
          <w:rFonts w:ascii="Arial" w:cs="Arial" w:eastAsia="Arial" w:hAnsi="Arial"/>
          <w:sz w:val="17"/>
          <w:szCs w:val="17"/>
          <w:color w:val="auto"/>
        </w:rPr>
        <w:t>, and (iii) such additional dates as the Administrative Agent shall determine or the Majority Banks shall require.</w:t>
      </w:r>
    </w:p>
    <w:p>
      <w:pPr>
        <w:spacing w:after="0" w:line="178"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As to any Bank at any time, the aggregate Outstanding Amount at such time of its Loans and the aggregate Outstanding Amount of such Bank’s participation in L/C Obligations and Swing Line Loans at such time.</w:t>
      </w:r>
    </w:p>
    <w:p>
      <w:pPr>
        <w:spacing w:after="0" w:line="170"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Same Day Funds</w:t>
      </w:r>
      <w:r>
        <w:rPr>
          <w:rFonts w:ascii="Arial" w:cs="Arial" w:eastAsia="Arial" w:hAnsi="Arial"/>
          <w:sz w:val="16"/>
          <w:szCs w:val="16"/>
          <w:color w:val="auto"/>
        </w:rPr>
        <w:t>”. (a) With respect to disbursements and payments in Dollars, immediately available funds, and (b) with respect to disbursements and payments in Canadian Dollars, same day or other funds as may be determined by the Administrative Agent or applicable Issuing Bank, as the case may be, to be customary in the place of disbursement or payment for the settlement of international banking transactions in Canadian Dollars.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Any economic or trade sanctions administered or enforced by the United States Government (including without limitation, OFAC and the U.S. Department of State), the Canadian Government, the United Nations Security Council, the European Union,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w:t>
      </w:r>
    </w:p>
    <w:p>
      <w:pPr>
        <w:sectPr>
          <w:pgSz w:w="11900" w:h="16877" w:orient="portrait"/>
          <w:cols w:equalWidth="0" w:num="1">
            <w:col w:w="11420"/>
          </w:cols>
          <w:pgMar w:left="240" w:top="125" w:right="239" w:bottom="0" w:gutter="0" w:footer="0" w:header="0"/>
          <w:type w:val="continuous"/>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§3.3.2(a)</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Public Debt Rating</w:t>
      </w:r>
      <w:r>
        <w:rPr>
          <w:rFonts w:ascii="Arial" w:cs="Arial" w:eastAsia="Arial" w:hAnsi="Arial"/>
          <w:sz w:val="18"/>
          <w:szCs w:val="18"/>
          <w:color w:val="auto"/>
        </w:rPr>
        <w:t>”. The ratings of the Company’s public unsecured long-term senior debt, without third party credit enhancement, issued by Moody’s or Standard &amp; Poor’s.</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At any time, a Subsidiary that at such time meets the definition of “significant subsidiary” contained in Regulation S-X of the Securities and Exchange Commission as in effect on the date hereof, but as if each reference in said definition to the figure “10 percent” were a reference to the figure “3 percent”. References in this Agreement to a “Significant Subsidiary” refer to 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Significant Subsidiary of the Company, unless the context in which such term is used clearly requires otherwise.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the rate determined by the Administrative Agent or an Issuing Bank,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or such Issuing Bank may obtain such spot rate from another financial institution designated by the Administrative Agent or such Issuing Bank if the Person acting in such capacity does not have as of the date of determination a spot buying rate for any such currency;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Issuing Bank may use such spot rate quoted on the date as of which the foreign exchange computation is made in the case of any Letter of Credit denominated in Canadian Dollars.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&amp; Poor’s</w:t>
      </w:r>
      <w:r>
        <w:rPr>
          <w:rFonts w:ascii="Arial" w:cs="Arial" w:eastAsia="Arial" w:hAnsi="Arial"/>
          <w:sz w:val="18"/>
          <w:szCs w:val="18"/>
          <w:color w:val="auto"/>
        </w:rPr>
        <w:t>”. Standard &amp; Poor’s Financial Services LLC, a subsidiary of The McGraw-Hill Companies, Inc.</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As to any Person, any corporation, association, trust, or other business entity of which such Person shall at any time own, directly or indirectly, at least a majority of the outstanding capital stock or other interest entitled to vote generally and whose financial results are required to be consolidated with the financial results of the designated parent in accordance with GAAP. Unless otherwise specified herein or the context otherwise requires, any reference herein to a Subsidiary shall be deemed to refer to a Subsidiary of the Company.</w:t>
      </w:r>
    </w:p>
    <w:p>
      <w:pPr>
        <w:spacing w:after="0" w:line="17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Contracts</w:t>
      </w:r>
      <w:r>
        <w:rPr>
          <w:rFonts w:ascii="Arial" w:cs="Arial" w:eastAsia="Arial" w:hAnsi="Arial"/>
          <w:sz w:val="18"/>
          <w:szCs w:val="18"/>
          <w:color w:val="auto"/>
        </w:rPr>
        <w:t>”. All obligations in respect of interest rate, currency or commodity exchange, forward, swap, or futures contracts or similar transactions or arrangements entered into to protect or hedge any Borrower and its Subsidiaries against interest rate, exchange rate or commodity price risks or exposure, or to lower or diversify their funding costs.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Bank</w:t>
      </w:r>
      <w:r>
        <w:rPr>
          <w:rFonts w:ascii="Arial" w:cs="Arial" w:eastAsia="Arial" w:hAnsi="Arial"/>
          <w:sz w:val="18"/>
          <w:szCs w:val="18"/>
          <w:color w:val="auto"/>
        </w:rPr>
        <w:t>”. Bank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§2.5</w:t>
      </w:r>
      <w:r>
        <w:rPr>
          <w:rFonts w:ascii="Arial" w:cs="Arial" w:eastAsia="Arial" w:hAnsi="Arial"/>
          <w:sz w:val="18"/>
          <w:szCs w:val="18"/>
          <w:color w:val="auto"/>
        </w:rPr>
        <w:t>.</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Request</w:t>
      </w:r>
      <w:r>
        <w:rPr>
          <w:rFonts w:ascii="Arial" w:cs="Arial" w:eastAsia="Arial" w:hAnsi="Arial"/>
          <w:sz w:val="18"/>
          <w:szCs w:val="18"/>
          <w:color w:val="auto"/>
        </w:rPr>
        <w:t xml:space="preserve">”. A notice of a Swing Line Borrowing pursuant to </w:t>
      </w:r>
      <w:r>
        <w:rPr>
          <w:rFonts w:ascii="Arial" w:cs="Arial" w:eastAsia="Arial" w:hAnsi="Arial"/>
          <w:sz w:val="18"/>
          <w:szCs w:val="18"/>
          <w:u w:val="single" w:color="auto"/>
          <w:color w:val="auto"/>
        </w:rPr>
        <w:t>§2.5.2</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or such other form as approved by the Administrative Agent (including any form on an electronic platform or electronic transmission system as shall be approved by the Administrative Agent).</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An amount equal to the lesser of (a) $100,000,000 and (b) the Total Commitments. The Swing Line Sublimit is part of, and not in addition to, the Total Commitments.</w:t>
      </w:r>
    </w:p>
    <w:p>
      <w:pPr>
        <w:spacing w:after="0" w:line="170" w:lineRule="exact"/>
        <w:rPr>
          <w:sz w:val="20"/>
          <w:szCs w:val="20"/>
          <w:color w:val="auto"/>
        </w:rPr>
      </w:pPr>
    </w:p>
    <w:p>
      <w:pPr>
        <w:ind w:right="24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Terminated Plans</w:t>
      </w:r>
      <w:r>
        <w:rPr>
          <w:rFonts w:ascii="Arial" w:cs="Arial" w:eastAsia="Arial" w:hAnsi="Arial"/>
          <w:sz w:val="17"/>
          <w:szCs w:val="17"/>
          <w:color w:val="auto"/>
        </w:rPr>
        <w:t>”. The Waste Management, Inc. Pension Plan and The Waste Management of Alameda County, Inc. Retirement Plan.</w:t>
      </w:r>
    </w:p>
    <w:p>
      <w:pPr>
        <w:spacing w:after="0" w:line="23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w:t>
      </w:r>
      <w:r>
        <w:rPr>
          <w:rFonts w:ascii="Arial" w:cs="Arial" w:eastAsia="Arial" w:hAnsi="Arial"/>
          <w:sz w:val="18"/>
          <w:szCs w:val="18"/>
          <w:color w:val="auto"/>
        </w:rPr>
        <w:t xml:space="preserve">”. The Commitments of all the Banks. Initially $2,750,000,000, as such amount may be increased or reduced in accordance with the terms hereof, or, if such Total Commitment has been terminated pursuant to </w:t>
      </w:r>
      <w:r>
        <w:rPr>
          <w:rFonts w:ascii="Arial" w:cs="Arial" w:eastAsia="Arial" w:hAnsi="Arial"/>
          <w:sz w:val="18"/>
          <w:szCs w:val="18"/>
          <w:u w:val="single" w:color="auto"/>
          <w:color w:val="auto"/>
        </w:rPr>
        <w:t>§2.3.1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§12.2</w:t>
      </w:r>
      <w:r>
        <w:rPr>
          <w:rFonts w:ascii="Arial" w:cs="Arial" w:eastAsia="Arial" w:hAnsi="Arial"/>
          <w:sz w:val="18"/>
          <w:szCs w:val="18"/>
          <w:color w:val="auto"/>
        </w:rPr>
        <w:t xml:space="preserve"> hereof, zero.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Debt</w:t>
      </w:r>
      <w:r>
        <w:rPr>
          <w:rFonts w:ascii="Arial" w:cs="Arial" w:eastAsia="Arial" w:hAnsi="Arial"/>
          <w:sz w:val="16"/>
          <w:szCs w:val="16"/>
          <w:color w:val="auto"/>
        </w:rPr>
        <w:t>”. The sum, without duplication, of all (a) Indebtedness of the Company and its Subsidiaries on a consolidated basis under subsections</w:t>
      </w:r>
    </w:p>
    <w:p>
      <w:pPr>
        <w:spacing w:after="0" w:line="46" w:lineRule="exact"/>
        <w:rPr>
          <w:sz w:val="20"/>
          <w:szCs w:val="20"/>
          <w:color w:val="auto"/>
        </w:rPr>
      </w:pPr>
    </w:p>
    <w:p>
      <w:pPr>
        <w:jc w:val="both"/>
        <w:ind w:right="320" w:firstLine="8"/>
        <w:spacing w:after="0" w:line="255"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(h) of the definition of “Indebtedness” (provided, however, that Indebtedness with respect to Permitted Receivables Transactions shall not be included in such calculation), plus (b) non-contingent reimbursement obligations of the Company and its Subsidiaries with respect to drawings under any letters of credit.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The aggregate Outstanding Amount of all Loans and all L/C Obligations.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refers to whether the rate of interest on such Loan is determined by reference to the Eurocurrency Rate, the Base Rate or the Canadian Prime Rate.</w:t>
      </w:r>
    </w:p>
    <w:p>
      <w:pPr>
        <w:spacing w:after="0" w:line="170"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Equivalent</w:t>
      </w:r>
      <w:r>
        <w:rPr>
          <w:rFonts w:ascii="Arial" w:cs="Arial" w:eastAsia="Arial" w:hAnsi="Arial"/>
          <w:sz w:val="18"/>
          <w:szCs w:val="18"/>
          <w:color w:val="auto"/>
        </w:rPr>
        <w:t>”. With respect to any amount denominated in Canadian Dollars computed at any time, the equivalent amount thereof in U.S. Dollars as determined by the Administrative Agent or the Issuing Bank, as the case may be, at such time on the basis of the Spot Rate (determined in respect of the most recent Revaluation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The USA PATRIOT Act (Title III of Pub. L. 107-56 (signed into law October 26, 2001)).</w:t>
      </w:r>
    </w:p>
    <w:p>
      <w:pPr>
        <w:sectPr>
          <w:pgSz w:w="11900" w:h="16838" w:orient="portrait"/>
          <w:cols w:equalWidth="0" w:num="1">
            <w:col w:w="11380"/>
          </w:cols>
          <w:pgMar w:left="240" w:top="341" w:right="279" w:bottom="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§3.1.5(b)(ii)</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The amount of any unreimbursed drawing under a Letter of Credit (expressed in Dollars in the amount of the U.S. Dollar Equivalent thereof in the case of a Letter of Credit denominated in Canadian Dollars).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7"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Rules of Interpretation</w:t>
      </w:r>
      <w:r>
        <w:rPr>
          <w:rFonts w:ascii="Arial" w:cs="Arial" w:eastAsia="Arial" w:hAnsi="Arial"/>
          <w:sz w:val="18"/>
          <w:szCs w:val="18"/>
          <w:color w:val="auto"/>
        </w:rPr>
        <w:t>.</w:t>
      </w:r>
    </w:p>
    <w:p>
      <w:pPr>
        <w:spacing w:after="0" w:line="229" w:lineRule="exact"/>
        <w:rPr>
          <w:sz w:val="20"/>
          <w:szCs w:val="20"/>
          <w:color w:val="auto"/>
        </w:rPr>
      </w:pPr>
    </w:p>
    <w:p>
      <w:pPr>
        <w:ind w:left="700" w:right="340" w:firstLine="655"/>
        <w:spacing w:after="0" w:line="342" w:lineRule="auto"/>
        <w:tabs>
          <w:tab w:leader="none" w:pos="1993"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123" w:lineRule="exact"/>
        <w:rPr>
          <w:rFonts w:ascii="Arial" w:cs="Arial" w:eastAsia="Arial" w:hAnsi="Arial"/>
          <w:sz w:val="16"/>
          <w:szCs w:val="16"/>
          <w:color w:val="auto"/>
        </w:rPr>
      </w:pPr>
    </w:p>
    <w:p>
      <w:pPr>
        <w:ind w:left="2020" w:hanging="665"/>
        <w:spacing w:after="0"/>
        <w:tabs>
          <w:tab w:leader="none" w:pos="2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singular includes the plural and the plural includes the singular.</w:t>
      </w:r>
    </w:p>
    <w:p>
      <w:pPr>
        <w:spacing w:after="0" w:line="225" w:lineRule="exact"/>
        <w:rPr>
          <w:rFonts w:ascii="Arial" w:cs="Arial" w:eastAsia="Arial" w:hAnsi="Arial"/>
          <w:sz w:val="18"/>
          <w:szCs w:val="18"/>
          <w:color w:val="auto"/>
        </w:rPr>
      </w:pPr>
    </w:p>
    <w:p>
      <w:pPr>
        <w:ind w:left="2020" w:hanging="665"/>
        <w:spacing w:after="0"/>
        <w:tabs>
          <w:tab w:leader="none" w:pos="2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reference to any law includes any amendment or modification to such law.</w:t>
      </w:r>
    </w:p>
    <w:p>
      <w:pPr>
        <w:spacing w:after="0" w:line="225" w:lineRule="exact"/>
        <w:rPr>
          <w:rFonts w:ascii="Arial" w:cs="Arial" w:eastAsia="Arial" w:hAnsi="Arial"/>
          <w:sz w:val="18"/>
          <w:szCs w:val="18"/>
          <w:color w:val="auto"/>
        </w:rPr>
      </w:pPr>
    </w:p>
    <w:p>
      <w:pPr>
        <w:ind w:left="2020" w:hanging="665"/>
        <w:spacing w:after="0"/>
        <w:tabs>
          <w:tab w:leader="none" w:pos="2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reference to any Person includes its permitted successors and permitted assigns.</w:t>
      </w:r>
    </w:p>
    <w:p>
      <w:pPr>
        <w:spacing w:after="0" w:line="225" w:lineRule="exact"/>
        <w:rPr>
          <w:rFonts w:ascii="Arial" w:cs="Arial" w:eastAsia="Arial" w:hAnsi="Arial"/>
          <w:sz w:val="18"/>
          <w:szCs w:val="18"/>
          <w:color w:val="auto"/>
        </w:rPr>
      </w:pPr>
    </w:p>
    <w:p>
      <w:pPr>
        <w:ind w:left="700" w:right="660" w:firstLine="655"/>
        <w:spacing w:after="0" w:line="277" w:lineRule="auto"/>
        <w:tabs>
          <w:tab w:leader="none" w:pos="20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Accounting terms capitalized but not otherwise defined herein have the meanings assigned to them by generally accepted accounting principles applied on a consistent basis by the accounting entity to which they refer.</w:t>
      </w:r>
    </w:p>
    <w:p>
      <w:pPr>
        <w:spacing w:after="0" w:line="170" w:lineRule="exact"/>
        <w:rPr>
          <w:rFonts w:ascii="Arial" w:cs="Arial" w:eastAsia="Arial" w:hAnsi="Arial"/>
          <w:sz w:val="18"/>
          <w:szCs w:val="18"/>
          <w:color w:val="auto"/>
        </w:rPr>
      </w:pPr>
    </w:p>
    <w:p>
      <w:pPr>
        <w:ind w:left="2000" w:hanging="645"/>
        <w:spacing w:after="0"/>
        <w:tabs>
          <w:tab w:leader="none" w:pos="2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words “include”, “includes” and “including” are not limiting.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160" w:firstLine="655"/>
        <w:spacing w:after="0" w:line="277" w:lineRule="auto"/>
        <w:tabs>
          <w:tab w:leader="none" w:pos="20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170" w:lineRule="exact"/>
        <w:rPr>
          <w:rFonts w:ascii="Arial" w:cs="Arial" w:eastAsia="Arial" w:hAnsi="Arial"/>
          <w:sz w:val="18"/>
          <w:szCs w:val="18"/>
          <w:color w:val="auto"/>
        </w:rPr>
      </w:pPr>
    </w:p>
    <w:p>
      <w:pPr>
        <w:ind w:left="2020" w:hanging="665"/>
        <w:spacing w:after="0"/>
        <w:tabs>
          <w:tab w:leader="none" w:pos="2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Reference to a particular “§” refers to that section of this Agreement unless otherwise indicated.</w:t>
      </w:r>
    </w:p>
    <w:p>
      <w:pPr>
        <w:spacing w:after="0" w:line="225" w:lineRule="exact"/>
        <w:rPr>
          <w:rFonts w:ascii="Arial" w:cs="Arial" w:eastAsia="Arial" w:hAnsi="Arial"/>
          <w:sz w:val="18"/>
          <w:szCs w:val="18"/>
          <w:color w:val="auto"/>
        </w:rPr>
      </w:pPr>
    </w:p>
    <w:p>
      <w:pPr>
        <w:ind w:left="700" w:right="500" w:firstLine="655"/>
        <w:spacing w:after="0" w:line="277" w:lineRule="auto"/>
        <w:tabs>
          <w:tab w:leader="none" w:pos="20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words “herein”, “hereof’, “hereunder” and words of like import shall refer to this Agreement as a whole and not to any particular section or subdivision of this Agreement.</w:t>
      </w:r>
    </w:p>
    <w:p>
      <w:pPr>
        <w:spacing w:after="0" w:line="166" w:lineRule="exact"/>
        <w:rPr>
          <w:sz w:val="20"/>
          <w:szCs w:val="20"/>
          <w:color w:val="auto"/>
        </w:rPr>
      </w:pPr>
    </w:p>
    <w:p>
      <w:pPr>
        <w:ind w:right="680" w:firstLine="1297"/>
        <w:spacing w:after="0" w:line="313" w:lineRule="auto"/>
        <w:rPr>
          <w:sz w:val="20"/>
          <w:szCs w:val="20"/>
          <w:color w:val="auto"/>
        </w:rPr>
      </w:pPr>
      <w:r>
        <w:rPr>
          <w:rFonts w:ascii="Arial" w:cs="Arial" w:eastAsia="Arial" w:hAnsi="Arial"/>
          <w:sz w:val="17"/>
          <w:szCs w:val="17"/>
          <w:b w:val="1"/>
          <w:bCs w:val="1"/>
          <w:color w:val="auto"/>
        </w:rPr>
        <w:t xml:space="preserve">§1.3. Classification of Loans and Borrowings. </w:t>
      </w:r>
      <w:r>
        <w:rPr>
          <w:rFonts w:ascii="Arial" w:cs="Arial" w:eastAsia="Arial" w:hAnsi="Arial"/>
          <w:sz w:val="17"/>
          <w:szCs w:val="17"/>
          <w:color w:val="auto"/>
        </w:rPr>
        <w:t>For purposes of this Agreement, Loans may be classified and referred to by</w:t>
      </w:r>
      <w:r>
        <w:rPr>
          <w:rFonts w:ascii="Arial" w:cs="Arial" w:eastAsia="Arial" w:hAnsi="Arial"/>
          <w:sz w:val="17"/>
          <w:szCs w:val="17"/>
          <w:b w:val="1"/>
          <w:bCs w:val="1"/>
          <w:color w:val="auto"/>
        </w:rPr>
        <w:t xml:space="preserve"> </w:t>
      </w:r>
      <w:r>
        <w:rPr>
          <w:rFonts w:ascii="Arial" w:cs="Arial" w:eastAsia="Arial" w:hAnsi="Arial"/>
          <w:sz w:val="17"/>
          <w:szCs w:val="17"/>
          <w:color w:val="auto"/>
        </w:rPr>
        <w:t>Class (e.g., a “Committed Loan”) or by Type (e.g., a “Eurocurrency Loan”) or by Class and Type (e.g., a “Eurocurrency Committed Loan”).</w:t>
      </w:r>
    </w:p>
    <w:p>
      <w:pPr>
        <w:spacing w:after="0" w:line="13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b w:val="1"/>
          <w:bCs w:val="1"/>
          <w:color w:val="auto"/>
        </w:rPr>
        <w:t>§1.4. Exchange Rates; Currency Equivalents</w:t>
      </w:r>
      <w:r>
        <w:rPr>
          <w:rFonts w:ascii="Arial" w:cs="Arial" w:eastAsia="Arial" w:hAnsi="Arial"/>
          <w:sz w:val="18"/>
          <w:szCs w:val="18"/>
          <w:color w:val="auto"/>
        </w:rPr>
        <w:t>.</w:t>
      </w:r>
      <w:r>
        <w:rPr>
          <w:rFonts w:ascii="Arial" w:cs="Arial" w:eastAsia="Arial" w:hAnsi="Arial"/>
          <w:sz w:val="18"/>
          <w:szCs w:val="18"/>
          <w:b w:val="1"/>
          <w:bCs w:val="1"/>
          <w:color w:val="auto"/>
        </w:rPr>
        <w:t xml:space="preserve"> §1.4.1 </w:t>
      </w:r>
      <w:r>
        <w:rPr>
          <w:rFonts w:ascii="Arial" w:cs="Arial" w:eastAsia="Arial" w:hAnsi="Arial"/>
          <w:sz w:val="18"/>
          <w:szCs w:val="18"/>
          <w:color w:val="auto"/>
        </w:rPr>
        <w:t>The Administrative Agent or the applicable Issuing Bank, as applicable,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Spot Rates as of each Revaluation Date to be used for calculating U.S. Dollar Equivalent amounts of Credit Extensions and Outstanding Amounts denominated in Canadian Dollars.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U.S. Dollar Equivalent amount as so determined by the Administrative Agent or the applicable Issuing Bank, as applicable.</w:t>
      </w:r>
    </w:p>
    <w:p>
      <w:pPr>
        <w:spacing w:after="0" w:line="189" w:lineRule="exact"/>
        <w:rPr>
          <w:sz w:val="20"/>
          <w:szCs w:val="20"/>
          <w:color w:val="auto"/>
        </w:rPr>
      </w:pPr>
    </w:p>
    <w:p>
      <w:pPr>
        <w:ind w:right="120" w:firstLine="1945"/>
        <w:spacing w:after="0" w:line="258"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Wherever in this Agreement in connection with a Borrowing, conversion, continuation or prepayment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Eurocurrency Rate Loan or the issuance, amendment or extension of a Letter of Credit, an amount, such as a required minimum or multiple amount, is expressed in Dollars, but such Borrowing, Eurocurrency Rate Loan or Letter of Credit is denominated in Canadian Dollars, such amount shall be the equivalent of such Canadian Dollar amount (rounded to the nearest unit of Canadian Dollars, with 0.5 of a unit being rounded upward), as determined by the Administrative Agent or the applicable Issuing Bank, as the case may be.</w:t>
      </w:r>
    </w:p>
    <w:p>
      <w:pPr>
        <w:spacing w:after="0" w:line="184" w:lineRule="exact"/>
        <w:rPr>
          <w:sz w:val="20"/>
          <w:szCs w:val="20"/>
          <w:color w:val="auto"/>
        </w:rPr>
      </w:pPr>
    </w:p>
    <w:p>
      <w:pPr>
        <w:ind w:right="40" w:firstLine="1297"/>
        <w:spacing w:after="0" w:line="274" w:lineRule="auto"/>
        <w:rPr>
          <w:sz w:val="20"/>
          <w:szCs w:val="20"/>
          <w:color w:val="auto"/>
        </w:rPr>
      </w:pPr>
      <w:r>
        <w:rPr>
          <w:rFonts w:ascii="Arial" w:cs="Arial" w:eastAsia="Arial" w:hAnsi="Arial"/>
          <w:sz w:val="17"/>
          <w:szCs w:val="17"/>
          <w:b w:val="1"/>
          <w:bCs w:val="1"/>
          <w:color w:val="auto"/>
        </w:rPr>
        <w:t>§1.5. Letter of Credit Amounts</w:t>
      </w:r>
      <w:r>
        <w:rPr>
          <w:rFonts w:ascii="Arial" w:cs="Arial" w:eastAsia="Arial" w:hAnsi="Arial"/>
          <w:sz w:val="17"/>
          <w:szCs w:val="17"/>
          <w:color w:val="auto"/>
        </w:rPr>
        <w:t>;</w:t>
      </w:r>
      <w:r>
        <w:rPr>
          <w:rFonts w:ascii="Arial" w:cs="Arial" w:eastAsia="Arial" w:hAnsi="Arial"/>
          <w:sz w:val="17"/>
          <w:szCs w:val="17"/>
          <w:b w:val="1"/>
          <w:bCs w:val="1"/>
          <w:color w:val="auto"/>
        </w:rPr>
        <w:t xml:space="preserve"> Times of Day</w:t>
      </w:r>
      <w:r>
        <w:rPr>
          <w:rFonts w:ascii="Arial" w:cs="Arial" w:eastAsia="Arial" w:hAnsi="Arial"/>
          <w:sz w:val="17"/>
          <w:szCs w:val="17"/>
          <w:color w:val="auto"/>
        </w:rPr>
        <w:t>. Unless otherwise specified herein, the amount of a Letter of Credit at any time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deemed to be the U.S. Dollar Equivalent of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Letter of Credit that, by its terms or the terms of any issuer document related thereto, provides for one or more automatic increases in the stated amount thereof, the amount of such Letter of Credit shall be deemed to be the U.S. Dollar Equivalent of the maximum stated amount of such Letter of Credit after giving effect to all such increases, whether or not such maximum stated amount is in effect at such time. Unless otherwise specified, all references herein to times of day shall be references to Eastern time (daylight or standard, as applicable).</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u w:val="single" w:color="auto"/>
          <w:color w:val="auto"/>
        </w:rPr>
        <w:t>THE LOAN FACILITIES</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258" w:lineRule="auto"/>
        <w:rPr>
          <w:sz w:val="20"/>
          <w:szCs w:val="20"/>
          <w:color w:val="auto"/>
        </w:rPr>
      </w:pPr>
      <w:r>
        <w:rPr>
          <w:rFonts w:ascii="Arial" w:cs="Arial" w:eastAsia="Arial" w:hAnsi="Arial"/>
          <w:sz w:val="18"/>
          <w:szCs w:val="18"/>
          <w:b w:val="1"/>
          <w:bCs w:val="1"/>
          <w:color w:val="auto"/>
        </w:rPr>
        <w:t>§2.1. Committed Loans</w:t>
      </w:r>
      <w:r>
        <w:rPr>
          <w:rFonts w:ascii="Arial" w:cs="Arial" w:eastAsia="Arial" w:hAnsi="Arial"/>
          <w:sz w:val="18"/>
          <w:szCs w:val="18"/>
          <w:color w:val="auto"/>
        </w:rPr>
        <w:t>. Subject to the terms and conditions set forth herein, each Bank severally agrees to make loans (each such</w:t>
      </w:r>
      <w:r>
        <w:rPr>
          <w:rFonts w:ascii="Arial" w:cs="Arial" w:eastAsia="Arial" w:hAnsi="Arial"/>
          <w:sz w:val="18"/>
          <w:szCs w:val="18"/>
          <w:b w:val="1"/>
          <w:bCs w:val="1"/>
          <w:color w:val="auto"/>
        </w:rPr>
        <w:t xml:space="preserve"> </w:t>
      </w:r>
      <w:r>
        <w:rPr>
          <w:rFonts w:ascii="Arial" w:cs="Arial" w:eastAsia="Arial" w:hAnsi="Arial"/>
          <w:sz w:val="18"/>
          <w:szCs w:val="18"/>
          <w:color w:val="auto"/>
        </w:rPr>
        <w:t>loan, a “</w:t>
      </w:r>
      <w:r>
        <w:rPr>
          <w:rFonts w:ascii="Arial" w:cs="Arial" w:eastAsia="Arial" w:hAnsi="Arial"/>
          <w:sz w:val="18"/>
          <w:szCs w:val="18"/>
          <w:u w:val="single" w:color="auto"/>
          <w:color w:val="auto"/>
        </w:rPr>
        <w:t>Committed Loan</w:t>
      </w:r>
      <w:r>
        <w:rPr>
          <w:rFonts w:ascii="Arial" w:cs="Arial" w:eastAsia="Arial" w:hAnsi="Arial"/>
          <w:sz w:val="18"/>
          <w:szCs w:val="18"/>
          <w:color w:val="auto"/>
        </w:rPr>
        <w:t xml:space="preserve">”) to the Borrowers in Dollars or Canadian Dollars from time to time, on any Business Day during the Availability Period, in an aggregate amount not to exceed at any time outstanding the amount of such Bank’s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after giving effect to any Borrowing, (i) the Total Outstandings shall not exceed the Total Commitments, (ii) the Revolving Credit Exposure of any Bank shall not exceed such Bank’s Commitment,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 xml:space="preserve">and (iii) the aggregate Outstanding Amount of all Loans made in Canadian Dollars shall not exceed the Canadian Dollar Sublimit. Within the limits of each Bank’s Commitment, and subject to the other terms and conditions hereof, the Borrowers may borrow under this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§2.7</w:t>
      </w:r>
      <w:r>
        <w:rPr>
          <w:rFonts w:ascii="Arial" w:cs="Arial" w:eastAsia="Arial" w:hAnsi="Arial"/>
          <w:sz w:val="16"/>
          <w:szCs w:val="16"/>
          <w:color w:val="auto"/>
        </w:rPr>
        <w:t>, and re-borrow</w:t>
      </w:r>
    </w:p>
    <w:p>
      <w:pPr>
        <w:sectPr>
          <w:pgSz w:w="11900" w:h="16838" w:orient="portrait"/>
          <w:cols w:equalWidth="0" w:num="1">
            <w:col w:w="11420"/>
          </w:cols>
          <w:pgMar w:left="240" w:top="125" w:right="239" w:bottom="0" w:gutter="0" w:footer="0" w:header="0"/>
        </w:sectPr>
      </w:pPr>
    </w:p>
    <w:bookmarkStart w:id="22" w:name="page23"/>
    <w:bookmarkEnd w:id="22"/>
    <w:p>
      <w:pPr>
        <w:ind w:right="180"/>
        <w:spacing w:after="0" w:line="277" w:lineRule="auto"/>
        <w:rPr>
          <w:sz w:val="20"/>
          <w:szCs w:val="20"/>
          <w:color w:val="auto"/>
        </w:rPr>
      </w:pPr>
      <w:r>
        <w:rPr>
          <w:rFonts w:ascii="Arial" w:cs="Arial" w:eastAsia="Arial" w:hAnsi="Arial"/>
          <w:sz w:val="18"/>
          <w:szCs w:val="18"/>
          <w:color w:val="auto"/>
        </w:rPr>
        <w:t xml:space="preserve">under this </w:t>
      </w:r>
      <w:r>
        <w:rPr>
          <w:rFonts w:ascii="Arial" w:cs="Arial" w:eastAsia="Arial" w:hAnsi="Arial"/>
          <w:sz w:val="18"/>
          <w:szCs w:val="18"/>
          <w:u w:val="single" w:color="auto"/>
          <w:color w:val="auto"/>
        </w:rPr>
        <w:t>§2.1</w:t>
      </w:r>
      <w:r>
        <w:rPr>
          <w:rFonts w:ascii="Arial" w:cs="Arial" w:eastAsia="Arial" w:hAnsi="Arial"/>
          <w:sz w:val="18"/>
          <w:szCs w:val="18"/>
          <w:color w:val="auto"/>
        </w:rPr>
        <w:t>. Committed Loans in U.S. Dollars may be Base Rate Loans or Eurocurrency Rate Loans and Committed Loans in Canadian Dollars may be Canadian Prime Rate Loans or Eurocurrency Rate Loans, as further provided herein.</w:t>
      </w:r>
    </w:p>
    <w:p>
      <w:pPr>
        <w:spacing w:after="0" w:line="166"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Fees</w:t>
      </w:r>
      <w:r>
        <w:rPr>
          <w:rFonts w:ascii="Arial" w:cs="Arial" w:eastAsia="Arial" w:hAnsi="Arial"/>
          <w:sz w:val="18"/>
          <w:szCs w:val="18"/>
          <w:color w:val="auto"/>
        </w:rPr>
        <w:t>. In addition to certain fees described herein:</w:t>
      </w:r>
    </w:p>
    <w:p>
      <w:pPr>
        <w:spacing w:after="0" w:line="225" w:lineRule="exact"/>
        <w:rPr>
          <w:sz w:val="20"/>
          <w:szCs w:val="20"/>
          <w:color w:val="auto"/>
        </w:rPr>
      </w:pPr>
    </w:p>
    <w:p>
      <w:pPr>
        <w:ind w:firstLine="1945"/>
        <w:spacing w:after="0" w:line="290" w:lineRule="auto"/>
        <w:rPr>
          <w:sz w:val="20"/>
          <w:szCs w:val="20"/>
          <w:color w:val="auto"/>
        </w:rPr>
      </w:pPr>
      <w:r>
        <w:rPr>
          <w:rFonts w:ascii="Arial" w:cs="Arial" w:eastAsia="Arial" w:hAnsi="Arial"/>
          <w:sz w:val="16"/>
          <w:szCs w:val="16"/>
          <w:b w:val="1"/>
          <w:bCs w:val="1"/>
          <w:color w:val="auto"/>
        </w:rPr>
        <w:t xml:space="preserve">§2.2.1 </w:t>
      </w:r>
      <w:r>
        <w:rPr>
          <w:rFonts w:ascii="Arial" w:cs="Arial" w:eastAsia="Arial" w:hAnsi="Arial"/>
          <w:sz w:val="16"/>
          <w:szCs w:val="16"/>
          <w:u w:val="single" w:color="auto"/>
          <w:color w:val="auto"/>
        </w:rPr>
        <w:t>Facility Fee</w:t>
      </w:r>
      <w:r>
        <w:rPr>
          <w:rFonts w:ascii="Arial" w:cs="Arial" w:eastAsia="Arial" w:hAnsi="Arial"/>
          <w:sz w:val="16"/>
          <w:szCs w:val="16"/>
          <w:color w:val="auto"/>
        </w:rPr>
        <w:t>. The Company shall pay to the Administrative Agent for the account of each Bank in accordance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 Percentage, a facility fee (the “</w:t>
      </w:r>
      <w:r>
        <w:rPr>
          <w:rFonts w:ascii="Arial" w:cs="Arial" w:eastAsia="Arial" w:hAnsi="Arial"/>
          <w:sz w:val="16"/>
          <w:szCs w:val="16"/>
          <w:u w:val="single" w:color="auto"/>
          <w:color w:val="auto"/>
        </w:rPr>
        <w:t>Facility Fee</w:t>
      </w:r>
      <w:r>
        <w:rPr>
          <w:rFonts w:ascii="Arial" w:cs="Arial" w:eastAsia="Arial" w:hAnsi="Arial"/>
          <w:sz w:val="16"/>
          <w:szCs w:val="16"/>
          <w:color w:val="auto"/>
        </w:rPr>
        <w:t xml:space="preserve">”) in Dollars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actual daily amount of the Total Commitments (or, if the Total Commitments have terminated, on the Outstanding Amount of all Committed Loans, Swing Line Loans and L/C Obligations), regardless of usage, subject to adjustment as provided in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The Facility Fee shall accrue at all times during the Availability Period (and thereafter so long as any Committed Loans, Swing Line Loans or L/C Obligations remain outstanding), including at any time during which one or more of the conditions in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is not met, and shall be due and payable quarterly in arrears on the first Business Day of each calendar quarter for the immediately preceding calendar quarter commencing with the first such date to occur after the Effective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60" w:lineRule="exact"/>
        <w:rPr>
          <w:sz w:val="20"/>
          <w:szCs w:val="20"/>
          <w:color w:val="auto"/>
        </w:rPr>
      </w:pPr>
    </w:p>
    <w:p>
      <w:pPr>
        <w:ind w:right="20" w:firstLine="1945"/>
        <w:spacing w:after="0" w:line="261"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u w:val="single" w:color="auto"/>
          <w:color w:val="auto"/>
        </w:rPr>
        <w:t>Other Fees</w:t>
      </w:r>
      <w:r>
        <w:rPr>
          <w:rFonts w:ascii="Arial" w:cs="Arial" w:eastAsia="Arial" w:hAnsi="Arial"/>
          <w:sz w:val="18"/>
          <w:szCs w:val="18"/>
          <w:color w:val="auto"/>
        </w:rPr>
        <w:t>. The Company shall pay to (a) the Lead Arrangers and the Administrative Agent for their own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in Dollars, fees in the amounts and at the times specified in the fee letters between the Company and the Lead Arrangers and (b) the Banks, in Dollars, such fees as shall have been separately agreed upon in writing in the amounts and at the times so specified. Such fees shall be fully earned when paid and shall not be refundable for any reason whatsoever.</w:t>
      </w:r>
    </w:p>
    <w:p>
      <w:pPr>
        <w:spacing w:after="0" w:line="180"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Reduction and Increase of Total Commitment</w:t>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8"/>
          <w:szCs w:val="18"/>
          <w:b w:val="1"/>
          <w:bCs w:val="1"/>
          <w:color w:val="auto"/>
        </w:rPr>
        <w:t>Reduction of Total Commitment</w:t>
      </w:r>
      <w:r>
        <w:rPr>
          <w:rFonts w:ascii="Arial" w:cs="Arial" w:eastAsia="Arial" w:hAnsi="Arial"/>
          <w:sz w:val="18"/>
          <w:szCs w:val="18"/>
          <w:color w:val="auto"/>
        </w:rPr>
        <w:t>.</w:t>
      </w:r>
    </w:p>
    <w:p>
      <w:pPr>
        <w:spacing w:after="0" w:line="229" w:lineRule="exact"/>
        <w:rPr>
          <w:sz w:val="20"/>
          <w:szCs w:val="20"/>
          <w:color w:val="auto"/>
        </w:rPr>
      </w:pPr>
    </w:p>
    <w:p>
      <w:pPr>
        <w:ind w:left="700" w:right="260" w:firstLine="655"/>
        <w:spacing w:after="0" w:line="272" w:lineRule="auto"/>
        <w:tabs>
          <w:tab w:leader="none" w:pos="1993"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Company shall have the right at any time and from time to time upon three (3) Business Days’ prior written notice to the Administrative Agent to reduce by $25,000,000 or a greater amount, or terminate entirely, the Total Commitment, whereupon each Bank’s Commitment shall be reduced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such Bank’s Commitment Percentage of the amount specified in such notice or, as the case may be, terminated;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may the Total Commitment be reduced to an amount less than the sum of (A) the Maximum Drawing Amount of all Letters of Credit (other than the amount of cash collateral or other credit support satisfactory to the Administrative Agent and each applicable Issuing Bank that the Borrowers have provided to secure Reimbursement Obligations prior to or concurrently with such termination which would exceed the Total Commitment), and (B) all Loans then outstanding.</w:t>
      </w:r>
    </w:p>
    <w:p>
      <w:pPr>
        <w:spacing w:after="0" w:line="177" w:lineRule="exact"/>
        <w:rPr>
          <w:rFonts w:ascii="Arial" w:cs="Arial" w:eastAsia="Arial" w:hAnsi="Arial"/>
          <w:sz w:val="17"/>
          <w:szCs w:val="17"/>
          <w:color w:val="auto"/>
        </w:rPr>
      </w:pPr>
    </w:p>
    <w:p>
      <w:pPr>
        <w:ind w:left="700" w:right="60" w:firstLine="655"/>
        <w:spacing w:after="0" w:line="259" w:lineRule="auto"/>
        <w:tabs>
          <w:tab w:leader="none" w:pos="20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reduction or termination of the Total Commitment once made may be revoked; the portion of the Total Commitment reduced or terminated may not be reinstated; and amounts in respect of such reduced or terminated portion may not be re-borrowed. If, after giving effect to any reduction of the Total Commitment, the Canadian Letter of Credit Sublimit, or the Swing Line Sublimit exceeds the amount of the Total Commitment, such Sublimit shall be automatically reduced by the amount of such excess.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280" w:firstLine="655"/>
        <w:spacing w:after="0" w:line="277" w:lineRule="auto"/>
        <w:tabs>
          <w:tab w:leader="none" w:pos="20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Administrative Agent will notify the Banks promptly after receiving any notice delivered by the Borrower pursuant to this </w:t>
      </w:r>
      <w:r>
        <w:rPr>
          <w:rFonts w:ascii="Arial" w:cs="Arial" w:eastAsia="Arial" w:hAnsi="Arial"/>
          <w:sz w:val="18"/>
          <w:szCs w:val="18"/>
          <w:u w:val="single" w:color="auto"/>
          <w:color w:val="auto"/>
        </w:rPr>
        <w:t>§2.3.1</w:t>
      </w:r>
      <w:r>
        <w:rPr>
          <w:rFonts w:ascii="Arial" w:cs="Arial" w:eastAsia="Arial" w:hAnsi="Arial"/>
          <w:sz w:val="18"/>
          <w:szCs w:val="18"/>
          <w:color w:val="auto"/>
        </w:rPr>
        <w:t xml:space="preserve"> and will distribute to each Bank a revised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Agreement.</w:t>
      </w:r>
    </w:p>
    <w:p>
      <w:pPr>
        <w:spacing w:after="0" w:line="166" w:lineRule="exact"/>
        <w:rPr>
          <w:sz w:val="20"/>
          <w:szCs w:val="20"/>
          <w:color w:val="auto"/>
        </w:rPr>
      </w:pPr>
    </w:p>
    <w:p>
      <w:pPr>
        <w:ind w:firstLine="1945"/>
        <w:spacing w:after="0" w:line="284" w:lineRule="auto"/>
        <w:rPr>
          <w:sz w:val="20"/>
          <w:szCs w:val="20"/>
          <w:color w:val="auto"/>
        </w:rPr>
      </w:pPr>
      <w:r>
        <w:rPr>
          <w:rFonts w:ascii="Arial" w:cs="Arial" w:eastAsia="Arial" w:hAnsi="Arial"/>
          <w:sz w:val="16"/>
          <w:szCs w:val="16"/>
          <w:b w:val="1"/>
          <w:bCs w:val="1"/>
          <w:color w:val="auto"/>
        </w:rPr>
        <w:t>§2.3.2 Increase of Total Commitment</w:t>
      </w:r>
      <w:r>
        <w:rPr>
          <w:rFonts w:ascii="Arial" w:cs="Arial" w:eastAsia="Arial" w:hAnsi="Arial"/>
          <w:sz w:val="16"/>
          <w:szCs w:val="16"/>
          <w:color w:val="auto"/>
        </w:rPr>
        <w:t>. Unless a Default or Event of Default has occurred and is continuing,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request, subject to the approval of the Administrative Agent, that the Total Commitment be increased,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increase shall not, except with the consent of the Majority Banks, in any event exceed $750,000,000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amount, if any, by which the Total Commitment has been reduced as a result of the termination of the Commitments of any Bank pursuant to §2.18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any Bank which is a party to this Agreement prior to such increase shall have the first option, and may elect, to fund its pro rata share of the increase, thereby increasing its Commitment hereunder, but no Bank shall have any obligation to do so, (b) in the event that it becomes necessary to include a new Bank to provide additional funding under this </w:t>
      </w:r>
      <w:r>
        <w:rPr>
          <w:rFonts w:ascii="Arial" w:cs="Arial" w:eastAsia="Arial" w:hAnsi="Arial"/>
          <w:sz w:val="16"/>
          <w:szCs w:val="16"/>
          <w:u w:val="single" w:color="auto"/>
          <w:color w:val="auto"/>
        </w:rPr>
        <w:t>§2.3.2</w:t>
      </w:r>
      <w:r>
        <w:rPr>
          <w:rFonts w:ascii="Arial" w:cs="Arial" w:eastAsia="Arial" w:hAnsi="Arial"/>
          <w:sz w:val="16"/>
          <w:szCs w:val="16"/>
          <w:color w:val="auto"/>
        </w:rPr>
        <w:t xml:space="preserve">, such new Bank must be reasonably acceptable to the Administrative Agent, the Issuing Banks and the Company and shall become a Bank pursuant to a joinder agreement in form and substance satisfactory to the Administrative Agent and its counsel, and (c) the Banks’ Commitment Percentages shall be correspondingly adjusted, as necessary, to reflect any increase in the Total Commitment and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shall be amended to reflect such adjustments. At the time of requesting any such increase, the Company (in consultation with the Administrative Agent) shall specify the time period within which each Bank is requested to respond (which shall in no event be less than ten Business Days from the date of delivery of such request to the Banks unless otherwise approved by the Administrative Agent). Each Bank shall notify the Administrative Agent within such time period whether or not it agrees to increase its Commitment and, if so, whether by an amount equal to, greater than, or less than its Commitment Percentage of such requested increase. Any Bank not responding within such time period shall be deemed to have declined to increase its Commitment. If the Total Commitment is increased in accordance with this Section, the Administrative Agent and the Company shall determine the effective date (the “</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xml:space="preserve">”) and the final allocation of such increase. The Administrative Agent shall promptly notify the Company and the Banks of the final allocation of such increase and the Increase Effective Date. Any such increase in the Total Commitment shall require, among other things, the satisfaction of such conditions precedent as the Administrative Agent may reasonably require, including, without limitation, the Administrative Agent’s receipt of evidence of applicable corporate authorization and other corporate documentation from the Borrowers and the Guarantor and the legal opinion of counsel to the Borrowers and the Guarantor, each in form and substance satisfactory to the Administrative Agent and such Banks as are participating in such increase. The Borrowers shall prepay that portion of any Committed Loans outstanding on the effective date of any such increase to the extent necessary to keep the outstanding Committed Loans ratable with any revised Commitment Percentages arising from any non-ratable increase in the Total Commitments under this Section. This Section shall supersede any provisions in </w:t>
      </w:r>
      <w:r>
        <w:rPr>
          <w:rFonts w:ascii="Arial" w:cs="Arial" w:eastAsia="Arial" w:hAnsi="Arial"/>
          <w:sz w:val="16"/>
          <w:szCs w:val="16"/>
          <w:u w:val="single" w:color="auto"/>
          <w:color w:val="auto"/>
        </w:rPr>
        <w:t>§2.12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§15.9</w:t>
      </w:r>
      <w:r>
        <w:rPr>
          <w:rFonts w:ascii="Arial" w:cs="Arial" w:eastAsia="Arial" w:hAnsi="Arial"/>
          <w:sz w:val="16"/>
          <w:szCs w:val="16"/>
          <w:color w:val="auto"/>
        </w:rPr>
        <w:t xml:space="preserve"> to the contrary.</w:t>
      </w:r>
    </w:p>
    <w:p>
      <w:pPr>
        <w:spacing w:after="0" w:line="396"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Borrowings, Conversions and Continuations of Committed Loans</w:t>
      </w:r>
      <w:r>
        <w:rPr>
          <w:rFonts w:ascii="Arial" w:cs="Arial" w:eastAsia="Arial" w:hAnsi="Arial"/>
          <w:sz w:val="18"/>
          <w:szCs w:val="18"/>
          <w:color w:val="auto"/>
        </w:rPr>
        <w:t>.</w:t>
      </w:r>
    </w:p>
    <w:p>
      <w:pPr>
        <w:spacing w:after="0" w:line="225" w:lineRule="exact"/>
        <w:rPr>
          <w:sz w:val="20"/>
          <w:szCs w:val="20"/>
          <w:color w:val="auto"/>
        </w:rPr>
      </w:pPr>
    </w:p>
    <w:p>
      <w:pPr>
        <w:ind w:right="100" w:firstLine="1945"/>
        <w:spacing w:after="0" w:line="298" w:lineRule="auto"/>
        <w:rPr>
          <w:sz w:val="20"/>
          <w:szCs w:val="20"/>
          <w:color w:val="auto"/>
        </w:rPr>
      </w:pPr>
      <w:r>
        <w:rPr>
          <w:rFonts w:ascii="Arial" w:cs="Arial" w:eastAsia="Arial" w:hAnsi="Arial"/>
          <w:sz w:val="16"/>
          <w:szCs w:val="16"/>
          <w:b w:val="1"/>
          <w:bCs w:val="1"/>
          <w:color w:val="auto"/>
        </w:rPr>
        <w:t xml:space="preserve">§2.4.1 </w:t>
      </w:r>
      <w:r>
        <w:rPr>
          <w:rFonts w:ascii="Arial" w:cs="Arial" w:eastAsia="Arial" w:hAnsi="Arial"/>
          <w:sz w:val="16"/>
          <w:szCs w:val="16"/>
          <w:color w:val="auto"/>
        </w:rPr>
        <w:t>Each Borrowing, each conversion of Committed Loans from one Type to the other, and each continuation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Eurocurrency Rate Loans shall be made upon the Company’s irrevocable notice to the Administrative Agent, which may be given by (A) telephone or (B) a Committed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telephonic notice must be confirmed immediately by delivery to the Administrative Agent of a Committed Loan Notice. Each such Committed Loan Notice must be received by the Administrative Agent not later than (x) 11:00 a.m. (i) three Business Days prior to the requested date of any Borrowing of, conversion to or continuation of Eurocurrency Rate Loans denominated in Dollars or of any conversion of Eurocurrency</w:t>
      </w:r>
    </w:p>
    <w:p>
      <w:pPr>
        <w:sectPr>
          <w:pgSz w:w="11900" w:h="16838" w:orient="portrait"/>
          <w:cols w:equalWidth="0" w:num="1">
            <w:col w:w="11420"/>
          </w:cols>
          <w:pgMar w:left="240" w:top="125" w:right="239" w:bottom="0" w:gutter="0" w:footer="0" w:header="0"/>
        </w:sectPr>
      </w:pPr>
    </w:p>
    <w:bookmarkStart w:id="23" w:name="page24"/>
    <w:bookmarkEnd w:id="23"/>
    <w:p>
      <w:pPr>
        <w:spacing w:after="0" w:line="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Rate Loans denominated in Dollars to Base Rate Loans, (ii) four Business Days prior to the requested date of any Borrowing, conversion to or continuation of Eurocurrency Rate Loans denominated in Canadian Dollars or of any conversion of Eurocurrency Rate Loans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denominated in Canadian Dollars to Canadian Prime Rate Loans, and (iii) one Business Day prior to the requested date of any Borrowing of Canadian Prime Rate Loans and (y) 1:00 p.m. on the requested date of any Borrowing of Base Rate Loans. Each Borrowing of, conversion to or continuation of Eurocurrency Rate Loans denominated in Dollars shall be in a principal amount of $10,000,000 or a whole multiple of $1,000,000 in excess thereof and each Borrowing of, conversion to or continuation of Eurocurrency Rate Loans denominated in Canadian Dollars shall be in a principal amount of C$10,000,000 or a whole multiple of C$1,000,000 in excess thereof. Except as provided in §</w:t>
      </w:r>
      <w:r>
        <w:rPr>
          <w:rFonts w:ascii="Arial" w:cs="Arial" w:eastAsia="Arial" w:hAnsi="Arial"/>
          <w:sz w:val="17"/>
          <w:szCs w:val="17"/>
          <w:u w:val="single" w:color="auto"/>
          <w:color w:val="auto"/>
        </w:rPr>
        <w:t>§2.3.3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2.4.3</w:t>
      </w:r>
      <w:r>
        <w:rPr>
          <w:rFonts w:ascii="Arial" w:cs="Arial" w:eastAsia="Arial" w:hAnsi="Arial"/>
          <w:sz w:val="17"/>
          <w:szCs w:val="17"/>
          <w:color w:val="auto"/>
        </w:rPr>
        <w:t xml:space="preserve">, each Borrowing of or conversion to Base Rate Loans shall be in a principal amount of $5,000,000 or a whole multiple of $500,000 in excess thereof. Each Borrowing of or conversion to Canadian Prime Rate Loans shall be in a principal amount of C$500,000 or a whole multiple of C$100,000 in excess thereof. Each Committed Loan Notice shall specify (i) whether the Company is requesting a Borrowing, a conversion of Committed Loans from one Type to the other, or a continuation of Eurocurrency Rate Loans, (ii) the requested date of the Borrowing, conversion or continuation, as the case may be (which shall be a Business Day), (iii) the principal amount of Committed Loans to be borrowed, converted or continued, (iv) the Type of Committed Loans to be borrowed or to which existing Committed Loans are to be converted, (v) if applicable, the duration of the Interest Period with respect thereto, (vi) the currency of the Committed Loans to be borrowed, and (vii) the applicable Borrower. If the Company fails to specify a currency in a Committed Loan Notice requesting a Borrowing, then the Committed Loans so requested shall be made in Dollars. If the Company fails to specify a Type of Committed Loan in a Committed Loan Notice or if the Company fails to give a timely notice requesting a conversion or continuation, then the applicable Committed Loans shall be made as, or converted to, Base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failure to timely request a continuation of Committed Loans denominated in Canadian Dollars, such Loans shall be continued as Canadian Prime Rate Loans. Any automatic conversion to Base Rate Loans, with respect to Loans in Dollars, and Canadian Prime Rate Loans, with respect to Loans in Canadian Dollars, shall be effective as of the last day of the Interest Period then in effect with respect to the applicable Eurocurrency Rate Loans. If the Company requests a Borrowing of, conversion to, or continuation of Eurocurrency Rate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183" w:lineRule="exact"/>
        <w:rPr>
          <w:sz w:val="20"/>
          <w:szCs w:val="20"/>
          <w:color w:val="auto"/>
        </w:rPr>
      </w:pPr>
    </w:p>
    <w:p>
      <w:pPr>
        <w:ind w:firstLine="1945"/>
        <w:spacing w:after="0" w:line="287" w:lineRule="auto"/>
        <w:rPr>
          <w:sz w:val="20"/>
          <w:szCs w:val="20"/>
          <w:color w:val="auto"/>
        </w:rPr>
      </w:pPr>
      <w:r>
        <w:rPr>
          <w:rFonts w:ascii="Arial" w:cs="Arial" w:eastAsia="Arial" w:hAnsi="Arial"/>
          <w:sz w:val="16"/>
          <w:szCs w:val="16"/>
          <w:b w:val="1"/>
          <w:bCs w:val="1"/>
          <w:color w:val="auto"/>
        </w:rPr>
        <w:t xml:space="preserve">§2.4.2 </w:t>
      </w:r>
      <w:r>
        <w:rPr>
          <w:rFonts w:ascii="Arial" w:cs="Arial" w:eastAsia="Arial" w:hAnsi="Arial"/>
          <w:sz w:val="16"/>
          <w:szCs w:val="16"/>
          <w:color w:val="auto"/>
        </w:rPr>
        <w:t>Following receipt of a Committed Loan Notice, the Administrative Agent shall promptly notify each Bank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amount (and currency) of its Commitment Percentage of the applicable Committed Loans, and if no timely notice of a conversion or continuation is provided by the Company, the Administrative Agent shall notify each Bank of the details of any automatic conversion to Base Rate Loans or Canadian Prime Rate Loans or continuation of Committed Loans denominated in Canadian Dollars, in each case as described in the preceding subsection. In the case of a Borrowing, each Bank shall make the amount of its Committed Loan available to the Administrative Agent in Same Day Funds at the Administrative Agent’s Office for the applicable currency not later than 3:00 p.m., in the case of any Committed Loan denominated in Dollars, and not later than the Applicable Time specified by the Administrative Agent in the case of any Committed Loan in Canadian Dollars, in each case on the Business Day specified in the applicable Committed Loan Notice. Upon satisfaction of the applicable conditions set forth in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applicable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the date the Committed Loan Notice with respect to such Borrowing is given by the applicable Borrower, there are L/C Borrowings outstanding in the same currency as such Borrowing, then the proceeds of such Borrowing, </w:t>
      </w:r>
      <w:r>
        <w:rPr>
          <w:rFonts w:ascii="Arial" w:cs="Arial" w:eastAsia="Arial" w:hAnsi="Arial"/>
          <w:sz w:val="16"/>
          <w:szCs w:val="16"/>
          <w:u w:val="single" w:color="auto"/>
          <w:color w:val="auto"/>
        </w:rPr>
        <w:t>first</w:t>
      </w:r>
      <w:r>
        <w:rPr>
          <w:rFonts w:ascii="Arial" w:cs="Arial" w:eastAsia="Arial" w:hAnsi="Arial"/>
          <w:sz w:val="16"/>
          <w:szCs w:val="16"/>
          <w:color w:val="auto"/>
        </w:rPr>
        <w:t>, shall be applied to the payment 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applicable Borrower as provided above.</w:t>
      </w:r>
    </w:p>
    <w:p>
      <w:pPr>
        <w:spacing w:after="0" w:line="221" w:lineRule="exact"/>
        <w:rPr>
          <w:sz w:val="20"/>
          <w:szCs w:val="20"/>
          <w:color w:val="auto"/>
        </w:rPr>
      </w:pPr>
    </w:p>
    <w:p>
      <w:pPr>
        <w:ind w:right="180" w:firstLine="1945"/>
        <w:spacing w:after="0" w:line="266" w:lineRule="auto"/>
        <w:rPr>
          <w:sz w:val="20"/>
          <w:szCs w:val="20"/>
          <w:color w:val="auto"/>
        </w:rPr>
      </w:pPr>
      <w:r>
        <w:rPr>
          <w:rFonts w:ascii="Arial" w:cs="Arial" w:eastAsia="Arial" w:hAnsi="Arial"/>
          <w:sz w:val="18"/>
          <w:szCs w:val="18"/>
          <w:b w:val="1"/>
          <w:bCs w:val="1"/>
          <w:color w:val="auto"/>
        </w:rPr>
        <w:t xml:space="preserve">§2.4.3 </w:t>
      </w:r>
      <w:r>
        <w:rPr>
          <w:rFonts w:ascii="Arial" w:cs="Arial" w:eastAsia="Arial" w:hAnsi="Arial"/>
          <w:sz w:val="18"/>
          <w:szCs w:val="18"/>
          <w:color w:val="auto"/>
        </w:rPr>
        <w:t>Except as otherwise provided herein, a Eurocurrency Rate Loan may be continued or converted only on the last day</w:t>
      </w:r>
      <w:r>
        <w:rPr>
          <w:rFonts w:ascii="Arial" w:cs="Arial" w:eastAsia="Arial" w:hAnsi="Arial"/>
          <w:sz w:val="18"/>
          <w:szCs w:val="18"/>
          <w:b w:val="1"/>
          <w:bCs w:val="1"/>
          <w:color w:val="auto"/>
        </w:rPr>
        <w:t xml:space="preserve"> </w:t>
      </w:r>
      <w:r>
        <w:rPr>
          <w:rFonts w:ascii="Arial" w:cs="Arial" w:eastAsia="Arial" w:hAnsi="Arial"/>
          <w:sz w:val="18"/>
          <w:szCs w:val="18"/>
          <w:color w:val="auto"/>
        </w:rPr>
        <w:t>of an Interest Period for such Eurocurrency Rate Loan. During the existence of a Default, no Loans may be requested as, converted to or continued as Eurocurrency Rate Loans (whether in Dollars or Canadian Dollars) without the consent of the Administrative Agent.</w:t>
      </w:r>
    </w:p>
    <w:p>
      <w:pPr>
        <w:spacing w:after="0" w:line="176" w:lineRule="exact"/>
        <w:rPr>
          <w:sz w:val="20"/>
          <w:szCs w:val="20"/>
          <w:color w:val="auto"/>
        </w:rPr>
      </w:pPr>
    </w:p>
    <w:p>
      <w:pPr>
        <w:ind w:right="360" w:firstLine="1945"/>
        <w:spacing w:after="0" w:line="282" w:lineRule="auto"/>
        <w:rPr>
          <w:sz w:val="20"/>
          <w:szCs w:val="20"/>
          <w:color w:val="auto"/>
        </w:rPr>
      </w:pPr>
      <w:r>
        <w:rPr>
          <w:rFonts w:ascii="Arial" w:cs="Arial" w:eastAsia="Arial" w:hAnsi="Arial"/>
          <w:sz w:val="18"/>
          <w:szCs w:val="18"/>
          <w:b w:val="1"/>
          <w:bCs w:val="1"/>
          <w:color w:val="auto"/>
        </w:rPr>
        <w:t xml:space="preserve">§2.4.4 </w:t>
      </w:r>
      <w:r>
        <w:rPr>
          <w:rFonts w:ascii="Arial" w:cs="Arial" w:eastAsia="Arial" w:hAnsi="Arial"/>
          <w:sz w:val="18"/>
          <w:szCs w:val="18"/>
          <w:color w:val="auto"/>
        </w:rPr>
        <w:t>The Administrative Agent shall promptly notify the Company and the Banks of the interest rate applicable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Period for Eurocurrency Rate Loans upon determination of such interest rate.</w:t>
      </w:r>
    </w:p>
    <w:p>
      <w:pPr>
        <w:spacing w:after="0" w:line="162" w:lineRule="exact"/>
        <w:rPr>
          <w:sz w:val="20"/>
          <w:szCs w:val="20"/>
          <w:color w:val="auto"/>
        </w:rPr>
      </w:pPr>
    </w:p>
    <w:p>
      <w:pPr>
        <w:ind w:right="620" w:firstLine="1945"/>
        <w:spacing w:after="0" w:line="347" w:lineRule="auto"/>
        <w:rPr>
          <w:sz w:val="20"/>
          <w:szCs w:val="20"/>
          <w:color w:val="auto"/>
        </w:rPr>
      </w:pPr>
      <w:r>
        <w:rPr>
          <w:rFonts w:ascii="Arial" w:cs="Arial" w:eastAsia="Arial" w:hAnsi="Arial"/>
          <w:sz w:val="16"/>
          <w:szCs w:val="16"/>
          <w:b w:val="1"/>
          <w:bCs w:val="1"/>
          <w:color w:val="auto"/>
        </w:rPr>
        <w:t xml:space="preserve">§2.4.5 </w:t>
      </w:r>
      <w:r>
        <w:rPr>
          <w:rFonts w:ascii="Arial" w:cs="Arial" w:eastAsia="Arial" w:hAnsi="Arial"/>
          <w:sz w:val="16"/>
          <w:szCs w:val="16"/>
          <w:color w:val="auto"/>
        </w:rPr>
        <w:t>After giving effect to all Borrowings, all conversions of Committed Loans from one Type to the other,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continuations of Committed Loans as the same Type, there shall not be more than ten Interest Periods in effect with respect to Committed Loans.</w:t>
      </w:r>
    </w:p>
    <w:p>
      <w:pPr>
        <w:spacing w:after="0" w:line="116" w:lineRule="exact"/>
        <w:rPr>
          <w:sz w:val="20"/>
          <w:szCs w:val="20"/>
          <w:color w:val="auto"/>
        </w:rPr>
      </w:pPr>
    </w:p>
    <w:p>
      <w:pPr>
        <w:ind w:firstLine="1945"/>
        <w:spacing w:after="0" w:line="266" w:lineRule="auto"/>
        <w:rPr>
          <w:sz w:val="20"/>
          <w:szCs w:val="20"/>
          <w:color w:val="auto"/>
        </w:rPr>
      </w:pPr>
      <w:r>
        <w:rPr>
          <w:rFonts w:ascii="Arial" w:cs="Arial" w:eastAsia="Arial" w:hAnsi="Arial"/>
          <w:sz w:val="18"/>
          <w:szCs w:val="18"/>
          <w:b w:val="1"/>
          <w:bCs w:val="1"/>
          <w:color w:val="auto"/>
        </w:rPr>
        <w:t xml:space="preserve">§2.4.6 </w:t>
      </w:r>
      <w:r>
        <w:rPr>
          <w:rFonts w:ascii="Arial" w:cs="Arial" w:eastAsia="Arial" w:hAnsi="Arial"/>
          <w:sz w:val="18"/>
          <w:szCs w:val="18"/>
          <w:color w:val="auto"/>
        </w:rPr>
        <w:t>Notwithstanding anything to the contrary in this Agreement, any Bank may exchange, continue or rollover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its Loans in connection with any refinancing, extension, loan modification or similar transaction permitted by the terms of this Agreement, pursuant to a cashless settlement mechanism approved by the Company, the Administrative Agent, and such Bank.</w:t>
      </w:r>
    </w:p>
    <w:p>
      <w:pPr>
        <w:spacing w:after="0" w:line="176"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Swing Line Loans.</w:t>
      </w:r>
    </w:p>
    <w:p>
      <w:pPr>
        <w:spacing w:after="0" w:line="225" w:lineRule="exact"/>
        <w:rPr>
          <w:sz w:val="20"/>
          <w:szCs w:val="20"/>
          <w:color w:val="auto"/>
        </w:rPr>
      </w:pPr>
    </w:p>
    <w:p>
      <w:pPr>
        <w:ind w:right="60" w:firstLine="1945"/>
        <w:spacing w:after="0" w:line="288" w:lineRule="auto"/>
        <w:rPr>
          <w:sz w:val="20"/>
          <w:szCs w:val="20"/>
          <w:color w:val="auto"/>
        </w:rPr>
      </w:pPr>
      <w:r>
        <w:rPr>
          <w:rFonts w:ascii="Arial" w:cs="Arial" w:eastAsia="Arial" w:hAnsi="Arial"/>
          <w:sz w:val="16"/>
          <w:szCs w:val="16"/>
          <w:b w:val="1"/>
          <w:bCs w:val="1"/>
          <w:color w:val="auto"/>
        </w:rPr>
        <w:t xml:space="preserve">§2.5.1 </w:t>
      </w:r>
      <w:r>
        <w:rPr>
          <w:rFonts w:ascii="Arial" w:cs="Arial" w:eastAsia="Arial" w:hAnsi="Arial"/>
          <w:sz w:val="16"/>
          <w:szCs w:val="16"/>
          <w:u w:val="single" w:color="auto"/>
          <w:color w:val="auto"/>
        </w:rPr>
        <w:t>The Swing Line</w:t>
      </w:r>
      <w:r>
        <w:rPr>
          <w:rFonts w:ascii="Arial" w:cs="Arial" w:eastAsia="Arial" w:hAnsi="Arial"/>
          <w:sz w:val="16"/>
          <w:szCs w:val="16"/>
          <w:color w:val="auto"/>
        </w:rPr>
        <w:t>. Subject to the terms and conditions set forth herein, the Swing Line Bank, in reliance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agreements of the other Banks set forth in this </w:t>
      </w:r>
      <w:r>
        <w:rPr>
          <w:rFonts w:ascii="Arial" w:cs="Arial" w:eastAsia="Arial" w:hAnsi="Arial"/>
          <w:sz w:val="16"/>
          <w:szCs w:val="16"/>
          <w:u w:val="single" w:color="auto"/>
          <w:color w:val="auto"/>
        </w:rPr>
        <w:t>§2.5</w:t>
      </w:r>
      <w:r>
        <w:rPr>
          <w:rFonts w:ascii="Arial" w:cs="Arial" w:eastAsia="Arial" w:hAnsi="Arial"/>
          <w:sz w:val="16"/>
          <w:szCs w:val="16"/>
          <w:color w:val="auto"/>
        </w:rPr>
        <w:t>, shall make loans in Dollars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the Company from time to time on any Business Day during the Availability Period in an aggregate amount not to exceed at any time outstanding the amount of the Swing Line Sublimit, notwithstanding the fact that such Swing Line Loans, when aggregated with the Commitment Percentage of the Outstanding Amount of Committed Loans and L/C Obligations of the Bank acting as Swing Line Bank, may exceed the amount of such Bank’s Commitment; provided, however, that (x) after giving effect to any Swing Line Loan, (i) the Total Outstandings shall not exceed the Total Commitments, and (ii) the Revolving Credit Exposure of any Bank shall not exceed such Bank’s Commitment, (y) the Company shall not use the proceeds of any Swing Line Loan to refinance any outstanding Swing Line Loan, and (z) the Swing Line Bank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Company may borrow under this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§2.7</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§2.5</w:t>
      </w:r>
      <w:r>
        <w:rPr>
          <w:rFonts w:ascii="Arial" w:cs="Arial" w:eastAsia="Arial" w:hAnsi="Arial"/>
          <w:sz w:val="16"/>
          <w:szCs w:val="16"/>
          <w:color w:val="auto"/>
        </w:rPr>
        <w:t>. Each Swing Line Loan shall be a Base Rate Loan. Immediately upon the making of a Swing Line Loan, each Bank shall be deemed to, and hereby irrevocably and unconditionally agrees to,</w:t>
      </w:r>
    </w:p>
    <w:p>
      <w:pPr>
        <w:sectPr>
          <w:pgSz w:w="11900" w:h="16931" w:orient="portrait"/>
          <w:cols w:equalWidth="0" w:num="1">
            <w:col w:w="11420"/>
          </w:cols>
          <w:pgMar w:left="240" w:top="125" w:right="239" w:bottom="0" w:gutter="0" w:footer="0" w:header="0"/>
        </w:sectPr>
      </w:pPr>
    </w:p>
    <w:bookmarkStart w:id="24" w:name="page25"/>
    <w:bookmarkEnd w:id="24"/>
    <w:p>
      <w:pPr>
        <w:spacing w:after="0" w:line="1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purchase from the Swing Line Bank a risk participation in such Swing Line Loan in an amount equal to the product of such Bank’s Commitment Percentage times the amount of such Swing Line Loan.</w:t>
      </w:r>
    </w:p>
    <w:p>
      <w:pPr>
        <w:spacing w:after="0" w:line="166" w:lineRule="exact"/>
        <w:rPr>
          <w:sz w:val="20"/>
          <w:szCs w:val="20"/>
          <w:color w:val="auto"/>
        </w:rPr>
      </w:pPr>
    </w:p>
    <w:p>
      <w:pPr>
        <w:ind w:right="80" w:firstLine="1945"/>
        <w:spacing w:after="0" w:line="256" w:lineRule="auto"/>
        <w:rPr>
          <w:sz w:val="20"/>
          <w:szCs w:val="20"/>
          <w:color w:val="auto"/>
        </w:rPr>
      </w:pPr>
      <w:r>
        <w:rPr>
          <w:rFonts w:ascii="Arial" w:cs="Arial" w:eastAsia="Arial" w:hAnsi="Arial"/>
          <w:sz w:val="18"/>
          <w:szCs w:val="18"/>
          <w:b w:val="1"/>
          <w:bCs w:val="1"/>
          <w:color w:val="auto"/>
        </w:rPr>
        <w:t xml:space="preserve">§2.5.2 </w:t>
      </w:r>
      <w:r>
        <w:rPr>
          <w:rFonts w:ascii="Arial" w:cs="Arial" w:eastAsia="Arial" w:hAnsi="Arial"/>
          <w:sz w:val="18"/>
          <w:szCs w:val="18"/>
          <w:u w:val="single" w:color="auto"/>
          <w:color w:val="auto"/>
        </w:rPr>
        <w:t>Borrowing Procedures</w:t>
      </w:r>
      <w:r>
        <w:rPr>
          <w:rFonts w:ascii="Arial" w:cs="Arial" w:eastAsia="Arial" w:hAnsi="Arial"/>
          <w:sz w:val="18"/>
          <w:szCs w:val="18"/>
          <w:color w:val="auto"/>
        </w:rPr>
        <w:t>. Each Swing Line Borrowing shall be made upon the Company’s irrevocable notice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Swing Line Bank and the Administrative Agent, which may be given by (A) telephone or (B) by a Swing Line Loan Request; provided that any telephonic notice must be confirmed promptly by delivery to the Swing Line Bank and the Administrative Agent of a Swing Line Loan Request. Each such Swing Line Loan Request must be received by the Swing Line Bank and the Administrative Agent not later than 1:00 p.m. on the requested borrowing date, and shall specify (i) the amount to be borrowed, which shall be a minimum of $100,000, and (ii) the requested borrowing date, which shall be a Business Day. Promptly after receipt by the Swing Line Bank of any telephonic Swing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Line Loan Request, the Swing Line Bank will confirm with the Administrative Agent (by telephone or in writing) that the Administrative Agent has also received such Swing Line Loan Request and, if not, the Swing Line Bank will notify the Administrative Agent of the contents thereof. Unless the Swing Line Bank has received notice (by telephone or in writing) from the Administrative Agent (including at the request of any Bank) prior to 2:00 p.m. on the date of the proposed Swing Line Borrowing (A) directing the Swing Line Bank not to make such Swing Line Loan as a result of the limitations set forth in the first proviso to the first sentence of </w:t>
      </w:r>
      <w:r>
        <w:rPr>
          <w:rFonts w:ascii="Arial" w:cs="Arial" w:eastAsia="Arial" w:hAnsi="Arial"/>
          <w:sz w:val="18"/>
          <w:szCs w:val="18"/>
          <w:u w:val="single" w:color="auto"/>
          <w:color w:val="auto"/>
        </w:rPr>
        <w:t>§2.5.1</w:t>
      </w:r>
      <w:r>
        <w:rPr>
          <w:rFonts w:ascii="Arial" w:cs="Arial" w:eastAsia="Arial" w:hAnsi="Arial"/>
          <w:sz w:val="18"/>
          <w:szCs w:val="18"/>
          <w:color w:val="auto"/>
        </w:rPr>
        <w:t>, or (B) that one or more of the applicable conditions specified in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is not then satisfied, then, subject to the terms and conditions hereof, the Swing Line Bank will, not later than 3:00 p.m. on the borrowing date specified in such Swing Line Loan Request, make the amount of its Swing Line Loan available to the Company at its office by crediting the account of the Company on the books of the Swing Line Bank in Same Day Funds.</w:t>
      </w:r>
    </w:p>
    <w:p>
      <w:pPr>
        <w:spacing w:after="0" w:line="188"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8"/>
          <w:szCs w:val="18"/>
          <w:color w:val="auto"/>
        </w:rPr>
        <w:t>Refinancing of Swing Line Loans.</w:t>
      </w:r>
    </w:p>
    <w:p>
      <w:pPr>
        <w:spacing w:after="0" w:line="229" w:lineRule="exact"/>
        <w:rPr>
          <w:sz w:val="20"/>
          <w:szCs w:val="20"/>
          <w:color w:val="auto"/>
        </w:rPr>
      </w:pPr>
    </w:p>
    <w:p>
      <w:pPr>
        <w:ind w:left="700" w:right="40" w:firstLine="655"/>
        <w:spacing w:after="0" w:line="269" w:lineRule="auto"/>
        <w:tabs>
          <w:tab w:leader="none" w:pos="1993"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Swing Line Bank at any time in its sole discretion may request, on behalf of the Company (which hereby irrevocably authorizes the Swing Line Bank to so request on its behalf), that each Bank make a Base Rate Loan in an amount equal to such Bank’s Commitment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without regard to the minimum and multiples specified therein for the principal amount of Base Rate Loans, but subject to the unutilized portion of the Total Commitments and the conditions set forth in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The Swing Line Bank shall furnish the Company with a copy of the applicable Committed Loan Notice promptly after delivering such notice to the Administrative Agent. Each Bank shall make an amount equal to its Commitment Percentage of the amount specified in such Committed Loan Notice available to the Administrative Agent in Same Day Funds (and the Administrative Agent may apply Cash Collateral available with respect to the applicable Swing Line Loan) for the account of the Swing Line Bank at the Administrative Agent’s Office for Dollar-denominated payments not later than 3:00 p.m. on the day specified in such Committed Loan Notice, whereupon, subject to </w:t>
      </w:r>
      <w:r>
        <w:rPr>
          <w:rFonts w:ascii="Arial" w:cs="Arial" w:eastAsia="Arial" w:hAnsi="Arial"/>
          <w:sz w:val="17"/>
          <w:szCs w:val="17"/>
          <w:u w:val="single" w:color="auto"/>
          <w:color w:val="auto"/>
        </w:rPr>
        <w:t>§2.5.3(b)</w:t>
      </w:r>
      <w:r>
        <w:rPr>
          <w:rFonts w:ascii="Arial" w:cs="Arial" w:eastAsia="Arial" w:hAnsi="Arial"/>
          <w:sz w:val="17"/>
          <w:szCs w:val="17"/>
          <w:color w:val="auto"/>
        </w:rPr>
        <w:t>, each Bank that so makes funds available shall be deemed to have made a Base Rate Loan to the Company in such amount. The Administrative Agent shall remit the funds so received to the Swing Line Bank.</w:t>
      </w:r>
    </w:p>
    <w:p>
      <w:pPr>
        <w:spacing w:after="0" w:line="179" w:lineRule="exact"/>
        <w:rPr>
          <w:rFonts w:ascii="Arial" w:cs="Arial" w:eastAsia="Arial" w:hAnsi="Arial"/>
          <w:sz w:val="17"/>
          <w:szCs w:val="17"/>
          <w:color w:val="auto"/>
        </w:rPr>
      </w:pPr>
    </w:p>
    <w:p>
      <w:pPr>
        <w:ind w:left="700" w:right="300" w:firstLine="655"/>
        <w:spacing w:after="0" w:line="279" w:lineRule="auto"/>
        <w:tabs>
          <w:tab w:leader="none" w:pos="2004"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If for any reason any Swing Line Loan cannot be refinanced by such a Borrowing in accordance with </w:t>
      </w:r>
      <w:r>
        <w:rPr>
          <w:rFonts w:ascii="Arial" w:cs="Arial" w:eastAsia="Arial" w:hAnsi="Arial"/>
          <w:sz w:val="17"/>
          <w:szCs w:val="17"/>
          <w:u w:val="single" w:color="auto"/>
          <w:color w:val="auto"/>
        </w:rPr>
        <w:t>§2.5.3(a)</w:t>
      </w:r>
      <w:r>
        <w:rPr>
          <w:rFonts w:ascii="Arial" w:cs="Arial" w:eastAsia="Arial" w:hAnsi="Arial"/>
          <w:sz w:val="17"/>
          <w:szCs w:val="17"/>
          <w:color w:val="auto"/>
        </w:rPr>
        <w:t xml:space="preserve">, the request for Base Rate Loans submitted by the Swing Line Bank as set forth herein shall be deemed to be a request by the Swing Line Bank that each of the Banks fund its risk participation in the relevant Swing Line Loan and each Bank’s payment to the Administrative Agent for the account of the Swing Line Bank pursuant to </w:t>
      </w:r>
      <w:r>
        <w:rPr>
          <w:rFonts w:ascii="Arial" w:cs="Arial" w:eastAsia="Arial" w:hAnsi="Arial"/>
          <w:sz w:val="17"/>
          <w:szCs w:val="17"/>
          <w:u w:val="single" w:color="auto"/>
          <w:color w:val="auto"/>
        </w:rPr>
        <w:t>§2.5.3(a)</w:t>
      </w:r>
      <w:r>
        <w:rPr>
          <w:rFonts w:ascii="Arial" w:cs="Arial" w:eastAsia="Arial" w:hAnsi="Arial"/>
          <w:sz w:val="17"/>
          <w:szCs w:val="17"/>
          <w:color w:val="auto"/>
        </w:rPr>
        <w:t xml:space="preserve"> shall be deemed payment in respect of such participation.</w:t>
      </w:r>
    </w:p>
    <w:p>
      <w:pPr>
        <w:spacing w:after="0" w:line="171" w:lineRule="exact"/>
        <w:rPr>
          <w:rFonts w:ascii="Arial" w:cs="Arial" w:eastAsia="Arial" w:hAnsi="Arial"/>
          <w:sz w:val="17"/>
          <w:szCs w:val="17"/>
          <w:color w:val="auto"/>
        </w:rPr>
      </w:pPr>
    </w:p>
    <w:p>
      <w:pPr>
        <w:ind w:left="700" w:firstLine="655"/>
        <w:spacing w:after="0" w:line="254" w:lineRule="auto"/>
        <w:tabs>
          <w:tab w:leader="none" w:pos="20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If any Bank fails to make available to the Administrative Agent for the account of the Swing Line Bank any amount required to be paid by such Bank pursuant to the foregoing provisions of this </w:t>
      </w:r>
      <w:r>
        <w:rPr>
          <w:rFonts w:ascii="Arial" w:cs="Arial" w:eastAsia="Arial" w:hAnsi="Arial"/>
          <w:sz w:val="18"/>
          <w:szCs w:val="18"/>
          <w:u w:val="single" w:color="auto"/>
          <w:color w:val="auto"/>
        </w:rPr>
        <w:t>§2.5.3</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§2.5.3(a)</w:t>
      </w:r>
      <w:r>
        <w:rPr>
          <w:rFonts w:ascii="Arial" w:cs="Arial" w:eastAsia="Arial" w:hAnsi="Arial"/>
          <w:sz w:val="18"/>
          <w:szCs w:val="18"/>
          <w:color w:val="auto"/>
        </w:rPr>
        <w:t>, the Swing Line Bank shall be entitled to recover from such Bank (acting through the Administrative Agent), on demand, such amount with interest thereon for the period from the date such payment is required to the date on which such payment is immediately available to the Swing Line Bank at a rate per annum equal to the applicable Overnight Rate from time to time in effect, plus any administrative, processing or similar fees customarily charged by the Swing Line Bank in connection with the foregoing. If such Bank pays such amount (with interest and fees as aforesaid), the amount so paid shall constitute such Bank’s Committed Loan included in the relevant Borrowing or funded participation in the relevant Swing Line Loan, as the case may be. A certificate of the Swing Line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 xml:space="preserve">Bank submitted to any Bank (through the Administrative Agent) with respect to any amounts owing under this paragraph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shall be conclusive absent manifest error.</w:t>
      </w:r>
    </w:p>
    <w:p>
      <w:pPr>
        <w:spacing w:after="0" w:line="170" w:lineRule="exact"/>
        <w:rPr>
          <w:sz w:val="20"/>
          <w:szCs w:val="20"/>
          <w:color w:val="auto"/>
        </w:rPr>
      </w:pPr>
    </w:p>
    <w:p>
      <w:pPr>
        <w:ind w:left="700" w:right="220" w:firstLine="655"/>
        <w:spacing w:after="0" w:line="288" w:lineRule="auto"/>
        <w:tabs>
          <w:tab w:leader="none" w:pos="2004"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Each Bank’s obligation to make Committed Loans or to purchase and fund risk participations in Swing Line Loans pursuant to this </w:t>
      </w:r>
      <w:r>
        <w:rPr>
          <w:rFonts w:ascii="Arial" w:cs="Arial" w:eastAsia="Arial" w:hAnsi="Arial"/>
          <w:sz w:val="16"/>
          <w:szCs w:val="16"/>
          <w:u w:val="single" w:color="auto"/>
          <w:color w:val="auto"/>
        </w:rPr>
        <w:t>§2.5.3</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Bank may have against the Swing Line Bank, the Company or any other Person for any reason whatsoever,</w:t>
      </w:r>
    </w:p>
    <w:p>
      <w:pPr>
        <w:ind w:left="700" w:right="20" w:firstLine="7"/>
        <w:spacing w:after="0" w:line="254" w:lineRule="auto"/>
        <w:tabs>
          <w:tab w:leader="none" w:pos="9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Bank’s obligation to make Committed Loans pursuant to this </w:t>
      </w:r>
      <w:r>
        <w:rPr>
          <w:rFonts w:ascii="Arial" w:cs="Arial" w:eastAsia="Arial" w:hAnsi="Arial"/>
          <w:sz w:val="18"/>
          <w:szCs w:val="18"/>
          <w:u w:val="single" w:color="auto"/>
          <w:color w:val="auto"/>
        </w:rPr>
        <w:t>§2.5.3</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§11</w:t>
      </w:r>
      <w:r>
        <w:rPr>
          <w:rFonts w:ascii="Arial" w:cs="Arial" w:eastAsia="Arial" w:hAnsi="Arial"/>
          <w:sz w:val="18"/>
          <w:szCs w:val="18"/>
          <w:color w:val="auto"/>
        </w:rPr>
        <w:t>. No such funding of risk participations shall relieve or otherwise impair the obligation of the Company to repay Swing Line Loans, together with interest as provided herein.</w:t>
      </w:r>
    </w:p>
    <w:p>
      <w:pPr>
        <w:spacing w:after="0" w:line="186"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8"/>
          <w:szCs w:val="18"/>
          <w:color w:val="auto"/>
        </w:rPr>
        <w:t>Repayment of Participations.</w:t>
      </w:r>
    </w:p>
    <w:p>
      <w:pPr>
        <w:spacing w:after="0" w:line="229" w:lineRule="exact"/>
        <w:rPr>
          <w:sz w:val="20"/>
          <w:szCs w:val="20"/>
          <w:color w:val="auto"/>
        </w:rPr>
      </w:pPr>
    </w:p>
    <w:p>
      <w:pPr>
        <w:ind w:left="700" w:right="160" w:firstLine="655"/>
        <w:spacing w:after="0" w:line="264" w:lineRule="auto"/>
        <w:tabs>
          <w:tab w:leader="none" w:pos="19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any time after any Bank has purchased and funded a risk participation in a Swing Line Loan, if the Swing Line Bank receives any payment on account of such Swing Line Loan, the Swing Line Bank will distribute to such Bank its Commitment Percentage thereof in the same funds as those received by the Swing Line Bank.</w:t>
      </w:r>
    </w:p>
    <w:p>
      <w:pPr>
        <w:spacing w:after="0" w:line="181" w:lineRule="exact"/>
        <w:rPr>
          <w:rFonts w:ascii="Arial" w:cs="Arial" w:eastAsia="Arial" w:hAnsi="Arial"/>
          <w:sz w:val="18"/>
          <w:szCs w:val="18"/>
          <w:color w:val="auto"/>
        </w:rPr>
      </w:pPr>
    </w:p>
    <w:p>
      <w:pPr>
        <w:ind w:left="700" w:right="180" w:firstLine="655"/>
        <w:spacing w:after="0" w:line="312" w:lineRule="auto"/>
        <w:tabs>
          <w:tab w:leader="none" w:pos="2004"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If any payment received by the Swing Line Bank in respect of principal or interest on any Swing Line Loan is required to be returned by the Swing Line Bank under any of the circumstances described in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(including pursuant to any settlement entered into by the Swing Line Bank in its discretion), each Bank shall pay to the Swing Line Bank its Commitment Percentage thereof on demand of the Administrative</w:t>
      </w:r>
    </w:p>
    <w:p>
      <w:pPr>
        <w:sectPr>
          <w:pgSz w:w="11900" w:h="16952" w:orient="portrait"/>
          <w:cols w:equalWidth="0" w:num="1">
            <w:col w:w="11420"/>
          </w:cols>
          <w:pgMar w:left="240" w:top="125" w:right="239" w:bottom="0" w:gutter="0" w:footer="0" w:header="0"/>
        </w:sectPr>
      </w:pPr>
    </w:p>
    <w:bookmarkStart w:id="25" w:name="page26"/>
    <w:bookmarkEnd w:id="25"/>
    <w:p>
      <w:pPr>
        <w:jc w:val="both"/>
        <w:ind w:left="700" w:right="40"/>
        <w:spacing w:after="0" w:line="264" w:lineRule="auto"/>
        <w:rPr>
          <w:sz w:val="20"/>
          <w:szCs w:val="20"/>
          <w:color w:val="auto"/>
        </w:rPr>
      </w:pPr>
      <w:r>
        <w:rPr>
          <w:rFonts w:ascii="Arial" w:cs="Arial" w:eastAsia="Arial" w:hAnsi="Arial"/>
          <w:sz w:val="18"/>
          <w:szCs w:val="18"/>
          <w:color w:val="auto"/>
        </w:rPr>
        <w:t>Agent, plus interest thereon from the date of such demand to the date such amount is returned, at a rate per annum equal to the applicable Overnight Rate. The Administrative Agent will make such demand upon the request of the Swing Line Bank. The obligations of the Banks under this clause shall survive the payment in full of the Obligations and the termination of this Agreement.</w:t>
      </w:r>
    </w:p>
    <w:p>
      <w:pPr>
        <w:spacing w:after="0" w:line="177" w:lineRule="exact"/>
        <w:rPr>
          <w:sz w:val="20"/>
          <w:szCs w:val="20"/>
          <w:color w:val="auto"/>
        </w:rPr>
      </w:pPr>
    </w:p>
    <w:p>
      <w:pPr>
        <w:jc w:val="both"/>
        <w:ind w:right="60" w:firstLine="1945"/>
        <w:spacing w:after="0" w:line="314" w:lineRule="auto"/>
        <w:rPr>
          <w:sz w:val="20"/>
          <w:szCs w:val="20"/>
          <w:color w:val="auto"/>
        </w:rPr>
      </w:pPr>
      <w:r>
        <w:rPr>
          <w:rFonts w:ascii="Arial" w:cs="Arial" w:eastAsia="Arial" w:hAnsi="Arial"/>
          <w:sz w:val="16"/>
          <w:szCs w:val="16"/>
          <w:b w:val="1"/>
          <w:bCs w:val="1"/>
          <w:color w:val="auto"/>
        </w:rPr>
        <w:t xml:space="preserve">§2.5.5 </w:t>
      </w:r>
      <w:r>
        <w:rPr>
          <w:rFonts w:ascii="Arial" w:cs="Arial" w:eastAsia="Arial" w:hAnsi="Arial"/>
          <w:sz w:val="16"/>
          <w:szCs w:val="16"/>
          <w:u w:val="single" w:color="auto"/>
          <w:color w:val="auto"/>
        </w:rPr>
        <w:t>Interest for Account of Swing Line Bank</w:t>
      </w:r>
      <w:r>
        <w:rPr>
          <w:rFonts w:ascii="Arial" w:cs="Arial" w:eastAsia="Arial" w:hAnsi="Arial"/>
          <w:sz w:val="16"/>
          <w:szCs w:val="16"/>
          <w:color w:val="auto"/>
        </w:rPr>
        <w:t>. The Swing Line Bank shall be responsible for invoicing the Company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interest on the Swing Line Loans. Until each Bank funds its Base Rate Loan or risk participation pursuant to this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to refinance such Bank’s Commitment Percentage of any Swing Line Loan, interest in respect of such Commitment Percentage shall be solely for the account of the Swing Line Bank.</w:t>
      </w:r>
    </w:p>
    <w:p>
      <w:pPr>
        <w:spacing w:after="0" w:line="142" w:lineRule="exact"/>
        <w:rPr>
          <w:sz w:val="20"/>
          <w:szCs w:val="20"/>
          <w:color w:val="auto"/>
        </w:rPr>
      </w:pPr>
    </w:p>
    <w:p>
      <w:pPr>
        <w:ind w:right="20" w:firstLine="1945"/>
        <w:spacing w:after="0" w:line="282" w:lineRule="auto"/>
        <w:rPr>
          <w:sz w:val="20"/>
          <w:szCs w:val="20"/>
          <w:color w:val="auto"/>
        </w:rPr>
      </w:pPr>
      <w:r>
        <w:rPr>
          <w:rFonts w:ascii="Arial" w:cs="Arial" w:eastAsia="Arial" w:hAnsi="Arial"/>
          <w:sz w:val="18"/>
          <w:szCs w:val="18"/>
          <w:b w:val="1"/>
          <w:bCs w:val="1"/>
          <w:color w:val="auto"/>
        </w:rPr>
        <w:t xml:space="preserve">§2.5.6 </w:t>
      </w:r>
      <w:r>
        <w:rPr>
          <w:rFonts w:ascii="Arial" w:cs="Arial" w:eastAsia="Arial" w:hAnsi="Arial"/>
          <w:sz w:val="18"/>
          <w:szCs w:val="18"/>
          <w:u w:val="single" w:color="auto"/>
          <w:color w:val="auto"/>
        </w:rPr>
        <w:t>Payments Directly to Swing Line Bank</w:t>
      </w:r>
      <w:r>
        <w:rPr>
          <w:rFonts w:ascii="Arial" w:cs="Arial" w:eastAsia="Arial" w:hAnsi="Arial"/>
          <w:sz w:val="18"/>
          <w:szCs w:val="18"/>
          <w:color w:val="auto"/>
        </w:rPr>
        <w:t>. The Company shall make all payments of principal and interest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Swing Line Loans directly to the Swing Line Bank.</w:t>
      </w:r>
    </w:p>
    <w:p>
      <w:pPr>
        <w:spacing w:after="0" w:line="162"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Letters of Credit</w:t>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8"/>
          <w:szCs w:val="18"/>
          <w:b w:val="1"/>
          <w:bCs w:val="1"/>
          <w:color w:val="auto"/>
        </w:rPr>
        <w:t>Letter of Credit Commitments.</w:t>
      </w:r>
    </w:p>
    <w:p>
      <w:pPr>
        <w:spacing w:after="0" w:line="229" w:lineRule="exact"/>
        <w:rPr>
          <w:sz w:val="20"/>
          <w:szCs w:val="20"/>
          <w:color w:val="auto"/>
        </w:rPr>
      </w:pPr>
    </w:p>
    <w:p>
      <w:pPr>
        <w:ind w:left="700" w:right="40" w:firstLine="655"/>
        <w:spacing w:after="0" w:line="257" w:lineRule="auto"/>
        <w:tabs>
          <w:tab w:leader="none" w:pos="19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hereof and the receipt by the Administrative Agent of a written notice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(a “</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appropriately completed and signed by an authorized officer of the applicable Borrower reflecting the Maximum Drawing Amount of all Letters of Credit (including the requested Letter of Credit), and receipt by an Issuing Bank, with a copy to the Administrative Agent, of a Letter of Credit Application appropriately completed and signed by an authorized officer of the applicable Borrower, such Issuing Bank, on behalf of the Banks and in reliance upon the representations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20"/>
        <w:spacing w:after="0" w:line="283" w:lineRule="auto"/>
        <w:rPr>
          <w:sz w:val="20"/>
          <w:szCs w:val="20"/>
          <w:color w:val="auto"/>
        </w:rPr>
      </w:pPr>
      <w:r>
        <w:rPr>
          <w:rFonts w:ascii="Arial" w:cs="Arial" w:eastAsia="Arial" w:hAnsi="Arial"/>
          <w:sz w:val="16"/>
          <w:szCs w:val="16"/>
          <w:color w:val="auto"/>
        </w:rPr>
        <w:t xml:space="preserve">warranties of the Borrowers contained herein and the agreement of the Banks contained in </w:t>
      </w:r>
      <w:r>
        <w:rPr>
          <w:rFonts w:ascii="Arial" w:cs="Arial" w:eastAsia="Arial" w:hAnsi="Arial"/>
          <w:sz w:val="16"/>
          <w:szCs w:val="16"/>
          <w:u w:val="single" w:color="auto"/>
          <w:color w:val="auto"/>
        </w:rPr>
        <w:t>§2.6.1(c)</w:t>
      </w:r>
      <w:r>
        <w:rPr>
          <w:rFonts w:ascii="Arial" w:cs="Arial" w:eastAsia="Arial" w:hAnsi="Arial"/>
          <w:sz w:val="16"/>
          <w:szCs w:val="16"/>
          <w:color w:val="auto"/>
        </w:rPr>
        <w:t xml:space="preserve"> hereof, agrees to issue standby Letters of Credit (including so-called “direct pay” standby Letters of Credit) for the account of the Company or any of its Subsidiaries (which may, with such Issuing Bank’s consent, incorporate automatic renewals for periods of up to twelve (12) months), in such form as may be requested from time to time by the applicable Borrower and agreed to by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such request, the aggregate Maximum Drawing Amount of all Letters of Credit issued at any time shall not exceed the Total Commitment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outstanding amount of the Loans;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 no Letter of Credit shall have an expiration date later than the earlier of (A) eighteen (18) months after the date of issuance (which may incorporate automatic renewals for periods of up to twelve (12) months), or (B) five (5) Business Days prior to the Maturity Date; (ii) no Issuing Bank shall be under any obligation to issue any Letter of Credit if (A) any order, judgment or decree of any Governmental Authority or arbitrator shall by its terms purport to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or otherwise) not in effect on the Effective Date, or shall impose upon such Issuing Bank any unreimbursed loss, cost or expense which was not applicable on the Effective Date and which such Issuing Bank in good faith deems material to it,</w:t>
      </w:r>
    </w:p>
    <w:p>
      <w:pPr>
        <w:spacing w:after="0" w:line="2" w:lineRule="exact"/>
        <w:rPr>
          <w:sz w:val="20"/>
          <w:szCs w:val="20"/>
          <w:color w:val="auto"/>
        </w:rPr>
      </w:pPr>
    </w:p>
    <w:p>
      <w:pPr>
        <w:ind w:left="700" w:right="20" w:firstLine="7"/>
        <w:spacing w:after="0" w:line="281" w:lineRule="auto"/>
        <w:tabs>
          <w:tab w:leader="none" w:pos="985"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issuance of the Letter of Credit would violate one or more material policies of such Issuing Bank applicable to letters of credit generally applied on a consistent basis to similarly situated letter of credit applicants, or (C) any Bank is at that time a Defaulting Bank, unless (x) such Issuing Bank has entered into arrangements, including the delivery of cash collateral or other credit support, satisfactory to such Issuing Bank (in its sole discretion), with the applicable Borrower or such Bank to eliminate such Issuing Bank’s actual or potential fronting exposure with respect to such Defaulting Bank, or (y) such actual or potential fronting exposure with respect to such Defaulting Bank has been reallocated to Banks that are non-Defaulting Banks pursuant to clause (d) of </w:t>
      </w:r>
      <w:r>
        <w:rPr>
          <w:rFonts w:ascii="Arial" w:cs="Arial" w:eastAsia="Arial" w:hAnsi="Arial"/>
          <w:sz w:val="16"/>
          <w:szCs w:val="16"/>
          <w:u w:val="single" w:color="auto"/>
          <w:color w:val="auto"/>
        </w:rPr>
        <w:t>§2.17.1</w:t>
      </w:r>
      <w:r>
        <w:rPr>
          <w:rFonts w:ascii="Arial" w:cs="Arial" w:eastAsia="Arial" w:hAnsi="Arial"/>
          <w:sz w:val="16"/>
          <w:szCs w:val="16"/>
          <w:color w:val="auto"/>
        </w:rPr>
        <w:t xml:space="preserve"> and (iii) the aggregate face amount of all Letters of Credit issued by any one Issuing Bank shall not at any time exceed the amount set forth opposite the name of such Issuing Bank on </w:t>
      </w:r>
      <w:r>
        <w:rPr>
          <w:rFonts w:ascii="Arial" w:cs="Arial" w:eastAsia="Arial" w:hAnsi="Arial"/>
          <w:sz w:val="16"/>
          <w:szCs w:val="16"/>
          <w:u w:val="single" w:color="auto"/>
          <w:color w:val="auto"/>
        </w:rPr>
        <w:t>Schedule 2.6.1</w:t>
      </w:r>
      <w:r>
        <w:rPr>
          <w:rFonts w:ascii="Arial" w:cs="Arial" w:eastAsia="Arial" w:hAnsi="Arial"/>
          <w:sz w:val="16"/>
          <w:szCs w:val="16"/>
          <w:color w:val="auto"/>
        </w:rPr>
        <w:t xml:space="preserve"> hereto, as such amount may be increased (in the sole discretion of such Issuing Bank) or decreased (if so agreed by such Issuing Bank and the Borrower by the execution and delivery by such Issuing Bank, the Company, the Guarantor and the Administrative Agent of an instrument in substantially the form of</w:t>
      </w:r>
    </w:p>
    <w:p>
      <w:pPr>
        <w:spacing w:after="0" w:line="6" w:lineRule="exact"/>
        <w:rPr>
          <w:rFonts w:ascii="Arial" w:cs="Arial" w:eastAsia="Arial" w:hAnsi="Arial"/>
          <w:sz w:val="16"/>
          <w:szCs w:val="16"/>
          <w:color w:val="auto"/>
        </w:rPr>
      </w:pPr>
    </w:p>
    <w:p>
      <w:pPr>
        <w:ind w:left="700" w:right="4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Schedule 2.6.1(a)</w:t>
      </w:r>
      <w:r>
        <w:rPr>
          <w:rFonts w:ascii="Arial" w:cs="Arial" w:eastAsia="Arial" w:hAnsi="Arial"/>
          <w:sz w:val="18"/>
          <w:szCs w:val="18"/>
          <w:color w:val="auto"/>
        </w:rPr>
        <w:t xml:space="preserve"> hereto. Each Issuing Bank will promptly confirm to the Administrative Agent the issuance of each Letter of Credit specifying the face amount thereof or any increase thereto, and the Administrative Agent will transmit such information to the Banks.</w:t>
      </w:r>
    </w:p>
    <w:p>
      <w:pPr>
        <w:spacing w:after="0" w:line="183" w:lineRule="exact"/>
        <w:rPr>
          <w:rFonts w:ascii="Arial" w:cs="Arial" w:eastAsia="Arial" w:hAnsi="Arial"/>
          <w:sz w:val="16"/>
          <w:szCs w:val="16"/>
          <w:color w:val="auto"/>
        </w:rPr>
      </w:pPr>
    </w:p>
    <w:p>
      <w:pPr>
        <w:ind w:left="2020" w:hanging="665"/>
        <w:spacing w:after="0"/>
        <w:tabs>
          <w:tab w:leader="none" w:pos="20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Each Letter of Credit shall be denominated in Dollars or, in accordance with and subject to the terms of </w:t>
      </w:r>
      <w:r>
        <w:rPr>
          <w:rFonts w:ascii="Arial" w:cs="Arial" w:eastAsia="Arial" w:hAnsi="Arial"/>
          <w:sz w:val="17"/>
          <w:szCs w:val="17"/>
          <w:u w:val="single" w:color="auto"/>
          <w:color w:val="auto"/>
        </w:rPr>
        <w:t>§2.6.1(e)</w:t>
      </w:r>
      <w:r>
        <w:rPr>
          <w:rFonts w:ascii="Arial" w:cs="Arial" w:eastAsia="Arial" w:hAnsi="Arial"/>
          <w:sz w:val="17"/>
          <w:szCs w:val="17"/>
          <w:color w:val="auto"/>
        </w:rPr>
        <w:t xml:space="preserve"> hereof, in</w:t>
      </w:r>
    </w:p>
    <w:p>
      <w:pPr>
        <w:spacing w:after="0" w:line="34"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Canadian Dollars.</w:t>
      </w:r>
    </w:p>
    <w:p>
      <w:pPr>
        <w:spacing w:after="0" w:line="210" w:lineRule="exact"/>
        <w:rPr>
          <w:rFonts w:ascii="Arial" w:cs="Arial" w:eastAsia="Arial" w:hAnsi="Arial"/>
          <w:sz w:val="17"/>
          <w:szCs w:val="17"/>
          <w:color w:val="auto"/>
        </w:rPr>
      </w:pPr>
    </w:p>
    <w:p>
      <w:pPr>
        <w:ind w:left="700" w:firstLine="655"/>
        <w:spacing w:after="0" w:line="293" w:lineRule="auto"/>
        <w:tabs>
          <w:tab w:leader="none" w:pos="2007"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Each Bank severally agrees that it shall be absolutely liable, without regard to the occurrence of any Default or Event of Default, the termination of the Total Commitment pursuant to </w:t>
      </w:r>
      <w:r>
        <w:rPr>
          <w:rFonts w:ascii="Arial" w:cs="Arial" w:eastAsia="Arial" w:hAnsi="Arial"/>
          <w:sz w:val="16"/>
          <w:szCs w:val="16"/>
          <w:u w:val="single" w:color="auto"/>
          <w:color w:val="auto"/>
        </w:rPr>
        <w:t>§12.2</w:t>
      </w:r>
      <w:r>
        <w:rPr>
          <w:rFonts w:ascii="Arial" w:cs="Arial" w:eastAsia="Arial" w:hAnsi="Arial"/>
          <w:sz w:val="16"/>
          <w:szCs w:val="16"/>
          <w:color w:val="auto"/>
        </w:rPr>
        <w:t xml:space="preserve">, or any other condition precedent or circumstance whatsoever (other than as stated in the next sentence hereof), to the extent of such Bank’s Commitment Percentage (computed after the termination of the Total Commitment in accordance with the Commitment Percentage in effect immediately prior to such Termination), to reimburse each Issuing Bank on demand for the amount of each draft paid by such Issuing Bank under each Letter of Credit issued by such Issuing Bank to the extent that such amount is not reimbursed by the Borrowers pursuant to </w:t>
      </w:r>
      <w:r>
        <w:rPr>
          <w:rFonts w:ascii="Arial" w:cs="Arial" w:eastAsia="Arial" w:hAnsi="Arial"/>
          <w:sz w:val="16"/>
          <w:szCs w:val="16"/>
          <w:u w:val="single" w:color="auto"/>
          <w:color w:val="auto"/>
        </w:rPr>
        <w:t>§2.6.2</w:t>
      </w:r>
      <w:r>
        <w:rPr>
          <w:rFonts w:ascii="Arial" w:cs="Arial" w:eastAsia="Arial" w:hAnsi="Arial"/>
          <w:sz w:val="16"/>
          <w:szCs w:val="16"/>
          <w:color w:val="auto"/>
        </w:rPr>
        <w:t xml:space="preserve"> (such agreement of a Bank being called herein the “</w:t>
      </w:r>
      <w:r>
        <w:rPr>
          <w:rFonts w:ascii="Arial" w:cs="Arial" w:eastAsia="Arial" w:hAnsi="Arial"/>
          <w:sz w:val="16"/>
          <w:szCs w:val="16"/>
          <w:u w:val="single" w:color="auto"/>
          <w:color w:val="auto"/>
        </w:rPr>
        <w:t>Letter of Credit Participation</w:t>
      </w:r>
      <w:r>
        <w:rPr>
          <w:rFonts w:ascii="Arial" w:cs="Arial" w:eastAsia="Arial" w:hAnsi="Arial"/>
          <w:sz w:val="16"/>
          <w:szCs w:val="16"/>
          <w:color w:val="auto"/>
        </w:rPr>
        <w:t>” of such Bank). Each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300"/>
        <w:spacing w:after="0" w:line="259" w:lineRule="auto"/>
        <w:rPr>
          <w:sz w:val="20"/>
          <w:szCs w:val="20"/>
          <w:color w:val="auto"/>
        </w:rPr>
      </w:pPr>
      <w:r>
        <w:rPr>
          <w:rFonts w:ascii="Arial" w:cs="Arial" w:eastAsia="Arial" w:hAnsi="Arial"/>
          <w:sz w:val="18"/>
          <w:szCs w:val="18"/>
          <w:color w:val="auto"/>
        </w:rPr>
        <w:t xml:space="preserve">Bank agrees that its obligation to reimburse each Issuing Bank pursuant to this </w:t>
      </w:r>
      <w:r>
        <w:rPr>
          <w:rFonts w:ascii="Arial" w:cs="Arial" w:eastAsia="Arial" w:hAnsi="Arial"/>
          <w:sz w:val="18"/>
          <w:szCs w:val="18"/>
          <w:u w:val="single" w:color="auto"/>
          <w:color w:val="auto"/>
        </w:rPr>
        <w:t>§2.6.1(c)</w:t>
      </w:r>
      <w:r>
        <w:rPr>
          <w:rFonts w:ascii="Arial" w:cs="Arial" w:eastAsia="Arial" w:hAnsi="Arial"/>
          <w:sz w:val="18"/>
          <w:szCs w:val="18"/>
          <w:color w:val="auto"/>
        </w:rPr>
        <w:t xml:space="preserve"> shall not be affected in any way by any circumstance whatsoever other than the gross negligence or willful misconduct of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making of a payment under a Letter of Credit against documents that appear on their face to substantially comply with the terms and conditions of such Letter of Credit shall not be deemed to be gross negligence or willful misconduct.</w:t>
      </w:r>
    </w:p>
    <w:p>
      <w:pPr>
        <w:spacing w:after="0" w:line="187" w:lineRule="exact"/>
        <w:rPr>
          <w:sz w:val="20"/>
          <w:szCs w:val="20"/>
          <w:color w:val="auto"/>
        </w:rPr>
      </w:pPr>
    </w:p>
    <w:p>
      <w:pPr>
        <w:jc w:val="both"/>
        <w:ind w:left="700" w:right="180" w:firstLine="655"/>
        <w:spacing w:after="0" w:line="259" w:lineRule="auto"/>
        <w:tabs>
          <w:tab w:leader="none" w:pos="20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Each such reimbursement payment made by a Bank to an Issuing Bank shall be made to an account of such Issuing Bank in the United States of America and shall be treated as the purchase by such Bank of a participating interest in the applicable Reimbursement Obligation under </w:t>
      </w:r>
      <w:r>
        <w:rPr>
          <w:rFonts w:ascii="Arial" w:cs="Arial" w:eastAsia="Arial" w:hAnsi="Arial"/>
          <w:sz w:val="18"/>
          <w:szCs w:val="18"/>
          <w:u w:val="single" w:color="auto"/>
          <w:color w:val="auto"/>
        </w:rPr>
        <w:t>§2.6.2</w:t>
      </w:r>
      <w:r>
        <w:rPr>
          <w:rFonts w:ascii="Arial" w:cs="Arial" w:eastAsia="Arial" w:hAnsi="Arial"/>
          <w:sz w:val="18"/>
          <w:szCs w:val="18"/>
          <w:color w:val="auto"/>
        </w:rPr>
        <w:t xml:space="preserve"> in an amount equal to such payment. Each Bank shall share in accordance with its participating interest in any interest which accrues pursuant to §</w:t>
      </w:r>
      <w:r>
        <w:rPr>
          <w:rFonts w:ascii="Arial" w:cs="Arial" w:eastAsia="Arial" w:hAnsi="Arial"/>
          <w:sz w:val="18"/>
          <w:szCs w:val="18"/>
          <w:u w:val="single" w:color="auto"/>
          <w:color w:val="auto"/>
        </w:rPr>
        <w:t>2.6.2</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26" w:name="page27"/>
    <w:bookmarkEnd w:id="26"/>
    <w:p>
      <w:pPr>
        <w:ind w:left="700" w:right="20" w:firstLine="655"/>
        <w:spacing w:after="0" w:line="255" w:lineRule="auto"/>
        <w:tabs>
          <w:tab w:leader="none" w:pos="20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The applicable Borrower shall be entitled to request that one or more Letters of Credit be denominated in Canadian Dollars for the account of any Canadian Subsidiary of the applicable Borrower (each a “</w:t>
      </w:r>
      <w:r>
        <w:rPr>
          <w:rFonts w:ascii="Arial" w:cs="Arial" w:eastAsia="Arial" w:hAnsi="Arial"/>
          <w:sz w:val="18"/>
          <w:szCs w:val="18"/>
          <w:u w:val="single" w:color="auto"/>
          <w:color w:val="auto"/>
        </w:rPr>
        <w:t>Canadian Dollar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undrawn face amount of all Canadian Dollar Letters of Credit may not exceed the Canadian Letter of Credit Sublimit at any time and (ii) each Canadian Dollar Letter of Credit shall provide for payment of any drawing thereunder on a date not earlier than three Business Days after the relevant Issuing Bank determines that the documents submitted in connection with such drawing appear on their face to substantially comply with the terms and conditions of such Letter of Credit (or such shorter period of time as may be agreeable to the relevant Issuing Bank in its sole discretion).</w:t>
      </w:r>
    </w:p>
    <w:p>
      <w:pPr>
        <w:spacing w:after="0" w:line="189" w:lineRule="exact"/>
        <w:rPr>
          <w:rFonts w:ascii="Arial" w:cs="Arial" w:eastAsia="Arial" w:hAnsi="Arial"/>
          <w:sz w:val="18"/>
          <w:szCs w:val="18"/>
          <w:color w:val="auto"/>
        </w:rPr>
      </w:pPr>
    </w:p>
    <w:p>
      <w:pPr>
        <w:ind w:left="1300" w:right="260" w:firstLine="653"/>
        <w:spacing w:after="0" w:line="264" w:lineRule="auto"/>
        <w:tabs>
          <w:tab w:leader="none" w:pos="2627"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The Letter of Credit Application in respect of each Canadian Dollar Letter of Credit shall be signed by the applicable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therein shall be deemed to alter the obligations of the Borrowers under this Agreement in respect of any drawing under any such Letter of Credit.</w:t>
      </w:r>
    </w:p>
    <w:p>
      <w:pPr>
        <w:spacing w:after="0" w:line="181" w:lineRule="exact"/>
        <w:rPr>
          <w:rFonts w:ascii="Arial" w:cs="Arial" w:eastAsia="Arial" w:hAnsi="Arial"/>
          <w:sz w:val="18"/>
          <w:szCs w:val="18"/>
          <w:color w:val="auto"/>
        </w:rPr>
      </w:pPr>
    </w:p>
    <w:p>
      <w:pPr>
        <w:ind w:left="1300" w:right="80" w:firstLine="653"/>
        <w:spacing w:after="0" w:line="264" w:lineRule="auto"/>
        <w:tabs>
          <w:tab w:leader="none" w:pos="2637"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an Issuing Bank makes a payment in Canadian Dollars pursuant to a Canadian Dollar Letter of Credit, such Borrower shall reimburse such Issuing Bank in Canadian Dollars or the U.S. Dollar Equivalent thereof in Dollars, upon such Borrower’s election in a notice to the applicable Issuing Bank.</w:t>
      </w:r>
    </w:p>
    <w:p>
      <w:pPr>
        <w:spacing w:after="0" w:line="181" w:lineRule="exact"/>
        <w:rPr>
          <w:rFonts w:ascii="Arial" w:cs="Arial" w:eastAsia="Arial" w:hAnsi="Arial"/>
          <w:sz w:val="18"/>
          <w:szCs w:val="18"/>
          <w:color w:val="auto"/>
        </w:rPr>
      </w:pPr>
    </w:p>
    <w:p>
      <w:pPr>
        <w:ind w:left="700" w:right="260" w:firstLine="655"/>
        <w:spacing w:after="0" w:line="277" w:lineRule="auto"/>
        <w:tabs>
          <w:tab w:leader="none" w:pos="20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As of the Effective Date, the Existing Letters of Credit shall automatically be deemed to be Letters of Credit for all purposes of this Agreement, having the respective face amounts specified in </w:t>
      </w:r>
      <w:r>
        <w:rPr>
          <w:rFonts w:ascii="Arial" w:cs="Arial" w:eastAsia="Arial" w:hAnsi="Arial"/>
          <w:sz w:val="18"/>
          <w:szCs w:val="18"/>
          <w:u w:val="single" w:color="auto"/>
          <w:color w:val="auto"/>
        </w:rPr>
        <w:t>Schedule 2.6.1(f)</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left="700" w:firstLine="655"/>
        <w:spacing w:after="0" w:line="288" w:lineRule="auto"/>
        <w:tabs>
          <w:tab w:leader="none" w:pos="20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parties acknowledge and agree that (i) certain of the Existing Letters of Credit have been issued by Bank Affiliates of Issuing Banks identified in </w:t>
      </w:r>
      <w:r>
        <w:rPr>
          <w:rFonts w:ascii="Arial" w:cs="Arial" w:eastAsia="Arial" w:hAnsi="Arial"/>
          <w:sz w:val="16"/>
          <w:szCs w:val="16"/>
          <w:u w:val="single" w:color="auto"/>
          <w:color w:val="auto"/>
        </w:rPr>
        <w:t>Schedule 2.6.1(f)</w:t>
      </w:r>
      <w:r>
        <w:rPr>
          <w:rFonts w:ascii="Arial" w:cs="Arial" w:eastAsia="Arial" w:hAnsi="Arial"/>
          <w:sz w:val="16"/>
          <w:szCs w:val="16"/>
          <w:color w:val="auto"/>
        </w:rPr>
        <w:t xml:space="preserve"> hereof, and that (ii) an Issuing Bank may hereafter comply with the provisions of §2.6.1 in respect of the issuance of Canadian Dollar Letters of Credit by arranging for a Bank Affiliate of such Issuing Bank organized under the laws of Canada to issue such Canadian Dollar Letter of Credit (each Letter of Credit issued by a Bank Affiliate of an Issuing Bank as provided herein being herein referred to as a “</w:t>
      </w:r>
      <w:r>
        <w:rPr>
          <w:rFonts w:ascii="Arial" w:cs="Arial" w:eastAsia="Arial" w:hAnsi="Arial"/>
          <w:sz w:val="16"/>
          <w:szCs w:val="16"/>
          <w:u w:val="single" w:color="auto"/>
          <w:color w:val="auto"/>
        </w:rPr>
        <w:t>Bank Affiliate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Issuing Bank shall, prior to such issuance, have notified the Administrative Agent and the applicable Borrower of the identity of such Bank Affiliate. The parties agree that (1) each Bank Affiliate Letter of Credit is and shall be a “Letter of Credit” for all purposes of this Agreement; (2) each reference in the definition of “Reimbursement Obligation” and in </w:t>
      </w:r>
      <w:r>
        <w:rPr>
          <w:rFonts w:ascii="Arial" w:cs="Arial" w:eastAsia="Arial" w:hAnsi="Arial"/>
          <w:sz w:val="16"/>
          <w:szCs w:val="16"/>
          <w:u w:val="single" w:color="auto"/>
          <w:color w:val="auto"/>
        </w:rPr>
        <w:t>§2.6.2</w:t>
      </w:r>
      <w:r>
        <w:rPr>
          <w:rFonts w:ascii="Arial" w:cs="Arial" w:eastAsia="Arial" w:hAnsi="Arial"/>
          <w:sz w:val="16"/>
          <w:szCs w:val="16"/>
          <w:color w:val="auto"/>
        </w:rPr>
        <w:t xml:space="preserve">, </w:t>
      </w:r>
      <w:r>
        <w:rPr>
          <w:rFonts w:ascii="Arial" w:cs="Arial" w:eastAsia="Arial" w:hAnsi="Arial"/>
          <w:sz w:val="16"/>
          <w:szCs w:val="16"/>
          <w:u w:val="single" w:color="auto"/>
          <w:color w:val="auto"/>
        </w:rPr>
        <w:t>§2.6.3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§2.6.4</w:t>
      </w:r>
      <w:r>
        <w:rPr>
          <w:rFonts w:ascii="Arial" w:cs="Arial" w:eastAsia="Arial" w:hAnsi="Arial"/>
          <w:sz w:val="16"/>
          <w:szCs w:val="16"/>
          <w:color w:val="auto"/>
        </w:rPr>
        <w:t xml:space="preserve"> to an Issuing Bank shall be deemed to include the issuer of each such Bank Affiliate Letter of Credit; (3) notwithstanding the foregoing, the issuance, extension or renewal of each Letter of Credit shall remain subject to the conditions and requirements of </w:t>
      </w:r>
      <w:r>
        <w:rPr>
          <w:rFonts w:ascii="Arial" w:cs="Arial" w:eastAsia="Arial" w:hAnsi="Arial"/>
          <w:sz w:val="16"/>
          <w:szCs w:val="16"/>
          <w:u w:val="single" w:color="auto"/>
          <w:color w:val="auto"/>
        </w:rPr>
        <w:t>§2.6.1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and each provision of this Agreement, including without limitation the last sentence of </w:t>
      </w:r>
      <w:r>
        <w:rPr>
          <w:rFonts w:ascii="Arial" w:cs="Arial" w:eastAsia="Arial" w:hAnsi="Arial"/>
          <w:sz w:val="16"/>
          <w:szCs w:val="16"/>
          <w:u w:val="single" w:color="auto"/>
          <w:color w:val="auto"/>
        </w:rPr>
        <w:t>§2.6.1(a)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§2.6.5</w:t>
      </w:r>
      <w:r>
        <w:rPr>
          <w:rFonts w:ascii="Arial" w:cs="Arial" w:eastAsia="Arial" w:hAnsi="Arial"/>
          <w:sz w:val="16"/>
          <w:szCs w:val="16"/>
          <w:color w:val="auto"/>
        </w:rPr>
        <w:t>, requiring the giving of a notice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hereunder by or to an Issuing Bank shall be deemed to refer to such Issuing Bank and not to such Bank Affiliate; and (4) the obligations of the Banks, the Borrower and the Guarantor to each Issuing Bank shall, in the case of each Bank Affiliate Letter of Credit, inure to the benefit of the Bank Affiliate issuing or having issued such Bank Affiliate Letter of Credit and be enforceable by such Bank Affiliate and/or by such Issuing Bank on behalf of such Bank Affiliate. Each Canadian Dollar Letter of Credit issued by a Canadian Bank Affiliate of an Issuing Bank shall be issued on a Business Day which is not a day on which banking institutions in Toronto and Montreal, Canada are authorized by law to close.</w:t>
      </w:r>
    </w:p>
    <w:p>
      <w:pPr>
        <w:spacing w:after="0" w:line="173" w:lineRule="exact"/>
        <w:rPr>
          <w:sz w:val="20"/>
          <w:szCs w:val="20"/>
          <w:color w:val="auto"/>
        </w:rPr>
      </w:pPr>
    </w:p>
    <w:p>
      <w:pPr>
        <w:ind w:left="700" w:right="180" w:firstLine="655"/>
        <w:spacing w:after="0" w:line="308" w:lineRule="auto"/>
        <w:tabs>
          <w:tab w:leader="none" w:pos="2004"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Unless otherwise expressly agreed by the Issuing Bank and the applicable Borrower when a Letter of Credit is issued (including any such agreement applicable to an Existing Letter of Credit), the rules of the ISP shall apply to each standby Letter of Credit.</w:t>
      </w:r>
    </w:p>
    <w:p>
      <w:pPr>
        <w:spacing w:after="0" w:line="143" w:lineRule="exact"/>
        <w:rPr>
          <w:sz w:val="20"/>
          <w:szCs w:val="20"/>
          <w:color w:val="auto"/>
        </w:rPr>
      </w:pPr>
    </w:p>
    <w:p>
      <w:pPr>
        <w:ind w:right="120" w:firstLine="1945"/>
        <w:spacing w:after="0" w:line="266" w:lineRule="auto"/>
        <w:rPr>
          <w:sz w:val="20"/>
          <w:szCs w:val="20"/>
          <w:color w:val="auto"/>
        </w:rPr>
      </w:pPr>
      <w:r>
        <w:rPr>
          <w:rFonts w:ascii="Arial" w:cs="Arial" w:eastAsia="Arial" w:hAnsi="Arial"/>
          <w:sz w:val="18"/>
          <w:szCs w:val="18"/>
          <w:b w:val="1"/>
          <w:bCs w:val="1"/>
          <w:color w:val="auto"/>
        </w:rPr>
        <w:t>§2.6.2 Reimbursement Obligation of the Borrowers</w:t>
      </w:r>
      <w:r>
        <w:rPr>
          <w:rFonts w:ascii="Arial" w:cs="Arial" w:eastAsia="Arial" w:hAnsi="Arial"/>
          <w:sz w:val="18"/>
          <w:szCs w:val="18"/>
          <w:color w:val="auto"/>
        </w:rPr>
        <w:t>. In order to induce the Issuing Banks to issue, extend and renew</w:t>
      </w:r>
      <w:r>
        <w:rPr>
          <w:rFonts w:ascii="Arial" w:cs="Arial" w:eastAsia="Arial" w:hAnsi="Arial"/>
          <w:sz w:val="18"/>
          <w:szCs w:val="18"/>
          <w:b w:val="1"/>
          <w:bCs w:val="1"/>
          <w:color w:val="auto"/>
        </w:rPr>
        <w:t xml:space="preserve"> </w:t>
      </w:r>
      <w:r>
        <w:rPr>
          <w:rFonts w:ascii="Arial" w:cs="Arial" w:eastAsia="Arial" w:hAnsi="Arial"/>
          <w:sz w:val="18"/>
          <w:szCs w:val="18"/>
          <w:color w:val="auto"/>
        </w:rPr>
        <w:t>each Letter of Credit, the applicable Borrower hereby agrees to reimburse or pay to each Issuing Bank, with respect to each Letter of Credit issued, extended or renewed by such Issuing Bank hereunder, as follows:</w:t>
      </w:r>
    </w:p>
    <w:p>
      <w:pPr>
        <w:spacing w:after="0" w:line="180" w:lineRule="exact"/>
        <w:rPr>
          <w:sz w:val="20"/>
          <w:szCs w:val="20"/>
          <w:color w:val="auto"/>
        </w:rPr>
      </w:pPr>
    </w:p>
    <w:p>
      <w:pPr>
        <w:ind w:left="700" w:right="40" w:firstLine="655"/>
        <w:spacing w:after="0" w:line="289" w:lineRule="auto"/>
        <w:tabs>
          <w:tab w:leader="none" w:pos="1993"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if any draft presented under any Letter of Credit is honored by such Issuing Bank or such Issuing Bank otherwise makes payment with respect thereto, the sum of (i) the amount paid by such Issuing Bank under or with respect to such Letter of Credit (and in the case of a payment in Canadian Dollars, the applicable Borrower shall reimburse such Issuing Bank in Canadian Dollars or the U.S. Dollar Equivalent thereof in Dollars, upon such Borrower’s election in a notice to the applicable Issuing Bank), and (ii) the amount of any taxes, fees, charges or other costs and expenses whatsoever incurred by such Issuing Bank in connection with any payment made by such Issuing Bank under, or with respect to,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applicable Borrower does not reimburse such Issuing Bank on the Drawdown Date, such amount shall, provided that no Event of Default under §§12.1(g) or 12.1(h) has occurred, become automatically a Base Rate Committed Loan advanced hereunder in an amount equal to such sum (and the Administrative Agent shall notify the Banks upon receipt of the notice thereof from the applicable Issuing Bank pursuant to §2.6.5, which notice shall be deemed to constitute a Committed Loan Request and satisfy the requirements of §2.6); and</w:t>
      </w:r>
    </w:p>
    <w:p>
      <w:pPr>
        <w:spacing w:after="0" w:line="166" w:lineRule="exact"/>
        <w:rPr>
          <w:rFonts w:ascii="Arial" w:cs="Arial" w:eastAsia="Arial" w:hAnsi="Arial"/>
          <w:sz w:val="16"/>
          <w:szCs w:val="16"/>
          <w:color w:val="auto"/>
        </w:rPr>
      </w:pPr>
    </w:p>
    <w:p>
      <w:pPr>
        <w:ind w:left="700" w:right="20" w:firstLine="655"/>
        <w:spacing w:after="0" w:line="257" w:lineRule="auto"/>
        <w:tabs>
          <w:tab w:leader="none" w:pos="20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the date that is five (5) Business Days prior to the Maturity Date (or, if such day is not a Business Day, the next preceding Business Day) or the acceleration of the Reimbursement Obligations with respect to all Letters of Credit in accordance with §12, an amount equal to the then Maximum Drawing Amount of all outstanding Letters of Credit shall be paid by the applicable Borrower to the Administrative Agent to be held as cash collateral for the applicable Reimbursement Obligations, and the applicable Borrower hereby grants to the Administrative Agent a security interest therein.</w:t>
      </w:r>
    </w:p>
    <w:p>
      <w:pPr>
        <w:spacing w:after="0" w:line="184" w:lineRule="exact"/>
        <w:rPr>
          <w:sz w:val="20"/>
          <w:szCs w:val="20"/>
          <w:color w:val="auto"/>
        </w:rPr>
      </w:pPr>
    </w:p>
    <w:p>
      <w:pPr>
        <w:ind w:right="40" w:firstLine="1945"/>
        <w:spacing w:after="0" w:line="292" w:lineRule="auto"/>
        <w:rPr>
          <w:sz w:val="20"/>
          <w:szCs w:val="20"/>
          <w:color w:val="auto"/>
        </w:rPr>
      </w:pPr>
      <w:r>
        <w:rPr>
          <w:rFonts w:ascii="Arial" w:cs="Arial" w:eastAsia="Arial" w:hAnsi="Arial"/>
          <w:sz w:val="16"/>
          <w:szCs w:val="16"/>
          <w:b w:val="1"/>
          <w:bCs w:val="1"/>
          <w:color w:val="auto"/>
        </w:rPr>
        <w:t>§2.6.3 Obligations Absolute</w:t>
      </w:r>
      <w:r>
        <w:rPr>
          <w:rFonts w:ascii="Arial" w:cs="Arial" w:eastAsia="Arial" w:hAnsi="Arial"/>
          <w:sz w:val="16"/>
          <w:szCs w:val="16"/>
          <w:color w:val="auto"/>
        </w:rPr>
        <w:t>. Each Borrower’s obligations under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§2.6</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absolute and unconditional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all circumstances and irrespective of the occurrence of any Default or Event of Default or any condition precedent whatsoever or any setoff, counterclaim or defense to payment which such Borrower may have or have had against any Issuing Bank, any Bank or any beneficiary of a Letter of Credit, and each Borrower expressly waives any such rights that it may have with respect thereto. Each Borrower further agrees with each Issuing Bank and the Banks that such Issuing Bank and the Banks (i) shall not be responsible for, and such Borrower’s Reimbursement Obligations under </w:t>
      </w:r>
      <w:r>
        <w:rPr>
          <w:rFonts w:ascii="Arial" w:cs="Arial" w:eastAsia="Arial" w:hAnsi="Arial"/>
          <w:sz w:val="16"/>
          <w:szCs w:val="16"/>
          <w:u w:val="single" w:color="auto"/>
          <w:color w:val="auto"/>
        </w:rPr>
        <w:t>§2.6.2</w:t>
      </w:r>
      <w:r>
        <w:rPr>
          <w:rFonts w:ascii="Arial" w:cs="Arial" w:eastAsia="Arial" w:hAnsi="Arial"/>
          <w:sz w:val="16"/>
          <w:szCs w:val="16"/>
          <w:color w:val="auto"/>
        </w:rPr>
        <w:t xml:space="preserve"> shall not be affected by, among other things, the validity or genuineness of documents or of any endorsements thereon, even if such documents should in fact prove to be in any or all respects invalid, fraudulent or forged (unless due to the gross negligence or willful misconduct of such Issuing Bank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32" w:gutter="0" w:footer="0" w:header="0"/>
        </w:sectPr>
      </w:pPr>
    </w:p>
    <w:bookmarkStart w:id="27" w:name="page28"/>
    <w:bookmarkEnd w:id="27"/>
    <w:p>
      <w:pPr>
        <w:ind w:right="40"/>
        <w:spacing w:after="0" w:line="271" w:lineRule="auto"/>
        <w:rPr>
          <w:sz w:val="20"/>
          <w:szCs w:val="20"/>
          <w:color w:val="auto"/>
        </w:rPr>
      </w:pPr>
      <w:r>
        <w:rPr>
          <w:rFonts w:ascii="Arial" w:cs="Arial" w:eastAsia="Arial" w:hAnsi="Arial"/>
          <w:sz w:val="17"/>
          <w:szCs w:val="17"/>
          <w:color w:val="auto"/>
        </w:rPr>
        <w:t>any other Bank), or any dispute between or among a Borrower and the beneficiary of any Letter of Credit or any financing institution or other party to which any Letter of Credit may be transferred or any claims or defenses whatsoever of a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gross negligence or willful misconduct as determined in a final and non-appealable judgment of a court of competent jurisdiction. Each Borrower agrees that any action taken or omitted by any Issuing Bank or any Bank in good faith under or in connection with any Letter of Credit and the related drafts and documents shall be binding upon such Borrower and shall not result in any liability on the part of such Issuing Bank or any Bank (or their respective affiliates) to such Borrower. Nothing herein shall constitute a waiver by a Borrower of any of its rights against any beneficiary of a Letter of Credit.</w:t>
      </w:r>
    </w:p>
    <w:p>
      <w:pPr>
        <w:spacing w:after="0" w:line="175" w:lineRule="exact"/>
        <w:rPr>
          <w:sz w:val="20"/>
          <w:szCs w:val="20"/>
          <w:color w:val="auto"/>
        </w:rPr>
      </w:pPr>
    </w:p>
    <w:p>
      <w:pPr>
        <w:ind w:right="140" w:firstLine="1945"/>
        <w:spacing w:after="0" w:line="258" w:lineRule="auto"/>
        <w:rPr>
          <w:sz w:val="20"/>
          <w:szCs w:val="20"/>
          <w:color w:val="auto"/>
        </w:rPr>
      </w:pPr>
      <w:r>
        <w:rPr>
          <w:rFonts w:ascii="Arial" w:cs="Arial" w:eastAsia="Arial" w:hAnsi="Arial"/>
          <w:sz w:val="18"/>
          <w:szCs w:val="18"/>
          <w:b w:val="1"/>
          <w:bCs w:val="1"/>
          <w:color w:val="auto"/>
        </w:rPr>
        <w:t>§2.6.4 Reliance by the Issuing Banks</w:t>
      </w:r>
      <w:r>
        <w:rPr>
          <w:rFonts w:ascii="Arial" w:cs="Arial" w:eastAsia="Arial" w:hAnsi="Arial"/>
          <w:sz w:val="18"/>
          <w:szCs w:val="18"/>
          <w:color w:val="auto"/>
        </w:rPr>
        <w:t>. To the extent not inconsistent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§2.6.3</w:t>
      </w:r>
      <w:r>
        <w:rPr>
          <w:rFonts w:ascii="Arial" w:cs="Arial" w:eastAsia="Arial" w:hAnsi="Arial"/>
          <w:sz w:val="18"/>
          <w:szCs w:val="18"/>
          <w:color w:val="auto"/>
        </w:rPr>
        <w:t>, each Issuing Bank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rely, and shall be fully 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184" w:lineRule="exact"/>
        <w:rPr>
          <w:sz w:val="20"/>
          <w:szCs w:val="20"/>
          <w:color w:val="auto"/>
        </w:rPr>
      </w:pPr>
    </w:p>
    <w:p>
      <w:pPr>
        <w:ind w:right="80" w:firstLine="1945"/>
        <w:spacing w:after="0" w:line="287" w:lineRule="auto"/>
        <w:rPr>
          <w:sz w:val="20"/>
          <w:szCs w:val="20"/>
          <w:color w:val="auto"/>
        </w:rPr>
      </w:pPr>
      <w:r>
        <w:rPr>
          <w:rFonts w:ascii="Arial" w:cs="Arial" w:eastAsia="Arial" w:hAnsi="Arial"/>
          <w:sz w:val="16"/>
          <w:szCs w:val="16"/>
          <w:b w:val="1"/>
          <w:bCs w:val="1"/>
          <w:color w:val="auto"/>
        </w:rPr>
        <w:t>§2.6.5 Notice Regarding Letters of Credit</w:t>
      </w:r>
      <w:r>
        <w:rPr>
          <w:rFonts w:ascii="Arial" w:cs="Arial" w:eastAsia="Arial" w:hAnsi="Arial"/>
          <w:sz w:val="16"/>
          <w:szCs w:val="16"/>
          <w:color w:val="auto"/>
        </w:rPr>
        <w:t>. One (1) Business Day prior to the issuance of any Letter of Credit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amendment, extension or termination thereof, the applicable Issuing Bank shall notify the Administrative Agent of the terms of such Letter of Credit, amendment, extension or termination. In the case of any such issuance, amendment or extension, the Administrative Agent will promptly notify such Issuing Bank whether such issuance, amendment or extension is permissible under the limitation set forth in the proviso to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On the day of any drawing under any Letter of Credit, such Issuing Bank shall notify the Administrative Agent of such drawing, specifying the amount thereof, and on the day of any payment under any Letter of Credit (or failure of a Borrower to reimburse such drawing in accordance with </w:t>
      </w:r>
      <w:r>
        <w:rPr>
          <w:rFonts w:ascii="Arial" w:cs="Arial" w:eastAsia="Arial" w:hAnsi="Arial"/>
          <w:sz w:val="16"/>
          <w:szCs w:val="16"/>
          <w:u w:val="single" w:color="auto"/>
          <w:color w:val="auto"/>
        </w:rPr>
        <w:t>§2.6.2</w:t>
      </w:r>
      <w:r>
        <w:rPr>
          <w:rFonts w:ascii="Arial" w:cs="Arial" w:eastAsia="Arial" w:hAnsi="Arial"/>
          <w:sz w:val="16"/>
          <w:szCs w:val="16"/>
          <w:color w:val="auto"/>
        </w:rPr>
        <w:t>), such Issuing Bank shall notify the Administrative Agent of such payment (or failure), specifying the amount thereof and, in the case of failure by a Borrower to pay under a Canadian Dollar Letter of Credit, the U.S. Dollar Equivalent thereof. Additionally, each Issuing Bank shall no later than the third Business Day following the last day of each month, provide to Administrative Agent a schedule of the Letters of Credit issued by it, in form and substance reasonably satisfactory to Administrative Agent, showing the date of issuance of each Letter of Credit, the account party, the original face amount (if any), the Maximum Drawing Amount, the expiration date, and the reference number of any Letter of Credit outstanding at any time during each month, and showing the aggregate amount (if any) payable by the applicable Borrower to such Issuing Bank during such month. Promptly after the receipt of such schedule from each Issuing Bank, the Administrative Agent shall provide to all Banks a summary aggregating the schedules received from each of the Issuing Banks.</w:t>
      </w:r>
    </w:p>
    <w:p>
      <w:pPr>
        <w:spacing w:after="0" w:line="165" w:lineRule="exact"/>
        <w:rPr>
          <w:sz w:val="20"/>
          <w:szCs w:val="20"/>
          <w:color w:val="auto"/>
        </w:rPr>
      </w:pPr>
    </w:p>
    <w:p>
      <w:pPr>
        <w:ind w:right="120" w:firstLine="1945"/>
        <w:spacing w:after="0" w:line="292" w:lineRule="auto"/>
        <w:rPr>
          <w:sz w:val="20"/>
          <w:szCs w:val="20"/>
          <w:color w:val="auto"/>
        </w:rPr>
      </w:pPr>
      <w:r>
        <w:rPr>
          <w:rFonts w:ascii="Arial" w:cs="Arial" w:eastAsia="Arial" w:hAnsi="Arial"/>
          <w:sz w:val="16"/>
          <w:szCs w:val="16"/>
          <w:b w:val="1"/>
          <w:bCs w:val="1"/>
          <w:color w:val="auto"/>
        </w:rPr>
        <w:t>§2.6.6 Letter of Credit Fee; Fronting Fee</w:t>
      </w:r>
      <w:r>
        <w:rPr>
          <w:rFonts w:ascii="Arial" w:cs="Arial" w:eastAsia="Arial" w:hAnsi="Arial"/>
          <w:sz w:val="16"/>
          <w:szCs w:val="16"/>
          <w:color w:val="auto"/>
        </w:rPr>
        <w:t>. The Borrowers shall pay a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equal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L/C Rate on the Maximum Drawing Amount to the Administrative Agent for the account of the Banks, to be shared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by the Banks in accordance with their respective Commitment Percentages;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Fees otherwise payable for the account of a Defaulting Bank with respect to any Letter of Credit as to which such Defaulting Bank has not provided cash collateral or other credit support satisfactory to the applicable Issuing Bank shall be payable, to the maximum extent permitted by applicable Law, to the other Banks in accordance with the upward adjustments in their respective Commitment Percentages allocable to such Letter of Credit pursuant to </w:t>
      </w:r>
      <w:r>
        <w:rPr>
          <w:rFonts w:ascii="Arial" w:cs="Arial" w:eastAsia="Arial" w:hAnsi="Arial"/>
          <w:sz w:val="16"/>
          <w:szCs w:val="16"/>
          <w:u w:val="single" w:color="auto"/>
          <w:color w:val="auto"/>
        </w:rPr>
        <w:t>§2.17</w:t>
      </w:r>
      <w:r>
        <w:rPr>
          <w:rFonts w:ascii="Arial" w:cs="Arial" w:eastAsia="Arial" w:hAnsi="Arial"/>
          <w:sz w:val="16"/>
          <w:szCs w:val="16"/>
          <w:color w:val="auto"/>
        </w:rPr>
        <w:t>, with the balance of such fee, if any, payable to the Issuing Bank for its own account. The Letter of Credit Fee shall be payable quarterly in arrears on the third day (or, if such day is not a Business Day,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next Business Day) of each calendar quarter for the quarter just ended, and on the Maturity Date. In addition, a fronting fee (the “</w:t>
      </w:r>
      <w:r>
        <w:rPr>
          <w:rFonts w:ascii="Arial" w:cs="Arial" w:eastAsia="Arial" w:hAnsi="Arial"/>
          <w:sz w:val="17"/>
          <w:szCs w:val="17"/>
          <w:u w:val="single" w:color="auto"/>
          <w:color w:val="auto"/>
        </w:rPr>
        <w:t>Fronting Fee</w:t>
      </w:r>
      <w:r>
        <w:rPr>
          <w:rFonts w:ascii="Arial" w:cs="Arial" w:eastAsia="Arial" w:hAnsi="Arial"/>
          <w:sz w:val="17"/>
          <w:szCs w:val="17"/>
          <w:color w:val="auto"/>
        </w:rPr>
        <w:t>”) with respect to each Letter of Credit shall be due and payable to each Issuing Bank at a rate of 0.15% per annum of the amount available to be drawn under such Letter of Credit. Such Fronting Fee shall be payable by the Borrowers to such Issuing Bank for its account, and the applicable Borrower shall pay directly to each applicable Issuing Bank for its own account the customary issuance, presentation, amendment and other processing fees, and other standard costs and charges, of such Issuing Bank relating to letters of credit as from time to time in effect.</w:t>
      </w:r>
    </w:p>
    <w:p>
      <w:pPr>
        <w:spacing w:after="0" w:line="169"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b w:val="1"/>
          <w:bCs w:val="1"/>
          <w:color w:val="auto"/>
        </w:rPr>
        <w:t>§2.7. Prepayments</w:t>
      </w:r>
      <w:r>
        <w:rPr>
          <w:rFonts w:ascii="Arial" w:cs="Arial" w:eastAsia="Arial" w:hAnsi="Arial"/>
          <w:sz w:val="16"/>
          <w:szCs w:val="16"/>
          <w:color w:val="auto"/>
        </w:rPr>
        <w:t>.</w:t>
      </w:r>
      <w:r>
        <w:rPr>
          <w:rFonts w:ascii="Arial" w:cs="Arial" w:eastAsia="Arial" w:hAnsi="Arial"/>
          <w:sz w:val="16"/>
          <w:szCs w:val="16"/>
          <w:b w:val="1"/>
          <w:bCs w:val="1"/>
          <w:color w:val="auto"/>
        </w:rPr>
        <w:t xml:space="preserve"> §2.7.1 </w:t>
      </w:r>
      <w:r>
        <w:rPr>
          <w:rFonts w:ascii="Arial" w:cs="Arial" w:eastAsia="Arial" w:hAnsi="Arial"/>
          <w:sz w:val="16"/>
          <w:szCs w:val="16"/>
          <w:color w:val="auto"/>
        </w:rPr>
        <w:t>Each Borrower may, upon notice from the Company to the Administrative Agent, at any time or from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to time voluntarily prepay Committed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in a form reasonably acceptable to the Administrative Agent and be received by the Administrative Agent not later than (x) 11:00 a.m. (A) three Business Days prior to any date of prepayment of Eurocurrency Rate Loans denominated in Dollars, (B) four Business Days prior to any date of prepayment of Eurocurrency Rate Loans denominated in Canadian Dollars, and (C) one Business Day prior to any date of prepayment of Canadian Prime Rate Loans and (y) 1:00 pm on the date of prepayment of Base Rate Loans; (ii) any prepayment of Eurocurrency Rate Loans denominated in Dollars shall be in a principal amount of $5,000,000 or a whole multiple of $1,000,000 in excess thereof; (iii) any prepayment of Eurocurrency Rate Loans denominated in Canadian Dollars shall be in a minimum principal amount of C$5,000,000 or a whole multiple of C$1,000,000 in excess thereof; (iv) any prepayment of Base Rate Loans shall be in a principal amount of $5,000,000 or a whole multiple of $500,000 in excess thereof; and (v) any prepayment of Canadian Prime Rate Loans shall be in a principal amount of C$500,000 or a whole multiple of C$100,000 in excess thereof or, in each case, if less, the entire principal amount thereof then outstanding. Each such notice shall specify the date and amount of such prepayment and the Type(s) of Committed Loans to be prepaid and, if Eurocurrency Rate Loans are to be prepaid, the Interest Period(s) of such Loans. The Administrative Agent will promptly notify each Bank of its receipt of each such notice, and of the amount of such Bank’s Commitment Percentage of such prepayment. If such notice is given by the Company, the applicable Borrower shall make such prepayment and the payment amount specified in such notice shall be due and payable on the date specified therein. Any prepayment of a Eurocurrency Rate Loan shall be accompanied by all accrued interest on the amount prepaid, together with any additional amounts required pursuant to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§2.17</w:t>
      </w:r>
      <w:r>
        <w:rPr>
          <w:rFonts w:ascii="Arial" w:cs="Arial" w:eastAsia="Arial" w:hAnsi="Arial"/>
          <w:sz w:val="16"/>
          <w:szCs w:val="16"/>
          <w:color w:val="auto"/>
        </w:rPr>
        <w:t>, each such prepayment shall be applied to the Committed Loans of the Banks in accordance with their respective Commitment Percentages.</w:t>
      </w:r>
    </w:p>
    <w:p>
      <w:pPr>
        <w:spacing w:after="0" w:line="165" w:lineRule="exact"/>
        <w:rPr>
          <w:sz w:val="20"/>
          <w:szCs w:val="20"/>
          <w:color w:val="auto"/>
        </w:rPr>
      </w:pPr>
    </w:p>
    <w:p>
      <w:pPr>
        <w:ind w:firstLine="1945"/>
        <w:spacing w:after="0" w:line="256" w:lineRule="auto"/>
        <w:rPr>
          <w:sz w:val="20"/>
          <w:szCs w:val="20"/>
          <w:color w:val="auto"/>
        </w:rPr>
      </w:pPr>
      <w:r>
        <w:rPr>
          <w:rFonts w:ascii="Arial" w:cs="Arial" w:eastAsia="Arial" w:hAnsi="Arial"/>
          <w:sz w:val="18"/>
          <w:szCs w:val="18"/>
          <w:b w:val="1"/>
          <w:bCs w:val="1"/>
          <w:color w:val="auto"/>
        </w:rPr>
        <w:t xml:space="preserve">§2.7.2 </w:t>
      </w:r>
      <w:r>
        <w:rPr>
          <w:rFonts w:ascii="Arial" w:cs="Arial" w:eastAsia="Arial" w:hAnsi="Arial"/>
          <w:sz w:val="18"/>
          <w:szCs w:val="18"/>
          <w:color w:val="auto"/>
        </w:rPr>
        <w:t>The Company may, upon notice to the Swing Line Bank (with a copy to the Administrative Agent), at any time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time to time, 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received by the Swing Line Bank and the Administrative Agent not later than 1:00 p.m. on the date of the prepayment, and (ii) any such prepayment shall be in a minimum principal amount of $100,000 (or, if less, the entire principal amount thereof then outstanding). Each such notice shall specify the date and amount of such prepayment. If such notice is given by the Company, the Company shall make such prepayment and the payment amount specified in such notice shall be due and payable on the date specified therein.</w:t>
      </w:r>
    </w:p>
    <w:p>
      <w:pPr>
        <w:spacing w:after="0" w:line="188" w:lineRule="exact"/>
        <w:rPr>
          <w:sz w:val="20"/>
          <w:szCs w:val="20"/>
          <w:color w:val="auto"/>
        </w:rPr>
      </w:pPr>
    </w:p>
    <w:p>
      <w:pPr>
        <w:ind w:right="20" w:firstLine="1945"/>
        <w:spacing w:after="0" w:line="303" w:lineRule="auto"/>
        <w:rPr>
          <w:sz w:val="20"/>
          <w:szCs w:val="20"/>
          <w:color w:val="auto"/>
        </w:rPr>
      </w:pPr>
      <w:r>
        <w:rPr>
          <w:rFonts w:ascii="Arial" w:cs="Arial" w:eastAsia="Arial" w:hAnsi="Arial"/>
          <w:sz w:val="16"/>
          <w:szCs w:val="16"/>
          <w:b w:val="1"/>
          <w:bCs w:val="1"/>
          <w:color w:val="auto"/>
        </w:rPr>
        <w:t xml:space="preserve">§2.7.3 </w:t>
      </w:r>
      <w:r>
        <w:rPr>
          <w:rFonts w:ascii="Arial" w:cs="Arial" w:eastAsia="Arial" w:hAnsi="Arial"/>
          <w:sz w:val="16"/>
          <w:szCs w:val="16"/>
          <w:color w:val="auto"/>
        </w:rPr>
        <w:t>If the Administrative Agent notifies the Company at any time that the Total Outstandings at such time exceed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amount equal to 100% of the Total Commitments then in effect, then, within two Business Days after receipt of such notice, the Borrowers shall prepay Loans and/or Cash Collateralize the L/C Obligations in an aggregate amount at least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subject to the provisions of </w:t>
      </w:r>
      <w:r>
        <w:rPr>
          <w:rFonts w:ascii="Arial" w:cs="Arial" w:eastAsia="Arial" w:hAnsi="Arial"/>
          <w:sz w:val="16"/>
          <w:szCs w:val="16"/>
          <w:u w:val="single" w:color="auto"/>
          <w:color w:val="auto"/>
        </w:rPr>
        <w:t>§2.16.1</w:t>
      </w:r>
      <w:r>
        <w:rPr>
          <w:rFonts w:ascii="Arial" w:cs="Arial" w:eastAsia="Arial" w:hAnsi="Arial"/>
          <w:sz w:val="16"/>
          <w:szCs w:val="16"/>
          <w:color w:val="auto"/>
        </w:rPr>
        <w:t xml:space="preserve">, the Company shall not be required to Cash Collateralize the L/C Obligations pursuant to this </w:t>
      </w:r>
      <w:r>
        <w:rPr>
          <w:rFonts w:ascii="Arial" w:cs="Arial" w:eastAsia="Arial" w:hAnsi="Arial"/>
          <w:sz w:val="16"/>
          <w:szCs w:val="16"/>
          <w:u w:val="single" w:color="auto"/>
          <w:color w:val="auto"/>
        </w:rPr>
        <w:t>§2.7.3</w:t>
      </w:r>
      <w:r>
        <w:rPr>
          <w:rFonts w:ascii="Arial" w:cs="Arial" w:eastAsia="Arial" w:hAnsi="Arial"/>
          <w:sz w:val="16"/>
          <w:szCs w:val="16"/>
          <w:color w:val="auto"/>
        </w:rPr>
        <w:t xml:space="preserve"> unless after the prepayment in full of the Loans</w:t>
      </w:r>
    </w:p>
    <w:p>
      <w:pPr>
        <w:sectPr>
          <w:pgSz w:w="11900" w:h="16838" w:orient="portrait"/>
          <w:cols w:equalWidth="0" w:num="1">
            <w:col w:w="11420"/>
          </w:cols>
          <w:pgMar w:left="240" w:top="125" w:right="239" w:bottom="0" w:gutter="0" w:footer="0" w:header="0"/>
        </w:sectPr>
      </w:pPr>
    </w:p>
    <w:bookmarkStart w:id="28" w:name="page29"/>
    <w:bookmarkEnd w:id="28"/>
    <w:p>
      <w:pPr>
        <w:spacing w:after="0" w:line="141"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the Total Outstandings exceed the Total Commitments then in effect. The Administrative Agent may, at any time and from time to time after the initial deposit of such Cash Collateral, request that additional Cash Collateral be provided in order to protect against the results of exchange rate fluctuations.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b w:val="1"/>
          <w:bCs w:val="1"/>
          <w:color w:val="auto"/>
        </w:rPr>
        <w:t>§2.8. Repayment of Loans</w:t>
      </w:r>
      <w:r>
        <w:rPr>
          <w:rFonts w:ascii="Arial" w:cs="Arial" w:eastAsia="Arial" w:hAnsi="Arial"/>
          <w:sz w:val="18"/>
          <w:szCs w:val="18"/>
          <w:color w:val="auto"/>
        </w:rPr>
        <w:t>. §2.8.1 Each Borrower shall repay to the Banks on the Maturity Date the aggregate principal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Committed Loans made to such Borrower outstanding on such date.</w:t>
      </w:r>
    </w:p>
    <w:p>
      <w:pPr>
        <w:spacing w:after="0" w:line="162" w:lineRule="exact"/>
        <w:rPr>
          <w:sz w:val="20"/>
          <w:szCs w:val="20"/>
          <w:color w:val="auto"/>
        </w:rPr>
      </w:pPr>
    </w:p>
    <w:p>
      <w:pPr>
        <w:ind w:right="200" w:firstLine="1945"/>
        <w:spacing w:after="0" w:line="282"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The Company shall repay each Swing Line Loan on the earlier to occur of (i) the date ten Business Days after such</w:t>
      </w:r>
      <w:r>
        <w:rPr>
          <w:rFonts w:ascii="Arial" w:cs="Arial" w:eastAsia="Arial" w:hAnsi="Arial"/>
          <w:sz w:val="18"/>
          <w:szCs w:val="18"/>
          <w:b w:val="1"/>
          <w:bCs w:val="1"/>
          <w:color w:val="auto"/>
        </w:rPr>
        <w:t xml:space="preserve"> </w:t>
      </w:r>
      <w:r>
        <w:rPr>
          <w:rFonts w:ascii="Arial" w:cs="Arial" w:eastAsia="Arial" w:hAnsi="Arial"/>
          <w:sz w:val="18"/>
          <w:szCs w:val="18"/>
          <w:color w:val="auto"/>
        </w:rPr>
        <w:t>Loan is made and (ii) the Maturity Date.</w:t>
      </w:r>
    </w:p>
    <w:p>
      <w:pPr>
        <w:spacing w:after="0" w:line="162" w:lineRule="exact"/>
        <w:rPr>
          <w:sz w:val="20"/>
          <w:szCs w:val="20"/>
          <w:color w:val="auto"/>
        </w:rPr>
      </w:pPr>
    </w:p>
    <w:p>
      <w:pPr>
        <w:ind w:right="120" w:firstLine="1297"/>
        <w:spacing w:after="0" w:line="273" w:lineRule="auto"/>
        <w:rPr>
          <w:sz w:val="20"/>
          <w:szCs w:val="20"/>
          <w:color w:val="auto"/>
        </w:rPr>
      </w:pPr>
      <w:r>
        <w:rPr>
          <w:rFonts w:ascii="Arial" w:cs="Arial" w:eastAsia="Arial" w:hAnsi="Arial"/>
          <w:sz w:val="17"/>
          <w:szCs w:val="17"/>
          <w:b w:val="1"/>
          <w:bCs w:val="1"/>
          <w:color w:val="auto"/>
        </w:rPr>
        <w:t>§2.9. Interest</w:t>
      </w:r>
      <w:r>
        <w:rPr>
          <w:rFonts w:ascii="Arial" w:cs="Arial" w:eastAsia="Arial" w:hAnsi="Arial"/>
          <w:sz w:val="17"/>
          <w:szCs w:val="17"/>
          <w:color w:val="auto"/>
        </w:rPr>
        <w:t>. §2.9.1 Subject to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subsection (b)</w:t>
      </w:r>
      <w:r>
        <w:rPr>
          <w:rFonts w:ascii="Arial" w:cs="Arial" w:eastAsia="Arial" w:hAnsi="Arial"/>
          <w:sz w:val="17"/>
          <w:szCs w:val="17"/>
          <w:b w:val="1"/>
          <w:bCs w:val="1"/>
          <w:color w:val="auto"/>
        </w:rPr>
        <w:t xml:space="preserve"> </w:t>
      </w:r>
      <w:r>
        <w:rPr>
          <w:rFonts w:ascii="Arial" w:cs="Arial" w:eastAsia="Arial" w:hAnsi="Arial"/>
          <w:sz w:val="17"/>
          <w:szCs w:val="17"/>
          <w:color w:val="auto"/>
        </w:rPr>
        <w:t>below, (i) each Eurocurrency Rate Loan shall bear interest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outstanding principal amount thereof for each Interest Period at a rate per annum equal to the Eurocurrency Rate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for Eurocurrency Rate Loans; (ii) each Base Rate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for Base Rate Loans; (iii) each Canadian Prime Rate Loan shall bear interest on the outstanding principal amount thereof from the applicable borrowing date at a rate per annum equal to the Canadian Prime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for Canadian Prime Rate Loans, and (iv) each Swing Line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w:t>
      </w:r>
    </w:p>
    <w:p>
      <w:pPr>
        <w:spacing w:after="0" w:line="172" w:lineRule="exact"/>
        <w:rPr>
          <w:sz w:val="20"/>
          <w:szCs w:val="20"/>
          <w:color w:val="auto"/>
        </w:rPr>
      </w:pPr>
    </w:p>
    <w:p>
      <w:pPr>
        <w:ind w:right="80" w:firstLine="1945"/>
        <w:spacing w:after="0" w:line="261" w:lineRule="auto"/>
        <w:rPr>
          <w:sz w:val="20"/>
          <w:szCs w:val="20"/>
          <w:color w:val="auto"/>
        </w:rPr>
      </w:pPr>
      <w:r>
        <w:rPr>
          <w:rFonts w:ascii="Arial" w:cs="Arial" w:eastAsia="Arial" w:hAnsi="Arial"/>
          <w:sz w:val="18"/>
          <w:szCs w:val="18"/>
          <w:b w:val="1"/>
          <w:bCs w:val="1"/>
          <w:color w:val="auto"/>
        </w:rPr>
        <w:t xml:space="preserve">§2.9.2 </w:t>
      </w:r>
      <w:r>
        <w:rPr>
          <w:rFonts w:ascii="Arial" w:cs="Arial" w:eastAsia="Arial" w:hAnsi="Arial"/>
          <w:sz w:val="18"/>
          <w:szCs w:val="18"/>
          <w:color w:val="auto"/>
        </w:rPr>
        <w:t>(a) If any amount of principal and interest of any Loan is not paid when due (without regard to any applicable grace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or any other amounts due hereunder or under any of the other Loan Documents are not paid when due, whether at stated maturity, by acceleration or otherwise, such amount shall thereafter bear interest at a fluctuating interest rate per annum at all times equal to the Default Rate to the fullest extent permitted by applicable laws.</w:t>
      </w:r>
    </w:p>
    <w:p>
      <w:pPr>
        <w:spacing w:after="0" w:line="184" w:lineRule="exact"/>
        <w:rPr>
          <w:sz w:val="20"/>
          <w:szCs w:val="20"/>
          <w:color w:val="auto"/>
        </w:rPr>
      </w:pPr>
    </w:p>
    <w:p>
      <w:pPr>
        <w:ind w:left="700" w:right="260" w:firstLine="655"/>
        <w:spacing w:after="0" w:line="259" w:lineRule="auto"/>
        <w:tabs>
          <w:tab w:leader="none" w:pos="20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any Borrower under any Loan Document is not paid when due (without regard to any applicable grace periods), whether at stated maturity, by acceleration or otherwise, then upon the request of the Majority Banks, such amount shall thereafter bear interest at a fluctuating interest rate per annum at all times equal to the Default Rate to the fullest extent permitted by applicable laws.</w:t>
      </w:r>
    </w:p>
    <w:p>
      <w:pPr>
        <w:spacing w:after="0" w:line="186" w:lineRule="exact"/>
        <w:rPr>
          <w:rFonts w:ascii="Arial" w:cs="Arial" w:eastAsia="Arial" w:hAnsi="Arial"/>
          <w:sz w:val="18"/>
          <w:szCs w:val="18"/>
          <w:color w:val="auto"/>
        </w:rPr>
      </w:pPr>
    </w:p>
    <w:p>
      <w:pPr>
        <w:ind w:left="2020" w:hanging="665"/>
        <w:spacing w:after="0"/>
        <w:tabs>
          <w:tab w:leader="none" w:pos="2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244" w:lineRule="exact"/>
        <w:rPr>
          <w:sz w:val="20"/>
          <w:szCs w:val="20"/>
          <w:color w:val="auto"/>
        </w:rPr>
      </w:pPr>
    </w:p>
    <w:p>
      <w:pPr>
        <w:ind w:right="120" w:firstLine="1945"/>
        <w:spacing w:after="0" w:line="266" w:lineRule="auto"/>
        <w:rPr>
          <w:sz w:val="20"/>
          <w:szCs w:val="20"/>
          <w:color w:val="auto"/>
        </w:rPr>
      </w:pPr>
      <w:r>
        <w:rPr>
          <w:rFonts w:ascii="Arial" w:cs="Arial" w:eastAsia="Arial" w:hAnsi="Arial"/>
          <w:sz w:val="18"/>
          <w:szCs w:val="18"/>
          <w:b w:val="1"/>
          <w:bCs w:val="1"/>
          <w:color w:val="auto"/>
        </w:rPr>
        <w:t xml:space="preserve">§2.9.3 </w:t>
      </w:r>
      <w:r>
        <w:rPr>
          <w:rFonts w:ascii="Arial" w:cs="Arial" w:eastAsia="Arial" w:hAnsi="Arial"/>
          <w:sz w:val="18"/>
          <w:szCs w:val="18"/>
          <w:color w:val="auto"/>
        </w:rPr>
        <w:t>Interest on each Loan shall be due and payable in arrears on each Interest Payment Date applicable thereto and at</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times as may be specified herein. Interest hereunder shall be due and payable in accordance with the terms hereof before and after judgment, and before and after the commencement of any proceeding under any Debtor Relief Law.</w:t>
      </w:r>
    </w:p>
    <w:p>
      <w:pPr>
        <w:spacing w:after="0" w:line="176" w:lineRule="exact"/>
        <w:rPr>
          <w:sz w:val="20"/>
          <w:szCs w:val="20"/>
          <w:color w:val="auto"/>
        </w:rPr>
      </w:pPr>
    </w:p>
    <w:p>
      <w:pPr>
        <w:jc w:val="both"/>
        <w:ind w:right="40" w:firstLine="1945"/>
        <w:spacing w:after="0" w:line="287" w:lineRule="auto"/>
        <w:rPr>
          <w:sz w:val="20"/>
          <w:szCs w:val="20"/>
          <w:color w:val="auto"/>
        </w:rPr>
      </w:pPr>
      <w:r>
        <w:rPr>
          <w:rFonts w:ascii="Arial" w:cs="Arial" w:eastAsia="Arial" w:hAnsi="Arial"/>
          <w:sz w:val="16"/>
          <w:szCs w:val="16"/>
          <w:b w:val="1"/>
          <w:bCs w:val="1"/>
          <w:color w:val="auto"/>
        </w:rPr>
        <w:t xml:space="preserve">§2.9.4 </w:t>
      </w:r>
      <w:r>
        <w:rPr>
          <w:rFonts w:ascii="Arial" w:cs="Arial" w:eastAsia="Arial" w:hAnsi="Arial"/>
          <w:sz w:val="16"/>
          <w:szCs w:val="16"/>
          <w:color w:val="auto"/>
        </w:rPr>
        <w:t>For the purposes of the Interest Act (Canada), (i) whenever a rate of interest or fee rate hereunder is calculated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w:t>
      </w:r>
    </w:p>
    <w:p>
      <w:pPr>
        <w:spacing w:after="0" w:line="3" w:lineRule="exact"/>
        <w:rPr>
          <w:sz w:val="20"/>
          <w:szCs w:val="20"/>
          <w:color w:val="auto"/>
        </w:rPr>
      </w:pPr>
    </w:p>
    <w:p>
      <w:pPr>
        <w:ind w:firstLine="8"/>
        <w:spacing w:after="0" w:line="254" w:lineRule="auto"/>
        <w:tabs>
          <w:tab w:leader="none" w:pos="3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rates of interest stipulated herein are intended to be nominal rates and not effective rates or yields. Each Loan Party hereby irrevocably agrees not to plead or assert, whether by way of defense or otherwise, in any proceeding relating to this Agreement and the other Loan Documents, that the interest payable under this Agreement and the calculation thereof has not been adequately disclosed to it, whether pursuant to section 4 of the Interest Act (Canada) or any other applicable law or legal principle.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b w:val="1"/>
          <w:bCs w:val="1"/>
          <w:color w:val="auto"/>
        </w:rPr>
        <w:t xml:space="preserve">§2.10. Computation of Interest and Fees. </w:t>
      </w:r>
      <w:r>
        <w:rPr>
          <w:rFonts w:ascii="Arial" w:cs="Arial" w:eastAsia="Arial" w:hAnsi="Arial"/>
          <w:sz w:val="17"/>
          <w:szCs w:val="17"/>
          <w:color w:val="auto"/>
        </w:rPr>
        <w:t>All computations of interest for Base Rate Loans (including Base Rate Loans determined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reference to the Eurocurrency Rate) and Loans denominated in Canadian Dollars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u w:val="single" w:color="auto"/>
          <w:color w:val="auto"/>
        </w:rPr>
        <w:t>§2.12.1</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172" w:lineRule="exact"/>
        <w:rPr>
          <w:sz w:val="20"/>
          <w:szCs w:val="20"/>
          <w:color w:val="auto"/>
        </w:rPr>
      </w:pPr>
    </w:p>
    <w:p>
      <w:pPr>
        <w:ind w:right="40" w:firstLine="1297"/>
        <w:spacing w:after="0" w:line="254" w:lineRule="auto"/>
        <w:rPr>
          <w:sz w:val="20"/>
          <w:szCs w:val="20"/>
          <w:color w:val="auto"/>
        </w:rPr>
      </w:pPr>
      <w:r>
        <w:rPr>
          <w:rFonts w:ascii="Arial" w:cs="Arial" w:eastAsia="Arial" w:hAnsi="Arial"/>
          <w:sz w:val="18"/>
          <w:szCs w:val="18"/>
          <w:b w:val="1"/>
          <w:bCs w:val="1"/>
          <w:color w:val="auto"/>
        </w:rPr>
        <w:t>§2.11. Evidence of Debt</w:t>
      </w:r>
      <w:r>
        <w:rPr>
          <w:rFonts w:ascii="Arial" w:cs="Arial" w:eastAsia="Arial" w:hAnsi="Arial"/>
          <w:sz w:val="18"/>
          <w:szCs w:val="18"/>
          <w:color w:val="auto"/>
        </w:rPr>
        <w:t>.</w:t>
      </w:r>
      <w:r>
        <w:rPr>
          <w:rFonts w:ascii="Arial" w:cs="Arial" w:eastAsia="Arial" w:hAnsi="Arial"/>
          <w:sz w:val="18"/>
          <w:szCs w:val="18"/>
          <w:b w:val="1"/>
          <w:bCs w:val="1"/>
          <w:color w:val="auto"/>
        </w:rPr>
        <w:t xml:space="preserve"> §2.11.1 </w:t>
      </w:r>
      <w:r>
        <w:rPr>
          <w:rFonts w:ascii="Arial" w:cs="Arial" w:eastAsia="Arial" w:hAnsi="Arial"/>
          <w:sz w:val="18"/>
          <w:szCs w:val="18"/>
          <w:color w:val="auto"/>
        </w:rPr>
        <w:t>The Credit Extensions made by each Bank shall be evidenced by one or more accounts or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maintained by such Bank and by the Administrative Agent in the ordinary course of business. The accounts or records maintained by the Administrative Agent and each Bank shall be conclusive absent manifest error of the amount of the Credit Extensions made by the Banks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Bank and the accounts and records of the Administrative Agent in respect of such matters, the accounts and records of the Administrative Agent shall control in the absence of manifest error. Upon the request of any Bank to a Borrower made through the Administrative Agent, such Borrower shall execute and deliver to such Bank (through the Administrative Agent) a Note, which shall evidence such Bank’s Loans to such Borrower in addition to such accounts or records. Each Bank may attach schedules to a Note and endorse thereon the date, Type (if applicable), amount, currency and maturity of its Loans and payments with respect thereto.</w:t>
      </w:r>
    </w:p>
    <w:p>
      <w:pPr>
        <w:spacing w:after="0" w:line="186" w:lineRule="exact"/>
        <w:rPr>
          <w:sz w:val="20"/>
          <w:szCs w:val="20"/>
          <w:color w:val="auto"/>
        </w:rPr>
      </w:pPr>
    </w:p>
    <w:p>
      <w:pPr>
        <w:ind w:right="140" w:firstLine="1945"/>
        <w:spacing w:after="0" w:line="303" w:lineRule="auto"/>
        <w:rPr>
          <w:sz w:val="20"/>
          <w:szCs w:val="20"/>
          <w:color w:val="auto"/>
        </w:rPr>
      </w:pPr>
      <w:r>
        <w:rPr>
          <w:rFonts w:ascii="Arial" w:cs="Arial" w:eastAsia="Arial" w:hAnsi="Arial"/>
          <w:sz w:val="16"/>
          <w:szCs w:val="16"/>
          <w:b w:val="1"/>
          <w:bCs w:val="1"/>
          <w:color w:val="auto"/>
        </w:rPr>
        <w:t xml:space="preserve">§2.11.2 </w:t>
      </w:r>
      <w:r>
        <w:rPr>
          <w:rFonts w:ascii="Arial" w:cs="Arial" w:eastAsia="Arial" w:hAnsi="Arial"/>
          <w:sz w:val="16"/>
          <w:szCs w:val="16"/>
          <w:color w:val="auto"/>
        </w:rPr>
        <w:t>In addition to the accounts and records referred to in §</w:t>
      </w:r>
      <w:r>
        <w:rPr>
          <w:rFonts w:ascii="Arial" w:cs="Arial" w:eastAsia="Arial" w:hAnsi="Arial"/>
          <w:sz w:val="16"/>
          <w:szCs w:val="16"/>
          <w:u w:val="single" w:color="auto"/>
          <w:color w:val="auto"/>
        </w:rPr>
        <w:t>2.11.1</w:t>
      </w:r>
      <w:r>
        <w:rPr>
          <w:rFonts w:ascii="Arial" w:cs="Arial" w:eastAsia="Arial" w:hAnsi="Arial"/>
          <w:sz w:val="16"/>
          <w:szCs w:val="16"/>
          <w:b w:val="1"/>
          <w:bCs w:val="1"/>
          <w:color w:val="auto"/>
        </w:rPr>
        <w:t xml:space="preserve"> </w:t>
      </w:r>
      <w:r>
        <w:rPr>
          <w:rFonts w:ascii="Arial" w:cs="Arial" w:eastAsia="Arial" w:hAnsi="Arial"/>
          <w:sz w:val="16"/>
          <w:szCs w:val="16"/>
          <w:color w:val="auto"/>
        </w:rPr>
        <w:t>above, each Bank and the Administrative Agent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in accordance with its usual practice accounts or records evidencing the purchases and sales by such Bank of participations in Letters of Credit and Swing Line Loans. In the event of any conflict between the accounts and records maintained by the Administrative Agent and the accounts and records of any Bank in respect of such matters, the accounts and records of the Administrative Agent shall control in the absence of manifest error.</w:t>
      </w:r>
    </w:p>
    <w:p>
      <w:pPr>
        <w:spacing w:after="0" w:line="151" w:lineRule="exact"/>
        <w:rPr>
          <w:sz w:val="20"/>
          <w:szCs w:val="20"/>
          <w:color w:val="auto"/>
        </w:rPr>
      </w:pPr>
    </w:p>
    <w:p>
      <w:pPr>
        <w:ind w:right="60" w:firstLine="1297"/>
        <w:spacing w:after="0" w:line="347" w:lineRule="auto"/>
        <w:rPr>
          <w:sz w:val="20"/>
          <w:szCs w:val="20"/>
          <w:color w:val="auto"/>
        </w:rPr>
      </w:pPr>
      <w:r>
        <w:rPr>
          <w:rFonts w:ascii="Arial" w:cs="Arial" w:eastAsia="Arial" w:hAnsi="Arial"/>
          <w:sz w:val="16"/>
          <w:szCs w:val="16"/>
          <w:b w:val="1"/>
          <w:bCs w:val="1"/>
          <w:color w:val="auto"/>
        </w:rPr>
        <w:t>§2.12. Payments Generally; Administrative Agent’s Clawback</w:t>
      </w:r>
      <w:r>
        <w:rPr>
          <w:rFonts w:ascii="Arial" w:cs="Arial" w:eastAsia="Arial" w:hAnsi="Arial"/>
          <w:sz w:val="16"/>
          <w:szCs w:val="16"/>
          <w:color w:val="auto"/>
        </w:rPr>
        <w:t>. §2.12.1</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Borrowers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made free and clear of and without condition or deduction for any counterclaim, defense, recoupment or setoff. Except as otherwise expressly provided</w:t>
      </w:r>
    </w:p>
    <w:p>
      <w:pPr>
        <w:sectPr>
          <w:pgSz w:w="11900" w:h="16979" w:orient="portrait"/>
          <w:cols w:equalWidth="0" w:num="1">
            <w:col w:w="11400"/>
          </w:cols>
          <w:pgMar w:left="240" w:top="125" w:right="259" w:bottom="0" w:gutter="0" w:footer="0" w:header="0"/>
        </w:sectPr>
      </w:pPr>
    </w:p>
    <w:bookmarkStart w:id="29" w:name="page30"/>
    <w:bookmarkEnd w:id="29"/>
    <w:p>
      <w:pPr>
        <w:ind w:right="20"/>
        <w:spacing w:after="0" w:line="269" w:lineRule="auto"/>
        <w:rPr>
          <w:sz w:val="20"/>
          <w:szCs w:val="20"/>
          <w:color w:val="auto"/>
        </w:rPr>
      </w:pPr>
      <w:r>
        <w:rPr>
          <w:rFonts w:ascii="Arial" w:cs="Arial" w:eastAsia="Arial" w:hAnsi="Arial"/>
          <w:sz w:val="17"/>
          <w:szCs w:val="17"/>
          <w:color w:val="auto"/>
        </w:rPr>
        <w:t>herein and except with respect to principal of and interest on Loans denominated in Canadian Dollars, all payments by the Borrowers hereunder shall be made to the Administrative Agent, for the account of the respective Banks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Canadian Dollars shall be made to the Administrative Agent, for the account of the respective Banks to which such payment is owed, at the applicable Administrative Agent’s Office in Canadian Dollars and in Same Day Funds not later than the Applicable Time specified by the Administrative Agent on the dates specified herein. If, for any reason, any Borrower is prohibited by any applicable law from making any required payment hereunder in Canadian Dollars, such Borrower shall make such payment in Dollars in the U.S. Dollar Equivalent of the Canadian Dollar payment amount. The Administrative Agent will promptly distribute to each Bank its Commitment Percentage (or other applicable share as provided herein) of such payment in like funds as received by wire transfer to such Bank’s Lending Office. All payments received by the Administrative Agent (i) after 2:00 p.m., in the case of payments in Dollars, or (ii) after the Applicable Time specified by the Administrative Agent in the case of payments 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Canadian Dollars,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77" w:lineRule="exact"/>
        <w:rPr>
          <w:sz w:val="20"/>
          <w:szCs w:val="20"/>
          <w:color w:val="auto"/>
        </w:rPr>
      </w:pPr>
    </w:p>
    <w:p>
      <w:pPr>
        <w:ind w:right="20" w:firstLine="1945"/>
        <w:spacing w:after="0" w:line="268" w:lineRule="auto"/>
        <w:rPr>
          <w:sz w:val="20"/>
          <w:szCs w:val="20"/>
          <w:color w:val="auto"/>
        </w:rPr>
      </w:pPr>
      <w:r>
        <w:rPr>
          <w:rFonts w:ascii="Arial" w:cs="Arial" w:eastAsia="Arial" w:hAnsi="Arial"/>
          <w:sz w:val="17"/>
          <w:szCs w:val="17"/>
          <w:b w:val="1"/>
          <w:bCs w:val="1"/>
          <w:color w:val="auto"/>
        </w:rPr>
        <w:t xml:space="preserve">§2.12.2 </w:t>
      </w:r>
      <w:r>
        <w:rPr>
          <w:rFonts w:ascii="Arial" w:cs="Arial" w:eastAsia="Arial" w:hAnsi="Arial"/>
          <w:sz w:val="17"/>
          <w:szCs w:val="17"/>
          <w:color w:val="auto"/>
        </w:rPr>
        <w:t>(a)</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Funding by Banks; Presumption by Administrative Agent</w:t>
      </w:r>
      <w:r>
        <w:rPr>
          <w:rFonts w:ascii="Arial" w:cs="Arial" w:eastAsia="Arial" w:hAnsi="Arial"/>
          <w:sz w:val="17"/>
          <w:szCs w:val="17"/>
          <w:color w:val="auto"/>
        </w:rPr>
        <w:t>. Unless the Administrative Agent shall have received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notice from a Bank prior to the proposed date of any Borrowing of Eurocurrency Rate Loans (or, in the case of any Borrowing of Base Rate Loans or Canadian Prime Rate Loans, prior to 2:00 p.m. on the date of such Borrowing) that such Bank will not make available to the Administrative Agent such Bank’s share of such Borrowing, the Administrative Agent may assume that such Bank has made such share available on such date in accordance with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(or, in the case of a Borrowing of Base Rate Loans or Canadian Prime Rate Loans, that such Bank has made such share available in accordance with and at the time required by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and may, in reliance upon such assumption, make available to the applicable Borrower a corresponding amount. In such event, if a Bank has not in fact made its share of the applicable Borrowing available to the Administrative Agent, then the applicable Bank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Bank, the Overnight Rate, plus any administrative, processing or similar fees customarily charged by the Administrative Agent in connection with the foregoing, and (B) in the case of a payment to be made by such Borrower, the interest rate applicable to Base Rate Loans or Canadian Prime Rate Loans, as applicable. If such Borrower and such Bank shall pay such interest to the Administrative Agent for the same or an overlapping period, the Administrative Agent shall promptly remit to such Borrower the amount of such interest paid by such Borrower for such period. If such Bank pays its share of the applicable Borrowing to the Administrative Agent, then the amount so paid shall constitute such Bank’s Committed Loan included in such Borrowing. Any payment by such Borrower shall be without prejudice to any claim such Borrower may have against a Bank that shall have failed to make such payment to the Administrative Agent.</w:t>
      </w:r>
    </w:p>
    <w:p>
      <w:pPr>
        <w:spacing w:after="0" w:line="185" w:lineRule="exact"/>
        <w:rPr>
          <w:sz w:val="20"/>
          <w:szCs w:val="20"/>
          <w:color w:val="auto"/>
        </w:rPr>
      </w:pPr>
    </w:p>
    <w:p>
      <w:pPr>
        <w:ind w:right="60" w:firstLine="656"/>
        <w:spacing w:after="0" w:line="291" w:lineRule="auto"/>
        <w:tabs>
          <w:tab w:leader="none" w:pos="1304"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Payments by Borrowers; Presumptions by Administrative Agent</w:t>
      </w:r>
      <w:r>
        <w:rPr>
          <w:rFonts w:ascii="Arial" w:cs="Arial" w:eastAsia="Arial" w:hAnsi="Arial"/>
          <w:sz w:val="16"/>
          <w:szCs w:val="16"/>
          <w:color w:val="auto"/>
        </w:rPr>
        <w:t>. Unless the Administrative Agent shall have received notice from a Borrower prior to the date on which any payment is due to the Administrative Agent for the account of the Banks or an Issuing Bank hereunder that such Borrower will not make such payment, the Administrative Agent may assume that such Borrower has made such payment on such date in accordance herewith and may, in reliance upon such assumption, distribute to the Banks or the Issuing Bank, as the case may be, the amount due. In such event, if such Borrower has not in fact made such payment, then each of the Banks or the Issuing Banks, as the case may be, severally agrees to repay to the Administrative Agent forthwith on demand the amount so distributed to such Bank or such Issuing Bank, in Same Day Funds with interest thereon, for each day from and including the date such amount is distributed to it to but excluding the date of payment to the Administrative Agent, at the Overnight Rate.</w:t>
      </w:r>
    </w:p>
    <w:p>
      <w:pPr>
        <w:spacing w:after="0" w:line="16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A notice of the Administrative Agent to any Bank or Borrower with respect to any amount owing under this </w:t>
      </w:r>
      <w:r>
        <w:rPr>
          <w:rFonts w:ascii="Arial" w:cs="Arial" w:eastAsia="Arial" w:hAnsi="Arial"/>
          <w:sz w:val="18"/>
          <w:szCs w:val="18"/>
          <w:u w:val="single" w:color="auto"/>
          <w:color w:val="auto"/>
        </w:rPr>
        <w:t>§2.12.2</w:t>
      </w:r>
      <w:r>
        <w:rPr>
          <w:rFonts w:ascii="Arial" w:cs="Arial" w:eastAsia="Arial" w:hAnsi="Arial"/>
          <w:sz w:val="18"/>
          <w:szCs w:val="18"/>
          <w:color w:val="auto"/>
        </w:rPr>
        <w:t xml:space="preserve"> shall be conclusive, absent manifest error.</w:t>
      </w:r>
    </w:p>
    <w:p>
      <w:pPr>
        <w:spacing w:after="0" w:line="166" w:lineRule="exact"/>
        <w:rPr>
          <w:sz w:val="20"/>
          <w:szCs w:val="20"/>
          <w:color w:val="auto"/>
        </w:rPr>
      </w:pPr>
    </w:p>
    <w:p>
      <w:pPr>
        <w:ind w:right="20" w:firstLine="1945"/>
        <w:spacing w:after="0" w:line="281" w:lineRule="auto"/>
        <w:rPr>
          <w:sz w:val="20"/>
          <w:szCs w:val="20"/>
          <w:color w:val="auto"/>
        </w:rPr>
      </w:pPr>
      <w:r>
        <w:rPr>
          <w:rFonts w:ascii="Arial" w:cs="Arial" w:eastAsia="Arial" w:hAnsi="Arial"/>
          <w:sz w:val="17"/>
          <w:szCs w:val="17"/>
          <w:b w:val="1"/>
          <w:bCs w:val="1"/>
          <w:color w:val="auto"/>
        </w:rPr>
        <w:t xml:space="preserve">§2.12.3 </w:t>
      </w: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If any Bank makes available to the Administrative Agent funds for any Loan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be made by such Bank to any Borrower as provided in the foregoing provisions of this </w:t>
      </w:r>
      <w:r>
        <w:rPr>
          <w:rFonts w:ascii="Arial" w:cs="Arial" w:eastAsia="Arial" w:hAnsi="Arial"/>
          <w:sz w:val="17"/>
          <w:szCs w:val="17"/>
          <w:u w:val="single" w:color="auto"/>
          <w:color w:val="auto"/>
        </w:rPr>
        <w:t>§2</w:t>
      </w:r>
      <w:r>
        <w:rPr>
          <w:rFonts w:ascii="Arial" w:cs="Arial" w:eastAsia="Arial" w:hAnsi="Arial"/>
          <w:sz w:val="17"/>
          <w:szCs w:val="17"/>
          <w:color w:val="auto"/>
        </w:rPr>
        <w:t>, and such funds are not made available to such Borrower by the Administrative Agent because the conditions to the applicable Credit Extension set forth in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Bank) to such Bank, without interest.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firstLine="1945"/>
        <w:spacing w:after="0" w:line="258" w:lineRule="auto"/>
        <w:rPr>
          <w:sz w:val="20"/>
          <w:szCs w:val="20"/>
          <w:color w:val="auto"/>
        </w:rPr>
      </w:pPr>
      <w:r>
        <w:rPr>
          <w:rFonts w:ascii="Arial" w:cs="Arial" w:eastAsia="Arial" w:hAnsi="Arial"/>
          <w:sz w:val="18"/>
          <w:szCs w:val="18"/>
          <w:b w:val="1"/>
          <w:bCs w:val="1"/>
          <w:color w:val="auto"/>
        </w:rPr>
        <w:t xml:space="preserve">§2.12.4 </w:t>
      </w:r>
      <w:r>
        <w:rPr>
          <w:rFonts w:ascii="Arial" w:cs="Arial" w:eastAsia="Arial" w:hAnsi="Arial"/>
          <w:sz w:val="18"/>
          <w:szCs w:val="18"/>
          <w:u w:val="single" w:color="auto"/>
          <w:color w:val="auto"/>
        </w:rPr>
        <w:t>Obligations of Banks Several</w:t>
      </w:r>
      <w:r>
        <w:rPr>
          <w:rFonts w:ascii="Arial" w:cs="Arial" w:eastAsia="Arial" w:hAnsi="Arial"/>
          <w:sz w:val="18"/>
          <w:szCs w:val="18"/>
          <w:color w:val="auto"/>
        </w:rPr>
        <w:t>. The obligations of the Banks hereunder to make Committed Loans, to fund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participations in Letters of Credit and Swing Line Loans and to make payments pursuant to </w:t>
      </w:r>
      <w:r>
        <w:rPr>
          <w:rFonts w:ascii="Arial" w:cs="Arial" w:eastAsia="Arial" w:hAnsi="Arial"/>
          <w:sz w:val="18"/>
          <w:szCs w:val="18"/>
          <w:u w:val="single" w:color="auto"/>
          <w:color w:val="auto"/>
        </w:rPr>
        <w:t>§15.5</w:t>
      </w:r>
      <w:r>
        <w:rPr>
          <w:rFonts w:ascii="Arial" w:cs="Arial" w:eastAsia="Arial" w:hAnsi="Arial"/>
          <w:sz w:val="18"/>
          <w:szCs w:val="18"/>
          <w:color w:val="auto"/>
        </w:rPr>
        <w:t xml:space="preserve"> are several and not joint. The failure of any Bank to make any Committed Loan, to fund any such participation or to make any payment under </w:t>
      </w:r>
      <w:r>
        <w:rPr>
          <w:rFonts w:ascii="Arial" w:cs="Arial" w:eastAsia="Arial" w:hAnsi="Arial"/>
          <w:sz w:val="18"/>
          <w:szCs w:val="18"/>
          <w:u w:val="single" w:color="auto"/>
          <w:color w:val="auto"/>
        </w:rPr>
        <w:t>§15.5</w:t>
      </w:r>
      <w:r>
        <w:rPr>
          <w:rFonts w:ascii="Arial" w:cs="Arial" w:eastAsia="Arial" w:hAnsi="Arial"/>
          <w:sz w:val="18"/>
          <w:szCs w:val="18"/>
          <w:color w:val="auto"/>
        </w:rPr>
        <w:t xml:space="preserve"> on any date required hereunder shall not relieve any other Bank of its corresponding obligation to do so on such date, and no Bank shall be responsible for the failure of any other Bank to so make its Committed Loan, to purchase its participation or to make its payment under </w:t>
      </w:r>
      <w:r>
        <w:rPr>
          <w:rFonts w:ascii="Arial" w:cs="Arial" w:eastAsia="Arial" w:hAnsi="Arial"/>
          <w:sz w:val="18"/>
          <w:szCs w:val="18"/>
          <w:u w:val="single" w:color="auto"/>
          <w:color w:val="auto"/>
        </w:rPr>
        <w:t>§15.5</w:t>
      </w:r>
      <w:r>
        <w:rPr>
          <w:rFonts w:ascii="Arial" w:cs="Arial" w:eastAsia="Arial" w:hAnsi="Arial"/>
          <w:sz w:val="18"/>
          <w:szCs w:val="18"/>
          <w:color w:val="auto"/>
        </w:rPr>
        <w:t>.</w:t>
      </w:r>
    </w:p>
    <w:p>
      <w:pPr>
        <w:spacing w:after="0" w:line="184" w:lineRule="exact"/>
        <w:rPr>
          <w:sz w:val="20"/>
          <w:szCs w:val="20"/>
          <w:color w:val="auto"/>
        </w:rPr>
      </w:pPr>
    </w:p>
    <w:p>
      <w:pPr>
        <w:ind w:right="300" w:firstLine="1945"/>
        <w:spacing w:after="0" w:line="266" w:lineRule="auto"/>
        <w:rPr>
          <w:sz w:val="20"/>
          <w:szCs w:val="20"/>
          <w:color w:val="auto"/>
        </w:rPr>
      </w:pPr>
      <w:r>
        <w:rPr>
          <w:rFonts w:ascii="Arial" w:cs="Arial" w:eastAsia="Arial" w:hAnsi="Arial"/>
          <w:sz w:val="18"/>
          <w:szCs w:val="18"/>
          <w:b w:val="1"/>
          <w:bCs w:val="1"/>
          <w:color w:val="auto"/>
        </w:rPr>
        <w:t xml:space="preserve">§2.12.5 </w:t>
      </w:r>
      <w:r>
        <w:rPr>
          <w:rFonts w:ascii="Arial" w:cs="Arial" w:eastAsia="Arial" w:hAnsi="Arial"/>
          <w:sz w:val="18"/>
          <w:szCs w:val="18"/>
          <w:u w:val="single" w:color="auto"/>
          <w:color w:val="auto"/>
        </w:rPr>
        <w:t>Funding Source</w:t>
      </w:r>
      <w:r>
        <w:rPr>
          <w:rFonts w:ascii="Arial" w:cs="Arial" w:eastAsia="Arial" w:hAnsi="Arial"/>
          <w:sz w:val="18"/>
          <w:szCs w:val="18"/>
          <w:color w:val="auto"/>
        </w:rPr>
        <w:t>. Nothing herein shall be deemed to obligate any Bank to obtain the funds for any Loan in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place or manner or to constitute a representation by any Bank that it has obtained or will obtain the funds for any Loan in any particular place or manner.</w:t>
      </w:r>
    </w:p>
    <w:p>
      <w:pPr>
        <w:spacing w:after="0" w:line="176" w:lineRule="exact"/>
        <w:rPr>
          <w:sz w:val="20"/>
          <w:szCs w:val="20"/>
          <w:color w:val="auto"/>
        </w:rPr>
      </w:pPr>
    </w:p>
    <w:p>
      <w:pPr>
        <w:ind w:firstLine="1297"/>
        <w:spacing w:after="0" w:line="292" w:lineRule="auto"/>
        <w:rPr>
          <w:sz w:val="20"/>
          <w:szCs w:val="20"/>
          <w:color w:val="auto"/>
        </w:rPr>
      </w:pPr>
      <w:r>
        <w:rPr>
          <w:rFonts w:ascii="Arial" w:cs="Arial" w:eastAsia="Arial" w:hAnsi="Arial"/>
          <w:sz w:val="16"/>
          <w:szCs w:val="16"/>
          <w:b w:val="1"/>
          <w:bCs w:val="1"/>
          <w:color w:val="auto"/>
        </w:rPr>
        <w:t>§2.13. Sharing of Payments by Banks</w:t>
      </w:r>
      <w:r>
        <w:rPr>
          <w:rFonts w:ascii="Arial" w:cs="Arial" w:eastAsia="Arial" w:hAnsi="Arial"/>
          <w:sz w:val="16"/>
          <w:szCs w:val="16"/>
          <w:color w:val="auto"/>
        </w:rPr>
        <w:t>. If any Bank shall, by exercising any right of setoff or counterclaim or otherwise, obtain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in respect of any principal of or interest on any of the Committed Loans made by it, or the participations in L/C Obligations or in Swing Line Loans held by it resulting in such Bank’s receiving payment of a proportion of the aggregate amount of such Committed Loans or participations and accrued interest thereon greater than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as provided herein, then the Bank receiving such greater proportion shall (a) notify the Administrative Agent of such fact, and (b) purchase (for cash at face value) participations in the Committed Loans and sub-participations in L/C Obligations and Swing Line Loans of the other Banks, or make such other adjustments as shall be equitable, so that the benefit of all such payments shall be shared by the Banks ratably in accordance with the aggregate amount of principal of and accrued interest on their respective Committed Loans and other amounts owing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ectPr>
          <w:pgSz w:w="11900" w:h="16838" w:orient="portrait"/>
          <w:cols w:equalWidth="0" w:num="1">
            <w:col w:w="11420"/>
          </w:cols>
          <w:pgMar w:left="240" w:top="125" w:right="239" w:bottom="0" w:gutter="0" w:footer="0" w:header="0"/>
        </w:sectPr>
      </w:pPr>
    </w:p>
    <w:bookmarkStart w:id="30" w:name="page31"/>
    <w:bookmarkEnd w:id="30"/>
    <w:p>
      <w:pPr>
        <w:ind w:left="700" w:right="600" w:firstLine="655"/>
        <w:spacing w:after="0" w:line="264" w:lineRule="auto"/>
        <w:tabs>
          <w:tab w:leader="none" w:pos="1993"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1" w:lineRule="exact"/>
        <w:rPr>
          <w:rFonts w:ascii="Arial" w:cs="Arial" w:eastAsia="Arial" w:hAnsi="Arial"/>
          <w:sz w:val="18"/>
          <w:szCs w:val="18"/>
          <w:color w:val="auto"/>
        </w:rPr>
      </w:pPr>
    </w:p>
    <w:p>
      <w:pPr>
        <w:jc w:val="both"/>
        <w:ind w:left="700" w:right="120" w:firstLine="655"/>
        <w:spacing w:after="0" w:line="291" w:lineRule="auto"/>
        <w:tabs>
          <w:tab w:leader="none" w:pos="2004"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provisions of this Section shall not be construed to apply to (x) any payment made by or on behalf of any Borrower pursuant to and in accordance with the express terms of this Agreement (including the application of funds arising from the existence of a Defaulting Bank),</w:t>
      </w:r>
    </w:p>
    <w:p>
      <w:pPr>
        <w:ind w:left="700" w:right="120" w:firstLine="7"/>
        <w:spacing w:after="0" w:line="277" w:lineRule="auto"/>
        <w:tabs>
          <w:tab w:leader="none" w:pos="9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application of Cash Collateral provided for in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(z) any payment obtained by a Bank as consideration for the assignment of or sale of a participation in any of its Committed Loans or sub-participations in L/C Obligations or Swing Line Loans to any assignee or participant, other than an assignment to the Company or any Subsidiary thereof (as to which the provisions of this Section shall apply).</w:t>
      </w:r>
    </w:p>
    <w:p>
      <w:pPr>
        <w:spacing w:after="0" w:line="173" w:lineRule="exact"/>
        <w:rPr>
          <w:sz w:val="20"/>
          <w:szCs w:val="20"/>
          <w:color w:val="auto"/>
        </w:rPr>
      </w:pPr>
    </w:p>
    <w:p>
      <w:pPr>
        <w:ind w:right="140" w:firstLine="648"/>
        <w:spacing w:after="0" w:line="270" w:lineRule="auto"/>
        <w:rPr>
          <w:sz w:val="20"/>
          <w:szCs w:val="20"/>
          <w:color w:val="auto"/>
        </w:rPr>
      </w:pPr>
      <w:r>
        <w:rPr>
          <w:rFonts w:ascii="Arial" w:cs="Arial" w:eastAsia="Arial" w:hAnsi="Arial"/>
          <w:sz w:val="18"/>
          <w:szCs w:val="18"/>
          <w:color w:val="auto"/>
        </w:rPr>
        <w:t xml:space="preserve">Each Loan Party </w:t>
      </w:r>
      <w:r>
        <w:rPr>
          <w:rFonts w:ascii="Arial" w:cs="Arial" w:eastAsia="Arial" w:hAnsi="Arial"/>
          <w:sz w:val="17"/>
          <w:szCs w:val="17"/>
          <w:color w:val="auto"/>
        </w:rPr>
        <w:t>consents to the foregoing and agrees, to the extent it may effectively do so under applicable law, that any Bank acquiring a</w:t>
      </w:r>
      <w:r>
        <w:rPr>
          <w:rFonts w:ascii="Arial" w:cs="Arial" w:eastAsia="Arial" w:hAnsi="Arial"/>
          <w:sz w:val="18"/>
          <w:szCs w:val="18"/>
          <w:color w:val="auto"/>
        </w:rPr>
        <w:t xml:space="preserve"> </w:t>
      </w:r>
      <w:r>
        <w:rPr>
          <w:rFonts w:ascii="Arial" w:cs="Arial" w:eastAsia="Arial" w:hAnsi="Arial"/>
          <w:sz w:val="17"/>
          <w:szCs w:val="17"/>
          <w:color w:val="auto"/>
        </w:rPr>
        <w:t>participation pursuant to the foregoing arrangements may exercise against such Loan Party rights of setoff and counterclaim with respect to such participation as fully as if such Bank were a direct creditor of such Loan Party in the amount of such participation.</w:t>
      </w:r>
    </w:p>
    <w:p>
      <w:pPr>
        <w:spacing w:after="0" w:line="175"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8"/>
          <w:szCs w:val="18"/>
          <w:b w:val="1"/>
          <w:bCs w:val="1"/>
          <w:color w:val="auto"/>
        </w:rPr>
        <w:t>Canadian Borrowers</w:t>
      </w:r>
      <w:r>
        <w:rPr>
          <w:rFonts w:ascii="Arial" w:cs="Arial" w:eastAsia="Arial" w:hAnsi="Arial"/>
          <w:sz w:val="18"/>
          <w:szCs w:val="18"/>
          <w:color w:val="auto"/>
        </w:rPr>
        <w:t>.</w:t>
      </w:r>
    </w:p>
    <w:p>
      <w:pPr>
        <w:spacing w:after="0" w:line="225" w:lineRule="exact"/>
        <w:rPr>
          <w:sz w:val="20"/>
          <w:szCs w:val="20"/>
          <w:color w:val="auto"/>
        </w:rPr>
      </w:pPr>
    </w:p>
    <w:p>
      <w:pPr>
        <w:ind w:right="180" w:firstLine="1945"/>
        <w:spacing w:after="0" w:line="261" w:lineRule="auto"/>
        <w:rPr>
          <w:sz w:val="20"/>
          <w:szCs w:val="20"/>
          <w:color w:val="auto"/>
        </w:rPr>
      </w:pPr>
      <w:r>
        <w:rPr>
          <w:rFonts w:ascii="Arial" w:cs="Arial" w:eastAsia="Arial" w:hAnsi="Arial"/>
          <w:sz w:val="18"/>
          <w:szCs w:val="18"/>
          <w:b w:val="1"/>
          <w:bCs w:val="1"/>
          <w:color w:val="auto"/>
        </w:rPr>
        <w:t xml:space="preserve">§2.14.1 </w:t>
      </w:r>
      <w:r>
        <w:rPr>
          <w:rFonts w:ascii="Arial" w:cs="Arial" w:eastAsia="Arial" w:hAnsi="Arial"/>
          <w:sz w:val="18"/>
          <w:szCs w:val="18"/>
          <w:color w:val="auto"/>
        </w:rPr>
        <w:t>Effective as of the date hereof, each Canadian Borrower may receive Loans for its account on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this Agreement. Notwithstanding anything in this Agreement or the other Loan Documents to the contrary, (i) the Company will be jointly and severally liable for all borrowings by, and Obligations of, each Canadian Borrower and (ii) each Canadian Borrower will be jointly and severally liable only for the borrowings made by, and Obligations of, the Canadian Borrowers.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1945"/>
        <w:spacing w:after="0" w:line="273" w:lineRule="auto"/>
        <w:rPr>
          <w:sz w:val="20"/>
          <w:szCs w:val="20"/>
          <w:color w:val="auto"/>
        </w:rPr>
      </w:pPr>
      <w:r>
        <w:rPr>
          <w:rFonts w:ascii="Arial" w:cs="Arial" w:eastAsia="Arial" w:hAnsi="Arial"/>
          <w:sz w:val="17"/>
          <w:szCs w:val="17"/>
          <w:b w:val="1"/>
          <w:bCs w:val="1"/>
          <w:color w:val="auto"/>
        </w:rPr>
        <w:t xml:space="preserve">§2.14.2 </w:t>
      </w:r>
      <w:r>
        <w:rPr>
          <w:rFonts w:ascii="Arial" w:cs="Arial" w:eastAsia="Arial" w:hAnsi="Arial"/>
          <w:sz w:val="17"/>
          <w:szCs w:val="17"/>
          <w:color w:val="auto"/>
        </w:rPr>
        <w:t>Each Canadian Borrower hereby irrevocably appoints the Company as its agent for all purposes relevant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each of the other Loan Documents, including (i) the giving and receipt of notices, (ii) the execution and delivery of all documents, instruments and certificates contemplated herein and all modifications hereto, and (iii) the receipt of the proceeds of any Loans made by the Banks to any such Canadian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Borrower.</w:t>
      </w:r>
    </w:p>
    <w:p>
      <w:pPr>
        <w:spacing w:after="0" w:line="172"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8"/>
          <w:szCs w:val="18"/>
          <w:b w:val="1"/>
          <w:bCs w:val="1"/>
          <w:color w:val="auto"/>
        </w:rPr>
        <w:t>Extension of Maturity Date</w:t>
      </w:r>
      <w:r>
        <w:rPr>
          <w:rFonts w:ascii="Arial" w:cs="Arial" w:eastAsia="Arial" w:hAnsi="Arial"/>
          <w:sz w:val="18"/>
          <w:szCs w:val="18"/>
          <w:color w:val="auto"/>
        </w:rPr>
        <w:t>.</w:t>
      </w:r>
    </w:p>
    <w:p>
      <w:pPr>
        <w:spacing w:after="0" w:line="225" w:lineRule="exact"/>
        <w:rPr>
          <w:sz w:val="20"/>
          <w:szCs w:val="20"/>
          <w:color w:val="auto"/>
        </w:rPr>
      </w:pPr>
    </w:p>
    <w:p>
      <w:pPr>
        <w:ind w:firstLine="1945"/>
        <w:spacing w:after="0" w:line="255" w:lineRule="auto"/>
        <w:rPr>
          <w:sz w:val="20"/>
          <w:szCs w:val="20"/>
          <w:color w:val="auto"/>
        </w:rPr>
      </w:pPr>
      <w:r>
        <w:rPr>
          <w:rFonts w:ascii="Arial" w:cs="Arial" w:eastAsia="Arial" w:hAnsi="Arial"/>
          <w:sz w:val="18"/>
          <w:szCs w:val="18"/>
          <w:b w:val="1"/>
          <w:bCs w:val="1"/>
          <w:color w:val="auto"/>
        </w:rPr>
        <w:t xml:space="preserve">§2.15.1 </w:t>
      </w:r>
      <w:r>
        <w:rPr>
          <w:rFonts w:ascii="Arial" w:cs="Arial" w:eastAsia="Arial" w:hAnsi="Arial"/>
          <w:sz w:val="18"/>
          <w:szCs w:val="18"/>
          <w:u w:val="single" w:color="auto"/>
          <w:color w:val="auto"/>
        </w:rPr>
        <w:t>Requests for Extension</w:t>
      </w:r>
      <w:r>
        <w:rPr>
          <w:rFonts w:ascii="Arial" w:cs="Arial" w:eastAsia="Arial" w:hAnsi="Arial"/>
          <w:sz w:val="18"/>
          <w:szCs w:val="18"/>
          <w:color w:val="auto"/>
        </w:rPr>
        <w:t>. The Company may, not more than twice during the term of this Agreement, by written notice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Administrative Agent (who shall promptly notify the Banks) request that each Bank extend such Bank’s Maturity Date for an additional one-year from the Maturity Date then in effect hereunder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which request shall indicate the date by which each Bank shall respond to such request (which shall not be earlier than 30 days after the date the Administrative Agent is notified of such request unless otherwise agreed by the Administrative Agent in its sole discretion) (such date, the “</w:t>
      </w:r>
      <w:r>
        <w:rPr>
          <w:rFonts w:ascii="Arial" w:cs="Arial" w:eastAsia="Arial" w:hAnsi="Arial"/>
          <w:sz w:val="18"/>
          <w:szCs w:val="18"/>
          <w:u w:val="single" w:color="auto"/>
          <w:color w:val="auto"/>
        </w:rPr>
        <w:t>Notice Date</w:t>
      </w:r>
      <w:r>
        <w:rPr>
          <w:rFonts w:ascii="Arial" w:cs="Arial" w:eastAsia="Arial" w:hAnsi="Arial"/>
          <w:sz w:val="18"/>
          <w:szCs w:val="18"/>
          <w:color w:val="auto"/>
        </w:rPr>
        <w:t>”) and the date on which such extension shall be effective (which shall not be earlier than 35 days after the Administrative Agent is notified of such request, unless otherwise agreed by the Administrative Agent in its sole discretion) (such date, the “</w:t>
      </w:r>
      <w:r>
        <w:rPr>
          <w:rFonts w:ascii="Arial" w:cs="Arial" w:eastAsia="Arial" w:hAnsi="Arial"/>
          <w:sz w:val="18"/>
          <w:szCs w:val="18"/>
          <w:u w:val="single" w:color="auto"/>
          <w:color w:val="auto"/>
        </w:rPr>
        <w:t>Extension Effective Date</w:t>
      </w:r>
      <w:r>
        <w:rPr>
          <w:rFonts w:ascii="Arial" w:cs="Arial" w:eastAsia="Arial" w:hAnsi="Arial"/>
          <w:sz w:val="18"/>
          <w:szCs w:val="18"/>
          <w:color w:val="auto"/>
        </w:rPr>
        <w:t>”).</w:t>
      </w:r>
    </w:p>
    <w:p>
      <w:pPr>
        <w:spacing w:after="0" w:line="189" w:lineRule="exact"/>
        <w:rPr>
          <w:sz w:val="20"/>
          <w:szCs w:val="20"/>
          <w:color w:val="auto"/>
        </w:rPr>
      </w:pPr>
    </w:p>
    <w:p>
      <w:pPr>
        <w:ind w:right="180" w:firstLine="1945"/>
        <w:spacing w:after="0" w:line="277" w:lineRule="auto"/>
        <w:rPr>
          <w:sz w:val="20"/>
          <w:szCs w:val="20"/>
          <w:color w:val="auto"/>
        </w:rPr>
      </w:pPr>
      <w:r>
        <w:rPr>
          <w:rFonts w:ascii="Arial" w:cs="Arial" w:eastAsia="Arial" w:hAnsi="Arial"/>
          <w:sz w:val="17"/>
          <w:szCs w:val="17"/>
          <w:b w:val="1"/>
          <w:bCs w:val="1"/>
          <w:color w:val="auto"/>
        </w:rPr>
        <w:t xml:space="preserve">§2.15.2 </w:t>
      </w:r>
      <w:r>
        <w:rPr>
          <w:rFonts w:ascii="Arial" w:cs="Arial" w:eastAsia="Arial" w:hAnsi="Arial"/>
          <w:sz w:val="17"/>
          <w:szCs w:val="17"/>
          <w:u w:val="single" w:color="auto"/>
          <w:color w:val="auto"/>
        </w:rPr>
        <w:t>Bank Elections to Extend</w:t>
      </w:r>
      <w:r>
        <w:rPr>
          <w:rFonts w:ascii="Arial" w:cs="Arial" w:eastAsia="Arial" w:hAnsi="Arial"/>
          <w:sz w:val="17"/>
          <w:szCs w:val="17"/>
          <w:color w:val="auto"/>
        </w:rPr>
        <w:t>. Each Bank, acting in its sole and individual discretion, shall, by notice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given on or prior to the Notice Date, advise the Administrative Agent whether or not such Bank agrees to such extension. Each Bank that has failed to notify the Administrative Agent as to whether it has agreed to a requested extension on or before the Notice Date shall be deemed to have declined to extend its Maturity Date (each such Bank, together with all Banks that have declined to extend their Maturity Date, collectively, the “</w:t>
      </w:r>
      <w:r>
        <w:rPr>
          <w:rFonts w:ascii="Arial" w:cs="Arial" w:eastAsia="Arial" w:hAnsi="Arial"/>
          <w:sz w:val="17"/>
          <w:szCs w:val="17"/>
          <w:u w:val="single" w:color="auto"/>
          <w:color w:val="auto"/>
        </w:rPr>
        <w:t>Non-Extending Banks</w:t>
      </w:r>
      <w:r>
        <w:rPr>
          <w:rFonts w:ascii="Arial" w:cs="Arial" w:eastAsia="Arial" w:hAnsi="Arial"/>
          <w:sz w:val="17"/>
          <w:szCs w:val="17"/>
          <w:color w:val="auto"/>
        </w:rPr>
        <w:t>”). The election of any Bank to agree to such extension shall not obligate any other Bank to so agree.</w:t>
      </w:r>
    </w:p>
    <w:p>
      <w:pPr>
        <w:spacing w:after="0" w:line="168" w:lineRule="exact"/>
        <w:rPr>
          <w:sz w:val="20"/>
          <w:szCs w:val="20"/>
          <w:color w:val="auto"/>
        </w:rPr>
      </w:pPr>
    </w:p>
    <w:p>
      <w:pPr>
        <w:ind w:right="800" w:firstLine="1945"/>
        <w:spacing w:after="0" w:line="282" w:lineRule="auto"/>
        <w:rPr>
          <w:sz w:val="20"/>
          <w:szCs w:val="20"/>
          <w:color w:val="auto"/>
        </w:rPr>
      </w:pPr>
      <w:r>
        <w:rPr>
          <w:rFonts w:ascii="Arial" w:cs="Arial" w:eastAsia="Arial" w:hAnsi="Arial"/>
          <w:sz w:val="18"/>
          <w:szCs w:val="18"/>
          <w:b w:val="1"/>
          <w:bCs w:val="1"/>
          <w:color w:val="auto"/>
        </w:rPr>
        <w:t xml:space="preserve">§2.15.3 </w:t>
      </w:r>
      <w:r>
        <w:rPr>
          <w:rFonts w:ascii="Arial" w:cs="Arial" w:eastAsia="Arial" w:hAnsi="Arial"/>
          <w:sz w:val="18"/>
          <w:szCs w:val="18"/>
          <w:u w:val="single" w:color="auto"/>
          <w:color w:val="auto"/>
        </w:rPr>
        <w:t>Notification by Administrative Agent</w:t>
      </w:r>
      <w:r>
        <w:rPr>
          <w:rFonts w:ascii="Arial" w:cs="Arial" w:eastAsia="Arial" w:hAnsi="Arial"/>
          <w:sz w:val="18"/>
          <w:szCs w:val="18"/>
          <w:color w:val="auto"/>
        </w:rPr>
        <w:t>. The Administrative Agent shall notify the Company of each Bank’s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under this Section promptly and, in any event, no later than three Business Days after the Notice Date.</w:t>
      </w:r>
    </w:p>
    <w:p>
      <w:pPr>
        <w:spacing w:after="0" w:line="162" w:lineRule="exact"/>
        <w:rPr>
          <w:sz w:val="20"/>
          <w:szCs w:val="20"/>
          <w:color w:val="auto"/>
        </w:rPr>
      </w:pPr>
    </w:p>
    <w:p>
      <w:pPr>
        <w:jc w:val="both"/>
        <w:ind w:right="220" w:firstLine="1945"/>
        <w:spacing w:after="0" w:line="347" w:lineRule="auto"/>
        <w:rPr>
          <w:sz w:val="20"/>
          <w:szCs w:val="20"/>
          <w:color w:val="auto"/>
        </w:rPr>
      </w:pPr>
      <w:r>
        <w:rPr>
          <w:rFonts w:ascii="Arial" w:cs="Arial" w:eastAsia="Arial" w:hAnsi="Arial"/>
          <w:sz w:val="16"/>
          <w:szCs w:val="16"/>
          <w:b w:val="1"/>
          <w:bCs w:val="1"/>
          <w:color w:val="auto"/>
        </w:rPr>
        <w:t xml:space="preserve">§2.15.4 </w:t>
      </w:r>
      <w:r>
        <w:rPr>
          <w:rFonts w:ascii="Arial" w:cs="Arial" w:eastAsia="Arial" w:hAnsi="Arial"/>
          <w:sz w:val="16"/>
          <w:szCs w:val="16"/>
          <w:u w:val="single" w:color="auto"/>
          <w:color w:val="auto"/>
        </w:rPr>
        <w:t>Additional Commitment Banks</w:t>
      </w:r>
      <w:r>
        <w:rPr>
          <w:rFonts w:ascii="Arial" w:cs="Arial" w:eastAsia="Arial" w:hAnsi="Arial"/>
          <w:sz w:val="16"/>
          <w:szCs w:val="16"/>
          <w:color w:val="auto"/>
        </w:rPr>
        <w:t>. The Company shall have the right to replace each Non-Extending Bank with, and</w:t>
      </w:r>
      <w:r>
        <w:rPr>
          <w:rFonts w:ascii="Arial" w:cs="Arial" w:eastAsia="Arial" w:hAnsi="Arial"/>
          <w:sz w:val="16"/>
          <w:szCs w:val="16"/>
          <w:b w:val="1"/>
          <w:bCs w:val="1"/>
          <w:color w:val="auto"/>
        </w:rPr>
        <w:t xml:space="preserve"> </w:t>
      </w:r>
      <w:r>
        <w:rPr>
          <w:rFonts w:ascii="Arial" w:cs="Arial" w:eastAsia="Arial" w:hAnsi="Arial"/>
          <w:sz w:val="16"/>
          <w:szCs w:val="16"/>
          <w:color w:val="auto"/>
        </w:rPr>
        <w:t>add as “Banks” under this Agreement in place thereof, one or more eligible assignees (each, an “</w:t>
      </w:r>
      <w:r>
        <w:rPr>
          <w:rFonts w:ascii="Arial" w:cs="Arial" w:eastAsia="Arial" w:hAnsi="Arial"/>
          <w:sz w:val="16"/>
          <w:szCs w:val="16"/>
          <w:u w:val="single" w:color="auto"/>
          <w:color w:val="auto"/>
        </w:rPr>
        <w:t>Additional Commitment Bank</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§2.18</w:t>
      </w:r>
      <w:r>
        <w:rPr>
          <w:rFonts w:ascii="Arial" w:cs="Arial" w:eastAsia="Arial" w:hAnsi="Arial"/>
          <w:sz w:val="16"/>
          <w:szCs w:val="16"/>
          <w:color w:val="auto"/>
        </w:rPr>
        <w:t>.</w:t>
      </w:r>
    </w:p>
    <w:p>
      <w:pPr>
        <w:spacing w:after="0" w:line="116" w:lineRule="exact"/>
        <w:rPr>
          <w:sz w:val="20"/>
          <w:szCs w:val="20"/>
          <w:color w:val="auto"/>
        </w:rPr>
      </w:pPr>
    </w:p>
    <w:p>
      <w:pPr>
        <w:ind w:right="120" w:firstLine="1945"/>
        <w:spacing w:after="0" w:line="256" w:lineRule="auto"/>
        <w:rPr>
          <w:sz w:val="20"/>
          <w:szCs w:val="20"/>
          <w:color w:val="auto"/>
        </w:rPr>
      </w:pPr>
      <w:r>
        <w:rPr>
          <w:rFonts w:ascii="Arial" w:cs="Arial" w:eastAsia="Arial" w:hAnsi="Arial"/>
          <w:sz w:val="18"/>
          <w:szCs w:val="18"/>
          <w:b w:val="1"/>
          <w:bCs w:val="1"/>
          <w:color w:val="auto"/>
        </w:rPr>
        <w:t xml:space="preserve">§2.15.5 </w:t>
      </w:r>
      <w:r>
        <w:rPr>
          <w:rFonts w:ascii="Arial" w:cs="Arial" w:eastAsia="Arial" w:hAnsi="Arial"/>
          <w:sz w:val="18"/>
          <w:szCs w:val="18"/>
          <w:u w:val="single" w:color="auto"/>
          <w:color w:val="auto"/>
        </w:rPr>
        <w:t>Minimum Extension Requirement</w:t>
      </w:r>
      <w:r>
        <w:rPr>
          <w:rFonts w:ascii="Arial" w:cs="Arial" w:eastAsia="Arial" w:hAnsi="Arial"/>
          <w:sz w:val="18"/>
          <w:szCs w:val="18"/>
          <w:color w:val="auto"/>
        </w:rPr>
        <w:t>. If (and only if) the total of the Commitments of the Banks that have agreed so to</w:t>
      </w:r>
      <w:r>
        <w:rPr>
          <w:rFonts w:ascii="Arial" w:cs="Arial" w:eastAsia="Arial" w:hAnsi="Arial"/>
          <w:sz w:val="18"/>
          <w:szCs w:val="18"/>
          <w:b w:val="1"/>
          <w:bCs w:val="1"/>
          <w:color w:val="auto"/>
        </w:rPr>
        <w:t xml:space="preserve"> </w:t>
      </w:r>
      <w:r>
        <w:rPr>
          <w:rFonts w:ascii="Arial" w:cs="Arial" w:eastAsia="Arial" w:hAnsi="Arial"/>
          <w:sz w:val="18"/>
          <w:szCs w:val="18"/>
          <w:color w:val="auto"/>
        </w:rPr>
        <w:t>extend their Maturity Date (each, an “</w:t>
      </w:r>
      <w:r>
        <w:rPr>
          <w:rFonts w:ascii="Arial" w:cs="Arial" w:eastAsia="Arial" w:hAnsi="Arial"/>
          <w:sz w:val="18"/>
          <w:szCs w:val="18"/>
          <w:u w:val="single" w:color="auto"/>
          <w:color w:val="auto"/>
        </w:rPr>
        <w:t>Extending Bank</w:t>
      </w:r>
      <w:r>
        <w:rPr>
          <w:rFonts w:ascii="Arial" w:cs="Arial" w:eastAsia="Arial" w:hAnsi="Arial"/>
          <w:sz w:val="18"/>
          <w:szCs w:val="18"/>
          <w:color w:val="auto"/>
        </w:rPr>
        <w:t xml:space="preserve">”) and the additional Commitments of the Additional Commitment Banks that have become Banks pursuant to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shall be more than 50% of the Total Commitments then in effect, the Maturity Date of each Extending Bank and of each Additional Commitment Bank shall be extended on the Extension Effective Date to the date one year after the Existing Maturity Date (except that, if such date is not a Business Day, such Maturity Date as so extended shall be the next preceding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term of this Agreement in effect exceed five years at any time.</w:t>
      </w:r>
    </w:p>
    <w:p>
      <w:pPr>
        <w:spacing w:after="0" w:line="188" w:lineRule="exact"/>
        <w:rPr>
          <w:sz w:val="20"/>
          <w:szCs w:val="20"/>
          <w:color w:val="auto"/>
        </w:rPr>
      </w:pPr>
    </w:p>
    <w:p>
      <w:pPr>
        <w:ind w:right="100" w:firstLine="1945"/>
        <w:spacing w:after="0" w:line="282" w:lineRule="auto"/>
        <w:rPr>
          <w:sz w:val="20"/>
          <w:szCs w:val="20"/>
          <w:color w:val="auto"/>
        </w:rPr>
      </w:pPr>
      <w:r>
        <w:rPr>
          <w:rFonts w:ascii="Arial" w:cs="Arial" w:eastAsia="Arial" w:hAnsi="Arial"/>
          <w:sz w:val="18"/>
          <w:szCs w:val="18"/>
          <w:b w:val="1"/>
          <w:bCs w:val="1"/>
          <w:color w:val="auto"/>
        </w:rPr>
        <w:t xml:space="preserve">§2.15.6 </w:t>
      </w:r>
      <w:r>
        <w:rPr>
          <w:rFonts w:ascii="Arial" w:cs="Arial" w:eastAsia="Arial" w:hAnsi="Arial"/>
          <w:sz w:val="18"/>
          <w:szCs w:val="18"/>
          <w:u w:val="single" w:color="auto"/>
          <w:color w:val="auto"/>
        </w:rPr>
        <w:t>Conditions to Effectiveness of Extensions</w:t>
      </w:r>
      <w:r>
        <w:rPr>
          <w:rFonts w:ascii="Arial" w:cs="Arial" w:eastAsia="Arial" w:hAnsi="Arial"/>
          <w:sz w:val="18"/>
          <w:szCs w:val="18"/>
          <w:color w:val="auto"/>
        </w:rPr>
        <w:t>. As a condition precedent to such extension, the Company shall deliver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a certificate of each Loan Party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dated as of the Existing Maturity Date signed by an authorized officer of such Loan Party (i) certifying and attaching the resolutions adopted by such Loan Party approving or consenting to such extension and (ii) certifying that, before and after giving effect to such extension, (A) the representations and warranties contained in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the other Loan Documents are true and correct on and as of the Existing Maturity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§6.4(a)</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§7.4(a)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and (B) no Default or Event of Default exists.</w:t>
      </w:r>
    </w:p>
    <w:p>
      <w:pPr>
        <w:sectPr>
          <w:pgSz w:w="11900" w:h="16838" w:orient="portrait"/>
          <w:cols w:equalWidth="0" w:num="1">
            <w:col w:w="11420"/>
          </w:cols>
          <w:pgMar w:left="240" w:top="125" w:right="239" w:bottom="0" w:gutter="0" w:footer="0" w:header="0"/>
        </w:sectPr>
      </w:pPr>
    </w:p>
    <w:bookmarkStart w:id="31" w:name="page32"/>
    <w:bookmarkEnd w:id="31"/>
    <w:p>
      <w:pPr>
        <w:jc w:val="both"/>
        <w:ind w:right="200" w:firstLine="1945"/>
        <w:spacing w:after="0" w:line="266" w:lineRule="auto"/>
        <w:rPr>
          <w:sz w:val="20"/>
          <w:szCs w:val="20"/>
          <w:color w:val="auto"/>
        </w:rPr>
      </w:pPr>
      <w:r>
        <w:rPr>
          <w:rFonts w:ascii="Arial" w:cs="Arial" w:eastAsia="Arial" w:hAnsi="Arial"/>
          <w:sz w:val="18"/>
          <w:szCs w:val="18"/>
          <w:b w:val="1"/>
          <w:bCs w:val="1"/>
          <w:color w:val="auto"/>
        </w:rPr>
        <w:t xml:space="preserve">§2.15.7 </w:t>
      </w:r>
      <w:r>
        <w:rPr>
          <w:rFonts w:ascii="Arial" w:cs="Arial" w:eastAsia="Arial" w:hAnsi="Arial"/>
          <w:sz w:val="18"/>
          <w:szCs w:val="18"/>
          <w:u w:val="single" w:color="auto"/>
          <w:color w:val="auto"/>
        </w:rPr>
        <w:t>Non-Extending Banks</w:t>
      </w:r>
      <w:r>
        <w:rPr>
          <w:rFonts w:ascii="Arial" w:cs="Arial" w:eastAsia="Arial" w:hAnsi="Arial"/>
          <w:sz w:val="18"/>
          <w:szCs w:val="18"/>
          <w:color w:val="auto"/>
        </w:rPr>
        <w:t>. The Maturity Date of the Non-Extending Banks shall remain unchanged and the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repay all Committed Loans of the Non-Extending Banks outstanding on such Maturity Date, together with any accrued interest, fees or other amounts owing to such Banks hereunder.</w:t>
      </w:r>
    </w:p>
    <w:p>
      <w:pPr>
        <w:spacing w:after="0" w:line="176"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b w:val="1"/>
          <w:bCs w:val="1"/>
          <w:color w:val="auto"/>
        </w:rPr>
        <w:t>§2.15.8</w:t>
      </w:r>
      <w:r>
        <w:rPr>
          <w:sz w:val="20"/>
          <w:szCs w:val="20"/>
          <w:color w:val="auto"/>
        </w:rPr>
        <w:tab/>
      </w: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§15.9</w:t>
      </w:r>
      <w:r>
        <w:rPr>
          <w:rFonts w:ascii="Arial" w:cs="Arial" w:eastAsia="Arial" w:hAnsi="Arial"/>
          <w:sz w:val="18"/>
          <w:szCs w:val="18"/>
          <w:color w:val="auto"/>
        </w:rPr>
        <w:t xml:space="preserve"> to the contrary.</w:t>
      </w:r>
    </w:p>
    <w:p>
      <w:pPr>
        <w:spacing w:after="0" w:line="225"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8"/>
          <w:szCs w:val="18"/>
          <w:b w:val="1"/>
          <w:bCs w:val="1"/>
          <w:color w:val="auto"/>
        </w:rPr>
        <w:t>Cash Collateral</w:t>
      </w:r>
      <w:r>
        <w:rPr>
          <w:rFonts w:ascii="Arial" w:cs="Arial" w:eastAsia="Arial" w:hAnsi="Arial"/>
          <w:sz w:val="18"/>
          <w:szCs w:val="18"/>
          <w:color w:val="auto"/>
        </w:rPr>
        <w:t>.</w:t>
      </w:r>
    </w:p>
    <w:p>
      <w:pPr>
        <w:spacing w:after="0" w:line="225" w:lineRule="exact"/>
        <w:rPr>
          <w:sz w:val="20"/>
          <w:szCs w:val="20"/>
          <w:color w:val="auto"/>
        </w:rPr>
      </w:pPr>
    </w:p>
    <w:p>
      <w:pPr>
        <w:ind w:right="120" w:firstLine="1945"/>
        <w:spacing w:after="0" w:line="295" w:lineRule="auto"/>
        <w:rPr>
          <w:sz w:val="20"/>
          <w:szCs w:val="20"/>
          <w:color w:val="auto"/>
        </w:rPr>
      </w:pPr>
      <w:r>
        <w:rPr>
          <w:rFonts w:ascii="Arial" w:cs="Arial" w:eastAsia="Arial" w:hAnsi="Arial"/>
          <w:sz w:val="16"/>
          <w:szCs w:val="16"/>
          <w:b w:val="1"/>
          <w:bCs w:val="1"/>
          <w:color w:val="auto"/>
        </w:rPr>
        <w:t xml:space="preserve">§2.16.1 </w:t>
      </w: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If (i) any Issuing Bank has honored any full or partial drawing request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Letter of Credit and such drawing has resulted in an L/C Borrowing, (ii) as of the day that is five days prior to the Maturity Date, any L/C Obligation for any reason remains outstanding, (iii) the Company shall be required to provide Cash Collateral pursuant to §</w:t>
      </w:r>
      <w:r>
        <w:rPr>
          <w:rFonts w:ascii="Arial" w:cs="Arial" w:eastAsia="Arial" w:hAnsi="Arial"/>
          <w:sz w:val="16"/>
          <w:szCs w:val="16"/>
          <w:u w:val="single" w:color="auto"/>
          <w:color w:val="auto"/>
        </w:rPr>
        <w:t>12.1</w:t>
      </w:r>
      <w:r>
        <w:rPr>
          <w:rFonts w:ascii="Arial" w:cs="Arial" w:eastAsia="Arial" w:hAnsi="Arial"/>
          <w:sz w:val="16"/>
          <w:szCs w:val="16"/>
          <w:color w:val="auto"/>
        </w:rPr>
        <w:t xml:space="preserve">, or (iv) there shall exist a Defaulting Bank, the Company shall immediately (in the case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or within one Business Day (in all other cases) following any request by the Administrative Agent or any Issuing Bank, provide Cash Collateral in an amount not less than the applicable Minimum Collateral Amount (determined in the case of Cash Collateral provided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after giving effect to </w:t>
      </w:r>
      <w:r>
        <w:rPr>
          <w:rFonts w:ascii="Arial" w:cs="Arial" w:eastAsia="Arial" w:hAnsi="Arial"/>
          <w:sz w:val="16"/>
          <w:szCs w:val="16"/>
          <w:u w:val="single" w:color="auto"/>
          <w:color w:val="auto"/>
        </w:rPr>
        <w:t>§2.17.1(d)</w:t>
      </w:r>
      <w:r>
        <w:rPr>
          <w:rFonts w:ascii="Arial" w:cs="Arial" w:eastAsia="Arial" w:hAnsi="Arial"/>
          <w:sz w:val="16"/>
          <w:szCs w:val="16"/>
          <w:color w:val="auto"/>
        </w:rPr>
        <w:t xml:space="preserve"> and any Cash Collateral provided by the Defaulting Bank).</w:t>
      </w:r>
    </w:p>
    <w:p>
      <w:pPr>
        <w:spacing w:after="0" w:line="156" w:lineRule="exact"/>
        <w:rPr>
          <w:sz w:val="20"/>
          <w:szCs w:val="20"/>
          <w:color w:val="auto"/>
        </w:rPr>
      </w:pPr>
    </w:p>
    <w:p>
      <w:pPr>
        <w:ind w:right="20" w:firstLine="1945"/>
        <w:spacing w:after="0" w:line="289" w:lineRule="auto"/>
        <w:rPr>
          <w:sz w:val="20"/>
          <w:szCs w:val="20"/>
          <w:color w:val="auto"/>
        </w:rPr>
      </w:pPr>
      <w:r>
        <w:rPr>
          <w:rFonts w:ascii="Arial" w:cs="Arial" w:eastAsia="Arial" w:hAnsi="Arial"/>
          <w:sz w:val="16"/>
          <w:szCs w:val="16"/>
          <w:b w:val="1"/>
          <w:bCs w:val="1"/>
          <w:color w:val="auto"/>
        </w:rPr>
        <w:t xml:space="preserve">§2.16.2 </w:t>
      </w: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Each of the Borrowers, and to the extent provided by any Defaulting Bank,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Defaulting Bank, hereby grants to (and subjects to the control of) the Administrative Agent, for the benefit of the Administrative Agent, the Issuing Banks and the Banks,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§2.16.3</w:t>
      </w:r>
      <w:r>
        <w:rPr>
          <w:rFonts w:ascii="Arial" w:cs="Arial" w:eastAsia="Arial" w:hAnsi="Arial"/>
          <w:sz w:val="16"/>
          <w:szCs w:val="16"/>
          <w:color w:val="auto"/>
        </w:rPr>
        <w:t>. If at any time the Administrative Agent determines that Cash Collateral is subject to any right or claim of any Person other than the Administrative Agent or the Issuing Banks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61" w:lineRule="exact"/>
        <w:rPr>
          <w:sz w:val="20"/>
          <w:szCs w:val="20"/>
          <w:color w:val="auto"/>
        </w:rPr>
      </w:pPr>
    </w:p>
    <w:p>
      <w:pPr>
        <w:ind w:right="140" w:firstLine="1945"/>
        <w:spacing w:after="0" w:line="303" w:lineRule="auto"/>
        <w:rPr>
          <w:sz w:val="20"/>
          <w:szCs w:val="20"/>
          <w:color w:val="auto"/>
        </w:rPr>
      </w:pPr>
      <w:r>
        <w:rPr>
          <w:rFonts w:ascii="Arial" w:cs="Arial" w:eastAsia="Arial" w:hAnsi="Arial"/>
          <w:sz w:val="16"/>
          <w:szCs w:val="16"/>
          <w:b w:val="1"/>
          <w:bCs w:val="1"/>
          <w:color w:val="auto"/>
        </w:rPr>
        <w:t xml:space="preserve">§2.16.3 </w:t>
      </w:r>
      <w:r>
        <w:rPr>
          <w:rFonts w:ascii="Arial" w:cs="Arial" w:eastAsia="Arial" w:hAnsi="Arial"/>
          <w:sz w:val="16"/>
          <w:szCs w:val="16"/>
          <w:u w:val="single" w:color="auto"/>
          <w:color w:val="auto"/>
        </w:rPr>
        <w:t>Application</w:t>
      </w:r>
      <w:r>
        <w:rPr>
          <w:rFonts w:ascii="Arial" w:cs="Arial" w:eastAsia="Arial" w:hAnsi="Arial"/>
          <w:sz w:val="16"/>
          <w:szCs w:val="16"/>
          <w:color w:val="auto"/>
        </w:rPr>
        <w:t>. Notwithstanding anything to the contrary contained in this Agreement, Cash Collateral provided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of this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12.3</w:t>
      </w:r>
      <w:r>
        <w:rPr>
          <w:rFonts w:ascii="Arial" w:cs="Arial" w:eastAsia="Arial" w:hAnsi="Arial"/>
          <w:sz w:val="16"/>
          <w:szCs w:val="16"/>
          <w:color w:val="auto"/>
        </w:rPr>
        <w:t xml:space="preserve"> in respect of Letters of Credit shall be held and applied to the satisfaction of the specific L/C Obligations, obligations to fund participations therein (including, as to Cash Collateral provided by a Defaulting Bank, any interest accrued on such obligation) and other obligations for which the Cash Collateral was so provided, prior to any other application of such property as may otherwise be provided for herein.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1945"/>
        <w:spacing w:after="0" w:line="292" w:lineRule="auto"/>
        <w:rPr>
          <w:sz w:val="20"/>
          <w:szCs w:val="20"/>
          <w:color w:val="auto"/>
        </w:rPr>
      </w:pPr>
      <w:r>
        <w:rPr>
          <w:rFonts w:ascii="Arial" w:cs="Arial" w:eastAsia="Arial" w:hAnsi="Arial"/>
          <w:sz w:val="16"/>
          <w:szCs w:val="16"/>
          <w:b w:val="1"/>
          <w:bCs w:val="1"/>
          <w:color w:val="auto"/>
        </w:rPr>
        <w:t xml:space="preserve">§2.16.4 </w:t>
      </w:r>
      <w:r>
        <w:rPr>
          <w:rFonts w:ascii="Arial" w:cs="Arial" w:eastAsia="Arial" w:hAnsi="Arial"/>
          <w:sz w:val="16"/>
          <w:szCs w:val="16"/>
          <w:u w:val="single" w:color="auto"/>
          <w:color w:val="auto"/>
        </w:rPr>
        <w:t>Release</w:t>
      </w:r>
      <w:r>
        <w:rPr>
          <w:rFonts w:ascii="Arial" w:cs="Arial" w:eastAsia="Arial" w:hAnsi="Arial"/>
          <w:sz w:val="16"/>
          <w:szCs w:val="16"/>
          <w:color w:val="auto"/>
        </w:rPr>
        <w:t>. Cash Collateral (or the appropriate portion thereof) provided to reduce Fronting Exposure or to secure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obligations shall be released promptly following (i) the elimination of the applicable Fronting Exposure or other obligations giving rise thereto (including by the termination of Defaulting Bank status of the applicable Bank (or, as appropriate, its assignee following compliance with §20) or (ii) the determination by the Administrative Agent and the applicable Issuing Bank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Issuing Bank may agree that Cash Collateral shall not be released but instead held to support future anticipated Fronting Exposure or other obligations.</w:t>
      </w:r>
    </w:p>
    <w:p>
      <w:pPr>
        <w:spacing w:after="0" w:line="162"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8"/>
          <w:szCs w:val="18"/>
          <w:b w:val="1"/>
          <w:bCs w:val="1"/>
          <w:color w:val="auto"/>
        </w:rPr>
        <w:t>Defaulting Banks</w:t>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7"/>
          <w:szCs w:val="17"/>
          <w:b w:val="1"/>
          <w:bCs w:val="1"/>
          <w:color w:val="auto"/>
        </w:rPr>
        <w:t>§2.17.1</w:t>
      </w:r>
      <w:r>
        <w:rPr>
          <w:sz w:val="20"/>
          <w:szCs w:val="20"/>
          <w:color w:val="auto"/>
        </w:rPr>
        <w:tab/>
      </w: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anything to the contrary contained in this Agreement, if any Bank becomes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Defaulting Bank, then, until such time as that Bank is no longer a Defaulting Bank, to the extent permitted by applicable law:</w:t>
      </w:r>
    </w:p>
    <w:p>
      <w:pPr>
        <w:spacing w:after="0" w:line="211" w:lineRule="exact"/>
        <w:rPr>
          <w:sz w:val="20"/>
          <w:szCs w:val="20"/>
          <w:color w:val="auto"/>
        </w:rPr>
      </w:pPr>
    </w:p>
    <w:p>
      <w:pPr>
        <w:ind w:left="700" w:right="520" w:firstLine="655"/>
        <w:spacing w:after="0" w:line="277" w:lineRule="auto"/>
        <w:tabs>
          <w:tab w:leader="none" w:pos="1993"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Bank’s right to approve or disapprove any amendment, waiver or consent with respect to this Agreement shall be restricted as set forth in the definition of “Majority Banks” and </w:t>
      </w:r>
      <w:r>
        <w:rPr>
          <w:rFonts w:ascii="Arial" w:cs="Arial" w:eastAsia="Arial" w:hAnsi="Arial"/>
          <w:sz w:val="18"/>
          <w:szCs w:val="18"/>
          <w:u w:val="single" w:color="auto"/>
          <w:color w:val="auto"/>
        </w:rPr>
        <w:t>§15.9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00" w:right="40" w:firstLine="655"/>
        <w:spacing w:after="0" w:line="283" w:lineRule="auto"/>
        <w:tabs>
          <w:tab w:leader="none" w:pos="2004"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Defaulting Bank Waterfall</w:t>
      </w:r>
      <w:r>
        <w:rPr>
          <w:rFonts w:ascii="Arial" w:cs="Arial" w:eastAsia="Arial" w:hAnsi="Arial"/>
          <w:sz w:val="16"/>
          <w:szCs w:val="16"/>
          <w:color w:val="auto"/>
        </w:rPr>
        <w:t xml:space="preserve">. Any payment of principal, interest, fees or other amounts received by the Administrative Agent for the account of such Defaulting Bank (whether voluntary or mandatory, at maturity, pursuant to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or otherwise) or received by the Administrative Agent from a Defaulting Bank pursuant to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shall be applied at such time or times as may be determined by the Administrative Agent as follows: first, to the payment of any amounts owing by such Defaulting Bank to the Administrative Agent hereunder; second, to the payment on a pro rata basis of any amounts owing by such Defaulting Bank to any Issuing Bank or Swing Line Bank hereunder; third, to Cash Collateralize the Issuing Banks’ Fronting Exposure with respect to such Defaulting Bank in accordance with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fourth, as the Company may request (so long as no Default or Event of Default exists), to the funding of any Loan in respect of which such Defaulting Bank has failed to fund its portion thereof as required by this Agreement, as determined by the Administrative Agent; fifth, if so determined by the Administrative Agent and the Company, to be held in a deposit account and released pro rata in order to (x) satisfy such Defaulting Bank’s potential future funding obligations with respect to Loans under this Agreement and (y) Cash Collateralize the Issuing Banks’ future Fronting Exposure with respect to such Defaulting Bank with respect to future Letters of Credit issued under this Agreement, in accordance with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sixth, to the payment of any amounts owing to the Banks, Issuing Banks or the Swing Line Bank as a result of any judgment of a court of competent jurisdiction obtained by any Bank, any Issuing Bank or the Swing Line Bank against such Defaulting Bank as a result of such Defaulting Bank’s breach of its obligations under this Agreement; seventh, so long as no Default or Event of Default exists, to the payment of any amounts owing to the Company as a result of any judgment of a court of competent jurisdiction obtained by the Company against such Defaulting Bank as a result of such Defaulting Bank’s breach of its obligations under this Agreement; and eighth, to such Defaulting Bank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w:t>
      </w:r>
    </w:p>
    <w:p>
      <w:pPr>
        <w:ind w:left="700" w:firstLine="7"/>
        <w:spacing w:after="0" w:line="273" w:lineRule="auto"/>
        <w:tabs>
          <w:tab w:leader="none" w:pos="9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such payment is a payment of the principal amount of any Loans or L/C Borrowings in respect of which such Defaulting Bank has not fully funded its appropriate share, and (y) such Loans were made or the related Letters of Credit were issued at a time when the conditions set forth in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were satisfied or waived, such payment shall be applied solely to pay the Loans of, and L/C Obligations owed to, all Non-Defaulting Banks on a pro rata basis prior to being applied to the payment of any Loans of, or L/C Obligations owed to, such Defaulting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32" w:name="page33"/>
    <w:bookmarkEnd w:id="32"/>
    <w:p>
      <w:pPr>
        <w:ind w:left="700" w:right="100"/>
        <w:spacing w:after="0" w:line="279" w:lineRule="auto"/>
        <w:rPr>
          <w:sz w:val="20"/>
          <w:szCs w:val="20"/>
          <w:color w:val="auto"/>
        </w:rPr>
      </w:pPr>
      <w:r>
        <w:rPr>
          <w:rFonts w:ascii="Arial" w:cs="Arial" w:eastAsia="Arial" w:hAnsi="Arial"/>
          <w:sz w:val="17"/>
          <w:szCs w:val="17"/>
          <w:color w:val="auto"/>
        </w:rPr>
        <w:t xml:space="preserve">Bank until such time as all Loans and funded and unfunded participations in L/C Obligations and Swing Line Loans are held by the Banks pro rata in accordance with the Commitments hereunder without giving effect to </w:t>
      </w:r>
      <w:r>
        <w:rPr>
          <w:rFonts w:ascii="Arial" w:cs="Arial" w:eastAsia="Arial" w:hAnsi="Arial"/>
          <w:sz w:val="17"/>
          <w:szCs w:val="17"/>
          <w:u w:val="single" w:color="auto"/>
          <w:color w:val="auto"/>
        </w:rPr>
        <w:t>§2.17.1(d)</w:t>
      </w:r>
      <w:r>
        <w:rPr>
          <w:rFonts w:ascii="Arial" w:cs="Arial" w:eastAsia="Arial" w:hAnsi="Arial"/>
          <w:sz w:val="17"/>
          <w:szCs w:val="17"/>
          <w:color w:val="auto"/>
        </w:rPr>
        <w:t xml:space="preserve">. Any payments, prepayments or other amounts paid or payable to a Defaulting Bank that are applied (or held) to pay amounts owed by a Defaulting Bank or to post Cash Collateral pursuant to this </w:t>
      </w:r>
      <w:r>
        <w:rPr>
          <w:rFonts w:ascii="Arial" w:cs="Arial" w:eastAsia="Arial" w:hAnsi="Arial"/>
          <w:sz w:val="17"/>
          <w:szCs w:val="17"/>
          <w:u w:val="single" w:color="auto"/>
          <w:color w:val="auto"/>
        </w:rPr>
        <w:t>§2.17.1(b)</w:t>
      </w:r>
      <w:r>
        <w:rPr>
          <w:rFonts w:ascii="Arial" w:cs="Arial" w:eastAsia="Arial" w:hAnsi="Arial"/>
          <w:sz w:val="17"/>
          <w:szCs w:val="17"/>
          <w:color w:val="auto"/>
        </w:rPr>
        <w:t xml:space="preserve"> shall be deemed paid to and redirected by such Defaulting Bank, and each Bank irrevocably consents hereto.</w:t>
      </w:r>
    </w:p>
    <w:p>
      <w:pPr>
        <w:spacing w:after="0" w:line="171" w:lineRule="exact"/>
        <w:rPr>
          <w:sz w:val="20"/>
          <w:szCs w:val="20"/>
          <w:color w:val="auto"/>
        </w:rPr>
      </w:pPr>
    </w:p>
    <w:p>
      <w:pPr>
        <w:ind w:left="2020" w:hanging="665"/>
        <w:spacing w:after="0"/>
        <w:tabs>
          <w:tab w:leader="none" w:pos="2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Certain Fees.</w:t>
      </w:r>
    </w:p>
    <w:p>
      <w:pPr>
        <w:spacing w:after="0" w:line="225" w:lineRule="exact"/>
        <w:rPr>
          <w:rFonts w:ascii="Arial" w:cs="Arial" w:eastAsia="Arial" w:hAnsi="Arial"/>
          <w:sz w:val="18"/>
          <w:szCs w:val="18"/>
          <w:color w:val="auto"/>
        </w:rPr>
      </w:pPr>
    </w:p>
    <w:p>
      <w:pPr>
        <w:ind w:left="1300" w:right="260" w:firstLine="653"/>
        <w:spacing w:after="0" w:line="312" w:lineRule="auto"/>
        <w:tabs>
          <w:tab w:leader="none" w:pos="2618" w:val="left"/>
        </w:tabs>
        <w:numPr>
          <w:ilvl w:val="2"/>
          <w:numId w:val="45"/>
        </w:numPr>
        <w:rPr>
          <w:rFonts w:ascii="Arial" w:cs="Arial" w:eastAsia="Arial" w:hAnsi="Arial"/>
          <w:sz w:val="16"/>
          <w:szCs w:val="16"/>
          <w:color w:val="auto"/>
        </w:rPr>
      </w:pPr>
      <w:r>
        <w:rPr>
          <w:rFonts w:ascii="Arial" w:cs="Arial" w:eastAsia="Arial" w:hAnsi="Arial"/>
          <w:sz w:val="16"/>
          <w:szCs w:val="16"/>
          <w:color w:val="auto"/>
        </w:rPr>
        <w:t xml:space="preserve">Each Defaulting Bank shall be entitled to receive fees payable under </w:t>
      </w:r>
      <w:r>
        <w:rPr>
          <w:rFonts w:ascii="Arial" w:cs="Arial" w:eastAsia="Arial" w:hAnsi="Arial"/>
          <w:sz w:val="16"/>
          <w:szCs w:val="16"/>
          <w:u w:val="single" w:color="auto"/>
          <w:color w:val="auto"/>
        </w:rPr>
        <w:t>§2.2.1</w:t>
      </w:r>
      <w:r>
        <w:rPr>
          <w:rFonts w:ascii="Arial" w:cs="Arial" w:eastAsia="Arial" w:hAnsi="Arial"/>
          <w:sz w:val="16"/>
          <w:szCs w:val="16"/>
          <w:color w:val="auto"/>
        </w:rPr>
        <w:t xml:space="preserve"> for any period during which that Bank is a Defaulting Bank only to extent allocable to the sum of (1) the Outstanding Amount of the Committed Loans funded by it, and (2) its Commitment Percentage of the stated amount of Letters of Credit for which it has provided Cash Collateral pursuant to </w:t>
      </w:r>
      <w:r>
        <w:rPr>
          <w:rFonts w:ascii="Arial" w:cs="Arial" w:eastAsia="Arial" w:hAnsi="Arial"/>
          <w:sz w:val="16"/>
          <w:szCs w:val="16"/>
          <w:u w:val="single" w:color="auto"/>
          <w:color w:val="auto"/>
        </w:rPr>
        <w:t>§2.16</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jc w:val="both"/>
        <w:ind w:left="1300" w:right="560" w:firstLine="653"/>
        <w:spacing w:after="0" w:line="264" w:lineRule="auto"/>
        <w:tabs>
          <w:tab w:leader="none" w:pos="2627" w:val="left"/>
        </w:tabs>
        <w:numPr>
          <w:ilvl w:val="2"/>
          <w:numId w:val="45"/>
        </w:numPr>
        <w:rPr>
          <w:rFonts w:ascii="Arial" w:cs="Arial" w:eastAsia="Arial" w:hAnsi="Arial"/>
          <w:sz w:val="18"/>
          <w:szCs w:val="18"/>
          <w:color w:val="auto"/>
        </w:rPr>
      </w:pPr>
      <w:r>
        <w:rPr>
          <w:rFonts w:ascii="Arial" w:cs="Arial" w:eastAsia="Arial" w:hAnsi="Arial"/>
          <w:sz w:val="18"/>
          <w:szCs w:val="18"/>
          <w:color w:val="auto"/>
        </w:rPr>
        <w:t xml:space="preserve">Each Defaulting Bank shall be entitled to receive Letter of Credit Fees for any period during which that Bank is a Defaulting Bank only to the extent allocable to its Commitment Percentage of the stated amount of Letters of Credit for which it has provided Cash Collateral pursuant to </w:t>
      </w:r>
      <w:r>
        <w:rPr>
          <w:rFonts w:ascii="Arial" w:cs="Arial" w:eastAsia="Arial" w:hAnsi="Arial"/>
          <w:sz w:val="18"/>
          <w:szCs w:val="18"/>
          <w:u w:val="single" w:color="auto"/>
          <w:color w:val="auto"/>
        </w:rPr>
        <w:t>§2.16</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640" w:hanging="687"/>
        <w:spacing w:after="0"/>
        <w:tabs>
          <w:tab w:leader="none" w:pos="2640" w:val="left"/>
        </w:tabs>
        <w:numPr>
          <w:ilvl w:val="2"/>
          <w:numId w:val="45"/>
        </w:numPr>
        <w:rPr>
          <w:rFonts w:ascii="Arial" w:cs="Arial" w:eastAsia="Arial" w:hAnsi="Arial"/>
          <w:sz w:val="17"/>
          <w:szCs w:val="17"/>
          <w:color w:val="auto"/>
        </w:rPr>
      </w:pPr>
      <w:r>
        <w:rPr>
          <w:rFonts w:ascii="Arial" w:cs="Arial" w:eastAsia="Arial" w:hAnsi="Arial"/>
          <w:sz w:val="17"/>
          <w:szCs w:val="17"/>
          <w:color w:val="auto"/>
        </w:rPr>
        <w:t xml:space="preserve">With respect to any Letter of Credit Fee not required to be paid to any Defaulting Bank pursuant to </w:t>
      </w:r>
      <w:r>
        <w:rPr>
          <w:rFonts w:ascii="Arial" w:cs="Arial" w:eastAsia="Arial" w:hAnsi="Arial"/>
          <w:sz w:val="17"/>
          <w:szCs w:val="17"/>
          <w:u w:val="single" w:color="auto"/>
          <w:color w:val="auto"/>
        </w:rPr>
        <w:t>clause (c)(i)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p>
    <w:p>
      <w:pPr>
        <w:spacing w:after="0" w:line="34" w:lineRule="exact"/>
        <w:rPr>
          <w:rFonts w:ascii="Arial" w:cs="Arial" w:eastAsia="Arial" w:hAnsi="Arial"/>
          <w:sz w:val="17"/>
          <w:szCs w:val="17"/>
          <w:color w:val="auto"/>
        </w:rPr>
      </w:pPr>
    </w:p>
    <w:p>
      <w:pPr>
        <w:ind w:left="1300" w:right="60" w:firstLine="5"/>
        <w:spacing w:after="0" w:line="271" w:lineRule="auto"/>
        <w:tabs>
          <w:tab w:leader="none" w:pos="1565" w:val="left"/>
        </w:tabs>
        <w:numPr>
          <w:ilvl w:val="0"/>
          <w:numId w:val="46"/>
        </w:numPr>
        <w:rPr>
          <w:rFonts w:ascii="Arial" w:cs="Arial" w:eastAsia="Arial" w:hAnsi="Arial"/>
          <w:sz w:val="17"/>
          <w:szCs w:val="17"/>
          <w:u w:val="single" w:color="auto"/>
          <w:color w:val="auto"/>
        </w:rPr>
      </w:pPr>
      <w:r>
        <w:rPr>
          <w:rFonts w:ascii="Arial" w:cs="Arial" w:eastAsia="Arial" w:hAnsi="Arial"/>
          <w:sz w:val="17"/>
          <w:szCs w:val="17"/>
          <w:color w:val="auto"/>
        </w:rPr>
        <w:t xml:space="preserve">above, the Company shall (x) pay to each Non-Defaulting Bank that portion of any such fee otherwise payable to such Defaulting Bank with respect to such Defaulting Bank’s participation in L/C Obligations or Swing Line Loans that has been reallocated to such Non-Defaulting Bank pursuant to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below, (y) pay to the Issuing Bank and Swing Line Bank, as applicable, the amount of any such fee otherwise payable to such Defaulting Bank to the extent allocable to such Issuing Bank’s or Swing Line Bank’s Fronting Exposure to such Defaulting Bank, and (z) not be required to pay the remaining amount of any such fee.</w:t>
      </w:r>
    </w:p>
    <w:p>
      <w:pPr>
        <w:spacing w:after="0" w:line="178" w:lineRule="exact"/>
        <w:rPr>
          <w:rFonts w:ascii="Arial" w:cs="Arial" w:eastAsia="Arial" w:hAnsi="Arial"/>
          <w:sz w:val="17"/>
          <w:szCs w:val="17"/>
          <w:u w:val="single" w:color="auto"/>
          <w:color w:val="auto"/>
        </w:rPr>
      </w:pPr>
    </w:p>
    <w:p>
      <w:pPr>
        <w:ind w:left="700" w:right="160" w:firstLine="655"/>
        <w:spacing w:after="0" w:line="255" w:lineRule="auto"/>
        <w:tabs>
          <w:tab w:leader="none" w:pos="2004"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Reallocation of Commitment Percentages to Reduce Fronting Exposure</w:t>
      </w:r>
      <w:r>
        <w:rPr>
          <w:rFonts w:ascii="Arial" w:cs="Arial" w:eastAsia="Arial" w:hAnsi="Arial"/>
          <w:sz w:val="18"/>
          <w:szCs w:val="18"/>
          <w:color w:val="auto"/>
        </w:rPr>
        <w:t xml:space="preserve">. All or any part of such Defaulting Bank’s participation in L/C Obligations and Swing Line Loans shall be reallocated among the Non-Defaulting Banks in accordance with their respective Commitment Percentages (calculated without regard to such Defaulting Bank’s Commitment) but only to the extent that such reallocation does not cause the aggregate Revolving Credit Exposure of any Non-Defaulting Bank to exceed such Non-Defaulting Bank’s Commitment. Subject to </w:t>
      </w:r>
      <w:r>
        <w:rPr>
          <w:rFonts w:ascii="Arial" w:cs="Arial" w:eastAsia="Arial" w:hAnsi="Arial"/>
          <w:sz w:val="18"/>
          <w:szCs w:val="18"/>
          <w:u w:val="single" w:color="auto"/>
          <w:color w:val="auto"/>
        </w:rPr>
        <w:t>§35</w:t>
      </w:r>
      <w:r>
        <w:rPr>
          <w:rFonts w:ascii="Arial" w:cs="Arial" w:eastAsia="Arial" w:hAnsi="Arial"/>
          <w:sz w:val="18"/>
          <w:szCs w:val="18"/>
          <w:color w:val="auto"/>
        </w:rPr>
        <w:t>, no reallocation hereunder shall constitute a waiver or release of any claim of any party hereunder against a Defaulting Bank arising from that Bank having become a Defaulting Bank, including any claim of a Non-Defaulting Bank as a result of such Non-Defaulting Bank’s increased exposure following such reallocation.</w:t>
      </w:r>
    </w:p>
    <w:p>
      <w:pPr>
        <w:spacing w:after="0" w:line="189" w:lineRule="exact"/>
        <w:rPr>
          <w:rFonts w:ascii="Arial" w:cs="Arial" w:eastAsia="Arial" w:hAnsi="Arial"/>
          <w:sz w:val="18"/>
          <w:szCs w:val="18"/>
          <w:color w:val="auto"/>
        </w:rPr>
      </w:pPr>
    </w:p>
    <w:p>
      <w:pPr>
        <w:ind w:left="700" w:right="100" w:firstLine="655"/>
        <w:spacing w:after="0" w:line="259" w:lineRule="auto"/>
        <w:tabs>
          <w:tab w:leader="none" w:pos="2007"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§2.17.1(d)</w:t>
      </w:r>
      <w:r>
        <w:rPr>
          <w:rFonts w:ascii="Arial" w:cs="Arial" w:eastAsia="Arial" w:hAnsi="Arial"/>
          <w:sz w:val="18"/>
          <w:szCs w:val="18"/>
          <w:color w:val="auto"/>
        </w:rPr>
        <w:t xml:space="preserve"> above cannot, or can only partially, be effected, the Company shall, without prejudice to any right or remedy available to it hereunder or under applicable law, (x) first, prepay Swing Line Loans in an amount equal to the Swing Line Bank’s Fronting Exposure and (y) second, Cash Collateralize the Issuing Banks’ Fronting Exposure in accordance with the procedures set forth in </w:t>
      </w:r>
      <w:r>
        <w:rPr>
          <w:rFonts w:ascii="Arial" w:cs="Arial" w:eastAsia="Arial" w:hAnsi="Arial"/>
          <w:sz w:val="18"/>
          <w:szCs w:val="18"/>
          <w:u w:val="single" w:color="auto"/>
          <w:color w:val="auto"/>
        </w:rPr>
        <w:t>§2.16</w:t>
      </w:r>
      <w:r>
        <w:rPr>
          <w:rFonts w:ascii="Arial" w:cs="Arial" w:eastAsia="Arial" w:hAnsi="Arial"/>
          <w:sz w:val="18"/>
          <w:szCs w:val="18"/>
          <w:color w:val="auto"/>
        </w:rPr>
        <w:t>.</w:t>
      </w:r>
    </w:p>
    <w:p>
      <w:pPr>
        <w:spacing w:after="0" w:line="183" w:lineRule="exact"/>
        <w:rPr>
          <w:sz w:val="20"/>
          <w:szCs w:val="20"/>
          <w:color w:val="auto"/>
        </w:rPr>
      </w:pPr>
    </w:p>
    <w:p>
      <w:pPr>
        <w:jc w:val="both"/>
        <w:ind w:right="100" w:firstLine="1945"/>
        <w:spacing w:after="0" w:line="266" w:lineRule="auto"/>
        <w:rPr>
          <w:sz w:val="20"/>
          <w:szCs w:val="20"/>
          <w:color w:val="auto"/>
        </w:rPr>
      </w:pPr>
      <w:r>
        <w:rPr>
          <w:rFonts w:ascii="Arial" w:cs="Arial" w:eastAsia="Arial" w:hAnsi="Arial"/>
          <w:sz w:val="18"/>
          <w:szCs w:val="18"/>
          <w:b w:val="1"/>
          <w:bCs w:val="1"/>
          <w:color w:val="auto"/>
        </w:rPr>
        <w:t xml:space="preserve">§2.17.2 </w:t>
      </w:r>
      <w:r>
        <w:rPr>
          <w:rFonts w:ascii="Arial" w:cs="Arial" w:eastAsia="Arial" w:hAnsi="Arial"/>
          <w:sz w:val="18"/>
          <w:szCs w:val="18"/>
          <w:u w:val="single" w:color="auto"/>
          <w:color w:val="auto"/>
        </w:rPr>
        <w:t>Defaulting Bank Cure</w:t>
      </w:r>
      <w:r>
        <w:rPr>
          <w:rFonts w:ascii="Arial" w:cs="Arial" w:eastAsia="Arial" w:hAnsi="Arial"/>
          <w:sz w:val="18"/>
          <w:szCs w:val="18"/>
          <w:color w:val="auto"/>
        </w:rPr>
        <w:t>. If the Company, the Administrative Agent, Swing Line Bank and the Issuing Banks agree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that a Bank is no longer a Defaulting Bank, the Administrative Agent will so notify the parties hereto, whereupon as of the effective date specified in such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notice and subject to any conditions set forth therein (which may include arrangements with respect to any Cash Collateral), that Bank will, to the extent applicable, purchase at par that portion of outstanding Loans of the other Banks or take such other actions as the Administrative Agent may determine to be necessary to cause the Committed Loans and funded and unfunded participations in Letters of Credit and Swing Line Loans to be held on a pro rata basis by the Banks in accordance with their Commitment Percentages (without giving effect to </w:t>
      </w:r>
      <w:r>
        <w:rPr>
          <w:rFonts w:ascii="Arial" w:cs="Arial" w:eastAsia="Arial" w:hAnsi="Arial"/>
          <w:sz w:val="16"/>
          <w:szCs w:val="16"/>
          <w:u w:val="single" w:color="auto"/>
          <w:color w:val="auto"/>
        </w:rPr>
        <w:t>§2.17.1(d)</w:t>
      </w:r>
      <w:r>
        <w:rPr>
          <w:rFonts w:ascii="Arial" w:cs="Arial" w:eastAsia="Arial" w:hAnsi="Arial"/>
          <w:sz w:val="16"/>
          <w:szCs w:val="16"/>
          <w:color w:val="auto"/>
        </w:rPr>
        <w:t xml:space="preserve">), whereupon such Bank will cease to be a Defaulting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Company while that Bank was a Defaulting Bank;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Bank to Bank will constitute a waiver or release of any claim of any party hereunder arising from that Bank’s having been a Defaulting Bank.</w:t>
      </w:r>
    </w:p>
    <w:p>
      <w:pPr>
        <w:spacing w:after="0" w:line="163"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b w:val="1"/>
          <w:bCs w:val="1"/>
          <w:color w:val="auto"/>
        </w:rPr>
        <w:t>§2.18. Replacement of Banks; Termination of Commitments</w:t>
      </w:r>
      <w:r>
        <w:rPr>
          <w:rFonts w:ascii="Arial" w:cs="Arial" w:eastAsia="Arial" w:hAnsi="Arial"/>
          <w:sz w:val="16"/>
          <w:szCs w:val="16"/>
          <w:color w:val="auto"/>
        </w:rPr>
        <w:t>. If any Bank (an “</w:t>
      </w:r>
      <w:r>
        <w:rPr>
          <w:rFonts w:ascii="Arial" w:cs="Arial" w:eastAsia="Arial" w:hAnsi="Arial"/>
          <w:sz w:val="16"/>
          <w:szCs w:val="16"/>
          <w:u w:val="single" w:color="auto"/>
          <w:color w:val="auto"/>
        </w:rPr>
        <w:t>Affected Bank</w:t>
      </w:r>
      <w:r>
        <w:rPr>
          <w:rFonts w:ascii="Arial" w:cs="Arial" w:eastAsia="Arial" w:hAnsi="Arial"/>
          <w:sz w:val="16"/>
          <w:szCs w:val="16"/>
          <w:color w:val="auto"/>
        </w:rPr>
        <w:t>”) (i) makes demand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Borrowers for (or if a Borrower is otherwise required to pay) amounts pursuant to </w:t>
      </w:r>
      <w:r>
        <w:rPr>
          <w:rFonts w:ascii="Arial" w:cs="Arial" w:eastAsia="Arial" w:hAnsi="Arial"/>
          <w:sz w:val="16"/>
          <w:szCs w:val="16"/>
          <w:u w:val="single" w:color="auto"/>
          <w:color w:val="auto"/>
        </w:rPr>
        <w:t>§§3.4.1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3.4.2</w:t>
      </w:r>
      <w:r>
        <w:rPr>
          <w:rFonts w:ascii="Arial" w:cs="Arial" w:eastAsia="Arial" w:hAnsi="Arial"/>
          <w:sz w:val="16"/>
          <w:szCs w:val="16"/>
          <w:color w:val="auto"/>
        </w:rPr>
        <w:t xml:space="preserve">, (ii) is unable to make or maintain Eurocurrency Loans as a result of a condition described in </w:t>
      </w:r>
      <w:r>
        <w:rPr>
          <w:rFonts w:ascii="Arial" w:cs="Arial" w:eastAsia="Arial" w:hAnsi="Arial"/>
          <w:sz w:val="16"/>
          <w:szCs w:val="16"/>
          <w:u w:val="single" w:color="auto"/>
          <w:color w:val="auto"/>
        </w:rPr>
        <w:t>§§ 3.2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(iii) is a Defaulting Bank, or (iv) is a Non-Consenting Bank (as defined below), the Company may, within 90 days of receipt of such demand, notice (or the occurrence of such other event causing a Borrower to be required to pay such compensation or causing </w:t>
      </w:r>
      <w:r>
        <w:rPr>
          <w:rFonts w:ascii="Arial" w:cs="Arial" w:eastAsia="Arial" w:hAnsi="Arial"/>
          <w:sz w:val="16"/>
          <w:szCs w:val="16"/>
          <w:u w:val="single" w:color="auto"/>
          <w:color w:val="auto"/>
        </w:rPr>
        <w:t>§§ 3.2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w:t>
      </w:r>
      <w:r>
        <w:rPr>
          <w:rFonts w:ascii="Arial" w:cs="Arial" w:eastAsia="Arial" w:hAnsi="Arial"/>
          <w:sz w:val="16"/>
          <w:szCs w:val="16"/>
          <w:color w:val="auto"/>
        </w:rPr>
        <w:t>.3 to be applicable), default or approval of such amendment, waiver or consent by the Majority Banks, as the case may be, by notice (a “</w:t>
      </w: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in writing to the Administrative Agent and such Affected Bank (A) request the Affected Bank to cooperate with the Company in obtaining a replacement bank satisfactory to the Administrative Agent and the Company (the “</w:t>
      </w:r>
      <w:r>
        <w:rPr>
          <w:rFonts w:ascii="Arial" w:cs="Arial" w:eastAsia="Arial" w:hAnsi="Arial"/>
          <w:sz w:val="16"/>
          <w:szCs w:val="16"/>
          <w:u w:val="single" w:color="auto"/>
          <w:color w:val="auto"/>
        </w:rPr>
        <w:t>Replacement Bank</w:t>
      </w:r>
      <w:r>
        <w:rPr>
          <w:rFonts w:ascii="Arial" w:cs="Arial" w:eastAsia="Arial" w:hAnsi="Arial"/>
          <w:sz w:val="16"/>
          <w:szCs w:val="16"/>
          <w:color w:val="auto"/>
        </w:rPr>
        <w:t xml:space="preserve">”)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(C) designate a Replacement Bank reasonably satisfactory to the Administrative Agent; or (D) so long as no Event of Default has occurred and is continuing, terminate the Commitments of such Bank as set forth below. If any satisfactory Replacement Bank shall be obtained, and/or any of the non-Affected Banks shall agree to acquire and assume all of the Affected Bank’s Loans and Commitment, and obligations to participate in Letters of Credit, then the Borrower may, upon notice to such Affected Bank and the Administrative Agent, require such Affected Bank to assign and delegate, without recourse (in accordance with and subject to the restrictions contained in, and consents required by, §20), all of its interests, rights and obligations under this Agreement and the related Loan Documents to an assignee that shall assume such obligations (which assignee may be another Bank, if a Bank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73" w:lineRule="exact"/>
        <w:rPr>
          <w:sz w:val="20"/>
          <w:szCs w:val="20"/>
          <w:color w:val="auto"/>
        </w:rPr>
      </w:pPr>
    </w:p>
    <w:p>
      <w:pPr>
        <w:ind w:left="2000" w:hanging="645"/>
        <w:spacing w:after="0"/>
        <w:tabs>
          <w:tab w:leader="none" w:pos="2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Borrowers shall have paid to the Administrative Agent the assignment fee specified in </w:t>
      </w:r>
      <w:r>
        <w:rPr>
          <w:rFonts w:ascii="Arial" w:cs="Arial" w:eastAsia="Arial" w:hAnsi="Arial"/>
          <w:sz w:val="17"/>
          <w:szCs w:val="17"/>
          <w:u w:val="single" w:color="auto"/>
          <w:color w:val="auto"/>
        </w:rPr>
        <w:t>§20</w:t>
      </w:r>
      <w:r>
        <w:rPr>
          <w:rFonts w:ascii="Arial" w:cs="Arial" w:eastAsia="Arial" w:hAnsi="Arial"/>
          <w:sz w:val="17"/>
          <w:szCs w:val="17"/>
          <w:color w:val="auto"/>
        </w:rPr>
        <w:t xml:space="preserve"> (to the extent not waived);</w:t>
      </w:r>
    </w:p>
    <w:p>
      <w:pPr>
        <w:spacing w:after="0" w:line="236" w:lineRule="exact"/>
        <w:rPr>
          <w:rFonts w:ascii="Arial" w:cs="Arial" w:eastAsia="Arial" w:hAnsi="Arial"/>
          <w:sz w:val="17"/>
          <w:szCs w:val="17"/>
          <w:color w:val="auto"/>
        </w:rPr>
      </w:pPr>
    </w:p>
    <w:p>
      <w:pPr>
        <w:ind w:left="700" w:firstLine="655"/>
        <w:spacing w:after="0" w:line="297" w:lineRule="auto"/>
        <w:tabs>
          <w:tab w:leader="none" w:pos="2004"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subject to the provisions in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with respect to any Defaulting Bank in the case of reallocation of payments to such Defaulting Bank for amounts described in clauses first, sixth and seventh of such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such Affected Bank shall have received payment of an amount equal to 100% of the outstanding principal of its Loans and funded participations in Letters of Credit,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§§3.4.1</w:t>
      </w:r>
      <w:r>
        <w:rPr>
          <w:rFonts w:ascii="Arial" w:cs="Arial" w:eastAsia="Arial" w:hAnsi="Arial"/>
          <w:sz w:val="16"/>
          <w:szCs w:val="16"/>
          <w:color w:val="auto"/>
        </w:rPr>
        <w:t xml:space="preserve">, </w:t>
      </w:r>
      <w:r>
        <w:rPr>
          <w:rFonts w:ascii="Arial" w:cs="Arial" w:eastAsia="Arial" w:hAnsi="Arial"/>
          <w:sz w:val="16"/>
          <w:szCs w:val="16"/>
          <w:u w:val="single" w:color="auto"/>
          <w:color w:val="auto"/>
        </w:rPr>
        <w:t>3.4.2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3.5</w:t>
      </w:r>
      <w:r>
        <w:rPr>
          <w:rFonts w:ascii="Arial" w:cs="Arial" w:eastAsia="Arial" w:hAnsi="Arial"/>
          <w:sz w:val="16"/>
          <w:szCs w:val="16"/>
          <w:color w:val="auto"/>
        </w:rPr>
        <w:t>) from the assignee (to the extent of such outstanding principal and accrued interest and fees) or the Borrower (in the case of all other amounts);</w:t>
      </w:r>
    </w:p>
    <w:p>
      <w:pPr>
        <w:sectPr>
          <w:pgSz w:w="11900" w:h="16838" w:orient="portrait"/>
          <w:cols w:equalWidth="0" w:num="1">
            <w:col w:w="11400"/>
          </w:cols>
          <w:pgMar w:left="240" w:top="125" w:right="259" w:bottom="33" w:gutter="0" w:footer="0" w:header="0"/>
        </w:sectPr>
      </w:pPr>
    </w:p>
    <w:bookmarkStart w:id="33" w:name="page34"/>
    <w:bookmarkEnd w:id="33"/>
    <w:p>
      <w:pPr>
        <w:ind w:left="700" w:right="80" w:firstLine="655"/>
        <w:spacing w:after="0" w:line="277" w:lineRule="auto"/>
        <w:tabs>
          <w:tab w:leader="none" w:pos="20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§§3.4.1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3.4.2</w:t>
      </w:r>
      <w:r>
        <w:rPr>
          <w:rFonts w:ascii="Arial" w:cs="Arial" w:eastAsia="Arial" w:hAnsi="Arial"/>
          <w:sz w:val="18"/>
          <w:szCs w:val="18"/>
          <w:color w:val="auto"/>
        </w:rPr>
        <w:t>, such assignment will result in a reduction in such compensation or payments thereafter;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20" w:hanging="665"/>
        <w:spacing w:after="0"/>
        <w:tabs>
          <w:tab w:leader="none" w:pos="2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Bank shall not be required to make any such assignment or delegation if, prior thereto, as a result of a waiver by such Bank or otherwise, the circumstances entitling the Borrower to require such assignment and delegation cease to apply. Upon the effective date of such assignment, such Replacement Bank shall become a “Bank” for all purposes under this Agreement and the other Loan Documents.</w:t>
      </w:r>
    </w:p>
    <w:p>
      <w:pPr>
        <w:spacing w:after="0" w:line="181" w:lineRule="exact"/>
        <w:rPr>
          <w:sz w:val="20"/>
          <w:szCs w:val="20"/>
          <w:color w:val="auto"/>
        </w:rPr>
      </w:pPr>
    </w:p>
    <w:p>
      <w:pPr>
        <w:ind w:firstLine="972"/>
        <w:spacing w:after="0" w:line="269" w:lineRule="auto"/>
        <w:rPr>
          <w:sz w:val="20"/>
          <w:szCs w:val="20"/>
          <w:color w:val="auto"/>
        </w:rPr>
      </w:pPr>
      <w:r>
        <w:rPr>
          <w:rFonts w:ascii="Arial" w:cs="Arial" w:eastAsia="Arial" w:hAnsi="Arial"/>
          <w:sz w:val="17"/>
          <w:szCs w:val="17"/>
          <w:color w:val="auto"/>
        </w:rPr>
        <w:t xml:space="preserve">If the Company elects to terminate the Commitments of a Bank in accordance with clause (D) above, all of the Commitments of such Bank shall be terminated immediately (with the Total Commitment reduced in a like amount on a non-pro rata basis) upon the later of (i) the date of the receipt by the Administrative Agent and such Bank of the Company’s written notice of such election and (ii) the date that the Borrowers have repaid all outstanding principal of its Loans of such Bank and provided cash collateral or other credit support satisfactory to the Administrative Agent and each applicable Issuing Bank with respect to all such Bank’s Letters of Credit, together with accrued interest thereon, accrued fees and all other amounts payable to it hereunder and under the other Loan Documents (including any amounts under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(which payments and credit support may be held and applied to the Loans, interest, fees and other obligations of such Bank on a non-pro rata basis with payments made to the other Banks, notwithstanding the provisions of </w:t>
      </w:r>
      <w:r>
        <w:rPr>
          <w:rFonts w:ascii="Arial" w:cs="Arial" w:eastAsia="Arial" w:hAnsi="Arial"/>
          <w:sz w:val="17"/>
          <w:szCs w:val="17"/>
          <w:u w:val="single" w:color="auto"/>
          <w:color w:val="auto"/>
        </w:rPr>
        <w:t>§29</w:t>
      </w:r>
      <w:r>
        <w:rPr>
          <w:rFonts w:ascii="Arial" w:cs="Arial" w:eastAsia="Arial" w:hAnsi="Arial"/>
          <w:sz w:val="17"/>
          <w:szCs w:val="17"/>
          <w:color w:val="auto"/>
        </w:rPr>
        <w:t xml:space="preserve"> to the contrary);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not terminate the Commitments of a Bank pursuant to this paragraph if, after giving effect to such termination and the repayment of Loans of such Bank required hereby, the sum of (x) the outstanding principal amount of the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the Maximum Drawing Amount of outstanding Letters of Credit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(z) the amount of cash collateral or other credit support satisfactory to the Administrative Agent and each applicable Issuing Bank that the Company has provided to secure Reimbursement Obligations prior to or concurrently with such termination which would exceed the Total Commitment.</w:t>
      </w:r>
    </w:p>
    <w:p>
      <w:pPr>
        <w:spacing w:after="0" w:line="18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 xml:space="preserve">For the purposes of this </w:t>
      </w:r>
      <w:r>
        <w:rPr>
          <w:rFonts w:ascii="Arial" w:cs="Arial" w:eastAsia="Arial" w:hAnsi="Arial"/>
          <w:sz w:val="17"/>
          <w:szCs w:val="17"/>
          <w:u w:val="single" w:color="auto"/>
          <w:color w:val="auto"/>
        </w:rPr>
        <w:t>§2.18</w:t>
      </w:r>
      <w:r>
        <w:rPr>
          <w:rFonts w:ascii="Arial" w:cs="Arial" w:eastAsia="Arial" w:hAnsi="Arial"/>
          <w:sz w:val="17"/>
          <w:szCs w:val="17"/>
          <w:color w:val="auto"/>
        </w:rPr>
        <w:t>, a “</w:t>
      </w:r>
      <w:r>
        <w:rPr>
          <w:rFonts w:ascii="Arial" w:cs="Arial" w:eastAsia="Arial" w:hAnsi="Arial"/>
          <w:sz w:val="17"/>
          <w:szCs w:val="17"/>
          <w:u w:val="single" w:color="auto"/>
          <w:color w:val="auto"/>
        </w:rPr>
        <w:t>Non-Consenting Bank</w:t>
      </w:r>
      <w:r>
        <w:rPr>
          <w:rFonts w:ascii="Arial" w:cs="Arial" w:eastAsia="Arial" w:hAnsi="Arial"/>
          <w:sz w:val="17"/>
          <w:szCs w:val="17"/>
          <w:color w:val="auto"/>
        </w:rPr>
        <w:t xml:space="preserve">” means a Bank that fails to approve an amendment, waiver or consent requested by the Borrower pursuant to </w:t>
      </w:r>
      <w:r>
        <w:rPr>
          <w:rFonts w:ascii="Arial" w:cs="Arial" w:eastAsia="Arial" w:hAnsi="Arial"/>
          <w:sz w:val="17"/>
          <w:szCs w:val="17"/>
          <w:u w:val="single" w:color="auto"/>
          <w:color w:val="auto"/>
        </w:rPr>
        <w:t>§15.9</w:t>
      </w:r>
      <w:r>
        <w:rPr>
          <w:rFonts w:ascii="Arial" w:cs="Arial" w:eastAsia="Arial" w:hAnsi="Arial"/>
          <w:sz w:val="17"/>
          <w:szCs w:val="17"/>
          <w:color w:val="auto"/>
        </w:rPr>
        <w:t xml:space="preserve"> that has received the written approval of not less than the Majority Banks but also requires the approval of such Bank.</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8"/>
          <w:szCs w:val="18"/>
          <w:b w:val="1"/>
          <w:bCs w:val="1"/>
          <w:u w:val="single" w:color="auto"/>
          <w:color w:val="auto"/>
        </w:rPr>
        <w:t>TAXES, YIELD PROTECTION AND ILLEGALITY</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225" w:lineRule="exact"/>
        <w:rPr>
          <w:sz w:val="20"/>
          <w:szCs w:val="20"/>
          <w:color w:val="auto"/>
        </w:rPr>
      </w:pPr>
    </w:p>
    <w:p>
      <w:pPr>
        <w:ind w:right="20" w:firstLine="1945"/>
        <w:spacing w:after="0" w:line="277" w:lineRule="auto"/>
        <w:rPr>
          <w:sz w:val="20"/>
          <w:szCs w:val="20"/>
          <w:color w:val="auto"/>
        </w:rPr>
      </w:pPr>
      <w:r>
        <w:rPr>
          <w:rFonts w:ascii="Arial" w:cs="Arial" w:eastAsia="Arial" w:hAnsi="Arial"/>
          <w:sz w:val="17"/>
          <w:szCs w:val="17"/>
          <w:b w:val="1"/>
          <w:bCs w:val="1"/>
          <w:color w:val="auto"/>
        </w:rPr>
        <w:t xml:space="preserve">§3.1.1 </w:t>
      </w:r>
      <w:r>
        <w:rPr>
          <w:rFonts w:ascii="Arial" w:cs="Arial" w:eastAsia="Arial" w:hAnsi="Arial"/>
          <w:sz w:val="17"/>
          <w:szCs w:val="17"/>
          <w:u w:val="single" w:color="auto"/>
          <w:color w:val="auto"/>
        </w:rPr>
        <w:t>Payments Free of Taxes; Obligation to Withhold; Payments on Account of Taxes</w:t>
      </w:r>
      <w:r>
        <w:rPr>
          <w:rFonts w:ascii="Arial" w:cs="Arial" w:eastAsia="Arial" w:hAnsi="Arial"/>
          <w:sz w:val="17"/>
          <w:szCs w:val="17"/>
          <w:color w:val="auto"/>
        </w:rPr>
        <w:t>. (a) Any and all payments by or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below.</w:t>
      </w:r>
    </w:p>
    <w:p>
      <w:pPr>
        <w:spacing w:after="0" w:line="172" w:lineRule="exact"/>
        <w:rPr>
          <w:sz w:val="20"/>
          <w:szCs w:val="20"/>
          <w:color w:val="auto"/>
        </w:rPr>
      </w:pPr>
    </w:p>
    <w:p>
      <w:pPr>
        <w:ind w:left="700" w:right="260" w:firstLine="655"/>
        <w:spacing w:after="0" w:line="293" w:lineRule="auto"/>
        <w:tabs>
          <w:tab w:leader="none" w:pos="2004"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reasonably determined by the Administrative Agent to be required based upon the information and documentation it has received pursuant to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 xml:space="preserve">required deductions (including deductions applicable to additional sums payable under this </w:t>
      </w:r>
      <w:r>
        <w:rPr>
          <w:rFonts w:ascii="Arial" w:cs="Arial" w:eastAsia="Arial" w:hAnsi="Arial"/>
          <w:sz w:val="18"/>
          <w:szCs w:val="18"/>
          <w:u w:val="single" w:color="auto"/>
          <w:color w:val="auto"/>
        </w:rPr>
        <w:t>§3.1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70" w:lineRule="exact"/>
        <w:rPr>
          <w:sz w:val="20"/>
          <w:szCs w:val="20"/>
          <w:color w:val="auto"/>
        </w:rPr>
      </w:pPr>
    </w:p>
    <w:p>
      <w:pPr>
        <w:ind w:left="700" w:right="60" w:firstLine="655"/>
        <w:spacing w:after="0" w:line="271" w:lineRule="auto"/>
        <w:tabs>
          <w:tab w:leader="none" w:pos="2007"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§3.1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75" w:lineRule="exact"/>
        <w:rPr>
          <w:sz w:val="20"/>
          <w:szCs w:val="20"/>
          <w:color w:val="auto"/>
        </w:rPr>
      </w:pPr>
    </w:p>
    <w:p>
      <w:pPr>
        <w:ind w:right="460" w:firstLine="1945"/>
        <w:spacing w:after="0" w:line="266" w:lineRule="auto"/>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Without limiting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(a)</w:t>
      </w:r>
      <w:r>
        <w:rPr>
          <w:rFonts w:ascii="Arial" w:cs="Arial" w:eastAsia="Arial" w:hAnsi="Arial"/>
          <w:sz w:val="18"/>
          <w:szCs w:val="18"/>
          <w:b w:val="1"/>
          <w:bCs w:val="1"/>
          <w:color w:val="auto"/>
        </w:rPr>
        <w:t xml:space="preserve"> </w:t>
      </w:r>
      <w:r>
        <w:rPr>
          <w:rFonts w:ascii="Arial" w:cs="Arial" w:eastAsia="Arial" w:hAnsi="Arial"/>
          <w:sz w:val="18"/>
          <w:szCs w:val="18"/>
          <w:color w:val="auto"/>
        </w:rPr>
        <w:t>above,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shall timely pay to the relevant Governmental Authority in accordance with applicable law, or at the option of the Administrative Agent timely reimburse it for the payment of, any Other Taxes</w:t>
      </w:r>
    </w:p>
    <w:p>
      <w:pPr>
        <w:spacing w:after="0" w:line="176" w:lineRule="exact"/>
        <w:rPr>
          <w:sz w:val="20"/>
          <w:szCs w:val="20"/>
          <w:color w:val="auto"/>
        </w:rPr>
      </w:pPr>
    </w:p>
    <w:p>
      <w:pPr>
        <w:ind w:firstLine="1945"/>
        <w:spacing w:after="0" w:line="290" w:lineRule="auto"/>
        <w:rPr>
          <w:sz w:val="20"/>
          <w:szCs w:val="20"/>
          <w:color w:val="auto"/>
        </w:rPr>
      </w:pPr>
      <w:r>
        <w:rPr>
          <w:rFonts w:ascii="Arial" w:cs="Arial" w:eastAsia="Arial" w:hAnsi="Arial"/>
          <w:sz w:val="16"/>
          <w:szCs w:val="16"/>
          <w:b w:val="1"/>
          <w:bCs w:val="1"/>
          <w:color w:val="auto"/>
        </w:rPr>
        <w:t xml:space="preserve">§3.1.3 </w:t>
      </w:r>
      <w:r>
        <w:rPr>
          <w:rFonts w:ascii="Arial" w:cs="Arial" w:eastAsia="Arial" w:hAnsi="Arial"/>
          <w:sz w:val="16"/>
          <w:szCs w:val="16"/>
          <w:u w:val="single" w:color="auto"/>
          <w:color w:val="auto"/>
        </w:rPr>
        <w:t>Tax Indemnifications</w:t>
      </w:r>
      <w:r>
        <w:rPr>
          <w:rFonts w:ascii="Arial" w:cs="Arial" w:eastAsia="Arial" w:hAnsi="Arial"/>
          <w:sz w:val="16"/>
          <w:szCs w:val="16"/>
          <w:color w:val="auto"/>
        </w:rPr>
        <w:t>. (a) Each of the Loan Parties shall, and does hereby, jointly and severally (except as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below)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§3.1</w:t>
      </w:r>
      <w:r>
        <w:rPr>
          <w:rFonts w:ascii="Arial" w:cs="Arial" w:eastAsia="Arial" w:hAnsi="Arial"/>
          <w:sz w:val="16"/>
          <w:szCs w:val="16"/>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Company by a Bank or an Issuing Bank (with a copy to the Administrative Agent), or by the Administrative Agent on its own behalf or on behalf of a Bank or an Issuing Bank, shall be conclusive absent manifest error. Each of the Loan Parties shall, and does hereby, jointly and severally (except as otherwise provided below) indemnify the Administrative Agent, and shall make payment in respect thereof within 10 days after demand therefor, for any amount which a Bank or an Issuing Bank for any reason fails to pay indefeasibly to the Administrative Agent as</w:t>
      </w:r>
    </w:p>
    <w:p>
      <w:pPr>
        <w:sectPr>
          <w:pgSz w:w="11900" w:h="16838" w:orient="portrait"/>
          <w:cols w:equalWidth="0" w:num="1">
            <w:col w:w="11400"/>
          </w:cols>
          <w:pgMar w:left="240" w:top="125" w:right="259" w:bottom="0" w:gutter="0" w:footer="0" w:header="0"/>
        </w:sectPr>
      </w:pPr>
    </w:p>
    <w:bookmarkStart w:id="34" w:name="page35"/>
    <w:bookmarkEnd w:id="34"/>
    <w:p>
      <w:pPr>
        <w:spacing w:after="0" w:line="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required pursuant to </w:t>
      </w:r>
      <w:r>
        <w:rPr>
          <w:rFonts w:ascii="Arial" w:cs="Arial" w:eastAsia="Arial" w:hAnsi="Arial"/>
          <w:sz w:val="18"/>
          <w:szCs w:val="18"/>
          <w:u w:val="single" w:color="auto"/>
          <w:color w:val="auto"/>
        </w:rPr>
        <w:t>§3.1.3(b)</w:t>
      </w:r>
      <w:r>
        <w:rPr>
          <w:rFonts w:ascii="Arial" w:cs="Arial" w:eastAsia="Arial" w:hAnsi="Arial"/>
          <w:sz w:val="18"/>
          <w:szCs w:val="18"/>
          <w:color w:val="auto"/>
        </w:rPr>
        <w:t xml:space="preserve"> below. For purposes of this </w:t>
      </w:r>
      <w:r>
        <w:rPr>
          <w:rFonts w:ascii="Arial" w:cs="Arial" w:eastAsia="Arial" w:hAnsi="Arial"/>
          <w:sz w:val="18"/>
          <w:szCs w:val="18"/>
          <w:u w:val="single" w:color="auto"/>
          <w:color w:val="auto"/>
        </w:rPr>
        <w:t>§3.1</w:t>
      </w:r>
      <w:r>
        <w:rPr>
          <w:rFonts w:ascii="Arial" w:cs="Arial" w:eastAsia="Arial" w:hAnsi="Arial"/>
          <w:sz w:val="18"/>
          <w:szCs w:val="18"/>
          <w:color w:val="auto"/>
        </w:rPr>
        <w:t>, the “joint and several” liability of each Canadian Borrower shall be limited such that each Canadian Borrower is jointly and severally liable only for any liabilities of the other Canadian Borrower.</w:t>
      </w:r>
    </w:p>
    <w:p>
      <w:pPr>
        <w:spacing w:after="0" w:line="170" w:lineRule="exact"/>
        <w:rPr>
          <w:sz w:val="20"/>
          <w:szCs w:val="20"/>
          <w:color w:val="auto"/>
        </w:rPr>
      </w:pPr>
    </w:p>
    <w:p>
      <w:pPr>
        <w:ind w:left="700" w:right="40" w:firstLine="655"/>
        <w:spacing w:after="0" w:line="290" w:lineRule="auto"/>
        <w:tabs>
          <w:tab w:leader="none" w:pos="2004"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Each Bank and each Issuing Bank shall, and does hereby, severally indemnify, and shall make payment in respect thereof within 10 days after demand therefor, (x) the Administrative Agent against any Indemnified Taxes attributable to such Bank or such Issuing Bank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Bank’s failure to comply with the provisions of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relating to the maintenance of a Participant Register and (z) the Administrative Agent and the Loan Party, as applicable, against any Excluded Taxes attributable to such Bank or such Issuing Bank,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color w:val="auto"/>
        </w:rPr>
        <w:t xml:space="preserve">to the amount of such payment or liability delivered to any Bank by the Administrative Agent shall be conclusive absent manifest error. Each Bank and each Issuing Bank hereby authorizes the Administrative Agent to set off and apply any and all amounts at any time owing to such Bank or such Issuing Bank, as the case may be, under this Agreement or any other Loan Document against any amount due to the Administrative Agent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183" w:lineRule="exact"/>
        <w:rPr>
          <w:sz w:val="20"/>
          <w:szCs w:val="20"/>
          <w:color w:val="auto"/>
        </w:rPr>
      </w:pPr>
    </w:p>
    <w:p>
      <w:pPr>
        <w:ind w:right="380" w:firstLine="1945"/>
        <w:spacing w:after="0" w:line="261" w:lineRule="auto"/>
        <w:rPr>
          <w:sz w:val="20"/>
          <w:szCs w:val="20"/>
          <w:color w:val="auto"/>
        </w:rPr>
      </w:pPr>
      <w:r>
        <w:rPr>
          <w:rFonts w:ascii="Arial" w:cs="Arial" w:eastAsia="Arial" w:hAnsi="Arial"/>
          <w:sz w:val="18"/>
          <w:szCs w:val="18"/>
          <w:b w:val="1"/>
          <w:bCs w:val="1"/>
          <w:color w:val="auto"/>
        </w:rPr>
        <w:t xml:space="preserve">§3.1.4 </w:t>
      </w: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any Loan Party to a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Authority as provided in this </w:t>
      </w:r>
      <w:r>
        <w:rPr>
          <w:rFonts w:ascii="Arial" w:cs="Arial" w:eastAsia="Arial" w:hAnsi="Arial"/>
          <w:sz w:val="18"/>
          <w:szCs w:val="18"/>
          <w:u w:val="single" w:color="auto"/>
          <w:color w:val="auto"/>
        </w:rPr>
        <w:t>§3.1</w:t>
      </w:r>
      <w:r>
        <w:rPr>
          <w:rFonts w:ascii="Arial" w:cs="Arial" w:eastAsia="Arial" w:hAnsi="Arial"/>
          <w:sz w:val="18"/>
          <w:szCs w:val="18"/>
          <w:color w:val="auto"/>
        </w:rPr>
        <w:t>, the Company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80" w:lineRule="exact"/>
        <w:rPr>
          <w:sz w:val="20"/>
          <w:szCs w:val="20"/>
          <w:color w:val="auto"/>
        </w:rPr>
      </w:pPr>
    </w:p>
    <w:p>
      <w:pPr>
        <w:ind w:firstLine="1945"/>
        <w:spacing w:after="0" w:line="269" w:lineRule="auto"/>
        <w:rPr>
          <w:sz w:val="20"/>
          <w:szCs w:val="20"/>
          <w:color w:val="auto"/>
        </w:rPr>
      </w:pPr>
      <w:r>
        <w:rPr>
          <w:rFonts w:ascii="Arial" w:cs="Arial" w:eastAsia="Arial" w:hAnsi="Arial"/>
          <w:sz w:val="17"/>
          <w:szCs w:val="17"/>
          <w:b w:val="1"/>
          <w:bCs w:val="1"/>
          <w:color w:val="auto"/>
        </w:rPr>
        <w:t xml:space="preserve">§3.1.5 </w:t>
      </w:r>
      <w:r>
        <w:rPr>
          <w:rFonts w:ascii="Arial" w:cs="Arial" w:eastAsia="Arial" w:hAnsi="Arial"/>
          <w:sz w:val="17"/>
          <w:szCs w:val="17"/>
          <w:u w:val="single" w:color="auto"/>
          <w:color w:val="auto"/>
        </w:rPr>
        <w:t>Status of Banks; Tax Documentation</w:t>
      </w:r>
      <w:r>
        <w:rPr>
          <w:rFonts w:ascii="Arial" w:cs="Arial" w:eastAsia="Arial" w:hAnsi="Arial"/>
          <w:sz w:val="17"/>
          <w:szCs w:val="17"/>
          <w:color w:val="auto"/>
        </w:rPr>
        <w:t>. (a) Any Bank that is entitled to an exemption from or reduction of 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Tax with respect to payments made under any Loan Document shall deliver to the Company and the Administrative Agent, at the time or times reasonably requested by the Company or the Administrative Agent,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Bank,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Bank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Arial" w:cs="Arial" w:eastAsia="Arial" w:hAnsi="Arial"/>
          <w:sz w:val="17"/>
          <w:szCs w:val="17"/>
          <w:u w:val="single" w:color="auto"/>
          <w:color w:val="auto"/>
        </w:rPr>
        <w:t>§3.1.5(b)(i)</w:t>
      </w:r>
      <w:r>
        <w:rPr>
          <w:rFonts w:ascii="Arial" w:cs="Arial" w:eastAsia="Arial" w:hAnsi="Arial"/>
          <w:sz w:val="17"/>
          <w:szCs w:val="17"/>
          <w:color w:val="auto"/>
        </w:rPr>
        <w:t xml:space="preserve">, </w:t>
      </w:r>
      <w:r>
        <w:rPr>
          <w:rFonts w:ascii="Arial" w:cs="Arial" w:eastAsia="Arial" w:hAnsi="Arial"/>
          <w:sz w:val="17"/>
          <w:szCs w:val="17"/>
          <w:u w:val="single" w:color="auto"/>
          <w:color w:val="auto"/>
        </w:rPr>
        <w:t>(b)(ii)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(b)(iii)</w:t>
      </w:r>
      <w:r>
        <w:rPr>
          <w:rFonts w:ascii="Arial" w:cs="Arial" w:eastAsia="Arial" w:hAnsi="Arial"/>
          <w:sz w:val="17"/>
          <w:szCs w:val="17"/>
          <w:color w:val="auto"/>
        </w:rPr>
        <w:t>, below or (B) required by applicable law other than the Code or the taxing authorities of the jurisdiction pursuant to such applicable law to comply with the requirements for exemption or reduction of withholding tax in that jurisdiction) shall not be required if in the Bank’s reasonable judgment such completion, execution or submission would subject such Bank to any material unreimbursed cost or expense or would materially prejudice the legal or commercial position of such Bank.</w:t>
      </w:r>
    </w:p>
    <w:p>
      <w:pPr>
        <w:spacing w:after="0" w:line="184" w:lineRule="exact"/>
        <w:rPr>
          <w:sz w:val="20"/>
          <w:szCs w:val="20"/>
          <w:color w:val="auto"/>
        </w:rPr>
      </w:pPr>
    </w:p>
    <w:p>
      <w:pPr>
        <w:ind w:left="1960" w:hanging="605"/>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 Borrower is a U.S. Person,</w:t>
      </w:r>
    </w:p>
    <w:p>
      <w:pPr>
        <w:spacing w:after="0" w:line="225" w:lineRule="exact"/>
        <w:rPr>
          <w:rFonts w:ascii="Arial" w:cs="Arial" w:eastAsia="Arial" w:hAnsi="Arial"/>
          <w:sz w:val="18"/>
          <w:szCs w:val="18"/>
          <w:color w:val="auto"/>
        </w:rPr>
      </w:pPr>
    </w:p>
    <w:p>
      <w:pPr>
        <w:ind w:left="1300" w:right="180" w:firstLine="653"/>
        <w:spacing w:after="0" w:line="259" w:lineRule="auto"/>
        <w:tabs>
          <w:tab w:leader="none" w:pos="261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Bank that is a U.S. Person shall deliver to the Company and the Administrative Agent on or prior to the date on which such Bank becomes a Bank under this Agreement (and from time to time thereafter upon the reasonable request of the Company or the Administrative Agent), executed copies of IRS Form W-9 certifying that such Bank is exempt from U.S. federal backup withholding tax;</w:t>
      </w:r>
    </w:p>
    <w:p>
      <w:pPr>
        <w:spacing w:after="0" w:line="186" w:lineRule="exact"/>
        <w:rPr>
          <w:rFonts w:ascii="Arial" w:cs="Arial" w:eastAsia="Arial" w:hAnsi="Arial"/>
          <w:sz w:val="18"/>
          <w:szCs w:val="18"/>
          <w:color w:val="auto"/>
        </w:rPr>
      </w:pPr>
    </w:p>
    <w:p>
      <w:pPr>
        <w:jc w:val="both"/>
        <w:ind w:left="1300" w:right="80" w:firstLine="653"/>
        <w:spacing w:after="0" w:line="259" w:lineRule="auto"/>
        <w:tabs>
          <w:tab w:leader="none" w:pos="262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Foreign Bank shall, to the extent it is legally entitled to do so, deliver to the Company and the Administrative Agent (in such number of copies as shall be requested by the recipient) on or prior to the date on which such Foreign Bank becomes a Bank under this Agreement (and from time to time thereafter upon the reasonable request of the Company or the Administrative Agent), whichever of the following is applicable:</w:t>
      </w:r>
    </w:p>
    <w:p>
      <w:pPr>
        <w:spacing w:after="0" w:line="186" w:lineRule="exact"/>
        <w:rPr>
          <w:rFonts w:ascii="Arial" w:cs="Arial" w:eastAsia="Arial" w:hAnsi="Arial"/>
          <w:sz w:val="18"/>
          <w:szCs w:val="18"/>
          <w:color w:val="auto"/>
        </w:rPr>
      </w:pPr>
    </w:p>
    <w:p>
      <w:pPr>
        <w:jc w:val="both"/>
        <w:ind w:right="60" w:firstLine="3249"/>
        <w:spacing w:after="0" w:line="259" w:lineRule="auto"/>
        <w:tabs>
          <w:tab w:leader="none" w:pos="3879" w:val="left"/>
        </w:tabs>
        <w:numPr>
          <w:ilvl w:val="2"/>
          <w:numId w:val="53"/>
        </w:numPr>
        <w:rPr>
          <w:rFonts w:ascii="Arial" w:cs="Arial" w:eastAsia="Arial" w:hAnsi="Arial"/>
          <w:sz w:val="18"/>
          <w:szCs w:val="18"/>
          <w:color w:val="auto"/>
        </w:rPr>
      </w:pPr>
      <w:r>
        <w:rPr>
          <w:rFonts w:ascii="Arial" w:cs="Arial" w:eastAsia="Arial" w:hAnsi="Arial"/>
          <w:sz w:val="18"/>
          <w:szCs w:val="18"/>
          <w:color w:val="auto"/>
        </w:rPr>
        <w:t>in the case of a Foreign Bank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8BENE (or W-8BEN, as applicable) establishing an exemption from, or reduction of, U.S. federal withholding Tax pursuant to the “business profits” or “other income” article of such tax treaty;</w:t>
      </w:r>
    </w:p>
    <w:p>
      <w:pPr>
        <w:spacing w:after="0" w:line="170" w:lineRule="exact"/>
        <w:rPr>
          <w:sz w:val="20"/>
          <w:szCs w:val="20"/>
          <w:color w:val="auto"/>
        </w:rPr>
      </w:pPr>
    </w:p>
    <w:p>
      <w:pPr>
        <w:ind w:left="3900" w:hanging="651"/>
        <w:spacing w:after="0"/>
        <w:tabs>
          <w:tab w:leader="none" w:pos="3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225" w:lineRule="exact"/>
        <w:rPr>
          <w:rFonts w:ascii="Arial" w:cs="Arial" w:eastAsia="Arial" w:hAnsi="Arial"/>
          <w:sz w:val="18"/>
          <w:szCs w:val="18"/>
          <w:color w:val="auto"/>
        </w:rPr>
      </w:pPr>
    </w:p>
    <w:p>
      <w:pPr>
        <w:ind w:firstLine="3249"/>
        <w:spacing w:after="0" w:line="257" w:lineRule="auto"/>
        <w:tabs>
          <w:tab w:leader="none" w:pos="3893"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in the case of a Foreign Bank claiming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G-1</w:t>
      </w:r>
      <w:r>
        <w:rPr>
          <w:rFonts w:ascii="Arial" w:cs="Arial" w:eastAsia="Arial" w:hAnsi="Arial"/>
          <w:sz w:val="18"/>
          <w:szCs w:val="18"/>
          <w:color w:val="auto"/>
        </w:rPr>
        <w:t xml:space="preserve"> to the effect that such Foreign Bank is not a “bank” within the meaning of Section 881(c)(3)(A) of the Code, a “10 percent shareholder” of the Company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copies of IRS Form W-8BENE (or W-8BEN, as applicable); or</w:t>
      </w:r>
    </w:p>
    <w:p>
      <w:pPr>
        <w:spacing w:after="0" w:line="188" w:lineRule="exact"/>
        <w:rPr>
          <w:rFonts w:ascii="Arial" w:cs="Arial" w:eastAsia="Arial" w:hAnsi="Arial"/>
          <w:sz w:val="18"/>
          <w:szCs w:val="18"/>
          <w:color w:val="auto"/>
        </w:rPr>
      </w:pPr>
    </w:p>
    <w:p>
      <w:pPr>
        <w:ind w:right="60" w:firstLine="3249"/>
        <w:spacing w:after="0" w:line="276" w:lineRule="auto"/>
        <w:tabs>
          <w:tab w:leader="none" w:pos="3889"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to the extent a Foreign Bank is not the beneficial owner, executed copies of IRS Form W-8IMY, accompanied by IRS Form W-8ECI, IRS Form W-8BENE (or W-8BEN, as applicable), a U.S. Tax Compliance Certificate substantially in the form of </w:t>
      </w:r>
      <w:r>
        <w:rPr>
          <w:rFonts w:ascii="Arial" w:cs="Arial" w:eastAsia="Arial" w:hAnsi="Arial"/>
          <w:sz w:val="17"/>
          <w:szCs w:val="17"/>
          <w:u w:val="single" w:color="auto"/>
          <w:color w:val="auto"/>
        </w:rPr>
        <w:t>Exhibit G-2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G-3</w:t>
      </w:r>
      <w:r>
        <w:rPr>
          <w:rFonts w:ascii="Arial" w:cs="Arial" w:eastAsia="Arial" w:hAnsi="Arial"/>
          <w:sz w:val="17"/>
          <w:szCs w:val="17"/>
          <w:color w:val="auto"/>
        </w:rPr>
        <w:t xml:space="preserve">, IRS Form W-9, and/or other certification documents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Foreign Bank is a partnership and one or more direct or indirect partners of such Foreign Bank are claiming the portfolio interest exemption, such Foreign Bank may provide a U.S. Tax Compliance Certificate substantially in the form of </w:t>
      </w:r>
      <w:r>
        <w:rPr>
          <w:rFonts w:ascii="Arial" w:cs="Arial" w:eastAsia="Arial" w:hAnsi="Arial"/>
          <w:sz w:val="17"/>
          <w:szCs w:val="17"/>
          <w:u w:val="single" w:color="auto"/>
          <w:color w:val="auto"/>
        </w:rPr>
        <w:t>Exhibit G-4</w:t>
      </w:r>
      <w:r>
        <w:rPr>
          <w:rFonts w:ascii="Arial" w:cs="Arial" w:eastAsia="Arial" w:hAnsi="Arial"/>
          <w:sz w:val="17"/>
          <w:szCs w:val="17"/>
          <w:color w:val="auto"/>
        </w:rPr>
        <w:t xml:space="preserve"> on behalf of each such direct and indirect partner;</w:t>
      </w:r>
    </w:p>
    <w:p>
      <w:pPr>
        <w:sectPr>
          <w:pgSz w:w="11900" w:h="16927" w:orient="portrait"/>
          <w:cols w:equalWidth="0" w:num="1">
            <w:col w:w="11420"/>
          </w:cols>
          <w:pgMar w:left="240" w:top="125" w:right="239" w:bottom="0" w:gutter="0" w:footer="0" w:header="0"/>
        </w:sectPr>
      </w:pPr>
    </w:p>
    <w:bookmarkStart w:id="35" w:name="page36"/>
    <w:bookmarkEnd w:id="35"/>
    <w:p>
      <w:pPr>
        <w:ind w:left="1300" w:right="80" w:firstLine="653"/>
        <w:spacing w:after="0" w:line="273" w:lineRule="auto"/>
        <w:tabs>
          <w:tab w:leader="none" w:pos="2637"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Foreign Bank shall, to the extent it is legally entitled to do so, deliver to the Company and the Administrative Agent (in such number of copies as shall be requested by the recipient) on or prior to the date on which such Foreign Bank becomes a Bank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78" w:lineRule="exact"/>
        <w:rPr>
          <w:rFonts w:ascii="Arial" w:cs="Arial" w:eastAsia="Arial" w:hAnsi="Arial"/>
          <w:sz w:val="17"/>
          <w:szCs w:val="17"/>
          <w:color w:val="auto"/>
        </w:rPr>
      </w:pPr>
    </w:p>
    <w:p>
      <w:pPr>
        <w:ind w:left="1300" w:right="300" w:firstLine="653"/>
        <w:spacing w:after="0" w:line="291" w:lineRule="auto"/>
        <w:tabs>
          <w:tab w:leader="none" w:pos="2613"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a payment made to a Bank under any Loan Document would be subject to U.S. federal withholding Tax imposed by FATCA if such Bank were to fail to comply with the applicable reporting requirements of FATCA (including those contained in</w:t>
      </w:r>
    </w:p>
    <w:p>
      <w:pPr>
        <w:ind w:left="1300" w:right="40"/>
        <w:spacing w:after="0" w:line="269" w:lineRule="auto"/>
        <w:rPr>
          <w:rFonts w:ascii="Arial" w:cs="Arial" w:eastAsia="Arial" w:hAnsi="Arial"/>
          <w:sz w:val="16"/>
          <w:szCs w:val="16"/>
          <w:color w:val="auto"/>
        </w:rPr>
      </w:pPr>
      <w:r>
        <w:rPr>
          <w:rFonts w:ascii="Arial" w:cs="Arial" w:eastAsia="Arial" w:hAnsi="Arial"/>
          <w:sz w:val="17"/>
          <w:szCs w:val="17"/>
          <w:color w:val="auto"/>
        </w:rPr>
        <w:t xml:space="preserve">Section 1471(b) or 1472(b) of the Code, as applicable), such Bank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Bank has complied with such Bank’s obligations under FATCA or to determine the amount to deduct and withhold from such payment. Solely for purposes of this </w:t>
      </w:r>
      <w:r>
        <w:rPr>
          <w:rFonts w:ascii="Arial" w:cs="Arial" w:eastAsia="Arial" w:hAnsi="Arial"/>
          <w:sz w:val="17"/>
          <w:szCs w:val="17"/>
          <w:u w:val="single" w:color="auto"/>
          <w:color w:val="auto"/>
        </w:rPr>
        <w:t>clause (iv)</w:t>
      </w:r>
      <w:r>
        <w:rPr>
          <w:rFonts w:ascii="Arial" w:cs="Arial" w:eastAsia="Arial" w:hAnsi="Arial"/>
          <w:sz w:val="17"/>
          <w:szCs w:val="17"/>
          <w:color w:val="auto"/>
        </w:rPr>
        <w:t>, “FATCA” shall include any amendments made to FATCA after the date of this Agreement.</w:t>
      </w:r>
    </w:p>
    <w:p>
      <w:pPr>
        <w:spacing w:after="0" w:line="181" w:lineRule="exact"/>
        <w:rPr>
          <w:sz w:val="20"/>
          <w:szCs w:val="20"/>
          <w:color w:val="auto"/>
        </w:rPr>
      </w:pPr>
    </w:p>
    <w:p>
      <w:pPr>
        <w:ind w:left="700" w:right="220" w:firstLine="655"/>
        <w:spacing w:after="0" w:line="264" w:lineRule="auto"/>
        <w:tabs>
          <w:tab w:leader="none" w:pos="2007"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Each Bank agrees that if any form or certification it previously delivered pursuant to this </w:t>
      </w:r>
      <w:r>
        <w:rPr>
          <w:rFonts w:ascii="Arial" w:cs="Arial" w:eastAsia="Arial" w:hAnsi="Arial"/>
          <w:sz w:val="18"/>
          <w:szCs w:val="18"/>
          <w:u w:val="single" w:color="auto"/>
          <w:color w:val="auto"/>
        </w:rPr>
        <w:t>§3.1</w:t>
      </w:r>
      <w:r>
        <w:rPr>
          <w:rFonts w:ascii="Arial" w:cs="Arial" w:eastAsia="Arial" w:hAnsi="Arial"/>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1945"/>
        <w:spacing w:after="0" w:line="286" w:lineRule="auto"/>
        <w:rPr>
          <w:sz w:val="20"/>
          <w:szCs w:val="20"/>
          <w:color w:val="auto"/>
        </w:rPr>
      </w:pPr>
      <w:r>
        <w:rPr>
          <w:rFonts w:ascii="Arial" w:cs="Arial" w:eastAsia="Arial" w:hAnsi="Arial"/>
          <w:sz w:val="16"/>
          <w:szCs w:val="16"/>
          <w:b w:val="1"/>
          <w:bCs w:val="1"/>
          <w:color w:val="auto"/>
        </w:rPr>
        <w:t xml:space="preserve">§3.1.6 </w:t>
      </w: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Unless required by applicable laws, at no time shall the Administrative Agent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obligation to file for or otherwise pursue on behalf of a Bank or an Issuing Bank, or have any obligation to pay to any Bank or any Issuing Bank, any refund of Taxes withheld or deducted from funds paid for the account of such Bank or such Issuing Bank, as the case may be. If any Recipient determines that it has received a refund of any Taxes as to which it has been indemnified by any Loan Party or with respect to which any Loan Party has paid additional amounts pursuant to this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it shall pay to such Loan Party an amount equal to such refund (but only to the extent of indemnity payments made, or additional amounts paid, by a Loan Party under this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72" w:lineRule="exact"/>
        <w:rPr>
          <w:sz w:val="20"/>
          <w:szCs w:val="20"/>
          <w:color w:val="auto"/>
        </w:rPr>
      </w:pPr>
    </w:p>
    <w:p>
      <w:pPr>
        <w:jc w:val="both"/>
        <w:ind w:right="120" w:firstLine="1945"/>
        <w:spacing w:after="0" w:line="266" w:lineRule="auto"/>
        <w:rPr>
          <w:sz w:val="20"/>
          <w:szCs w:val="20"/>
          <w:color w:val="auto"/>
        </w:rPr>
      </w:pPr>
      <w:r>
        <w:rPr>
          <w:rFonts w:ascii="Arial" w:cs="Arial" w:eastAsia="Arial" w:hAnsi="Arial"/>
          <w:sz w:val="18"/>
          <w:szCs w:val="18"/>
          <w:b w:val="1"/>
          <w:bCs w:val="1"/>
          <w:color w:val="auto"/>
        </w:rPr>
        <w:t xml:space="preserve">§3.1.7 </w:t>
      </w: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§3.1</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resignation or replacement of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or any assignment of rights by, or the replacement of, a Bank or an Issuing Bank, the termination of the Commitments and the repayment, satisfaction or discharge of all other Obligations.</w:t>
      </w:r>
    </w:p>
    <w:p>
      <w:pPr>
        <w:spacing w:after="0" w:line="176"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b w:val="1"/>
          <w:bCs w:val="1"/>
          <w:color w:val="auto"/>
        </w:rPr>
        <w:t>§3.2. Illegality</w:t>
      </w:r>
      <w:r>
        <w:rPr>
          <w:rFonts w:ascii="Arial" w:cs="Arial" w:eastAsia="Arial" w:hAnsi="Arial"/>
          <w:sz w:val="17"/>
          <w:szCs w:val="17"/>
          <w:color w:val="auto"/>
        </w:rPr>
        <w:t>. If any Bank determines that any law has made it unlawful, or that any Governmental Authority has asserted that it is</w:t>
      </w:r>
      <w:r>
        <w:rPr>
          <w:rFonts w:ascii="Arial" w:cs="Arial" w:eastAsia="Arial" w:hAnsi="Arial"/>
          <w:sz w:val="17"/>
          <w:szCs w:val="17"/>
          <w:b w:val="1"/>
          <w:bCs w:val="1"/>
          <w:color w:val="auto"/>
        </w:rPr>
        <w:t xml:space="preserve"> </w:t>
      </w:r>
      <w:r>
        <w:rPr>
          <w:rFonts w:ascii="Arial" w:cs="Arial" w:eastAsia="Arial" w:hAnsi="Arial"/>
          <w:sz w:val="17"/>
          <w:szCs w:val="17"/>
          <w:color w:val="auto"/>
        </w:rPr>
        <w:t>unlawful, for any Bank or its applicable Lending Office to perform any of its obligations hereunder or make, maintain or fund or charge interest with respect to any Credit Extension or to determine or charge interest rates based upon the Eurocurrency Rate, or any Governmental Authority has imposed material restrictions on the authority of such Bank to purchase or sell, or to take deposits of, Dollars or Canadian Dollars in the applicable interbank market, then, on notice thereof by such Bank to the Company through the Administrative Agent, (i) any obligation of such Bank to issue, make, maintain, fund or charge interest with respect to any such Credit Extension or to make or continue Eurocurrency Rate Loans in the affected currency or currencies or, in the case of Eurocurrency Rate Loans in Dollars, to convert Base Rate Loans or Canadian Prime Rate Loans to Eurocurrency Rate Loans, shall be suspended, and (ii) if such notice asserts the illegality of such Bank making or maintaining Base Rate Loans the interest rate on which is determined by reference to the Eurocurrency Rate component of the Base Rate, the interest rate on which Base Rate Loans of such Bank shall, if necessary to avoid such illegality, be determined by the Administrative Agent without reference to the Eurocurrency Rate component of the Base Rate, in each case until such Bank notifies the Administrative Agent and the Company that the circumstances giving rise to such determination no longer exist. Upon receipt of such notice, (x) the Borrowers shall, upon demand from such Bank (with a copy to the Administrative Agent), prepay or, if applicable and such Loans are denominated in Dollars, convert all Eurocurrency Rate Loans of such Bank to Base Rate Loans (the interest rate on which Base Rate Loans of such Bank shall, if necessary to avoid such illegality, be determined by the Administrative Agent without reference to the Eurocurrency Rate component of the Base Rate), either on the last day of the Interest Period therefor, if such Bank may lawfully continue to maintain such Eurocurrency Rate Loans to such day, or immediately, if such Bank may not lawfully continue to maintain such Eurocurrency Rate Loans and (y) if such notice asserts the illegality of such Bank determining or charging interest rates based upon the Eurocurrency Rate,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Administrative Agent shall during the period of such suspension compute the Base Rate applicable to such Bank without reference to the Eurocurrency Rate component thereof until the Administrative Agent is advised in writing by such Bank that it is no longer illegal for such Bank to determine or charge interest rates based upon the Eurocurrency Rate. Upon any such prepayment or conversion, the Borrowers shall also pay accrued interest on the amount so prepaid or converted.</w:t>
      </w:r>
    </w:p>
    <w:p>
      <w:pPr>
        <w:spacing w:after="0" w:line="183"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Inability to Determine Rates</w:t>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8"/>
          <w:szCs w:val="18"/>
          <w:u w:val="single" w:color="auto"/>
          <w:color w:val="auto"/>
        </w:rPr>
        <w:t>Generally</w:t>
      </w:r>
      <w:r>
        <w:rPr>
          <w:rFonts w:ascii="Arial" w:cs="Arial" w:eastAsia="Arial" w:hAnsi="Arial"/>
          <w:sz w:val="18"/>
          <w:szCs w:val="18"/>
          <w:color w:val="auto"/>
        </w:rPr>
        <w:t>.</w:t>
      </w:r>
    </w:p>
    <w:p>
      <w:pPr>
        <w:sectPr>
          <w:pgSz w:w="11900" w:h="16838" w:orient="portrait"/>
          <w:cols w:equalWidth="0" w:num="1">
            <w:col w:w="11420"/>
          </w:cols>
          <w:pgMar w:left="240" w:top="341" w:right="239" w:bottom="0" w:gutter="0" w:footer="0" w:header="0"/>
        </w:sectPr>
      </w:pPr>
    </w:p>
    <w:bookmarkStart w:id="36" w:name="page37"/>
    <w:bookmarkEnd w:id="36"/>
    <w:p>
      <w:pPr>
        <w:spacing w:after="0" w:line="32" w:lineRule="exact"/>
        <w:rPr>
          <w:sz w:val="20"/>
          <w:szCs w:val="20"/>
          <w:color w:val="auto"/>
        </w:rPr>
      </w:pPr>
    </w:p>
    <w:p>
      <w:pPr>
        <w:ind w:left="700" w:right="20" w:firstLine="655"/>
        <w:spacing w:after="0" w:line="268" w:lineRule="auto"/>
        <w:tabs>
          <w:tab w:leader="none" w:pos="1993"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Except in the case of circumstances described in </w:t>
      </w:r>
      <w:r>
        <w:rPr>
          <w:rFonts w:ascii="Arial" w:cs="Arial" w:eastAsia="Arial" w:hAnsi="Arial"/>
          <w:sz w:val="17"/>
          <w:szCs w:val="17"/>
          <w:u w:val="single" w:color="auto"/>
          <w:color w:val="auto"/>
        </w:rPr>
        <w:t>§3.3.2</w:t>
      </w:r>
      <w:r>
        <w:rPr>
          <w:rFonts w:ascii="Arial" w:cs="Arial" w:eastAsia="Arial" w:hAnsi="Arial"/>
          <w:sz w:val="17"/>
          <w:szCs w:val="17"/>
          <w:color w:val="auto"/>
        </w:rPr>
        <w:t xml:space="preserve">, if for any reason in connection with any request for a Eurocurrency Rate Loan or a conversion to or continuation thereof, (i) the Administrative Agent determines that (A) deposits (whether in Dollars or Canadian Dollars) are not being offered to banks in the applicable interbank market for such currency for the applicable amount and Interest Period of such Eurocurrency Rate Loan, or (ii) adequate and reasonable means do not exist for determining the Eurocurrency Rate for any requested Interest Period with respect to a proposed Eurocurrency Rate Loan (whether denominated in Dollars or Canadian Dollars) or in connection with an existing or proposed Base Rate Loan (in each case with respect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Impacted Loans</w:t>
      </w:r>
      <w:r>
        <w:rPr>
          <w:rFonts w:ascii="Arial" w:cs="Arial" w:eastAsia="Arial" w:hAnsi="Arial"/>
          <w:sz w:val="17"/>
          <w:szCs w:val="17"/>
          <w:color w:val="auto"/>
        </w:rPr>
        <w:t>”), or (b) the Administrative Agent or the Majority Banks determine that for any reason the Eurocurrency Rate for any requested Interest Period with respect to a proposed Eurocurrency Rate Loan does not adequately and fairly reflect the cost to such Banks of funding such Eurocurrency Rate Loan, the Administrative Agent will promptly so notify the Company and each Bank. Thereafter, (x) the obligation of the Banks to make or maintain Eurocurrency Rate Loans in the affected currency or currencies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Majority Banks) revokes such notice. Upon receipt of such notice, the Company may revoke any pending request for a Borrowing of, conversion to or continuation of Eurocurrency Rate Loans in the affected currency or currencies (to the extent of the affected Eurocurrency Rate Loans or Interest Periods) or, failing that, will be deemed to have converted such request into a request for a Borrowing of Base Rate Loans or Canadian Prime Rate Loans, as applicable, in the amount specified therein.</w:t>
      </w:r>
    </w:p>
    <w:p>
      <w:pPr>
        <w:spacing w:after="0" w:line="180" w:lineRule="exact"/>
        <w:rPr>
          <w:rFonts w:ascii="Arial" w:cs="Arial" w:eastAsia="Arial" w:hAnsi="Arial"/>
          <w:sz w:val="17"/>
          <w:szCs w:val="17"/>
          <w:color w:val="auto"/>
        </w:rPr>
      </w:pPr>
    </w:p>
    <w:p>
      <w:pPr>
        <w:ind w:left="700" w:right="60" w:firstLine="655"/>
        <w:spacing w:after="0" w:line="288" w:lineRule="auto"/>
        <w:tabs>
          <w:tab w:leader="none" w:pos="2004" w:val="left"/>
        </w:tabs>
        <w:numPr>
          <w:ilvl w:val="1"/>
          <w:numId w:val="57"/>
        </w:numPr>
        <w:rPr>
          <w:rFonts w:ascii="Arial" w:cs="Arial" w:eastAsia="Arial" w:hAnsi="Arial"/>
          <w:sz w:val="16"/>
          <w:szCs w:val="16"/>
          <w:color w:val="auto"/>
        </w:rPr>
      </w:pPr>
      <w:r>
        <w:rPr>
          <w:rFonts w:ascii="Arial" w:cs="Arial" w:eastAsia="Arial" w:hAnsi="Arial"/>
          <w:sz w:val="16"/>
          <w:szCs w:val="16"/>
          <w:color w:val="auto"/>
        </w:rPr>
        <w:t>Notwithstanding the foregoing, if the Administrative Agent has made the determination described in this section, the Administrative Agent, acting in a commercially reasonable manner and in consultation with the Company and the Majority Banks, may establish an alternative interest rate for the Impacted Loans</w:t>
      </w:r>
      <w:r>
        <w:rPr>
          <w:rFonts w:ascii="Arial" w:cs="Arial" w:eastAsia="Arial" w:hAnsi="Arial"/>
          <w:sz w:val="16"/>
          <w:szCs w:val="16"/>
          <w:b w:val="1"/>
          <w:bCs w:val="1"/>
          <w:color w:val="auto"/>
        </w:rPr>
        <w:t>,</w:t>
      </w:r>
      <w:r>
        <w:rPr>
          <w:rFonts w:ascii="Arial" w:cs="Arial" w:eastAsia="Arial" w:hAnsi="Arial"/>
          <w:sz w:val="16"/>
          <w:szCs w:val="16"/>
          <w:color w:val="auto"/>
        </w:rPr>
        <w:t xml:space="preserve"> in which case, such alternative rate of interest shall apply with respect to the Impacted Loans until</w:t>
      </w:r>
    </w:p>
    <w:p>
      <w:pPr>
        <w:ind w:left="960" w:hanging="253"/>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the Administrative Agent revokes the notice delivered with respect to the Impacted Loans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first sentence of this section,</w:t>
      </w:r>
    </w:p>
    <w:p>
      <w:pPr>
        <w:spacing w:after="0" w:line="32" w:lineRule="exact"/>
        <w:rPr>
          <w:rFonts w:ascii="Arial" w:cs="Arial" w:eastAsia="Arial" w:hAnsi="Arial"/>
          <w:sz w:val="16"/>
          <w:szCs w:val="16"/>
          <w:color w:val="auto"/>
        </w:rPr>
      </w:pPr>
    </w:p>
    <w:p>
      <w:pPr>
        <w:ind w:left="700" w:right="60" w:firstLine="7"/>
        <w:spacing w:after="0" w:line="252" w:lineRule="auto"/>
        <w:tabs>
          <w:tab w:leader="none" w:pos="9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Administrative Agent or the Majority Banks notify the Administrative Agent and the Company that such alternative interest rate does not adequately and fairly reflect the cost to such Banks of funding the Impacted Loans, or (3) any Bank determines that any law has made it unlawful, or that any Governmental Authority has asserted that it is unlawful, for such Bank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Bank to do any of the foregoing and provides the Administrative Agent and the Company written notice thereof.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8"/>
          <w:szCs w:val="18"/>
          <w:u w:val="single" w:color="auto"/>
          <w:color w:val="auto"/>
        </w:rPr>
        <w:t>Non-Temporary Situations with Respect to LIBOR</w:t>
      </w:r>
      <w:r>
        <w:rPr>
          <w:rFonts w:ascii="Arial" w:cs="Arial" w:eastAsia="Arial" w:hAnsi="Arial"/>
          <w:sz w:val="18"/>
          <w:szCs w:val="18"/>
          <w:color w:val="auto"/>
        </w:rPr>
        <w:t>.</w:t>
      </w:r>
    </w:p>
    <w:p>
      <w:pPr>
        <w:spacing w:after="0" w:line="229" w:lineRule="exact"/>
        <w:rPr>
          <w:sz w:val="20"/>
          <w:szCs w:val="20"/>
          <w:color w:val="auto"/>
        </w:rPr>
      </w:pPr>
    </w:p>
    <w:p>
      <w:pPr>
        <w:ind w:left="700" w:right="60" w:firstLine="655"/>
        <w:spacing w:after="0" w:line="259" w:lineRule="auto"/>
        <w:tabs>
          <w:tab w:leader="none" w:pos="19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or any other Loan Document, including </w:t>
      </w:r>
      <w:r>
        <w:rPr>
          <w:rFonts w:ascii="Arial" w:cs="Arial" w:eastAsia="Arial" w:hAnsi="Arial"/>
          <w:sz w:val="18"/>
          <w:szCs w:val="18"/>
          <w:u w:val="single" w:color="auto"/>
          <w:color w:val="auto"/>
        </w:rPr>
        <w:t>§3.3.1</w:t>
      </w:r>
      <w:r>
        <w:rPr>
          <w:rFonts w:ascii="Arial" w:cs="Arial" w:eastAsia="Arial" w:hAnsi="Arial"/>
          <w:sz w:val="18"/>
          <w:szCs w:val="18"/>
          <w:color w:val="auto"/>
        </w:rPr>
        <w:t xml:space="preserve"> above, if the Administrative Agent determines (which determination shall be conclusive absent manifest error), or the Company or the Majority Banks notify the Administrative Agent (with, in the case of the Majority Banks, a copy to the Company) that the Company or the Majority Banks (as applicable) have determined, that:</w:t>
      </w:r>
    </w:p>
    <w:p>
      <w:pPr>
        <w:spacing w:after="0" w:line="186" w:lineRule="exact"/>
        <w:rPr>
          <w:rFonts w:ascii="Arial" w:cs="Arial" w:eastAsia="Arial" w:hAnsi="Arial"/>
          <w:sz w:val="18"/>
          <w:szCs w:val="18"/>
          <w:color w:val="auto"/>
        </w:rPr>
      </w:pPr>
    </w:p>
    <w:p>
      <w:pPr>
        <w:ind w:left="1300" w:right="100" w:firstLine="653"/>
        <w:spacing w:after="0" w:line="264" w:lineRule="auto"/>
        <w:tabs>
          <w:tab w:leader="none" w:pos="261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81" w:lineRule="exact"/>
        <w:rPr>
          <w:rFonts w:ascii="Arial" w:cs="Arial" w:eastAsia="Arial" w:hAnsi="Arial"/>
          <w:sz w:val="18"/>
          <w:szCs w:val="18"/>
          <w:color w:val="auto"/>
        </w:rPr>
      </w:pPr>
    </w:p>
    <w:p>
      <w:pPr>
        <w:ind w:left="1300" w:right="320" w:firstLine="653"/>
        <w:spacing w:after="0" w:line="312" w:lineRule="auto"/>
        <w:tabs>
          <w:tab w:leader="none" w:pos="2627"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16"/>
          <w:szCs w:val="16"/>
          <w:u w:val="single" w:color="auto"/>
          <w:color w:val="auto"/>
        </w:rPr>
        <w:t>Scheduled Unavailability Date</w:t>
      </w:r>
      <w:r>
        <w:rPr>
          <w:rFonts w:ascii="Arial" w:cs="Arial" w:eastAsia="Arial" w:hAnsi="Arial"/>
          <w:sz w:val="16"/>
          <w:szCs w:val="16"/>
          <w:color w:val="auto"/>
        </w:rPr>
        <w:t>”); or</w:t>
      </w:r>
    </w:p>
    <w:p>
      <w:pPr>
        <w:spacing w:after="0" w:line="146" w:lineRule="exact"/>
        <w:rPr>
          <w:rFonts w:ascii="Arial" w:cs="Arial" w:eastAsia="Arial" w:hAnsi="Arial"/>
          <w:sz w:val="16"/>
          <w:szCs w:val="16"/>
          <w:color w:val="auto"/>
        </w:rPr>
      </w:pPr>
    </w:p>
    <w:p>
      <w:pPr>
        <w:ind w:left="1300" w:right="320" w:firstLine="653"/>
        <w:spacing w:after="0" w:line="308" w:lineRule="auto"/>
        <w:tabs>
          <w:tab w:leader="none" w:pos="2637" w:val="left"/>
        </w:tabs>
        <w:numPr>
          <w:ilvl w:val="1"/>
          <w:numId w:val="59"/>
        </w:numPr>
        <w:rPr>
          <w:rFonts w:ascii="Arial" w:cs="Arial" w:eastAsia="Arial" w:hAnsi="Arial"/>
          <w:sz w:val="17"/>
          <w:szCs w:val="17"/>
          <w:color w:val="auto"/>
        </w:rPr>
      </w:pPr>
      <w:r>
        <w:rPr>
          <w:rFonts w:ascii="Arial" w:cs="Arial" w:eastAsia="Arial" w:hAnsi="Arial"/>
          <w:sz w:val="17"/>
          <w:szCs w:val="17"/>
          <w:color w:val="auto"/>
        </w:rPr>
        <w:t>syndicated loans currently being executed, or that include language similar to that contained in this Section, are being executed or amended (as applicable) to incorporate or adopt a new benchmark interest rate to replace LIBOR;</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then, reasonably promptly after such determination by the Administrative Agent or receipt by the Administrative Agent of such notice, as applicable, the Administrative Agent and the Company may amend this Agreement to replace LIBOR with an alternate benchmark rate (including any mathematical or other adjustments to the benchmark (if any) incorporated therein), giving due consideration to any evolving or then existing convention for similar syndicated credit facilities for such alternative benchmarks (any such proposed rate, a “</w:t>
      </w:r>
      <w:r>
        <w:rPr>
          <w:rFonts w:ascii="Arial" w:cs="Arial" w:eastAsia="Arial" w:hAnsi="Arial"/>
          <w:sz w:val="17"/>
          <w:szCs w:val="17"/>
          <w:u w:val="single" w:color="auto"/>
          <w:color w:val="auto"/>
        </w:rPr>
        <w:t>LIBOR Successor Rate</w:t>
      </w:r>
      <w:r>
        <w:rPr>
          <w:rFonts w:ascii="Arial" w:cs="Arial" w:eastAsia="Arial" w:hAnsi="Arial"/>
          <w:sz w:val="17"/>
          <w:szCs w:val="17"/>
          <w:color w:val="auto"/>
        </w:rPr>
        <w:t xml:space="preserve">”), together with any proposed LIBOR Successor Rate Conforming Changes and any such amendment shall become effective at 5:00 p.m. (New York time) on the fifth Business Day after the Administrative Agent shall have posted such proposed amendment to all Banks and the Company unless, prior to such time, Banks comprising the </w:t>
      </w:r>
      <w:r>
        <w:rPr>
          <w:rFonts w:ascii="Arial" w:cs="Arial" w:eastAsia="Arial" w:hAnsi="Arial"/>
          <w:sz w:val="16"/>
          <w:szCs w:val="16"/>
          <w:color w:val="auto"/>
        </w:rPr>
        <w:t>Majority Banks</w:t>
      </w:r>
      <w:r>
        <w:rPr>
          <w:rFonts w:ascii="Arial" w:cs="Arial" w:eastAsia="Arial" w:hAnsi="Arial"/>
          <w:sz w:val="17"/>
          <w:szCs w:val="17"/>
          <w:color w:val="auto"/>
        </w:rPr>
        <w:t xml:space="preserve"> have delivered to the Administrative Agent written notice that such Majority Banks do not accept such amendment.</w:t>
      </w:r>
    </w:p>
    <w:p>
      <w:pPr>
        <w:spacing w:after="0" w:line="178" w:lineRule="exact"/>
        <w:rPr>
          <w:sz w:val="20"/>
          <w:szCs w:val="20"/>
          <w:color w:val="auto"/>
        </w:rPr>
      </w:pPr>
    </w:p>
    <w:p>
      <w:pPr>
        <w:ind w:left="700" w:right="60" w:firstLine="655"/>
        <w:spacing w:after="0" w:line="272" w:lineRule="auto"/>
        <w:tabs>
          <w:tab w:leader="none" w:pos="2004"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If no LIBOR Successor Rate has been determined and the circumstances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exist or the Scheduled Unavailability Date has occurred (as applicable), the Administrative Agent will promptly so notify the Company and each Bank. Thereafter, (x) the obligation of the Banks to make or maintain Eurocurrency Rate Loans shall be suspended (to the extent of the affected Eurocurrency Rate Loans or Interest Periods), and (y) the Eurocurrency Rate component shall no longer be utilized in determining the Base Rate. Upon receipt of such notice, the Company may revoke any pending request for a Borrowing of, conversion to or continuation of Eurocurrency Rate Loans (to the extent of the affected Eurocurrency Rate Loans or Interest Periods) or, failing that, will be deemed to have converted such request into a request for a Borrowing of Base Rate Loans (subject to the foregoing </w:t>
      </w:r>
      <w:r>
        <w:rPr>
          <w:rFonts w:ascii="Arial" w:cs="Arial" w:eastAsia="Arial" w:hAnsi="Arial"/>
          <w:sz w:val="17"/>
          <w:szCs w:val="17"/>
          <w:u w:val="single" w:color="auto"/>
          <w:color w:val="auto"/>
        </w:rPr>
        <w:t>clause (y)</w:t>
      </w:r>
      <w:r>
        <w:rPr>
          <w:rFonts w:ascii="Arial" w:cs="Arial" w:eastAsia="Arial" w:hAnsi="Arial"/>
          <w:sz w:val="17"/>
          <w:szCs w:val="17"/>
          <w:color w:val="auto"/>
        </w:rPr>
        <w:t>) in the amount specified therein.</w:t>
      </w:r>
    </w:p>
    <w:p>
      <w:pPr>
        <w:spacing w:after="0" w:line="177" w:lineRule="exact"/>
        <w:rPr>
          <w:rFonts w:ascii="Arial" w:cs="Arial" w:eastAsia="Arial" w:hAnsi="Arial"/>
          <w:sz w:val="17"/>
          <w:szCs w:val="17"/>
          <w:color w:val="auto"/>
        </w:rPr>
      </w:pPr>
    </w:p>
    <w:p>
      <w:pPr>
        <w:ind w:left="700" w:right="220" w:firstLine="655"/>
        <w:spacing w:after="0" w:line="277" w:lineRule="auto"/>
        <w:tabs>
          <w:tab w:leader="none" w:pos="20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anything else herein, any definition of LIBOR Successor Rate shall provide that in no event shall such LIBOR Successor Rate be less than zero for purposes of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Increased Costs</w:t>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ectPr>
          <w:pgSz w:w="11900" w:h="16870" w:orient="portrait"/>
          <w:cols w:equalWidth="0" w:num="1">
            <w:col w:w="11420"/>
          </w:cols>
          <w:pgMar w:left="240" w:top="125" w:right="239" w:bottom="0" w:gutter="0" w:footer="0" w:header="0"/>
        </w:sectPr>
      </w:pPr>
    </w:p>
    <w:bookmarkStart w:id="37" w:name="page38"/>
    <w:bookmarkEnd w:id="37"/>
    <w:p>
      <w:pPr>
        <w:ind w:left="700" w:right="20" w:firstLine="655"/>
        <w:spacing w:after="0" w:line="308" w:lineRule="auto"/>
        <w:tabs>
          <w:tab w:leader="none" w:pos="1993" w:val="left"/>
        </w:tabs>
        <w:numPr>
          <w:ilvl w:val="0"/>
          <w:numId w:val="61"/>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compulsory loan, insurance charge or similar requirement against assets of, deposits with or for the account of, or credit extended or participated in by, any Bank or any Issuing Bank;</w:t>
      </w:r>
    </w:p>
    <w:p>
      <w:pPr>
        <w:spacing w:after="0" w:line="146" w:lineRule="exact"/>
        <w:rPr>
          <w:rFonts w:ascii="Arial" w:cs="Arial" w:eastAsia="Arial" w:hAnsi="Arial"/>
          <w:sz w:val="17"/>
          <w:szCs w:val="17"/>
          <w:color w:val="auto"/>
        </w:rPr>
      </w:pPr>
    </w:p>
    <w:p>
      <w:pPr>
        <w:ind w:left="700" w:right="100" w:firstLine="655"/>
        <w:spacing w:after="0" w:line="264" w:lineRule="auto"/>
        <w:tabs>
          <w:tab w:leader="none" w:pos="2004"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81" w:lineRule="exact"/>
        <w:rPr>
          <w:rFonts w:ascii="Arial" w:cs="Arial" w:eastAsia="Arial" w:hAnsi="Arial"/>
          <w:sz w:val="18"/>
          <w:szCs w:val="18"/>
          <w:color w:val="auto"/>
        </w:rPr>
      </w:pPr>
    </w:p>
    <w:p>
      <w:pPr>
        <w:ind w:left="700" w:right="240" w:firstLine="655"/>
        <w:spacing w:after="0" w:line="277" w:lineRule="auto"/>
        <w:tabs>
          <w:tab w:leader="none" w:pos="2007"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impose on any Bank or any Issuing Bank or any applicable interbank market any other condition, cost or expense affecting this Agreement or Eurocurrency Rate Loans made by such Bank or any Letter of Credit or participation therein;</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and the result of any of the foregoing shall be to increase the cost to such Bank of making, converting to, continuing or maintaining any Loan (or of maintaining its obligation to make any such Loan), or to increase the cost to such Bank or such Issuing Bank of participating in, issuing or maintaining any Letter of Credit (or of maintaining its obligation to participate in or to issue any Letter of Credit), or to reduce the amount of any sum received or receivable by such Bank or such Issuing Bank hereunder (whether of principal, interest or any other amount) then, upon request of such Bank or such Issuing Bank, the Company will pay (or cause the applicable Canadian Borrower to pay) to such Bank or such Issuing Bank, as the case may be, such additional amount or amounts as will compensate such Bank or such Issuing Bank, as the case may be, for such additional costs incurred or reduction suffered.</w:t>
      </w:r>
    </w:p>
    <w:p>
      <w:pPr>
        <w:spacing w:after="0" w:line="161" w:lineRule="exact"/>
        <w:rPr>
          <w:sz w:val="20"/>
          <w:szCs w:val="20"/>
          <w:color w:val="auto"/>
        </w:rPr>
      </w:pPr>
    </w:p>
    <w:p>
      <w:pPr>
        <w:ind w:firstLine="1945"/>
        <w:spacing w:after="0" w:line="254" w:lineRule="auto"/>
        <w:rPr>
          <w:sz w:val="20"/>
          <w:szCs w:val="20"/>
          <w:color w:val="auto"/>
        </w:rPr>
      </w:pPr>
      <w:r>
        <w:rPr>
          <w:rFonts w:ascii="Arial" w:cs="Arial" w:eastAsia="Arial" w:hAnsi="Arial"/>
          <w:sz w:val="18"/>
          <w:szCs w:val="18"/>
          <w:b w:val="1"/>
          <w:bCs w:val="1"/>
          <w:color w:val="auto"/>
        </w:rPr>
        <w:t xml:space="preserve">§3.4.2 </w:t>
      </w: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Bank or any Issuing Bank determines that any Change in Law affecting such Bank or</w:t>
      </w:r>
      <w:r>
        <w:rPr>
          <w:rFonts w:ascii="Arial" w:cs="Arial" w:eastAsia="Arial" w:hAnsi="Arial"/>
          <w:sz w:val="18"/>
          <w:szCs w:val="18"/>
          <w:b w:val="1"/>
          <w:bCs w:val="1"/>
          <w:color w:val="auto"/>
        </w:rPr>
        <w:t xml:space="preserve"> </w:t>
      </w:r>
      <w:r>
        <w:rPr>
          <w:rFonts w:ascii="Arial" w:cs="Arial" w:eastAsia="Arial" w:hAnsi="Arial"/>
          <w:sz w:val="18"/>
          <w:szCs w:val="18"/>
          <w:color w:val="auto"/>
        </w:rPr>
        <w:t>such Issuing Bank or any Lending Office of such Bank or such Bank’s or such Issuing Bank’s holding company, if any, regarding capital or liquidity requirements has or would have the effect of reducing the rate of return on such Bank’s or such Issuing Bank’s capital or on the capital of such Bank’s or the such Issuing Bank’s holding company, if any, as a consequence of this Agreement, the Commitments of such Bank or the Loans made by, or participations in Letters of Credit or Swing Line Loans held by, such Bank, or the Letters of Credit issued by such Issuing Bank, to a level below that which such Bank or such Issuing Bank or such Bank’s or such Issuing Bank’s holding company could have achieved but for such Change in Law (taking into consideration such Bank’s or such Issuing Bank’s policies and the policies of such Bank’s or such Issuing Bank’s holding company with respect to capital adequacy), then from time to time the Company will pay (or cause the applicable Canadian Borrower to pay) to such Bank or such Issuing Bank, as the case may be, such additional amount or amounts as will compensate such Bank or such Issuing Bank or such Bank’s or such Issuing Bank’s holding company for any such reduction suffered.</w:t>
      </w:r>
    </w:p>
    <w:p>
      <w:pPr>
        <w:spacing w:after="0" w:line="186" w:lineRule="exact"/>
        <w:rPr>
          <w:sz w:val="20"/>
          <w:szCs w:val="20"/>
          <w:color w:val="auto"/>
        </w:rPr>
      </w:pPr>
    </w:p>
    <w:p>
      <w:pPr>
        <w:ind w:right="180" w:firstLine="1945"/>
        <w:spacing w:after="0" w:line="281" w:lineRule="auto"/>
        <w:rPr>
          <w:sz w:val="20"/>
          <w:szCs w:val="20"/>
          <w:color w:val="auto"/>
        </w:rPr>
      </w:pPr>
      <w:r>
        <w:rPr>
          <w:rFonts w:ascii="Arial" w:cs="Arial" w:eastAsia="Arial" w:hAnsi="Arial"/>
          <w:sz w:val="17"/>
          <w:szCs w:val="17"/>
          <w:b w:val="1"/>
          <w:bCs w:val="1"/>
          <w:color w:val="auto"/>
        </w:rPr>
        <w:t xml:space="preserve">§3.4.3 </w:t>
      </w: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A certificate of a Bank or an Issuing Bank setting forth the amount or amounts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necessary to compensate such Bank or such Issuing Bank or its holding company, as the case may be, as specified in </w:t>
      </w:r>
      <w:r>
        <w:rPr>
          <w:rFonts w:ascii="Arial" w:cs="Arial" w:eastAsia="Arial" w:hAnsi="Arial"/>
          <w:sz w:val="17"/>
          <w:szCs w:val="17"/>
          <w:u w:val="single" w:color="auto"/>
          <w:color w:val="auto"/>
        </w:rPr>
        <w:t>§§3.4.1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3.4.2</w:t>
      </w:r>
      <w:r>
        <w:rPr>
          <w:rFonts w:ascii="Arial" w:cs="Arial" w:eastAsia="Arial" w:hAnsi="Arial"/>
          <w:sz w:val="17"/>
          <w:szCs w:val="17"/>
          <w:color w:val="auto"/>
        </w:rPr>
        <w:t xml:space="preserve"> and delivered to the Company shall be conclusive absent manifest error. The Company shall pay (or cause the applicable Canadian Borrower to pay) such Bank or such Issuing Bank, as the case may be, the amount shown as due on any such certificate within 10 days after receipt thereof.</w:t>
      </w:r>
    </w:p>
    <w:p>
      <w:pPr>
        <w:spacing w:after="0" w:line="165" w:lineRule="exact"/>
        <w:rPr>
          <w:sz w:val="20"/>
          <w:szCs w:val="20"/>
          <w:color w:val="auto"/>
        </w:rPr>
      </w:pPr>
    </w:p>
    <w:p>
      <w:pPr>
        <w:jc w:val="both"/>
        <w:ind w:right="80" w:firstLine="1945"/>
        <w:spacing w:after="0" w:line="266" w:lineRule="auto"/>
        <w:rPr>
          <w:sz w:val="20"/>
          <w:szCs w:val="20"/>
          <w:color w:val="auto"/>
        </w:rPr>
      </w:pPr>
      <w:r>
        <w:rPr>
          <w:rFonts w:ascii="Arial" w:cs="Arial" w:eastAsia="Arial" w:hAnsi="Arial"/>
          <w:sz w:val="18"/>
          <w:szCs w:val="18"/>
          <w:b w:val="1"/>
          <w:bCs w:val="1"/>
          <w:color w:val="auto"/>
        </w:rPr>
        <w:t xml:space="preserve">§3.4.4 </w:t>
      </w:r>
      <w:r>
        <w:rPr>
          <w:rFonts w:ascii="Arial" w:cs="Arial" w:eastAsia="Arial" w:hAnsi="Arial"/>
          <w:sz w:val="18"/>
          <w:szCs w:val="18"/>
          <w:u w:val="single" w:color="auto"/>
          <w:color w:val="auto"/>
        </w:rPr>
        <w:t>Delay in Requests</w:t>
      </w:r>
      <w:r>
        <w:rPr>
          <w:rFonts w:ascii="Arial" w:cs="Arial" w:eastAsia="Arial" w:hAnsi="Arial"/>
          <w:sz w:val="18"/>
          <w:szCs w:val="18"/>
          <w:color w:val="auto"/>
        </w:rPr>
        <w:t>. Failure or delay on the part of any Bank or any Issuing Bank to demand compensation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foregoing provisions of this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shall not constitute a waiver of such Bank’s or such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Borrower shall be required to compensate a Bank or an Issuing Bank pursuant to the foregoing provisions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 this Section for any increased costs incurred or reductions suffered more than six months prior to the date that such Bank or such Issuing Bank, as the case may be, notifies the Company of the Change in Law giving rise to such increased costs or reductions and of such Bank’s or such Issuing Bank’s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83"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b w:val="1"/>
          <w:bCs w:val="1"/>
          <w:color w:val="auto"/>
        </w:rPr>
        <w:t>§3.5. Compensation for Losses</w:t>
      </w:r>
      <w:r>
        <w:rPr>
          <w:rFonts w:ascii="Arial" w:cs="Arial" w:eastAsia="Arial" w:hAnsi="Arial"/>
          <w:sz w:val="18"/>
          <w:szCs w:val="18"/>
          <w:color w:val="auto"/>
        </w:rPr>
        <w:t>. Upon demand of any Bank (with a copy to the Administrative Agent) from time to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promptly compensate (or cause the applicable Canadian Borrower to compensate) such Bank for and hold such Bank harmless from any loss, cost or expense incurred by it as a result of:</w:t>
      </w:r>
    </w:p>
    <w:p>
      <w:pPr>
        <w:spacing w:after="0" w:line="176" w:lineRule="exact"/>
        <w:rPr>
          <w:sz w:val="20"/>
          <w:szCs w:val="20"/>
          <w:color w:val="auto"/>
        </w:rPr>
      </w:pPr>
    </w:p>
    <w:p>
      <w:pPr>
        <w:ind w:right="220" w:firstLine="1945"/>
        <w:spacing w:after="0" w:line="266" w:lineRule="auto"/>
        <w:rPr>
          <w:sz w:val="20"/>
          <w:szCs w:val="20"/>
          <w:color w:val="auto"/>
        </w:rPr>
      </w:pPr>
      <w:r>
        <w:rPr>
          <w:rFonts w:ascii="Arial" w:cs="Arial" w:eastAsia="Arial" w:hAnsi="Arial"/>
          <w:sz w:val="18"/>
          <w:szCs w:val="18"/>
          <w:b w:val="1"/>
          <w:bCs w:val="1"/>
          <w:color w:val="auto"/>
        </w:rPr>
        <w:t xml:space="preserve">§3.5.1 </w:t>
      </w:r>
      <w:r>
        <w:rPr>
          <w:rFonts w:ascii="Arial" w:cs="Arial" w:eastAsia="Arial" w:hAnsi="Arial"/>
          <w:sz w:val="18"/>
          <w:szCs w:val="18"/>
          <w:color w:val="auto"/>
        </w:rPr>
        <w:t>any continuation, conversion, payment or prepayment of any Loan other than a Base Rate Loan or Canadian Prime</w:t>
      </w:r>
      <w:r>
        <w:rPr>
          <w:rFonts w:ascii="Arial" w:cs="Arial" w:eastAsia="Arial" w:hAnsi="Arial"/>
          <w:sz w:val="18"/>
          <w:szCs w:val="18"/>
          <w:b w:val="1"/>
          <w:bCs w:val="1"/>
          <w:color w:val="auto"/>
        </w:rPr>
        <w:t xml:space="preserve"> </w:t>
      </w:r>
      <w:r>
        <w:rPr>
          <w:rFonts w:ascii="Arial" w:cs="Arial" w:eastAsia="Arial" w:hAnsi="Arial"/>
          <w:sz w:val="18"/>
          <w:szCs w:val="18"/>
          <w:color w:val="auto"/>
        </w:rPr>
        <w:t>Rate Loan on a day other than the last day of the Interest Period for such Loan (whether voluntary, mandatory, automatic, by reason of acceleration, or otherwise);</w:t>
      </w:r>
    </w:p>
    <w:p>
      <w:pPr>
        <w:spacing w:after="0" w:line="176" w:lineRule="exact"/>
        <w:rPr>
          <w:sz w:val="20"/>
          <w:szCs w:val="20"/>
          <w:color w:val="auto"/>
        </w:rPr>
      </w:pPr>
    </w:p>
    <w:p>
      <w:pPr>
        <w:ind w:right="380" w:firstLine="1945"/>
        <w:spacing w:after="0" w:line="266" w:lineRule="auto"/>
        <w:rPr>
          <w:sz w:val="20"/>
          <w:szCs w:val="20"/>
          <w:color w:val="auto"/>
        </w:rPr>
      </w:pPr>
      <w:r>
        <w:rPr>
          <w:rFonts w:ascii="Arial" w:cs="Arial" w:eastAsia="Arial" w:hAnsi="Arial"/>
          <w:sz w:val="18"/>
          <w:szCs w:val="18"/>
          <w:b w:val="1"/>
          <w:bCs w:val="1"/>
          <w:color w:val="auto"/>
        </w:rPr>
        <w:t xml:space="preserve">§3.5.2 </w:t>
      </w:r>
      <w:r>
        <w:rPr>
          <w:rFonts w:ascii="Arial" w:cs="Arial" w:eastAsia="Arial" w:hAnsi="Arial"/>
          <w:sz w:val="18"/>
          <w:szCs w:val="18"/>
          <w:color w:val="auto"/>
        </w:rPr>
        <w:t>any failure by any Borrower (for a reason other than the failure of such Bank to make a Loan) to prepay, borrow,</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or convert any Loan other than a Base Rate Loan or Canadian Prime Rate Loan on the date or in the amount notified by the Company or the applicable Canadian Borrower;</w:t>
      </w:r>
    </w:p>
    <w:p>
      <w:pPr>
        <w:spacing w:after="0" w:line="176" w:lineRule="exact"/>
        <w:rPr>
          <w:sz w:val="20"/>
          <w:szCs w:val="20"/>
          <w:color w:val="auto"/>
        </w:rPr>
      </w:pPr>
    </w:p>
    <w:p>
      <w:pPr>
        <w:ind w:right="360" w:firstLine="1945"/>
        <w:spacing w:after="0" w:line="282" w:lineRule="auto"/>
        <w:rPr>
          <w:sz w:val="20"/>
          <w:szCs w:val="20"/>
          <w:color w:val="auto"/>
        </w:rPr>
      </w:pPr>
      <w:r>
        <w:rPr>
          <w:rFonts w:ascii="Arial" w:cs="Arial" w:eastAsia="Arial" w:hAnsi="Arial"/>
          <w:sz w:val="18"/>
          <w:szCs w:val="18"/>
          <w:b w:val="1"/>
          <w:bCs w:val="1"/>
          <w:color w:val="auto"/>
        </w:rPr>
        <w:t xml:space="preserve">§3.5.3 </w:t>
      </w:r>
      <w:r>
        <w:rPr>
          <w:rFonts w:ascii="Arial" w:cs="Arial" w:eastAsia="Arial" w:hAnsi="Arial"/>
          <w:sz w:val="18"/>
          <w:szCs w:val="18"/>
          <w:color w:val="auto"/>
        </w:rPr>
        <w:t>any failure by any Borrower to make payment of any Loan or drawing under any Letter of Credit (or interest due</w:t>
      </w:r>
      <w:r>
        <w:rPr>
          <w:rFonts w:ascii="Arial" w:cs="Arial" w:eastAsia="Arial" w:hAnsi="Arial"/>
          <w:sz w:val="18"/>
          <w:szCs w:val="18"/>
          <w:b w:val="1"/>
          <w:bCs w:val="1"/>
          <w:color w:val="auto"/>
        </w:rPr>
        <w:t xml:space="preserve"> </w:t>
      </w:r>
      <w:r>
        <w:rPr>
          <w:rFonts w:ascii="Arial" w:cs="Arial" w:eastAsia="Arial" w:hAnsi="Arial"/>
          <w:sz w:val="18"/>
          <w:szCs w:val="18"/>
          <w:color w:val="auto"/>
        </w:rPr>
        <w:t>thereon) denominated in Canadian Dollars on its scheduled due date or any payment thereof in a different currency; or</w:t>
      </w:r>
    </w:p>
    <w:p>
      <w:pPr>
        <w:spacing w:after="0" w:line="162" w:lineRule="exact"/>
        <w:rPr>
          <w:sz w:val="20"/>
          <w:szCs w:val="20"/>
          <w:color w:val="auto"/>
        </w:rPr>
      </w:pPr>
    </w:p>
    <w:p>
      <w:pPr>
        <w:ind w:firstLine="1945"/>
        <w:spacing w:after="0" w:line="282" w:lineRule="auto"/>
        <w:rPr>
          <w:sz w:val="20"/>
          <w:szCs w:val="20"/>
          <w:color w:val="auto"/>
        </w:rPr>
      </w:pPr>
      <w:r>
        <w:rPr>
          <w:rFonts w:ascii="Arial" w:cs="Arial" w:eastAsia="Arial" w:hAnsi="Arial"/>
          <w:sz w:val="18"/>
          <w:szCs w:val="18"/>
          <w:b w:val="1"/>
          <w:bCs w:val="1"/>
          <w:color w:val="auto"/>
        </w:rPr>
        <w:t xml:space="preserve">§3.5.4 </w:t>
      </w:r>
      <w:r>
        <w:rPr>
          <w:rFonts w:ascii="Arial" w:cs="Arial" w:eastAsia="Arial" w:hAnsi="Arial"/>
          <w:sz w:val="18"/>
          <w:szCs w:val="18"/>
          <w:color w:val="auto"/>
        </w:rPr>
        <w:t>any assignment of a Eurocurrency Rate Loan on a day other than the last day of the Interest Period therefor as a result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a request by the Company pursuant to </w:t>
      </w:r>
      <w:r>
        <w:rPr>
          <w:rFonts w:ascii="Arial" w:cs="Arial" w:eastAsia="Arial" w:hAnsi="Arial"/>
          <w:sz w:val="18"/>
          <w:szCs w:val="18"/>
          <w:u w:val="single" w:color="auto"/>
          <w:color w:val="auto"/>
        </w:rPr>
        <w:t>§2.18</w:t>
      </w:r>
      <w:r>
        <w:rPr>
          <w:rFonts w:ascii="Arial" w:cs="Arial" w:eastAsia="Arial" w:hAnsi="Arial"/>
          <w:sz w:val="18"/>
          <w:szCs w:val="18"/>
          <w:color w:val="auto"/>
        </w:rPr>
        <w:t>;</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Company shall also pay (or cause the applicable Canadian Borrower to pay) any customary administrative fees charged by such Bank in connection with the foregoing.</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For purposes of calculating amounts payable by the Company (or the applicable Canadian Borrower) to the Banks under this </w:t>
      </w:r>
      <w:r>
        <w:rPr>
          <w:rFonts w:ascii="Arial" w:cs="Arial" w:eastAsia="Arial" w:hAnsi="Arial"/>
          <w:sz w:val="18"/>
          <w:szCs w:val="18"/>
          <w:u w:val="single" w:color="auto"/>
          <w:color w:val="auto"/>
        </w:rPr>
        <w:t>§3.5</w:t>
      </w:r>
      <w:r>
        <w:rPr>
          <w:rFonts w:ascii="Arial" w:cs="Arial" w:eastAsia="Arial" w:hAnsi="Arial"/>
          <w:sz w:val="18"/>
          <w:szCs w:val="18"/>
          <w:color w:val="auto"/>
        </w:rPr>
        <w:t>, each Bank shall be deemed to have funded each Eurocurrency Rate Loan made by it at the Eurocurrency Rate used in determining the Eurocurrency Rate for such Loan by a matching deposit or other borrowing in the applicable interbank market for such currency for a comparable amount and for a comparable period, whether or not such Eurocurrency Rate Loan was in fact so funded.</w:t>
      </w:r>
    </w:p>
    <w:p>
      <w:pPr>
        <w:spacing w:after="0" w:line="183"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b w:val="1"/>
          <w:bCs w:val="1"/>
          <w:color w:val="auto"/>
        </w:rPr>
        <w:t>Mitigation Obligations; Replacement of Banks</w:t>
      </w:r>
      <w:r>
        <w:rPr>
          <w:rFonts w:ascii="Arial" w:cs="Arial" w:eastAsia="Arial" w:hAnsi="Arial"/>
          <w:sz w:val="18"/>
          <w:szCs w:val="18"/>
          <w:color w:val="auto"/>
        </w:rPr>
        <w:t>.</w:t>
      </w:r>
    </w:p>
    <w:p>
      <w:pPr>
        <w:sectPr>
          <w:pgSz w:w="11900" w:h="16838" w:orient="portrait"/>
          <w:cols w:equalWidth="0" w:num="1">
            <w:col w:w="11400"/>
          </w:cols>
          <w:pgMar w:left="240" w:top="341" w:right="259" w:bottom="0" w:gutter="0" w:footer="0" w:header="0"/>
        </w:sectPr>
      </w:pPr>
    </w:p>
    <w:bookmarkStart w:id="38" w:name="page39"/>
    <w:bookmarkEnd w:id="38"/>
    <w:p>
      <w:pPr>
        <w:spacing w:after="0" w:line="106" w:lineRule="exact"/>
        <w:rPr>
          <w:sz w:val="20"/>
          <w:szCs w:val="20"/>
          <w:color w:val="auto"/>
        </w:rPr>
      </w:pPr>
    </w:p>
    <w:p>
      <w:pPr>
        <w:ind w:right="120" w:firstLine="1945"/>
        <w:spacing w:after="0" w:line="255" w:lineRule="auto"/>
        <w:rPr>
          <w:sz w:val="20"/>
          <w:szCs w:val="20"/>
          <w:color w:val="auto"/>
        </w:rPr>
      </w:pPr>
      <w:r>
        <w:rPr>
          <w:rFonts w:ascii="Arial" w:cs="Arial" w:eastAsia="Arial" w:hAnsi="Arial"/>
          <w:sz w:val="18"/>
          <w:szCs w:val="18"/>
          <w:b w:val="1"/>
          <w:bCs w:val="1"/>
          <w:color w:val="auto"/>
        </w:rPr>
        <w:t xml:space="preserve">§3.6.1 </w:t>
      </w: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Each Bank may make any Credit Extension to a Borrower through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Lending Office, provided that the exercise of this option shall not affect the obligation of the Borrowers to repay the Credit Extension in accordance with the terms of this Agreement. If any Bank requests compensation under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or requires any Borrower to pay any Indemnified Taxes or additional amounts to any Bank, any Issuing Bank, or any Governmental Authority for the account of any Bank or any Issuing Bank pursuant to </w:t>
      </w:r>
      <w:r>
        <w:rPr>
          <w:rFonts w:ascii="Arial" w:cs="Arial" w:eastAsia="Arial" w:hAnsi="Arial"/>
          <w:sz w:val="18"/>
          <w:szCs w:val="18"/>
          <w:u w:val="single" w:color="auto"/>
          <w:color w:val="auto"/>
        </w:rPr>
        <w:t>§3.1</w:t>
      </w:r>
      <w:r>
        <w:rPr>
          <w:rFonts w:ascii="Arial" w:cs="Arial" w:eastAsia="Arial" w:hAnsi="Arial"/>
          <w:sz w:val="18"/>
          <w:szCs w:val="18"/>
          <w:color w:val="auto"/>
        </w:rPr>
        <w:t xml:space="preserve">, or if any Bank gives a notice pursuant to </w:t>
      </w:r>
      <w:r>
        <w:rPr>
          <w:rFonts w:ascii="Arial" w:cs="Arial" w:eastAsia="Arial" w:hAnsi="Arial"/>
          <w:sz w:val="18"/>
          <w:szCs w:val="18"/>
          <w:u w:val="single" w:color="auto"/>
          <w:color w:val="auto"/>
        </w:rPr>
        <w:t>§3.2</w:t>
      </w:r>
      <w:r>
        <w:rPr>
          <w:rFonts w:ascii="Arial" w:cs="Arial" w:eastAsia="Arial" w:hAnsi="Arial"/>
          <w:sz w:val="18"/>
          <w:szCs w:val="18"/>
          <w:color w:val="auto"/>
        </w:rPr>
        <w:t>, then at the request of the Company such Bank or such Issuing Bank shall, as applicable, use reasonable efforts to designate a different Lending Office for funding or booking its Loans hereunder or to assign its rights and obligations hereunder to another of its offices, branches or affiliates, if, in the judgment of such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Bank or such Issuing Bank, such designation or assignment (i) would eliminate or reduce amounts payable pursuant to §</w:t>
      </w:r>
      <w:r>
        <w:rPr>
          <w:rFonts w:ascii="Arial" w:cs="Arial" w:eastAsia="Arial" w:hAnsi="Arial"/>
          <w:sz w:val="18"/>
          <w:szCs w:val="18"/>
          <w:u w:val="single" w:color="auto"/>
          <w:color w:val="auto"/>
        </w:rPr>
        <w:t>§3.1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§3.2</w:t>
      </w:r>
      <w:r>
        <w:rPr>
          <w:rFonts w:ascii="Arial" w:cs="Arial" w:eastAsia="Arial" w:hAnsi="Arial"/>
          <w:sz w:val="18"/>
          <w:szCs w:val="18"/>
          <w:color w:val="auto"/>
        </w:rPr>
        <w:t>, as applicable, and (ii) in each case, would not subject such Bank or such Issuing Bank, as the case may be, to any unreimbursed cost or expense and would not otherwise be disadvantageous to such Bank or such Issuing Bank, as the case may be. The Company hereby agrees to pay (or cause the applicable Canadian Borrower to pay) all reasonable costs and expenses incurred by any Bank or any Issuing Bank in connection with any such designation or assignment.</w:t>
      </w:r>
    </w:p>
    <w:p>
      <w:pPr>
        <w:spacing w:after="0" w:line="184" w:lineRule="exact"/>
        <w:rPr>
          <w:sz w:val="20"/>
          <w:szCs w:val="20"/>
          <w:color w:val="auto"/>
        </w:rPr>
      </w:pPr>
    </w:p>
    <w:p>
      <w:pPr>
        <w:ind w:right="280" w:firstLine="1945"/>
        <w:spacing w:after="0" w:line="261" w:lineRule="auto"/>
        <w:rPr>
          <w:sz w:val="20"/>
          <w:szCs w:val="20"/>
          <w:color w:val="auto"/>
        </w:rPr>
      </w:pPr>
      <w:r>
        <w:rPr>
          <w:rFonts w:ascii="Arial" w:cs="Arial" w:eastAsia="Arial" w:hAnsi="Arial"/>
          <w:sz w:val="18"/>
          <w:szCs w:val="18"/>
          <w:b w:val="1"/>
          <w:bCs w:val="1"/>
          <w:color w:val="auto"/>
        </w:rPr>
        <w:t xml:space="preserve">§3.6.2 </w:t>
      </w:r>
      <w:r>
        <w:rPr>
          <w:rFonts w:ascii="Arial" w:cs="Arial" w:eastAsia="Arial" w:hAnsi="Arial"/>
          <w:sz w:val="18"/>
          <w:szCs w:val="18"/>
          <w:u w:val="single" w:color="auto"/>
          <w:color w:val="auto"/>
        </w:rPr>
        <w:t>Replacement of Banks</w:t>
      </w:r>
      <w:r>
        <w:rPr>
          <w:rFonts w:ascii="Arial" w:cs="Arial" w:eastAsia="Arial" w:hAnsi="Arial"/>
          <w:sz w:val="18"/>
          <w:szCs w:val="18"/>
          <w:color w:val="auto"/>
        </w:rPr>
        <w:t>. If any Bank requests compensation under §3.4, or if any Borrower is required to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Indemnified Taxes or additional amounts to any Bank or any Governmental Authority for the account of any Bank pursuant to </w:t>
      </w:r>
      <w:r>
        <w:rPr>
          <w:rFonts w:ascii="Arial" w:cs="Arial" w:eastAsia="Arial" w:hAnsi="Arial"/>
          <w:sz w:val="18"/>
          <w:szCs w:val="18"/>
          <w:u w:val="single" w:color="auto"/>
          <w:color w:val="auto"/>
        </w:rPr>
        <w:t>§3.1</w:t>
      </w:r>
      <w:r>
        <w:rPr>
          <w:rFonts w:ascii="Arial" w:cs="Arial" w:eastAsia="Arial" w:hAnsi="Arial"/>
          <w:sz w:val="18"/>
          <w:szCs w:val="18"/>
          <w:color w:val="auto"/>
        </w:rPr>
        <w:t xml:space="preserve"> and, in each case, such Bank has declined or is unable to designate a different lending office in accordance with </w:t>
      </w:r>
      <w:r>
        <w:rPr>
          <w:rFonts w:ascii="Arial" w:cs="Arial" w:eastAsia="Arial" w:hAnsi="Arial"/>
          <w:sz w:val="18"/>
          <w:szCs w:val="18"/>
          <w:u w:val="single" w:color="auto"/>
          <w:color w:val="auto"/>
        </w:rPr>
        <w:t>§3.6.1</w:t>
      </w:r>
      <w:r>
        <w:rPr>
          <w:rFonts w:ascii="Arial" w:cs="Arial" w:eastAsia="Arial" w:hAnsi="Arial"/>
          <w:sz w:val="18"/>
          <w:szCs w:val="18"/>
          <w:color w:val="auto"/>
        </w:rPr>
        <w:t xml:space="preserve">, the Company may replace such Bank in accordance with </w:t>
      </w:r>
      <w:r>
        <w:rPr>
          <w:rFonts w:ascii="Arial" w:cs="Arial" w:eastAsia="Arial" w:hAnsi="Arial"/>
          <w:sz w:val="18"/>
          <w:szCs w:val="18"/>
          <w:u w:val="single" w:color="auto"/>
          <w:color w:val="auto"/>
        </w:rPr>
        <w:t>§2.18</w:t>
      </w:r>
      <w:r>
        <w:rPr>
          <w:rFonts w:ascii="Arial" w:cs="Arial" w:eastAsia="Arial" w:hAnsi="Arial"/>
          <w:sz w:val="18"/>
          <w:szCs w:val="18"/>
          <w:color w:val="auto"/>
        </w:rPr>
        <w:t>.</w:t>
      </w:r>
    </w:p>
    <w:p>
      <w:pPr>
        <w:spacing w:after="0" w:line="180" w:lineRule="exact"/>
        <w:rPr>
          <w:sz w:val="20"/>
          <w:szCs w:val="20"/>
          <w:color w:val="auto"/>
        </w:rPr>
      </w:pPr>
    </w:p>
    <w:p>
      <w:pPr>
        <w:ind w:right="220" w:firstLine="1297"/>
        <w:spacing w:after="0" w:line="282" w:lineRule="auto"/>
        <w:rPr>
          <w:sz w:val="20"/>
          <w:szCs w:val="20"/>
          <w:color w:val="auto"/>
        </w:rPr>
      </w:pPr>
      <w:r>
        <w:rPr>
          <w:rFonts w:ascii="Arial" w:cs="Arial" w:eastAsia="Arial" w:hAnsi="Arial"/>
          <w:sz w:val="18"/>
          <w:szCs w:val="18"/>
          <w:b w:val="1"/>
          <w:bCs w:val="1"/>
          <w:color w:val="auto"/>
        </w:rPr>
        <w:t>§3.7. Survival</w:t>
      </w:r>
      <w:r>
        <w:rPr>
          <w:rFonts w:ascii="Arial" w:cs="Arial" w:eastAsia="Arial" w:hAnsi="Arial"/>
          <w:sz w:val="18"/>
          <w:szCs w:val="18"/>
          <w:color w:val="auto"/>
        </w:rPr>
        <w:t>. All obligations of the Loan Parties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Total Commitments, repayment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Obligations hereunder, and resignation of the Administrative Agent.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8"/>
          <w:szCs w:val="18"/>
          <w:b w:val="1"/>
          <w:bCs w:val="1"/>
          <w:u w:val="single" w:color="auto"/>
          <w:color w:val="auto"/>
        </w:rPr>
        <w:t>[RESERVED.]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b w:val="1"/>
          <w:bCs w:val="1"/>
          <w:u w:val="single" w:color="auto"/>
          <w:color w:val="auto"/>
        </w:rPr>
        <w:t>[RESERVED.]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7"/>
          <w:szCs w:val="17"/>
          <w:b w:val="1"/>
          <w:bCs w:val="1"/>
          <w:u w:val="single" w:color="auto"/>
          <w:color w:val="auto"/>
        </w:rPr>
        <w:t>REPRESENTATIONS AND WARRANTIES</w:t>
      </w:r>
      <w:r>
        <w:rPr>
          <w:rFonts w:ascii="Arial" w:cs="Arial" w:eastAsia="Arial" w:hAnsi="Arial"/>
          <w:sz w:val="17"/>
          <w:szCs w:val="17"/>
          <w:color w:val="auto"/>
        </w:rPr>
        <w:t>. Each Borrower (and the Guarantor, where applicable) represents and warrants to the Banks that:</w:t>
      </w:r>
    </w:p>
    <w:p>
      <w:pPr>
        <w:spacing w:after="0" w:line="237"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b w:val="1"/>
          <w:bCs w:val="1"/>
          <w:color w:val="auto"/>
        </w:rPr>
        <w:t>Corporate Authority</w:t>
      </w:r>
      <w:r>
        <w:rPr>
          <w:rFonts w:ascii="Arial" w:cs="Arial" w:eastAsia="Arial" w:hAnsi="Arial"/>
          <w:sz w:val="18"/>
          <w:szCs w:val="18"/>
          <w:color w:val="auto"/>
        </w:rPr>
        <w:t>.</w:t>
      </w:r>
    </w:p>
    <w:p>
      <w:pPr>
        <w:spacing w:after="0" w:line="229" w:lineRule="exact"/>
        <w:rPr>
          <w:sz w:val="20"/>
          <w:szCs w:val="20"/>
          <w:color w:val="auto"/>
        </w:rPr>
      </w:pPr>
    </w:p>
    <w:p>
      <w:pPr>
        <w:jc w:val="both"/>
        <w:ind w:left="700" w:right="100" w:firstLine="655"/>
        <w:spacing w:after="0" w:line="257" w:lineRule="auto"/>
        <w:tabs>
          <w:tab w:leader="none" w:pos="199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Incorporation; Good Standing</w:t>
      </w:r>
      <w:r>
        <w:rPr>
          <w:rFonts w:ascii="Arial" w:cs="Arial" w:eastAsia="Arial" w:hAnsi="Arial"/>
          <w:sz w:val="18"/>
          <w:szCs w:val="18"/>
          <w:color w:val="auto"/>
        </w:rPr>
        <w:t>. Each Borrower and each Significant Subsidiary (i) is duly organized, validly existing and in good standing under the laws of its respective jurisdiction of formation, (ii) 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188" w:lineRule="exact"/>
        <w:rPr>
          <w:rFonts w:ascii="Arial" w:cs="Arial" w:eastAsia="Arial" w:hAnsi="Arial"/>
          <w:sz w:val="18"/>
          <w:szCs w:val="18"/>
          <w:color w:val="auto"/>
        </w:rPr>
      </w:pPr>
    </w:p>
    <w:p>
      <w:pPr>
        <w:ind w:left="700" w:right="40" w:firstLine="655"/>
        <w:spacing w:after="0" w:line="271" w:lineRule="auto"/>
        <w:tabs>
          <w:tab w:leader="none" w:pos="2004"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The execution, delivery and performance of its Loan Documents and the transactions contemplated hereby and thereby (i) are within the corporate authority of each Borrower and the Guarantor, (ii) have been duly authorized by all necessary corporate proceedings on the part of each Borrower and the Guarantor, (iii) do not conflict with or result in any breach or contravention of any provision of law, statute, rule or regulation to which any Borrower or the Guarantor or any of their Subsidiaries is subject, (iv) do not contravene any judgment, order, writ, injunction, license or permit applicable to any Borrower, the Guarantor or any of their Subsidiaries so as to have a Material Adverse Effect, and (v) do not conflict with any provision of the corporate charter or bylaws of any Borrower, the Guarantor or any Significant Subsidiary or any agreement or other instrument binding upon any Borrower, the Guarantor or any Significant Subsidiaries, except for those conflicts with any such agreement or instrument which could not reasonably be expected to have a Material Adverse Effect.</w:t>
      </w:r>
    </w:p>
    <w:p>
      <w:pPr>
        <w:spacing w:after="0" w:line="178" w:lineRule="exact"/>
        <w:rPr>
          <w:rFonts w:ascii="Arial" w:cs="Arial" w:eastAsia="Arial" w:hAnsi="Arial"/>
          <w:sz w:val="17"/>
          <w:szCs w:val="17"/>
          <w:color w:val="auto"/>
        </w:rPr>
      </w:pPr>
    </w:p>
    <w:p>
      <w:pPr>
        <w:ind w:left="700" w:right="140" w:firstLine="655"/>
        <w:spacing w:after="0" w:line="342" w:lineRule="auto"/>
        <w:tabs>
          <w:tab w:leader="none" w:pos="2007"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Enforceability</w:t>
      </w:r>
      <w:r>
        <w:rPr>
          <w:rFonts w:ascii="Arial" w:cs="Arial" w:eastAsia="Arial" w:hAnsi="Arial"/>
          <w:sz w:val="16"/>
          <w:szCs w:val="16"/>
          <w:color w:val="auto"/>
        </w:rPr>
        <w:t>. The execution, delivery and performance of the Loan Documents by each Borrower and the Guarantor will result in valid and legally binding obligations of such Borrower and the Guarantor enforceable against them in accordance with the respective terms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166" w:lineRule="exact"/>
        <w:rPr>
          <w:sz w:val="20"/>
          <w:szCs w:val="20"/>
          <w:color w:val="auto"/>
        </w:rPr>
      </w:pPr>
    </w:p>
    <w:p>
      <w:pPr>
        <w:jc w:val="both"/>
        <w:ind w:right="20" w:firstLine="1297"/>
        <w:spacing w:after="0" w:line="281" w:lineRule="auto"/>
        <w:rPr>
          <w:sz w:val="20"/>
          <w:szCs w:val="20"/>
          <w:color w:val="auto"/>
        </w:rPr>
      </w:pPr>
      <w:r>
        <w:rPr>
          <w:rFonts w:ascii="Arial" w:cs="Arial" w:eastAsia="Arial" w:hAnsi="Arial"/>
          <w:sz w:val="17"/>
          <w:szCs w:val="17"/>
          <w:b w:val="1"/>
          <w:bCs w:val="1"/>
          <w:color w:val="auto"/>
        </w:rPr>
        <w:t>§6.2. Governmental and Other Approvals</w:t>
      </w:r>
      <w:r>
        <w:rPr>
          <w:rFonts w:ascii="Arial" w:cs="Arial" w:eastAsia="Arial" w:hAnsi="Arial"/>
          <w:sz w:val="17"/>
          <w:szCs w:val="17"/>
          <w:color w:val="auto"/>
        </w:rPr>
        <w:t>. The execution, delivery and performance of the Loan Documents by each Borrower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Guarantor and the consummation by such Borrower and the Guarantor of the transactions contemplated hereby and thereby do not require any approval or consent of, or filing with, any governmental agency or authority or other third party other than those already obtained and those required after the date hereof in connection with the Borrowers’ performance of the covenants contained in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hereof.</w:t>
      </w:r>
    </w:p>
    <w:p>
      <w:pPr>
        <w:spacing w:after="0" w:line="165"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b w:val="1"/>
          <w:bCs w:val="1"/>
          <w:color w:val="auto"/>
        </w:rPr>
        <w:t>§6.3. Title to Properties; Leases</w:t>
      </w:r>
      <w:r>
        <w:rPr>
          <w:rFonts w:ascii="Arial" w:cs="Arial" w:eastAsia="Arial" w:hAnsi="Arial"/>
          <w:sz w:val="18"/>
          <w:szCs w:val="18"/>
          <w:color w:val="auto"/>
        </w:rPr>
        <w:t>. Each Borrower and its Subsidiaries own all of the assets reflected in the consolidated balance sheet</w:t>
      </w:r>
      <w:r>
        <w:rPr>
          <w:rFonts w:ascii="Arial" w:cs="Arial" w:eastAsia="Arial" w:hAnsi="Arial"/>
          <w:sz w:val="18"/>
          <w:szCs w:val="18"/>
          <w:b w:val="1"/>
          <w:bCs w:val="1"/>
          <w:color w:val="auto"/>
        </w:rPr>
        <w:t xml:space="preserve"> </w:t>
      </w:r>
      <w:r>
        <w:rPr>
          <w:rFonts w:ascii="Arial" w:cs="Arial" w:eastAsia="Arial" w:hAnsi="Arial"/>
          <w:sz w:val="18"/>
          <w:szCs w:val="18"/>
          <w:color w:val="auto"/>
        </w:rPr>
        <w:t>as at the Interim Balance Sheet Date or acquired since that date (except property and assets (a) operated under Capital Leases, (b) sold or otherwise disposed of in the ordinary course of business since that date, or (c) consolidated in accordance with variable entity guidance in FASB ASC 810), subject to no Liens except Permitted Liens.</w:t>
      </w:r>
    </w:p>
    <w:p>
      <w:pPr>
        <w:spacing w:after="0" w:line="180"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b w:val="1"/>
          <w:bCs w:val="1"/>
          <w:color w:val="auto"/>
        </w:rPr>
        <w:t>Financial Statements; Solvency</w:t>
      </w:r>
      <w:r>
        <w:rPr>
          <w:rFonts w:ascii="Arial" w:cs="Arial" w:eastAsia="Arial" w:hAnsi="Arial"/>
          <w:sz w:val="18"/>
          <w:szCs w:val="18"/>
          <w:color w:val="auto"/>
        </w:rPr>
        <w:t>.</w:t>
      </w:r>
    </w:p>
    <w:p>
      <w:pPr>
        <w:spacing w:after="0" w:line="229" w:lineRule="exact"/>
        <w:rPr>
          <w:sz w:val="20"/>
          <w:szCs w:val="20"/>
          <w:color w:val="auto"/>
        </w:rPr>
      </w:pPr>
    </w:p>
    <w:p>
      <w:pPr>
        <w:ind w:left="700" w:right="140" w:firstLine="655"/>
        <w:spacing w:after="0" w:line="302" w:lineRule="auto"/>
        <w:tabs>
          <w:tab w:leader="none" w:pos="1993"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There have been furnished to the Banks consolidated balance sheets of the Company dated the Balance Sheet Date and consolidated statements of operations for the fiscal periods then ended, certified by the Accountants. In addition, there have been furnished to the Banks consolidated balance sheets of the Company and its Subsidiaries dated the Interim Balance Sheet Date and the related consolidated statements of operations for the fiscal quarter ending on the Interim Balance Sheet Date. All said balance sheets and statements of operations have</w:t>
      </w:r>
    </w:p>
    <w:p>
      <w:pPr>
        <w:sectPr>
          <w:pgSz w:w="11900" w:h="16945" w:orient="portrait"/>
          <w:cols w:equalWidth="0" w:num="1">
            <w:col w:w="11420"/>
          </w:cols>
          <w:pgMar w:left="240" w:top="337" w:right="239" w:bottom="0" w:gutter="0" w:footer="0" w:header="0"/>
        </w:sectPr>
      </w:pPr>
    </w:p>
    <w:bookmarkStart w:id="39" w:name="page40"/>
    <w:bookmarkEnd w:id="39"/>
    <w:p>
      <w:pPr>
        <w:spacing w:after="0" w:line="97" w:lineRule="exact"/>
        <w:rPr>
          <w:sz w:val="20"/>
          <w:szCs w:val="20"/>
          <w:color w:val="auto"/>
        </w:rPr>
      </w:pPr>
    </w:p>
    <w:p>
      <w:pPr>
        <w:ind w:left="700" w:right="80"/>
        <w:spacing w:after="0" w:line="293" w:lineRule="auto"/>
        <w:rPr>
          <w:sz w:val="20"/>
          <w:szCs w:val="20"/>
          <w:color w:val="auto"/>
        </w:rPr>
      </w:pPr>
      <w:r>
        <w:rPr>
          <w:rFonts w:ascii="Arial" w:cs="Arial" w:eastAsia="Arial" w:hAnsi="Arial"/>
          <w:sz w:val="16"/>
          <w:szCs w:val="16"/>
          <w:color w:val="auto"/>
        </w:rPr>
        <w:t>been prepared in accordance with GAAP (but, in the case of any of such financial statements which are unaudited, only to the extent GAAP is applicable to interim unaudited reports), and fairly present, in all material respects, the financial condition of the Company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Borrowers and their Subsidiaries involving material amounts, known to the officers of any Borrower or the Guarantor, which have not been disclosed in said balance sheets and the related notes thereto or otherwise in writing to the Banks.</w:t>
      </w:r>
    </w:p>
    <w:p>
      <w:pPr>
        <w:spacing w:after="0" w:line="165" w:lineRule="exact"/>
        <w:rPr>
          <w:sz w:val="20"/>
          <w:szCs w:val="20"/>
          <w:color w:val="auto"/>
        </w:rPr>
      </w:pPr>
    </w:p>
    <w:p>
      <w:pPr>
        <w:ind w:left="700" w:right="80" w:firstLine="655"/>
        <w:spacing w:after="0" w:line="259" w:lineRule="auto"/>
        <w:tabs>
          <w:tab w:leader="none" w:pos="2004"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Borrower on a consolidated basis (both before and after giving effect to the transactions contemplated by this Agreement) is solvent (</w:t>
      </w:r>
      <w:r>
        <w:rPr>
          <w:rFonts w:ascii="Arial" w:cs="Arial" w:eastAsia="Arial" w:hAnsi="Arial"/>
          <w:sz w:val="18"/>
          <w:szCs w:val="18"/>
          <w:u w:val="single" w:color="auto"/>
          <w:color w:val="auto"/>
        </w:rPr>
        <w:t>i.e</w:t>
      </w:r>
      <w:r>
        <w:rPr>
          <w:rFonts w:ascii="Arial" w:cs="Arial" w:eastAsia="Arial" w:hAnsi="Arial"/>
          <w:sz w:val="18"/>
          <w:szCs w:val="18"/>
          <w:color w:val="auto"/>
        </w:rPr>
        <w:t>.,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183" w:lineRule="exact"/>
        <w:rPr>
          <w:sz w:val="20"/>
          <w:szCs w:val="20"/>
          <w:color w:val="auto"/>
        </w:rPr>
      </w:pPr>
    </w:p>
    <w:p>
      <w:pPr>
        <w:jc w:val="both"/>
        <w:ind w:right="240" w:firstLine="1297"/>
        <w:spacing w:after="0" w:line="266" w:lineRule="auto"/>
        <w:rPr>
          <w:sz w:val="20"/>
          <w:szCs w:val="20"/>
          <w:color w:val="auto"/>
        </w:rPr>
      </w:pPr>
      <w:r>
        <w:rPr>
          <w:rFonts w:ascii="Arial" w:cs="Arial" w:eastAsia="Arial" w:hAnsi="Arial"/>
          <w:sz w:val="18"/>
          <w:szCs w:val="18"/>
          <w:b w:val="1"/>
          <w:bCs w:val="1"/>
          <w:color w:val="auto"/>
        </w:rPr>
        <w:t>§6.5. No Material Changes, Etc</w:t>
      </w:r>
      <w:r>
        <w:rPr>
          <w:rFonts w:ascii="Arial" w:cs="Arial" w:eastAsia="Arial" w:hAnsi="Arial"/>
          <w:sz w:val="18"/>
          <w:szCs w:val="18"/>
          <w:color w:val="auto"/>
        </w:rPr>
        <w:t>. Since the Balance Sheet Date, there have been no material adverse changes in the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condition, business, assets or liabilities (contingent or otherwise) of the Company and its Subsidiaries, taken as a whole, other than changes in the ordinary course of business which have not had a Material Adverse Effect.</w:t>
      </w:r>
    </w:p>
    <w:p>
      <w:pPr>
        <w:spacing w:after="0" w:line="176" w:lineRule="exact"/>
        <w:rPr>
          <w:sz w:val="20"/>
          <w:szCs w:val="20"/>
          <w:color w:val="auto"/>
        </w:rPr>
      </w:pPr>
    </w:p>
    <w:p>
      <w:pPr>
        <w:ind w:right="160" w:firstLine="1297"/>
        <w:spacing w:after="0" w:line="261" w:lineRule="auto"/>
        <w:rPr>
          <w:sz w:val="20"/>
          <w:szCs w:val="20"/>
          <w:color w:val="auto"/>
        </w:rPr>
      </w:pPr>
      <w:r>
        <w:rPr>
          <w:rFonts w:ascii="Arial" w:cs="Arial" w:eastAsia="Arial" w:hAnsi="Arial"/>
          <w:sz w:val="18"/>
          <w:szCs w:val="18"/>
          <w:b w:val="1"/>
          <w:bCs w:val="1"/>
          <w:color w:val="auto"/>
        </w:rPr>
        <w:t>§6.6. Franchises, Patents, Copyrights, Etc</w:t>
      </w:r>
      <w:r>
        <w:rPr>
          <w:rFonts w:ascii="Arial" w:cs="Arial" w:eastAsia="Arial" w:hAnsi="Arial"/>
          <w:sz w:val="18"/>
          <w:szCs w:val="18"/>
          <w:color w:val="auto"/>
        </w:rPr>
        <w:t>. Each Borrower and each of its Subsidiaries possess all franchises, patents, copyrights,</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 trade names, licenses and permits, and rights in respect of the 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20" w:firstLine="1297"/>
        <w:spacing w:after="0" w:line="314" w:lineRule="auto"/>
        <w:rPr>
          <w:sz w:val="20"/>
          <w:szCs w:val="20"/>
          <w:color w:val="auto"/>
        </w:rPr>
      </w:pPr>
      <w:r>
        <w:rPr>
          <w:rFonts w:ascii="Arial" w:cs="Arial" w:eastAsia="Arial" w:hAnsi="Arial"/>
          <w:sz w:val="16"/>
          <w:szCs w:val="16"/>
          <w:b w:val="1"/>
          <w:bCs w:val="1"/>
          <w:color w:val="auto"/>
        </w:rPr>
        <w:t>§6.7. Litigation</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6.7</w:t>
      </w:r>
      <w:r>
        <w:rPr>
          <w:rFonts w:ascii="Arial" w:cs="Arial" w:eastAsia="Arial" w:hAnsi="Arial"/>
          <w:sz w:val="16"/>
          <w:szCs w:val="16"/>
          <w:b w:val="1"/>
          <w:bCs w:val="1"/>
          <w:color w:val="auto"/>
        </w:rPr>
        <w:t xml:space="preserve"> </w:t>
      </w:r>
      <w:r>
        <w:rPr>
          <w:rFonts w:ascii="Arial" w:cs="Arial" w:eastAsia="Arial" w:hAnsi="Arial"/>
          <w:sz w:val="16"/>
          <w:szCs w:val="16"/>
          <w:color w:val="auto"/>
        </w:rPr>
        <w:t>or in the Disclosure Documents, there are no actions, suits, proceedings or</w:t>
      </w:r>
      <w:r>
        <w:rPr>
          <w:rFonts w:ascii="Arial" w:cs="Arial" w:eastAsia="Arial" w:hAnsi="Arial"/>
          <w:sz w:val="16"/>
          <w:szCs w:val="16"/>
          <w:b w:val="1"/>
          <w:bCs w:val="1"/>
          <w:color w:val="auto"/>
        </w:rPr>
        <w:t xml:space="preserve"> </w:t>
      </w:r>
      <w:r>
        <w:rPr>
          <w:rFonts w:ascii="Arial" w:cs="Arial" w:eastAsia="Arial" w:hAnsi="Arial"/>
          <w:sz w:val="16"/>
          <w:szCs w:val="16"/>
          <w:color w:val="auto"/>
        </w:rPr>
        <w:t>investigations of any kind pending or, to the knowledge of any Borrower, threatened against such Borrower or any of its Subsidiaries before any court, tribunal or administrative agency or board which, either in any case or in the aggregate, could reasonably be expected to have a Material Adverse Effect.</w:t>
      </w:r>
    </w:p>
    <w:p>
      <w:pPr>
        <w:spacing w:after="0" w:line="142" w:lineRule="exact"/>
        <w:rPr>
          <w:sz w:val="20"/>
          <w:szCs w:val="20"/>
          <w:color w:val="auto"/>
        </w:rPr>
      </w:pPr>
    </w:p>
    <w:p>
      <w:pPr>
        <w:ind w:right="20" w:firstLine="1297"/>
        <w:spacing w:after="0" w:line="258" w:lineRule="auto"/>
        <w:rPr>
          <w:sz w:val="20"/>
          <w:szCs w:val="20"/>
          <w:color w:val="auto"/>
        </w:rPr>
      </w:pPr>
      <w:r>
        <w:rPr>
          <w:rFonts w:ascii="Arial" w:cs="Arial" w:eastAsia="Arial" w:hAnsi="Arial"/>
          <w:sz w:val="18"/>
          <w:szCs w:val="18"/>
          <w:b w:val="1"/>
          <w:bCs w:val="1"/>
          <w:color w:val="auto"/>
        </w:rPr>
        <w:t xml:space="preserve">§6.8. No Materially Adverse Contracts, Etc. </w:t>
      </w:r>
      <w:r>
        <w:rPr>
          <w:rFonts w:ascii="Arial" w:cs="Arial" w:eastAsia="Arial" w:hAnsi="Arial"/>
          <w:sz w:val="18"/>
          <w:szCs w:val="18"/>
          <w:color w:val="auto"/>
        </w:rPr>
        <w:t>No Borrower nor any of its Subsidiaries is subject to any charter, corporate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legal restriction, or any judgment, decree, order, rule or regulation which in the judgment of such Borrower’s or such Subsidiary’s officers has or could reasonably be expected in the future to have a Material Adverse Effect. No Borrower nor any of its Subsidiaries is a party to any contract or agreement which in the judgment of such Borrower’s or its Subsidiary’s officers has or could reasonably be expected to have any Material Adverse Effect, except as otherwise reflected in adequate reserves as required by GAAP.</w:t>
      </w:r>
    </w:p>
    <w:p>
      <w:pPr>
        <w:spacing w:after="0" w:line="184"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b w:val="1"/>
          <w:bCs w:val="1"/>
          <w:color w:val="auto"/>
        </w:rPr>
        <w:t>§6.9. Compliance With Other Instruments, Laws, Etc</w:t>
      </w:r>
      <w:r>
        <w:rPr>
          <w:rFonts w:ascii="Arial" w:cs="Arial" w:eastAsia="Arial" w:hAnsi="Arial"/>
          <w:sz w:val="18"/>
          <w:szCs w:val="18"/>
          <w:color w:val="auto"/>
        </w:rPr>
        <w:t>. No Borrower nor any of its Subsidiaries is (a) violating any provision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charter documents or by-laws or (b) violating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180"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b w:val="1"/>
          <w:bCs w:val="1"/>
          <w:color w:val="auto"/>
        </w:rPr>
        <w:t>§6.10. Tax Status</w:t>
      </w:r>
      <w:r>
        <w:rPr>
          <w:rFonts w:ascii="Arial" w:cs="Arial" w:eastAsia="Arial" w:hAnsi="Arial"/>
          <w:sz w:val="17"/>
          <w:szCs w:val="17"/>
          <w:color w:val="auto"/>
        </w:rPr>
        <w:t>. Each Borrower and its Subsidiaries have filed all federal, state, provincial and territorial income and all other tax</w:t>
      </w:r>
      <w:r>
        <w:rPr>
          <w:rFonts w:ascii="Arial" w:cs="Arial" w:eastAsia="Arial" w:hAnsi="Arial"/>
          <w:sz w:val="17"/>
          <w:szCs w:val="17"/>
          <w:b w:val="1"/>
          <w:bCs w:val="1"/>
          <w:color w:val="auto"/>
        </w:rPr>
        <w:t xml:space="preserve"> </w:t>
      </w:r>
      <w:r>
        <w:rPr>
          <w:rFonts w:ascii="Arial" w:cs="Arial" w:eastAsia="Arial" w:hAnsi="Arial"/>
          <w:sz w:val="17"/>
          <w:szCs w:val="17"/>
          <w:color w:val="auto"/>
        </w:rPr>
        <w:t>returns, reports and declarations (or obtained extensions with respect thereto) required by applicable law to be filed by them (unless and only to the extent that such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such Borrower or such Subsidiary on an individual basis or of the Company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any Borrower or any of its Subsidiaries, nor do the officers of any Borrower or any Subsidiary know of any basis for any such claim.</w:t>
      </w:r>
    </w:p>
    <w:p>
      <w:pPr>
        <w:spacing w:after="0" w:line="174"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8"/>
          <w:szCs w:val="18"/>
          <w:b w:val="1"/>
          <w:bCs w:val="1"/>
          <w:color w:val="auto"/>
        </w:rPr>
        <w:t>No Event of Default</w:t>
      </w:r>
      <w:r>
        <w:rPr>
          <w:rFonts w:ascii="Arial" w:cs="Arial" w:eastAsia="Arial" w:hAnsi="Arial"/>
          <w:sz w:val="18"/>
          <w:szCs w:val="18"/>
          <w:color w:val="auto"/>
        </w:rPr>
        <w:t>. No Default or Event of Default has occurred hereunder and is continuing.</w:t>
      </w:r>
    </w:p>
    <w:p>
      <w:pPr>
        <w:spacing w:after="0" w:line="225" w:lineRule="exact"/>
        <w:rPr>
          <w:sz w:val="20"/>
          <w:szCs w:val="20"/>
          <w:color w:val="auto"/>
        </w:rPr>
      </w:pPr>
    </w:p>
    <w:p>
      <w:pPr>
        <w:ind w:right="340" w:firstLine="1297"/>
        <w:spacing w:after="0" w:line="313" w:lineRule="auto"/>
        <w:rPr>
          <w:sz w:val="20"/>
          <w:szCs w:val="20"/>
          <w:color w:val="auto"/>
        </w:rPr>
      </w:pPr>
      <w:r>
        <w:rPr>
          <w:rFonts w:ascii="Arial" w:cs="Arial" w:eastAsia="Arial" w:hAnsi="Arial"/>
          <w:sz w:val="17"/>
          <w:szCs w:val="17"/>
          <w:b w:val="1"/>
          <w:bCs w:val="1"/>
          <w:color w:val="auto"/>
        </w:rPr>
        <w:t>§6.12. Investment Company Act</w:t>
      </w:r>
      <w:r>
        <w:rPr>
          <w:rFonts w:ascii="Arial" w:cs="Arial" w:eastAsia="Arial" w:hAnsi="Arial"/>
          <w:sz w:val="17"/>
          <w:szCs w:val="17"/>
          <w:color w:val="auto"/>
        </w:rPr>
        <w:t>. No Borrower nor any of its Subsidiaries is a “registered investment company”, or an “affiliated</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 “principal underwriter” of a “registered investment company”, as such terms are defined in the Investment Company Act of 1940.</w:t>
      </w:r>
    </w:p>
    <w:p>
      <w:pPr>
        <w:spacing w:after="0" w:line="138" w:lineRule="exact"/>
        <w:rPr>
          <w:sz w:val="20"/>
          <w:szCs w:val="20"/>
          <w:color w:val="auto"/>
        </w:rPr>
      </w:pPr>
    </w:p>
    <w:p>
      <w:pPr>
        <w:ind w:right="100" w:firstLine="1297"/>
        <w:spacing w:after="0" w:line="303" w:lineRule="auto"/>
        <w:rPr>
          <w:sz w:val="20"/>
          <w:szCs w:val="20"/>
          <w:color w:val="auto"/>
        </w:rPr>
      </w:pPr>
      <w:r>
        <w:rPr>
          <w:rFonts w:ascii="Arial" w:cs="Arial" w:eastAsia="Arial" w:hAnsi="Arial"/>
          <w:sz w:val="16"/>
          <w:szCs w:val="16"/>
          <w:b w:val="1"/>
          <w:bCs w:val="1"/>
          <w:color w:val="auto"/>
        </w:rPr>
        <w:t xml:space="preserve">§6.13. Absence of Financing Statements, Etc. </w:t>
      </w:r>
      <w:r>
        <w:rPr>
          <w:rFonts w:ascii="Arial" w:cs="Arial" w:eastAsia="Arial" w:hAnsi="Arial"/>
          <w:sz w:val="16"/>
          <w:szCs w:val="16"/>
          <w:color w:val="auto"/>
        </w:rPr>
        <w:t>Except as permitted by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§8.1</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there is no Indebtedness senior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and except for Permitted Liens, there are no Liens, or any effective financing statement, security agreement, hypothec, chattel mortgage, real estate mortgage, debenture or other document filed or recorded with any filing records, registry, or other public office, which purports to cover, affect or give notice of any present or possible future Lien on any assets or property of any Borrower or any of its Subsidiaries or right thereunder.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8"/>
          <w:szCs w:val="18"/>
          <w:b w:val="1"/>
          <w:bCs w:val="1"/>
          <w:color w:val="auto"/>
        </w:rPr>
        <w:t>Employee Benefit Plans</w:t>
      </w:r>
      <w:r>
        <w:rPr>
          <w:rFonts w:ascii="Arial" w:cs="Arial" w:eastAsia="Arial" w:hAnsi="Arial"/>
          <w:sz w:val="18"/>
          <w:szCs w:val="18"/>
          <w:color w:val="auto"/>
        </w:rPr>
        <w:t>.</w:t>
      </w:r>
    </w:p>
    <w:p>
      <w:pPr>
        <w:spacing w:after="0" w:line="225" w:lineRule="exact"/>
        <w:rPr>
          <w:sz w:val="20"/>
          <w:szCs w:val="20"/>
          <w:color w:val="auto"/>
        </w:rPr>
      </w:pPr>
    </w:p>
    <w:p>
      <w:pPr>
        <w:ind w:right="120" w:firstLine="1945"/>
        <w:spacing w:after="0" w:line="291" w:lineRule="auto"/>
        <w:rPr>
          <w:sz w:val="20"/>
          <w:szCs w:val="20"/>
          <w:color w:val="auto"/>
        </w:rPr>
      </w:pPr>
      <w:r>
        <w:rPr>
          <w:rFonts w:ascii="Arial" w:cs="Arial" w:eastAsia="Arial" w:hAnsi="Arial"/>
          <w:sz w:val="16"/>
          <w:szCs w:val="16"/>
          <w:b w:val="1"/>
          <w:bCs w:val="1"/>
          <w:color w:val="auto"/>
        </w:rPr>
        <w:t xml:space="preserve">§6.14.1 In General. </w:t>
      </w:r>
      <w:r>
        <w:rPr>
          <w:rFonts w:ascii="Arial" w:cs="Arial" w:eastAsia="Arial" w:hAnsi="Arial"/>
          <w:sz w:val="16"/>
          <w:szCs w:val="16"/>
          <w:color w:val="auto"/>
        </w:rPr>
        <w:t>(a) Except as could not reasonably be expected to have a Material Adverse Effect, each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Plan and Canadian Pension Plan has been maintained and operated in compliance with the provisions of all applicable laws (including, without limitation, in the case of each Employee Benefit Plan, ERISA and, to the extent applicable, the Code, and, in the case of any Canadian Pension Plan, all applicable Canadian laws). Promptly upon the request of any Bank or the Administrative Agent, each Borrower will furnish to the Administrative Agent the most recently completed annual report, Form 5500, with all required attachments, and actuarial statement required to be submitted under §103(d) of ERISA, with respect to each Guaranteed Pension Plan. (b) Except as could not reasonably be expected to have a Material Adverse Effect, (i) each Canadian Pension Plan has received a confirmation of registration from the Canada Revenue Agency and, to the best knowledge of the Company, nothing has occurred which would prevent, or cause the loss of, such registration and (ii) each Loan Party and each Subsidiary has made all required contributions to each Canadian</w:t>
      </w:r>
    </w:p>
    <w:p>
      <w:pPr>
        <w:sectPr>
          <w:pgSz w:w="11900" w:h="16935" w:orient="portrait"/>
          <w:cols w:equalWidth="0" w:num="1">
            <w:col w:w="11420"/>
          </w:cols>
          <w:pgMar w:left="240" w:top="125" w:right="239" w:bottom="0" w:gutter="0" w:footer="0" w:header="0"/>
        </w:sectPr>
      </w:pPr>
    </w:p>
    <w:bookmarkStart w:id="40" w:name="page41"/>
    <w:bookmarkEnd w:id="40"/>
    <w:p>
      <w:pPr>
        <w:spacing w:after="0" w:line="10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Pension Plan. The aggregate solvency deficiency for the Canadian Defined Benefit Pension Plans of each Borrower and each Subsidiary in existence on the Effective Date is not, and has not resulted and could not reasonably be expected to result in liability of any Borrower or any Subsidiary, in an aggregate amount exceeding $50,000,000.</w:t>
      </w:r>
    </w:p>
    <w:p>
      <w:pPr>
        <w:spacing w:after="0" w:line="177"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7"/>
          <w:szCs w:val="17"/>
          <w:b w:val="1"/>
          <w:bCs w:val="1"/>
          <w:color w:val="auto"/>
        </w:rPr>
        <w:t>§6.14.2</w:t>
      </w:r>
      <w:r>
        <w:rPr>
          <w:sz w:val="20"/>
          <w:szCs w:val="20"/>
          <w:color w:val="auto"/>
        </w:rPr>
        <w:tab/>
      </w:r>
      <w:r>
        <w:rPr>
          <w:rFonts w:ascii="Arial" w:cs="Arial" w:eastAsia="Arial" w:hAnsi="Arial"/>
          <w:sz w:val="17"/>
          <w:szCs w:val="17"/>
          <w:b w:val="1"/>
          <w:bCs w:val="1"/>
          <w:color w:val="auto"/>
        </w:rPr>
        <w:t xml:space="preserve">Terminability of Welfare Plans. </w:t>
      </w:r>
      <w:r>
        <w:rPr>
          <w:rFonts w:ascii="Arial" w:cs="Arial" w:eastAsia="Arial" w:hAnsi="Arial"/>
          <w:sz w:val="17"/>
          <w:szCs w:val="17"/>
          <w:color w:val="auto"/>
        </w:rPr>
        <w:t>Except as could not reasonably be expected to have a Material Adverse Effect,</w:t>
      </w:r>
    </w:p>
    <w:p>
      <w:pPr>
        <w:spacing w:after="0" w:line="39" w:lineRule="exact"/>
        <w:rPr>
          <w:sz w:val="20"/>
          <w:szCs w:val="20"/>
          <w:color w:val="auto"/>
        </w:rPr>
      </w:pPr>
    </w:p>
    <w:p>
      <w:pPr>
        <w:ind w:right="80" w:firstLine="8"/>
        <w:spacing w:after="0" w:line="295" w:lineRule="auto"/>
        <w:tabs>
          <w:tab w:leader="none" w:pos="215" w:val="left"/>
        </w:tabs>
        <w:numPr>
          <w:ilvl w:val="0"/>
          <w:numId w:val="65"/>
        </w:numPr>
        <w:rPr>
          <w:rFonts w:ascii="Arial" w:cs="Arial" w:eastAsia="Arial" w:hAnsi="Arial"/>
          <w:sz w:val="16"/>
          <w:szCs w:val="16"/>
          <w:color w:val="auto"/>
        </w:rPr>
      </w:pPr>
      <w:r>
        <w:rPr>
          <w:rFonts w:ascii="Arial" w:cs="Arial" w:eastAsia="Arial" w:hAnsi="Arial"/>
          <w:sz w:val="16"/>
          <w:szCs w:val="16"/>
          <w:color w:val="auto"/>
        </w:rPr>
        <w:t>under each Employee Benefit Plan which is an employee welfare benefit plan within the meaning of §3(1) or §3(2)(B) of ERISA, no benefits are due unless the event giving rise to the benefit entitlement occurs prior to plan termination (except as required by Title 1, Part 6 of ERISA), and (ii) any Borrower or an ERISA Affiliate, as appropriate, may terminate each such employee welfare benefit plan at any time (or at any time subsequent to the expiration of any applicable bargaining agreement) in the discretion of such Borrower or such ERISA Affiliate without liability to any Borrower or any Subsidiary.</w:t>
      </w:r>
    </w:p>
    <w:p>
      <w:pPr>
        <w:spacing w:after="0" w:line="158" w:lineRule="exact"/>
        <w:rPr>
          <w:sz w:val="20"/>
          <w:szCs w:val="20"/>
          <w:color w:val="auto"/>
        </w:rPr>
      </w:pPr>
    </w:p>
    <w:p>
      <w:pPr>
        <w:ind w:right="40" w:firstLine="1945"/>
        <w:spacing w:after="0" w:line="287" w:lineRule="auto"/>
        <w:rPr>
          <w:sz w:val="20"/>
          <w:szCs w:val="20"/>
          <w:color w:val="auto"/>
        </w:rPr>
      </w:pPr>
      <w:r>
        <w:rPr>
          <w:rFonts w:ascii="Arial" w:cs="Arial" w:eastAsia="Arial" w:hAnsi="Arial"/>
          <w:sz w:val="16"/>
          <w:szCs w:val="16"/>
          <w:b w:val="1"/>
          <w:bCs w:val="1"/>
          <w:color w:val="auto"/>
        </w:rPr>
        <w:t xml:space="preserve">§6.14.3 Guaranteed Pension Plans. </w:t>
      </w:r>
      <w:r>
        <w:rPr>
          <w:rFonts w:ascii="Arial" w:cs="Arial" w:eastAsia="Arial" w:hAnsi="Arial"/>
          <w:sz w:val="16"/>
          <w:szCs w:val="16"/>
          <w:color w:val="auto"/>
        </w:rPr>
        <w:t>Except as could not reasonably be expected to have a Material Adverse Effect: (a) each</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 required to be made to a Guaranteed Pension Plan, whether required to be made to avoid a violation of the minimum funding standards under §§412 and 430 of the Code, the notice or lien provisions of §303(k) or §4068 of ERISA, or otherwise, has been timely made; (b) no waiver of the minimum funding standards under §§412 and 430 of the Code or extension of amortization periods has been received with respect to any Guaranteed Pension Plan;</w:t>
      </w:r>
    </w:p>
    <w:p>
      <w:pPr>
        <w:spacing w:after="0" w:line="3" w:lineRule="exact"/>
        <w:rPr>
          <w:sz w:val="20"/>
          <w:szCs w:val="20"/>
          <w:color w:val="auto"/>
        </w:rPr>
      </w:pPr>
    </w:p>
    <w:p>
      <w:pPr>
        <w:ind w:firstLine="8"/>
        <w:spacing w:after="0" w:line="281" w:lineRule="auto"/>
        <w:tabs>
          <w:tab w:leader="none" w:pos="245"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liability to the PBGC (other than required insurance premiums, all of which have been paid) has been incurred by any Borrower or any ERISA Affiliate with respect to any Guaranteed Pension Plan (other than Terminated Plans) and there has not been any ERISA Reportable Event, or any other event or condition which presents a material risk of termination of any Guaranteed Pension Plan by the PBGC; and (d) other than with respect to the Terminated Plans, based on the latest valuation of each Guaranteed Pension Plan (which in each case occurred within twelve months of the date of this representation), and on the actuarial methods and assumptions employed for that valuation, each Guaranteed Pension Plan is in compliance with the minimum funding standards as set forth in §302 of ERISA and is not subject to any restrictions concerning (i) providing shutdown or similar benefits, (ii) amendments to increase benefits,</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paying lump sums or (iv) continuing to accrue benefits, as described by the Pension Protection Act of 2006.</w:t>
      </w:r>
    </w:p>
    <w:p>
      <w:pPr>
        <w:spacing w:after="0" w:line="207" w:lineRule="exact"/>
        <w:rPr>
          <w:sz w:val="20"/>
          <w:szCs w:val="20"/>
          <w:color w:val="auto"/>
        </w:rPr>
      </w:pPr>
    </w:p>
    <w:p>
      <w:pPr>
        <w:ind w:firstLine="1945"/>
        <w:spacing w:after="0" w:line="266" w:lineRule="auto"/>
        <w:rPr>
          <w:sz w:val="20"/>
          <w:szCs w:val="20"/>
          <w:color w:val="auto"/>
        </w:rPr>
      </w:pPr>
      <w:r>
        <w:rPr>
          <w:rFonts w:ascii="Arial" w:cs="Arial" w:eastAsia="Arial" w:hAnsi="Arial"/>
          <w:sz w:val="18"/>
          <w:szCs w:val="18"/>
          <w:b w:val="1"/>
          <w:bCs w:val="1"/>
          <w:color w:val="auto"/>
        </w:rPr>
        <w:t xml:space="preserve">§6.14.4 Plan Assets. </w:t>
      </w:r>
      <w:r>
        <w:rPr>
          <w:rFonts w:ascii="Arial" w:cs="Arial" w:eastAsia="Arial" w:hAnsi="Arial"/>
          <w:sz w:val="18"/>
          <w:szCs w:val="18"/>
          <w:color w:val="auto"/>
        </w:rPr>
        <w:t>Each Borrower represents and warrants as of the Effective Date that such Borrower is not and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using “plan assets” (within the meaning of 29 CFR § 2510.3-101, as modified by Section 3(42) of ERISA) of one or more Benefit Plans in connection with the Loans, the Letters of Credit or the Commitments.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60" w:firstLine="1945"/>
        <w:spacing w:after="0" w:line="255" w:lineRule="auto"/>
        <w:rPr>
          <w:sz w:val="20"/>
          <w:szCs w:val="20"/>
          <w:color w:val="auto"/>
        </w:rPr>
      </w:pPr>
      <w:r>
        <w:rPr>
          <w:rFonts w:ascii="Arial" w:cs="Arial" w:eastAsia="Arial" w:hAnsi="Arial"/>
          <w:sz w:val="18"/>
          <w:szCs w:val="18"/>
          <w:b w:val="1"/>
          <w:bCs w:val="1"/>
          <w:color w:val="auto"/>
        </w:rPr>
        <w:t xml:space="preserve">§6.14.5 Multiemployer Plans. </w:t>
      </w:r>
      <w:r>
        <w:rPr>
          <w:rFonts w:ascii="Arial" w:cs="Arial" w:eastAsia="Arial" w:hAnsi="Arial"/>
          <w:sz w:val="18"/>
          <w:szCs w:val="18"/>
          <w:color w:val="auto"/>
        </w:rPr>
        <w:t>Except for liabilities that have been discharged prior to the Effective Date or as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accruals have been made in accordance with GAAP prior to the Effective Date as reflected in the Disclosure Documents or as could not reasonably be expected to have a Material Adverse Effect, no Borrower nor any ERISA Affiliate has incurred any liability (including secondary liability) to any Multiemployer Plan as a result of a complete or partial withdrawal from such Multiemployer Plan under §4201 of ERISA or as a result of a sale of assets described in §4204 of ERISA. No Borrower nor any ERISA Affiliate has been notified that any Multiemployer Plan is insolvent under and within the meaning of §4245 of ERISA or that any Multiemployer Plan intends to terminate or has been terminated under §4041A of ERISA, except as could not reasonably be expected to have a Material Adverse Effect.</w:t>
      </w:r>
    </w:p>
    <w:p>
      <w:pPr>
        <w:spacing w:after="0" w:line="189" w:lineRule="exact"/>
        <w:rPr>
          <w:sz w:val="20"/>
          <w:szCs w:val="20"/>
          <w:color w:val="auto"/>
        </w:rPr>
      </w:pPr>
    </w:p>
    <w:p>
      <w:pPr>
        <w:ind w:right="300" w:firstLine="1297"/>
        <w:spacing w:after="0" w:line="314" w:lineRule="auto"/>
        <w:rPr>
          <w:sz w:val="20"/>
          <w:szCs w:val="20"/>
          <w:color w:val="auto"/>
        </w:rPr>
      </w:pPr>
      <w:r>
        <w:rPr>
          <w:rFonts w:ascii="Arial" w:cs="Arial" w:eastAsia="Arial" w:hAnsi="Arial"/>
          <w:sz w:val="16"/>
          <w:szCs w:val="16"/>
          <w:b w:val="1"/>
          <w:bCs w:val="1"/>
          <w:color w:val="auto"/>
        </w:rPr>
        <w:t xml:space="preserve">§6.15. Environmental Compliance. </w:t>
      </w:r>
      <w:r>
        <w:rPr>
          <w:rFonts w:ascii="Arial" w:cs="Arial" w:eastAsia="Arial" w:hAnsi="Arial"/>
          <w:sz w:val="16"/>
          <w:szCs w:val="16"/>
          <w:color w:val="auto"/>
        </w:rPr>
        <w:t>Each Borrower and its Subsidiaries have taken all steps that they have deemed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necessary to investigate the past and present condition and usage of the Real Property and the operations conducted by such Borrower and its Subsidiaries and, based upon such diligent investigation, have determined that, except as set forth on </w:t>
      </w:r>
      <w:r>
        <w:rPr>
          <w:rFonts w:ascii="Arial" w:cs="Arial" w:eastAsia="Arial" w:hAnsi="Arial"/>
          <w:sz w:val="16"/>
          <w:szCs w:val="16"/>
          <w:u w:val="single" w:color="auto"/>
          <w:color w:val="auto"/>
        </w:rPr>
        <w:t>Schedule 6.15</w:t>
      </w:r>
      <w:r>
        <w:rPr>
          <w:rFonts w:ascii="Arial" w:cs="Arial" w:eastAsia="Arial" w:hAnsi="Arial"/>
          <w:sz w:val="16"/>
          <w:szCs w:val="16"/>
          <w:color w:val="auto"/>
        </w:rPr>
        <w:t xml:space="preserve"> or in the Disclosure Documents:</w:t>
      </w:r>
    </w:p>
    <w:p>
      <w:pPr>
        <w:spacing w:after="0" w:line="146" w:lineRule="exact"/>
        <w:rPr>
          <w:sz w:val="20"/>
          <w:szCs w:val="20"/>
          <w:color w:val="auto"/>
        </w:rPr>
      </w:pPr>
    </w:p>
    <w:p>
      <w:pPr>
        <w:ind w:left="700" w:right="40" w:firstLine="655"/>
        <w:spacing w:after="0" w:line="254" w:lineRule="auto"/>
        <w:tabs>
          <w:tab w:leader="none" w:pos="1993"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Borrower, no Significant Subsidiary, nor any operator of their properties, is in violation, or alleged violation, of any judgment, decree, order, law, permit, license, rule or regulation pertaining to environmental matters, including without limitation, those arising under the Resource Conservation and Recovery Act (“</w:t>
      </w:r>
      <w:r>
        <w:rPr>
          <w:rFonts w:ascii="Arial" w:cs="Arial" w:eastAsia="Arial" w:hAnsi="Arial"/>
          <w:sz w:val="18"/>
          <w:szCs w:val="18"/>
          <w:u w:val="single" w:color="auto"/>
          <w:color w:val="auto"/>
        </w:rPr>
        <w:t>RCRA</w:t>
      </w:r>
      <w:r>
        <w:rPr>
          <w:rFonts w:ascii="Arial" w:cs="Arial" w:eastAsia="Arial" w:hAnsi="Arial"/>
          <w:sz w:val="18"/>
          <w:szCs w:val="18"/>
          <w:color w:val="auto"/>
        </w:rPr>
        <w:t>”), the Comprehensive Environmental Response, Compensation and Liability Act of 1980 as amended (“</w:t>
      </w:r>
      <w:r>
        <w:rPr>
          <w:rFonts w:ascii="Arial" w:cs="Arial" w:eastAsia="Arial" w:hAnsi="Arial"/>
          <w:sz w:val="18"/>
          <w:szCs w:val="18"/>
          <w:u w:val="single" w:color="auto"/>
          <w:color w:val="auto"/>
        </w:rPr>
        <w:t>CERCLA</w:t>
      </w:r>
      <w:r>
        <w:rPr>
          <w:rFonts w:ascii="Arial" w:cs="Arial" w:eastAsia="Arial" w:hAnsi="Arial"/>
          <w:sz w:val="18"/>
          <w:szCs w:val="18"/>
          <w:color w:val="auto"/>
        </w:rPr>
        <w:t>”), the Superfund Amendments and Reauthorization Act of 1986 (“</w:t>
      </w:r>
      <w:r>
        <w:rPr>
          <w:rFonts w:ascii="Arial" w:cs="Arial" w:eastAsia="Arial" w:hAnsi="Arial"/>
          <w:sz w:val="18"/>
          <w:szCs w:val="18"/>
          <w:u w:val="single" w:color="auto"/>
          <w:color w:val="auto"/>
        </w:rPr>
        <w:t>SARA</w:t>
      </w:r>
      <w:r>
        <w:rPr>
          <w:rFonts w:ascii="Arial" w:cs="Arial" w:eastAsia="Arial" w:hAnsi="Arial"/>
          <w:sz w:val="18"/>
          <w:szCs w:val="18"/>
          <w:color w:val="auto"/>
        </w:rPr>
        <w:t>”), the Federal Clean Water Act, the Federal Clean Air Act, the Toxic Substances Control Act, the Canadian Environmental Protection Act, 1999, or any applicable international, federal, state, provincial, territorial or local statute, regulation, ordinance, order or decree relating to health, safety, waste transportation or disposal, or the environment (the “</w:t>
      </w:r>
      <w:r>
        <w:rPr>
          <w:rFonts w:ascii="Arial" w:cs="Arial" w:eastAsia="Arial" w:hAnsi="Arial"/>
          <w:sz w:val="18"/>
          <w:szCs w:val="18"/>
          <w:u w:val="single" w:color="auto"/>
          <w:color w:val="auto"/>
        </w:rPr>
        <w:t>Environmental Laws</w:t>
      </w:r>
      <w:r>
        <w:rPr>
          <w:rFonts w:ascii="Arial" w:cs="Arial" w:eastAsia="Arial" w:hAnsi="Arial"/>
          <w:sz w:val="18"/>
          <w:szCs w:val="18"/>
          <w:color w:val="auto"/>
        </w:rPr>
        <w:t>”), which violation, individually or in the aggregate, could reasonably be expected to have a Material Adverse Effect.</w:t>
      </w:r>
    </w:p>
    <w:p>
      <w:pPr>
        <w:spacing w:after="0" w:line="192" w:lineRule="exact"/>
        <w:rPr>
          <w:rFonts w:ascii="Arial" w:cs="Arial" w:eastAsia="Arial" w:hAnsi="Arial"/>
          <w:sz w:val="18"/>
          <w:szCs w:val="18"/>
          <w:color w:val="auto"/>
        </w:rPr>
      </w:pPr>
    </w:p>
    <w:p>
      <w:pPr>
        <w:ind w:left="700" w:firstLine="655"/>
        <w:spacing w:after="0" w:line="287" w:lineRule="auto"/>
        <w:tabs>
          <w:tab w:leader="none" w:pos="2004"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Except with respect to any such matters that could not reasonably be expected to have a Material Adverse Effect, no Borrower nor any Significant Subsidiary has received notice from any third party including, without limitation: any Governmental Authority, (i) that any one of them has been identified by the United States Environmental Protection Agency (“</w:t>
      </w:r>
      <w:r>
        <w:rPr>
          <w:rFonts w:ascii="Arial" w:cs="Arial" w:eastAsia="Arial" w:hAnsi="Arial"/>
          <w:sz w:val="16"/>
          <w:szCs w:val="16"/>
          <w:u w:val="single" w:color="auto"/>
          <w:color w:val="auto"/>
        </w:rPr>
        <w:t>EPA</w:t>
      </w:r>
      <w:r>
        <w:rPr>
          <w:rFonts w:ascii="Arial" w:cs="Arial" w:eastAsia="Arial" w:hAnsi="Arial"/>
          <w:sz w:val="16"/>
          <w:szCs w:val="16"/>
          <w:color w:val="auto"/>
        </w:rPr>
        <w:t>”) as a potentially responsible party under CERCLA with respect to a site listed on the National Priorities List, 40 C.F.R. Part 300 Appendix B; (ii) that any hazardous waste, as defined by 42 U.S.C. §6903(5), any hazardous substances as defined by 42 U.S.C. §9601(14), any pollutant or contaminant as defined by 42 U.S.C. §9601(33) or any toxic substance, oil or hazardous materials or other chemicals or substances regulated by any Environmental Laws, excluding household hazardous waste (“</w:t>
      </w:r>
      <w:r>
        <w:rPr>
          <w:rFonts w:ascii="Arial" w:cs="Arial" w:eastAsia="Arial" w:hAnsi="Arial"/>
          <w:sz w:val="16"/>
          <w:szCs w:val="16"/>
          <w:u w:val="single" w:color="auto"/>
          <w:color w:val="auto"/>
        </w:rPr>
        <w:t>Hazardous Substances</w:t>
      </w:r>
      <w:r>
        <w:rPr>
          <w:rFonts w:ascii="Arial" w:cs="Arial" w:eastAsia="Arial" w:hAnsi="Arial"/>
          <w:sz w:val="16"/>
          <w:szCs w:val="16"/>
          <w:color w:val="auto"/>
        </w:rPr>
        <w:t>”), which any one of them has generated, transported or disposed of, has been found at any site at which a federal, state, provincial, territorial or local agency or other third party has conducted or has ordered that a Borrower or any Significant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72" w:lineRule="exact"/>
        <w:rPr>
          <w:rFonts w:ascii="Arial" w:cs="Arial" w:eastAsia="Arial" w:hAnsi="Arial"/>
          <w:sz w:val="16"/>
          <w:szCs w:val="16"/>
          <w:color w:val="auto"/>
        </w:rPr>
      </w:pPr>
    </w:p>
    <w:p>
      <w:pPr>
        <w:ind w:left="700" w:right="80" w:firstLine="655"/>
        <w:spacing w:after="0" w:line="286" w:lineRule="auto"/>
        <w:tabs>
          <w:tab w:leader="none" w:pos="2007"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Except for those occurrences or situations that could not reasonably be expected to have a Material Adverse Effect, (i) no portion of the Real Property or other assets of a Borrower or any Significant Subsidiary has been used for the handling, processing, storage or disposal of Hazardous Substances except in accordance with applicable Environmental Laws; (ii) in the course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40"/>
        <w:spacing w:after="0" w:line="297" w:lineRule="auto"/>
        <w:rPr>
          <w:sz w:val="20"/>
          <w:szCs w:val="20"/>
          <w:color w:val="auto"/>
        </w:rPr>
      </w:pPr>
      <w:r>
        <w:rPr>
          <w:rFonts w:ascii="Arial" w:cs="Arial" w:eastAsia="Arial" w:hAnsi="Arial"/>
          <w:sz w:val="16"/>
          <w:szCs w:val="16"/>
          <w:color w:val="auto"/>
        </w:rPr>
        <w:t>of any activities conducted by a Borrower, any Significant Subsidiaries, or operators of the Real Property or other assets of a Borrower or any Significant Subsidiaries,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a Borrower or any Significant Subsidiaries; and (iv) any Hazardous Substances that have been generated on the Real Property or other assets of a Borrower or any Significant Subsidiaries have been transported offsite only by carriers having an identification number</w:t>
      </w:r>
    </w:p>
    <w:p>
      <w:pPr>
        <w:sectPr>
          <w:pgSz w:w="11900" w:h="16941" w:orient="portrait"/>
          <w:cols w:equalWidth="0" w:num="1">
            <w:col w:w="11400"/>
          </w:cols>
          <w:pgMar w:left="240" w:top="125" w:right="259" w:bottom="0" w:gutter="0" w:footer="0" w:header="0"/>
        </w:sectPr>
      </w:pPr>
    </w:p>
    <w:bookmarkStart w:id="41" w:name="page42"/>
    <w:bookmarkEnd w:id="41"/>
    <w:p>
      <w:pPr>
        <w:ind w:left="700"/>
        <w:spacing w:after="0" w:line="264" w:lineRule="auto"/>
        <w:rPr>
          <w:sz w:val="20"/>
          <w:szCs w:val="20"/>
          <w:color w:val="auto"/>
        </w:rPr>
      </w:pPr>
      <w:r>
        <w:rPr>
          <w:rFonts w:ascii="Arial" w:cs="Arial" w:eastAsia="Arial" w:hAnsi="Arial"/>
          <w:sz w:val="18"/>
          <w:szCs w:val="18"/>
          <w:color w:val="auto"/>
        </w:rPr>
        <w:t>issued by the EPA, treated or disposed of only by treatment or disposal facilities maintaining valid permits as required under applicable Environmental Laws, which transporters and facilities have been and are, to each Borrower’s knowledge, operating in compliance with such permits and applicable Environmental Laws.</w:t>
      </w:r>
    </w:p>
    <w:p>
      <w:pPr>
        <w:spacing w:after="0" w:line="177" w:lineRule="exact"/>
        <w:rPr>
          <w:sz w:val="20"/>
          <w:szCs w:val="20"/>
          <w:color w:val="auto"/>
        </w:rPr>
      </w:pPr>
    </w:p>
    <w:p>
      <w:pPr>
        <w:ind w:right="60" w:firstLine="1297"/>
        <w:spacing w:after="0" w:line="258" w:lineRule="auto"/>
        <w:rPr>
          <w:sz w:val="20"/>
          <w:szCs w:val="20"/>
          <w:color w:val="auto"/>
        </w:rPr>
      </w:pPr>
      <w:r>
        <w:rPr>
          <w:rFonts w:ascii="Arial" w:cs="Arial" w:eastAsia="Arial" w:hAnsi="Arial"/>
          <w:sz w:val="18"/>
          <w:szCs w:val="18"/>
          <w:b w:val="1"/>
          <w:bCs w:val="1"/>
          <w:color w:val="auto"/>
        </w:rPr>
        <w:t>§6.16. Disclosure</w:t>
      </w:r>
      <w:r>
        <w:rPr>
          <w:rFonts w:ascii="Arial" w:cs="Arial" w:eastAsia="Arial" w:hAnsi="Arial"/>
          <w:sz w:val="18"/>
          <w:szCs w:val="18"/>
          <w:color w:val="auto"/>
        </w:rPr>
        <w:t>. No representation or warranty made by any Borrower or the Guarantor in this Agreement or in any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document, certificate, or financial statement furnished to the Banks or the Administrative Agent by or on behalf of or at the request of any Borrower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184" w:lineRule="exact"/>
        <w:rPr>
          <w:sz w:val="20"/>
          <w:szCs w:val="20"/>
          <w:color w:val="auto"/>
        </w:rPr>
      </w:pPr>
    </w:p>
    <w:p>
      <w:pPr>
        <w:ind w:right="40" w:firstLine="1297"/>
        <w:spacing w:after="0" w:line="298" w:lineRule="auto"/>
        <w:rPr>
          <w:sz w:val="20"/>
          <w:szCs w:val="20"/>
          <w:color w:val="auto"/>
        </w:rPr>
      </w:pPr>
      <w:r>
        <w:rPr>
          <w:rFonts w:ascii="Arial" w:cs="Arial" w:eastAsia="Arial" w:hAnsi="Arial"/>
          <w:sz w:val="16"/>
          <w:szCs w:val="16"/>
          <w:b w:val="1"/>
          <w:bCs w:val="1"/>
          <w:color w:val="auto"/>
        </w:rPr>
        <w:t>§6.17. Permits and Governmental Authority</w:t>
      </w:r>
      <w:r>
        <w:rPr>
          <w:rFonts w:ascii="Arial" w:cs="Arial" w:eastAsia="Arial" w:hAnsi="Arial"/>
          <w:sz w:val="16"/>
          <w:szCs w:val="16"/>
          <w:color w:val="auto"/>
        </w:rPr>
        <w:t>. All permits (other than those the absence of which could not reasonably be expected</w:t>
      </w:r>
      <w:r>
        <w:rPr>
          <w:rFonts w:ascii="Arial" w:cs="Arial" w:eastAsia="Arial" w:hAnsi="Arial"/>
          <w:sz w:val="16"/>
          <w:szCs w:val="16"/>
          <w:b w:val="1"/>
          <w:bCs w:val="1"/>
          <w:color w:val="auto"/>
        </w:rPr>
        <w:t xml:space="preserve"> </w:t>
      </w:r>
      <w:r>
        <w:rPr>
          <w:rFonts w:ascii="Arial" w:cs="Arial" w:eastAsia="Arial" w:hAnsi="Arial"/>
          <w:sz w:val="16"/>
          <w:szCs w:val="16"/>
          <w:color w:val="auto"/>
        </w:rPr>
        <w:t>to have a Material Adverse Effect) required for the construction and operation of all landfills currently owned or operated by any Borrower or any Significant Subsidiaries have been obtained and remain in full force and effect and are not subject to any appeals or further proceedings or to any unsatisfied conditions that may allow material modification or revocation. No Borrower nor any of its Subsidiaries, nor, to the knowledge of any Borrower, the holder of such permits is in violation of any such permits, except for any violation which could not reasonably be expected to have a Material Adverse Effect.</w:t>
      </w:r>
    </w:p>
    <w:p>
      <w:pPr>
        <w:spacing w:after="0" w:line="154"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b w:val="1"/>
          <w:bCs w:val="1"/>
          <w:color w:val="auto"/>
        </w:rPr>
        <w:t>§6.18. Margin Stock</w:t>
      </w:r>
      <w:r>
        <w:rPr>
          <w:rFonts w:ascii="Arial" w:cs="Arial" w:eastAsia="Arial" w:hAnsi="Arial"/>
          <w:sz w:val="18"/>
          <w:szCs w:val="18"/>
          <w:color w:val="auto"/>
        </w:rPr>
        <w:t>. No Borrower is engaged in the business of extending credit for the purpose of purchasing or carrying margin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(within the meaning of Regulation U issued by the Board of Governors of the Federal Reserve System), and no proceeds of any Loans will be used to purchase or carry any margin stock or to extend credit to others for the purpose of purchasing or carrying any margin stock in violation of Regulations T, U or X of the Board of Governors of the Federal Reserve System.</w:t>
      </w:r>
    </w:p>
    <w:p>
      <w:pPr>
        <w:spacing w:after="0" w:line="180" w:lineRule="exact"/>
        <w:rPr>
          <w:sz w:val="20"/>
          <w:szCs w:val="20"/>
          <w:color w:val="auto"/>
        </w:rPr>
      </w:pPr>
    </w:p>
    <w:p>
      <w:pPr>
        <w:ind w:right="60" w:firstLine="1297"/>
        <w:spacing w:after="0" w:line="287" w:lineRule="auto"/>
        <w:rPr>
          <w:sz w:val="20"/>
          <w:szCs w:val="20"/>
          <w:color w:val="auto"/>
        </w:rPr>
      </w:pPr>
      <w:r>
        <w:rPr>
          <w:rFonts w:ascii="Arial" w:cs="Arial" w:eastAsia="Arial" w:hAnsi="Arial"/>
          <w:sz w:val="16"/>
          <w:szCs w:val="16"/>
          <w:b w:val="1"/>
          <w:bCs w:val="1"/>
          <w:color w:val="auto"/>
        </w:rPr>
        <w:t>§6.19. Sanctions</w:t>
      </w:r>
      <w:r>
        <w:rPr>
          <w:rFonts w:ascii="Arial" w:cs="Arial" w:eastAsia="Arial" w:hAnsi="Arial"/>
          <w:sz w:val="16"/>
          <w:szCs w:val="16"/>
          <w:color w:val="auto"/>
        </w:rPr>
        <w:t>. No Borrower, nor any of its Subsidiaries, nor, to the knowledge of a Borrower or any of its Subsidiaries, any</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officer, employee, agent, affiliate or representative thereof, is an individual or entity that is, or is owned or controlled by any individual or entity that is (a) currently the subject or target of any Sanctions, (b) included on OFAC’s List of Specially Designated Nationals, the Canadian Sanctions List or HMT’s Consolidated List of Financial Sanctions Targets and the Investment Ban List, or any similar list enforced by any other relevant sanctions authority or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 located, organized or resident in a Designated Jurisdiction.</w:t>
      </w:r>
    </w:p>
    <w:p>
      <w:pPr>
        <w:spacing w:after="0" w:line="207" w:lineRule="exact"/>
        <w:rPr>
          <w:sz w:val="20"/>
          <w:szCs w:val="20"/>
          <w:color w:val="auto"/>
        </w:rPr>
      </w:pPr>
    </w:p>
    <w:p>
      <w:pPr>
        <w:ind w:right="40" w:firstLine="1297"/>
        <w:spacing w:after="0" w:line="289" w:lineRule="auto"/>
        <w:rPr>
          <w:sz w:val="20"/>
          <w:szCs w:val="20"/>
          <w:color w:val="auto"/>
        </w:rPr>
      </w:pPr>
      <w:r>
        <w:rPr>
          <w:rFonts w:ascii="Arial" w:cs="Arial" w:eastAsia="Arial" w:hAnsi="Arial"/>
          <w:sz w:val="17"/>
          <w:szCs w:val="17"/>
          <w:b w:val="1"/>
          <w:bCs w:val="1"/>
          <w:color w:val="auto"/>
        </w:rPr>
        <w:t>§6.20. Anti-Corruption Laws</w:t>
      </w:r>
      <w:r>
        <w:rPr>
          <w:rFonts w:ascii="Arial" w:cs="Arial" w:eastAsia="Arial" w:hAnsi="Arial"/>
          <w:sz w:val="17"/>
          <w:szCs w:val="17"/>
          <w:color w:val="auto"/>
        </w:rPr>
        <w:t>. Each Borrower and its Subsidiaries have conducted their businesses in compliance with the FCPA, the</w:t>
      </w:r>
      <w:r>
        <w:rPr>
          <w:rFonts w:ascii="Arial" w:cs="Arial" w:eastAsia="Arial" w:hAnsi="Arial"/>
          <w:sz w:val="17"/>
          <w:szCs w:val="17"/>
          <w:b w:val="1"/>
          <w:bCs w:val="1"/>
          <w:color w:val="auto"/>
        </w:rPr>
        <w:t xml:space="preserve"> </w:t>
      </w:r>
      <w:r>
        <w:rPr>
          <w:rFonts w:ascii="Arial" w:cs="Arial" w:eastAsia="Arial" w:hAnsi="Arial"/>
          <w:sz w:val="17"/>
          <w:szCs w:val="17"/>
          <w:color w:val="auto"/>
        </w:rPr>
        <w:t>Corruption of Foreign Public Officials Act (Canada), the UK Bribery Act 2010, and other similar anti-corruption legislation in other jurisdictions, and have instituted and maintained policies and procedures designed to promote and achieve compliance with such laws, regulations and rules.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80" w:firstLine="1297"/>
        <w:spacing w:after="0" w:line="266" w:lineRule="auto"/>
        <w:rPr>
          <w:sz w:val="20"/>
          <w:szCs w:val="20"/>
          <w:color w:val="auto"/>
        </w:rPr>
      </w:pPr>
      <w:r>
        <w:rPr>
          <w:rFonts w:ascii="Arial" w:cs="Arial" w:eastAsia="Arial" w:hAnsi="Arial"/>
          <w:sz w:val="18"/>
          <w:szCs w:val="18"/>
          <w:b w:val="1"/>
          <w:bCs w:val="1"/>
          <w:color w:val="auto"/>
        </w:rPr>
        <w:t xml:space="preserve">§6.21. EEA Financial Institutions; Beneficial Ownership Certification. </w:t>
      </w:r>
      <w:r>
        <w:rPr>
          <w:rFonts w:ascii="Arial" w:cs="Arial" w:eastAsia="Arial" w:hAnsi="Arial"/>
          <w:sz w:val="18"/>
          <w:szCs w:val="18"/>
          <w:color w:val="auto"/>
        </w:rPr>
        <w:t>None of the Borrowers nor the Guarantor is an EEA</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Institution. As of the Effective Date, the information included in the Beneficial Ownership Certification, if applicable, is true and correct in all respects.</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AFFIRMATIVE COVENANTS OF THE BORROWERS</w:t>
      </w:r>
      <w:r>
        <w:rPr>
          <w:rFonts w:ascii="Arial" w:cs="Arial" w:eastAsia="Arial" w:hAnsi="Arial"/>
          <w:sz w:val="18"/>
          <w:szCs w:val="18"/>
          <w:color w:val="auto"/>
        </w:rPr>
        <w:t>. Each Borrower agrees that, so long as any Obligation or Letter of Credit is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or the Banks have any obligation to make Loans or any Issuing Bank has any obligation to issue, extend or renew any Letter of Credit hereunder, or the Banks have any obligations to reimburse any Issuing Bank for drawings honored under any Letter of Credit, it shall, and shall cause its Subsidiaries (or, if so indicated below, cause only Significant Subsidiaries) to, comply with the following covenants:</w:t>
      </w:r>
    </w:p>
    <w:p>
      <w:pPr>
        <w:spacing w:after="0" w:line="180"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b w:val="1"/>
          <w:bCs w:val="1"/>
          <w:color w:val="auto"/>
        </w:rPr>
        <w:t>§7.1. Punctual Payment</w:t>
      </w:r>
      <w:r>
        <w:rPr>
          <w:rFonts w:ascii="Arial" w:cs="Arial" w:eastAsia="Arial" w:hAnsi="Arial"/>
          <w:sz w:val="18"/>
          <w:szCs w:val="18"/>
          <w:color w:val="auto"/>
        </w:rPr>
        <w:t>. Each Borrower will duly and punctually pay or cause to be paid the principal of and interest on the Loans,</w:t>
      </w:r>
      <w:r>
        <w:rPr>
          <w:rFonts w:ascii="Arial" w:cs="Arial" w:eastAsia="Arial" w:hAnsi="Arial"/>
          <w:sz w:val="18"/>
          <w:szCs w:val="18"/>
          <w:b w:val="1"/>
          <w:bCs w:val="1"/>
          <w:color w:val="auto"/>
        </w:rPr>
        <w:t xml:space="preserve"> </w:t>
      </w:r>
      <w:r>
        <w:rPr>
          <w:rFonts w:ascii="Arial" w:cs="Arial" w:eastAsia="Arial" w:hAnsi="Arial"/>
          <w:sz w:val="18"/>
          <w:szCs w:val="18"/>
          <w:color w:val="auto"/>
        </w:rPr>
        <w:t>all Reimbursement Obligations, fees and other amounts provided for in this Agreement and the other Loan Documents, all in accordance with the terms of this Agreement and such other Loan Documents.</w:t>
      </w:r>
    </w:p>
    <w:p>
      <w:pPr>
        <w:spacing w:after="0" w:line="176"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§7.2. Maintenance of U.S. Office</w:t>
      </w:r>
      <w:r>
        <w:rPr>
          <w:rFonts w:ascii="Arial" w:cs="Arial" w:eastAsia="Arial" w:hAnsi="Arial"/>
          <w:sz w:val="18"/>
          <w:szCs w:val="18"/>
          <w:color w:val="auto"/>
        </w:rPr>
        <w:t>. The Company will maintain its chief executive offices at Houston, Texas, or at such other place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 of America as the Company shall designate upon 30 days’ prior written notice to the Administrative Agent.</w:t>
      </w:r>
    </w:p>
    <w:p>
      <w:pPr>
        <w:spacing w:after="0" w:line="162" w:lineRule="exact"/>
        <w:rPr>
          <w:sz w:val="20"/>
          <w:szCs w:val="20"/>
          <w:color w:val="auto"/>
        </w:rPr>
      </w:pPr>
    </w:p>
    <w:p>
      <w:pPr>
        <w:jc w:val="both"/>
        <w:ind w:right="260" w:firstLine="1297"/>
        <w:spacing w:after="0" w:line="261" w:lineRule="auto"/>
        <w:rPr>
          <w:sz w:val="20"/>
          <w:szCs w:val="20"/>
          <w:color w:val="auto"/>
        </w:rPr>
      </w:pPr>
      <w:r>
        <w:rPr>
          <w:rFonts w:ascii="Arial" w:cs="Arial" w:eastAsia="Arial" w:hAnsi="Arial"/>
          <w:sz w:val="18"/>
          <w:szCs w:val="18"/>
          <w:b w:val="1"/>
          <w:bCs w:val="1"/>
          <w:color w:val="auto"/>
        </w:rPr>
        <w:t>§7.3. Records and Accounts</w:t>
      </w:r>
      <w:r>
        <w:rPr>
          <w:rFonts w:ascii="Arial" w:cs="Arial" w:eastAsia="Arial" w:hAnsi="Arial"/>
          <w:sz w:val="18"/>
          <w:szCs w:val="18"/>
          <w:color w:val="auto"/>
        </w:rPr>
        <w:t>. Each Borrower will, and will cause each of its Subsidiaries to, keep true and accurate records and</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80"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b w:val="1"/>
          <w:bCs w:val="1"/>
          <w:color w:val="auto"/>
        </w:rPr>
        <w:t>Financial Statements, Certificates and Information</w:t>
      </w:r>
      <w:r>
        <w:rPr>
          <w:rFonts w:ascii="Arial" w:cs="Arial" w:eastAsia="Arial" w:hAnsi="Arial"/>
          <w:sz w:val="18"/>
          <w:szCs w:val="18"/>
          <w:color w:val="auto"/>
        </w:rPr>
        <w:t>. The Company will deliver to the Banks:</w:t>
      </w:r>
    </w:p>
    <w:p>
      <w:pPr>
        <w:spacing w:after="0" w:line="229" w:lineRule="exact"/>
        <w:rPr>
          <w:sz w:val="20"/>
          <w:szCs w:val="20"/>
          <w:color w:val="auto"/>
        </w:rPr>
      </w:pPr>
    </w:p>
    <w:p>
      <w:pPr>
        <w:ind w:left="700" w:right="40" w:firstLine="655"/>
        <w:spacing w:after="0" w:line="289" w:lineRule="auto"/>
        <w:tabs>
          <w:tab w:leader="none" w:pos="1993"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soon as practicable, but, in any event not later than 100 days after the end of each fiscal year of the Company, the consolidated balance sheet of the Company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Ernst &amp; Young LLP or by other nationally recognized independent auditors selected by the Company and reasonably satisfactory to the Administrative Agent (the “</w:t>
      </w:r>
      <w:r>
        <w:rPr>
          <w:rFonts w:ascii="Arial" w:cs="Arial" w:eastAsia="Arial" w:hAnsi="Arial"/>
          <w:sz w:val="16"/>
          <w:szCs w:val="16"/>
          <w:u w:val="single" w:color="auto"/>
          <w:color w:val="auto"/>
        </w:rPr>
        <w:t>Accountants</w:t>
      </w:r>
      <w:r>
        <w:rPr>
          <w:rFonts w:ascii="Arial" w:cs="Arial" w:eastAsia="Arial" w:hAnsi="Arial"/>
          <w:sz w:val="16"/>
          <w:szCs w:val="16"/>
          <w:color w:val="auto"/>
        </w:rPr>
        <w:t>”). In addition, simultaneously therewith, the Company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66" w:lineRule="exact"/>
        <w:rPr>
          <w:rFonts w:ascii="Arial" w:cs="Arial" w:eastAsia="Arial" w:hAnsi="Arial"/>
          <w:sz w:val="16"/>
          <w:szCs w:val="16"/>
          <w:color w:val="auto"/>
        </w:rPr>
      </w:pPr>
    </w:p>
    <w:p>
      <w:pPr>
        <w:ind w:left="700" w:right="20" w:firstLine="655"/>
        <w:spacing w:after="0" w:line="276" w:lineRule="auto"/>
        <w:tabs>
          <w:tab w:leader="none" w:pos="2004" w:val="left"/>
        </w:tabs>
        <w:numPr>
          <w:ilvl w:val="0"/>
          <w:numId w:val="69"/>
        </w:numPr>
        <w:rPr>
          <w:rFonts w:ascii="Arial" w:cs="Arial" w:eastAsia="Arial" w:hAnsi="Arial"/>
          <w:sz w:val="17"/>
          <w:szCs w:val="17"/>
          <w:color w:val="auto"/>
        </w:rPr>
      </w:pPr>
      <w:r>
        <w:rPr>
          <w:rFonts w:ascii="Arial" w:cs="Arial" w:eastAsia="Arial" w:hAnsi="Arial"/>
          <w:sz w:val="17"/>
          <w:szCs w:val="17"/>
          <w:color w:val="auto"/>
        </w:rPr>
        <w:t>as soon as practicable, but in any event not later than 60 days after the end of each of the first three fiscal quarters of each fiscal year of the Company, copies of the consolidated balance sheet and statement of operations of the Company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Company (the “</w:t>
      </w:r>
      <w:r>
        <w:rPr>
          <w:rFonts w:ascii="Arial" w:cs="Arial" w:eastAsia="Arial" w:hAnsi="Arial"/>
          <w:sz w:val="17"/>
          <w:szCs w:val="17"/>
          <w:u w:val="single" w:color="auto"/>
          <w:color w:val="auto"/>
        </w:rPr>
        <w:t>CFO</w:t>
      </w:r>
      <w:r>
        <w:rPr>
          <w:rFonts w:ascii="Arial" w:cs="Arial" w:eastAsia="Arial" w:hAnsi="Arial"/>
          <w:sz w:val="17"/>
          <w:szCs w:val="17"/>
          <w:color w:val="auto"/>
        </w:rPr>
        <w:t>” or the “</w:t>
      </w:r>
      <w:r>
        <w:rPr>
          <w:rFonts w:ascii="Arial" w:cs="Arial" w:eastAsia="Arial" w:hAnsi="Arial"/>
          <w:sz w:val="17"/>
          <w:szCs w:val="17"/>
          <w:u w:val="single" w:color="auto"/>
          <w:color w:val="auto"/>
        </w:rPr>
        <w:t>CAO</w:t>
      </w:r>
      <w:r>
        <w:rPr>
          <w:rFonts w:ascii="Arial" w:cs="Arial" w:eastAsia="Arial" w:hAnsi="Arial"/>
          <w:sz w:val="17"/>
          <w:szCs w:val="17"/>
          <w:color w:val="auto"/>
        </w:rPr>
        <w:t>”) that the consolidated financial statements are</w:t>
      </w:r>
    </w:p>
    <w:p>
      <w:pPr>
        <w:sectPr>
          <w:pgSz w:w="11900" w:h="16838" w:orient="portrait"/>
          <w:cols w:equalWidth="0" w:num="1">
            <w:col w:w="11400"/>
          </w:cols>
          <w:pgMar w:left="240" w:top="125" w:right="259" w:bottom="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42" w:name="page43"/>
    <w:bookmarkEnd w:id="42"/>
    <w:p>
      <w:pPr>
        <w:spacing w:after="0" w:line="74" w:lineRule="exact"/>
        <w:rPr>
          <w:sz w:val="20"/>
          <w:szCs w:val="20"/>
          <w:color w:val="auto"/>
        </w:rPr>
      </w:pPr>
    </w:p>
    <w:p>
      <w:pPr>
        <w:jc w:val="both"/>
        <w:ind w:left="700" w:right="220"/>
        <w:spacing w:after="0" w:line="286" w:lineRule="auto"/>
        <w:rPr>
          <w:sz w:val="20"/>
          <w:szCs w:val="20"/>
          <w:color w:val="auto"/>
        </w:rPr>
      </w:pPr>
      <w:r>
        <w:rPr>
          <w:rFonts w:ascii="Arial" w:cs="Arial" w:eastAsia="Arial" w:hAnsi="Arial"/>
          <w:sz w:val="17"/>
          <w:szCs w:val="17"/>
          <w:color w:val="auto"/>
        </w:rPr>
        <w:t>prepared in accordance with GAAP (to the extent GAAP is applicable to interim unaudited financial statements) and fairly present, in all material respects, the consolidated financial condition of the Company and its Subsidiaries as at the close of business on the date thereof and the results of operations for the period then ended, subject to year-end adjustments and the exclusion of detailed footnotes;</w:t>
      </w:r>
    </w:p>
    <w:p>
      <w:pPr>
        <w:spacing w:after="0" w:line="166" w:lineRule="exact"/>
        <w:rPr>
          <w:sz w:val="20"/>
          <w:szCs w:val="20"/>
          <w:color w:val="auto"/>
        </w:rPr>
      </w:pPr>
    </w:p>
    <w:p>
      <w:pPr>
        <w:ind w:left="700" w:right="140" w:firstLine="655"/>
        <w:spacing w:after="0" w:line="291" w:lineRule="auto"/>
        <w:tabs>
          <w:tab w:leader="none" w:pos="2007"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simultaneously with the delivery of the financial statements referred to in (a) and (b) above, a certificate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Compliance Certificate</w:t>
      </w:r>
      <w:r>
        <w:rPr>
          <w:rFonts w:ascii="Arial" w:cs="Arial" w:eastAsia="Arial" w:hAnsi="Arial"/>
          <w:sz w:val="16"/>
          <w:szCs w:val="16"/>
          <w:color w:val="auto"/>
        </w:rPr>
        <w:t>”) signed by the CFO or the CAO or the Company’s corporate treasurer, stating that the Borrowers and their Subsidiaries are in compliance with the covenants contained in §</w:t>
      </w:r>
      <w:r>
        <w:rPr>
          <w:rFonts w:ascii="Arial" w:cs="Arial" w:eastAsia="Arial" w:hAnsi="Arial"/>
          <w:sz w:val="16"/>
          <w:szCs w:val="16"/>
          <w:u w:val="single" w:color="auto"/>
          <w:color w:val="auto"/>
        </w:rPr>
        <w:t>§7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hereof as of the end of the applicable period and setting forth in reasonable detail computations evidencing such compliance with respect to the covenants contained in §9 hereof and that no Default or Event of Default exists,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Borrower shall at the time of issuance of such Compliance Certificate or at any other time obtain knowledge of any Default or Event of Default, the Company shall include in such certificate or otherwise deliver forthwith to the Banks a certificate specifying the nature and period of existence thereof and what action the Borrowers propose to take with respect thereto;</w:t>
      </w:r>
    </w:p>
    <w:p>
      <w:pPr>
        <w:spacing w:after="0" w:line="167" w:lineRule="exact"/>
        <w:rPr>
          <w:rFonts w:ascii="Arial" w:cs="Arial" w:eastAsia="Arial" w:hAnsi="Arial"/>
          <w:sz w:val="16"/>
          <w:szCs w:val="16"/>
          <w:color w:val="auto"/>
        </w:rPr>
      </w:pPr>
    </w:p>
    <w:p>
      <w:pPr>
        <w:ind w:left="700" w:right="40" w:firstLine="655"/>
        <w:spacing w:after="0" w:line="277" w:lineRule="auto"/>
        <w:tabs>
          <w:tab w:leader="none" w:pos="20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promptly following the filing or mailing thereof, copies of all material of a financial nature filed with the Securities and Exchange Commission or sent to the Company’s and its Subsidiaries’ stockholders generally;</w:t>
      </w:r>
    </w:p>
    <w:p>
      <w:pPr>
        <w:spacing w:after="0" w:line="170" w:lineRule="exact"/>
        <w:rPr>
          <w:rFonts w:ascii="Arial" w:cs="Arial" w:eastAsia="Arial" w:hAnsi="Arial"/>
          <w:sz w:val="18"/>
          <w:szCs w:val="18"/>
          <w:color w:val="auto"/>
        </w:rPr>
      </w:pPr>
    </w:p>
    <w:p>
      <w:pPr>
        <w:ind w:left="700" w:right="140" w:firstLine="655"/>
        <w:spacing w:after="0" w:line="286" w:lineRule="auto"/>
        <w:tabs>
          <w:tab w:leader="none" w:pos="2007" w:val="left"/>
        </w:tabs>
        <w:numPr>
          <w:ilvl w:val="0"/>
          <w:numId w:val="70"/>
        </w:numPr>
        <w:rPr>
          <w:rFonts w:ascii="Arial" w:cs="Arial" w:eastAsia="Arial" w:hAnsi="Arial"/>
          <w:sz w:val="17"/>
          <w:szCs w:val="17"/>
          <w:color w:val="auto"/>
        </w:rPr>
      </w:pPr>
      <w:r>
        <w:rPr>
          <w:rFonts w:ascii="Arial" w:cs="Arial" w:eastAsia="Arial" w:hAnsi="Arial"/>
          <w:sz w:val="17"/>
          <w:szCs w:val="17"/>
          <w:color w:val="auto"/>
        </w:rPr>
        <w:t>promptly following any request therefor, provide information and documentation reasonably requested by the Administrative Agent or any Bank for purposes of compliance with applicable “know your customer” and anti-money-laundering rules and regulations, including, without limitation, the USA PATRIOT Act, the Canadian AML Acts and the Beneficial Ownership Regulation; and</w:t>
      </w:r>
    </w:p>
    <w:p>
      <w:pPr>
        <w:spacing w:after="0" w:line="165" w:lineRule="exact"/>
        <w:rPr>
          <w:rFonts w:ascii="Arial" w:cs="Arial" w:eastAsia="Arial" w:hAnsi="Arial"/>
          <w:sz w:val="17"/>
          <w:szCs w:val="17"/>
          <w:color w:val="auto"/>
        </w:rPr>
      </w:pPr>
    </w:p>
    <w:p>
      <w:pPr>
        <w:ind w:left="700" w:right="660" w:firstLine="655"/>
        <w:spacing w:after="0" w:line="277" w:lineRule="auto"/>
        <w:tabs>
          <w:tab w:leader="none" w:pos="2001" w:val="left"/>
        </w:tabs>
        <w:numPr>
          <w:ilvl w:val="0"/>
          <w:numId w:val="70"/>
        </w:numPr>
        <w:rPr>
          <w:rFonts w:ascii="Arial" w:cs="Arial" w:eastAsia="Arial" w:hAnsi="Arial"/>
          <w:sz w:val="18"/>
          <w:szCs w:val="18"/>
          <w:color w:val="auto"/>
        </w:rPr>
      </w:pPr>
      <w:r>
        <w:rPr>
          <w:rFonts w:ascii="Arial" w:cs="Arial" w:eastAsia="Arial" w:hAnsi="Arial"/>
          <w:sz w:val="18"/>
          <w:szCs w:val="18"/>
          <w:color w:val="auto"/>
        </w:rPr>
        <w:t>from time to time such other financial data and other information as any of the Banks may reasonably request through the Administrative Agent.</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In addition, the Company shall, promptly upon the issuance thereof, notify the Administrative Agent of any announcement by Moody’s or S&amp;P (i) of any change in any Senior Public Debt Rating or (ii) that any Senior Public Debt Rating will be put on a “negative outlook” or “negative credit watch.”</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Each Borrower hereby authorizes each Bank to disclose any information obtained pursuant to this Agreement to all appropriate governmental regulatory authorities where required by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this authorization shall not be deemed to be a waiver of any rights to object to the disclosure by the Banks of any such information which such Borrower has or may have under the federal Right to Financial Privacy Act of 1978, as in effect from time to time, except as to matters specifically permitted therein.</w:t>
      </w:r>
    </w:p>
    <w:p>
      <w:pPr>
        <w:spacing w:after="0" w:line="183"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b w:val="1"/>
          <w:bCs w:val="1"/>
          <w:color w:val="auto"/>
        </w:rPr>
        <w:t>§7.5. Existence and Conduct of Business</w:t>
      </w:r>
      <w:r>
        <w:rPr>
          <w:rFonts w:ascii="Arial" w:cs="Arial" w:eastAsia="Arial" w:hAnsi="Arial"/>
          <w:sz w:val="18"/>
          <w:szCs w:val="18"/>
          <w:color w:val="auto"/>
        </w:rPr>
        <w:t>. Each Borrower will, and will cause each Significant Subsidiary to, do or cause to be done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things necessary to preserve and keep in full force and effect its existence, rights and franchises; and effect and maintain its foreign qualifications (except where the failure of such Borrower or any Significant Subsidiary to remain so qualified could not reasonably be expected to have a Material Adverse Effect), licensing, domestication or authorization, except as any of the foregoing may be terminated by its Board of Directors in the exercise of its reasonable judgment;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termination could not reasonably be expected to have a Material Adverse Effect. No Borrower will, or will cause its Subsidiaries to, become obligated under any contract or binding arrangement which, at the time it was entered into, could reasonably be expected to have a Material Adverse Effect. Each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45"/>
        <w:spacing w:after="0" w:line="342" w:lineRule="auto"/>
        <w:rPr>
          <w:sz w:val="20"/>
          <w:szCs w:val="20"/>
          <w:color w:val="auto"/>
        </w:rPr>
      </w:pPr>
      <w:r>
        <w:rPr>
          <w:rFonts w:ascii="Arial" w:cs="Arial" w:eastAsia="Arial" w:hAnsi="Arial"/>
          <w:sz w:val="16"/>
          <w:szCs w:val="16"/>
          <w:color w:val="auto"/>
        </w:rPr>
        <w:t xml:space="preserve">Borrower will, and will cause each of its Subsidiaries to, continue to engage primarily in any of the businesses now conducted by such Borrower and its Subsidiaries and in related, complementary or supplemental businesses, and any additional businesses acquired pursuant to the terms of </w:t>
      </w:r>
      <w:r>
        <w:rPr>
          <w:rFonts w:ascii="Arial" w:cs="Arial" w:eastAsia="Arial" w:hAnsi="Arial"/>
          <w:sz w:val="16"/>
          <w:szCs w:val="16"/>
          <w:u w:val="single" w:color="auto"/>
          <w:color w:val="auto"/>
        </w:rPr>
        <w:t>§8.4(a)</w:t>
      </w:r>
      <w:r>
        <w:rPr>
          <w:rFonts w:ascii="Arial" w:cs="Arial" w:eastAsia="Arial" w:hAnsi="Arial"/>
          <w:sz w:val="16"/>
          <w:szCs w:val="16"/>
          <w:color w:val="auto"/>
        </w:rPr>
        <w:t xml:space="preserve"> hereunder.</w:t>
      </w:r>
    </w:p>
    <w:p>
      <w:pPr>
        <w:spacing w:after="0" w:line="120" w:lineRule="exact"/>
        <w:rPr>
          <w:sz w:val="20"/>
          <w:szCs w:val="20"/>
          <w:color w:val="auto"/>
        </w:rPr>
      </w:pPr>
    </w:p>
    <w:p>
      <w:pPr>
        <w:ind w:right="20" w:firstLine="1297"/>
        <w:spacing w:after="0" w:line="292" w:lineRule="auto"/>
        <w:rPr>
          <w:sz w:val="20"/>
          <w:szCs w:val="20"/>
          <w:color w:val="auto"/>
        </w:rPr>
      </w:pPr>
      <w:r>
        <w:rPr>
          <w:rFonts w:ascii="Arial" w:cs="Arial" w:eastAsia="Arial" w:hAnsi="Arial"/>
          <w:sz w:val="16"/>
          <w:szCs w:val="16"/>
          <w:b w:val="1"/>
          <w:bCs w:val="1"/>
          <w:color w:val="auto"/>
        </w:rPr>
        <w:t>§7.6. Maintenance of Properties</w:t>
      </w:r>
      <w:r>
        <w:rPr>
          <w:rFonts w:ascii="Arial" w:cs="Arial" w:eastAsia="Arial" w:hAnsi="Arial"/>
          <w:sz w:val="16"/>
          <w:szCs w:val="16"/>
          <w:color w:val="auto"/>
        </w:rPr>
        <w:t>. Each Borrower will, and will cause each Significant Subsidiary to, cause all material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used or useful 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each Borrower and the Significant Subsidiaries may be necessary so that the businesses carried on in connection therewith may be properly and advantageously conducted at all times;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shall prevent any Borrower or any of its Subsidiaries from discontinuing the operation and maintenance of any of its properties if such discontinuance is, in the judgment of such Borrower or such Subsidiary, desirable in the conduct of its or their business and which could not reasonably be expected to have a Material Adverse Effect.</w:t>
      </w:r>
    </w:p>
    <w:p>
      <w:pPr>
        <w:spacing w:after="0" w:line="162"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b w:val="1"/>
          <w:bCs w:val="1"/>
          <w:color w:val="auto"/>
        </w:rPr>
        <w:t>§7.7. Insurance</w:t>
      </w:r>
      <w:r>
        <w:rPr>
          <w:rFonts w:ascii="Arial" w:cs="Arial" w:eastAsia="Arial" w:hAnsi="Arial"/>
          <w:sz w:val="18"/>
          <w:szCs w:val="18"/>
          <w:color w:val="auto"/>
        </w:rPr>
        <w:t>. Each Borrower will, and will cause its Subsidiaries to, maintain insurance of the kinds, covering the risks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risks arising out of or in any way connected with personal liability of any officers and directors thereof) and in the relative proportionate amounts usually carried by reasonable and prudent companies conducting businesses similar to that of such Borrower and its Subsidiaries, in amounts substantially similar to the existing coverage maintained by such Borrower and its Subsidiaries. Such insurance shall be with financially sound and reputable insurance companies (including captive insurance companies), funds or underwriters, or may be pursuant to self-insurance plans. In addition, each Borrower will furnish from time to time, upon the Administrative Agent’s request, a summary of the insurance coverage of such Borrower and its Subsidiaries, which summary shall be in form and substance satisfactory to the Administrative Agent and, if requested by the Administrative Agent, will furnish to the Administrative Agent copies of the applicable policies.</w:t>
      </w:r>
    </w:p>
    <w:p>
      <w:pPr>
        <w:spacing w:after="0" w:line="185"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b w:val="1"/>
          <w:bCs w:val="1"/>
          <w:color w:val="auto"/>
        </w:rPr>
        <w:t>§7.8. Taxes</w:t>
      </w:r>
      <w:r>
        <w:rPr>
          <w:rFonts w:ascii="Arial" w:cs="Arial" w:eastAsia="Arial" w:hAnsi="Arial"/>
          <w:sz w:val="17"/>
          <w:szCs w:val="17"/>
          <w:color w:val="auto"/>
        </w:rPr>
        <w:t>. Each Borrower will, and will cause its Subsidiaries to, duly pay and discharge, or cause to be paid and discharged,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before the same shall become overdue, all taxes, assessments and other governmental charges imposed upon it and its real properties, sales and activities, or any part thereof, or upon the income or profits therefrom, as well as all claims for labor, materials, or supplies, which if unpaid might by law become a Lien upon any of its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such Borrower or such Subsidiary shall have set aside on its books adequate reserves with respect thereto as required by GAAP;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Borrower or such Subsidiary will pay all such taxes, assessments, charges, levies or claims prior to the foreclosure on any Lien which may have attached as security therefor.</w:t>
      </w:r>
    </w:p>
    <w:p>
      <w:pPr>
        <w:spacing w:after="0" w:line="172" w:lineRule="exact"/>
        <w:rPr>
          <w:sz w:val="20"/>
          <w:szCs w:val="20"/>
          <w:color w:val="auto"/>
        </w:rPr>
      </w:pPr>
    </w:p>
    <w:p>
      <w:pPr>
        <w:ind w:right="40" w:firstLine="1297"/>
        <w:spacing w:after="0" w:line="314" w:lineRule="auto"/>
        <w:rPr>
          <w:sz w:val="20"/>
          <w:szCs w:val="20"/>
          <w:color w:val="auto"/>
        </w:rPr>
      </w:pPr>
      <w:r>
        <w:rPr>
          <w:rFonts w:ascii="Arial" w:cs="Arial" w:eastAsia="Arial" w:hAnsi="Arial"/>
          <w:sz w:val="16"/>
          <w:szCs w:val="16"/>
          <w:b w:val="1"/>
          <w:bCs w:val="1"/>
          <w:color w:val="auto"/>
        </w:rPr>
        <w:t>§7.9. Inspection of Properties, Books and Contracts</w:t>
      </w:r>
      <w:r>
        <w:rPr>
          <w:rFonts w:ascii="Arial" w:cs="Arial" w:eastAsia="Arial" w:hAnsi="Arial"/>
          <w:sz w:val="16"/>
          <w:szCs w:val="16"/>
          <w:color w:val="auto"/>
        </w:rPr>
        <w:t>. Each Borrower will, and will cause each Significant Subsidiary to, permit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or any Bank or any of their designated representatives, upon reasonable notice, to visit and inspect any of the properties of such Borrower and the Significant Subsidiaries, to examine the books of account of such Borrower and the Significant Subsidiaries, or contracts (and to make</w:t>
      </w:r>
    </w:p>
    <w:p>
      <w:pPr>
        <w:sectPr>
          <w:pgSz w:w="11900" w:h="16912" w:orient="portrait"/>
          <w:cols w:equalWidth="0" w:num="1">
            <w:col w:w="11420"/>
          </w:cols>
          <w:pgMar w:left="240" w:top="584" w:right="239" w:bottom="0" w:gutter="0" w:footer="0" w:header="0"/>
        </w:sectPr>
      </w:pPr>
    </w:p>
    <w:bookmarkStart w:id="43" w:name="page44"/>
    <w:bookmarkEnd w:id="43"/>
    <w:p>
      <w:pPr>
        <w:spacing w:after="0" w:line="1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copies thereof and extracts therefrom), and to discuss the affairs, finances and accounts of such Borrower and the Significant Subsidiaries with, and to be advised as to the same by, their officers, all at such times and intervals as may be reasonably requested.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40" w:firstLine="1297"/>
        <w:spacing w:after="0" w:line="289" w:lineRule="auto"/>
        <w:rPr>
          <w:sz w:val="20"/>
          <w:szCs w:val="20"/>
          <w:color w:val="auto"/>
        </w:rPr>
      </w:pPr>
      <w:r>
        <w:rPr>
          <w:rFonts w:ascii="Arial" w:cs="Arial" w:eastAsia="Arial" w:hAnsi="Arial"/>
          <w:sz w:val="16"/>
          <w:szCs w:val="16"/>
          <w:b w:val="1"/>
          <w:bCs w:val="1"/>
          <w:color w:val="auto"/>
        </w:rPr>
        <w:t>§7.10. Compliance with Laws, Contracts, Licenses and Permits; Maintenance of Material Licenses and Permits</w:t>
      </w:r>
      <w:r>
        <w:rPr>
          <w:rFonts w:ascii="Arial" w:cs="Arial" w:eastAsia="Arial" w:hAnsi="Arial"/>
          <w:sz w:val="16"/>
          <w:szCs w:val="16"/>
          <w:color w:val="auto"/>
        </w:rPr>
        <w:t>. Each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will, and will cause each Subsidiary to, (i) comply with the provisions of its charter documents and by-laws; (ii) comply with all agreements and instruments by which it or any of its properties may be bound except where non-compliance could not reasonably be expected to have a Material Adverse Effect;</w:t>
      </w:r>
    </w:p>
    <w:p>
      <w:pPr>
        <w:spacing w:after="0" w:line="2" w:lineRule="exact"/>
        <w:rPr>
          <w:sz w:val="20"/>
          <w:szCs w:val="20"/>
          <w:color w:val="auto"/>
        </w:rPr>
      </w:pPr>
    </w:p>
    <w:p>
      <w:pPr>
        <w:ind w:firstLine="8"/>
        <w:spacing w:after="0" w:line="287" w:lineRule="auto"/>
        <w:tabs>
          <w:tab w:leader="none" w:pos="315"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comply with all applicable laws and regulations (including Environmental Laws), decrees, orders, judgments, licenses and permits, including, without limitation, all environmental permits (“</w:t>
      </w:r>
      <w:r>
        <w:rPr>
          <w:rFonts w:ascii="Arial" w:cs="Arial" w:eastAsia="Arial" w:hAnsi="Arial"/>
          <w:sz w:val="16"/>
          <w:szCs w:val="16"/>
          <w:u w:val="single" w:color="auto"/>
          <w:color w:val="auto"/>
        </w:rPr>
        <w:t>Applicable Requirements</w:t>
      </w:r>
      <w:r>
        <w:rPr>
          <w:rFonts w:ascii="Arial" w:cs="Arial" w:eastAsia="Arial" w:hAnsi="Arial"/>
          <w:sz w:val="16"/>
          <w:szCs w:val="16"/>
          <w:color w:val="auto"/>
        </w:rPr>
        <w:t>”), except where non-compliance with such Applicable Requirements could not reasonably be expected to have a Material Adverse Effect; (iv) maintain all operating permits for all landfills now owned or hereafter acquired, except where the failure to do so could not reasonably be expected to have a Material Adverse Effect; and (v) dispose of hazardous waste only at licensed disposal facilities operating, to such Borrower’s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a Borrower or any Significant Subsidiary may fulfill any of its obligations hereunder or under any other Loan Document, such Borrower will immediately take or cause to be taken all reasonable steps within the power of such Borrower or such Significant Subsidiary to obtain such authorization, consent, approval, permit or license and furnish the Banks with evidence thereof.</w:t>
      </w:r>
    </w:p>
    <w:p>
      <w:pPr>
        <w:spacing w:after="0" w:line="162"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b w:val="1"/>
          <w:bCs w:val="1"/>
          <w:color w:val="auto"/>
        </w:rPr>
        <w:t>§7.11. Environmental Indemnification</w:t>
      </w:r>
      <w:r>
        <w:rPr>
          <w:rFonts w:ascii="Arial" w:cs="Arial" w:eastAsia="Arial" w:hAnsi="Arial"/>
          <w:sz w:val="17"/>
          <w:szCs w:val="17"/>
          <w:color w:val="auto"/>
        </w:rPr>
        <w:t>. Each Borrower covenants and agrees that it will indemnify and hold the Banks, the Issuing</w:t>
      </w:r>
      <w:r>
        <w:rPr>
          <w:rFonts w:ascii="Arial" w:cs="Arial" w:eastAsia="Arial" w:hAnsi="Arial"/>
          <w:sz w:val="17"/>
          <w:szCs w:val="17"/>
          <w:b w:val="1"/>
          <w:bCs w:val="1"/>
          <w:color w:val="auto"/>
        </w:rPr>
        <w:t xml:space="preserve"> </w:t>
      </w:r>
      <w:r>
        <w:rPr>
          <w:rFonts w:ascii="Arial" w:cs="Arial" w:eastAsia="Arial" w:hAnsi="Arial"/>
          <w:sz w:val="17"/>
          <w:szCs w:val="17"/>
          <w:color w:val="auto"/>
        </w:rPr>
        <w:t>Banks and the Administrative Agent and their respective affiliates, and each of the representatives, agents and officers of each of the foregoing, harmless from and against any and all claims, expense, damage, loss or liability incurred by the Banks, the Issuing Banks or the Administrative Agent (including all reasonable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such Borrower or its Subsidiaries, or the operations conducted thereon; or (c) the investigation or remediation of offsite locations at which such Borrower, any of its Subsidiaries, or their predecessors are alleged to have directly or indirectly Disposed of Hazardous Substances. It is expressly acknowledged by each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178"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b w:val="1"/>
          <w:bCs w:val="1"/>
          <w:color w:val="auto"/>
        </w:rPr>
        <w:t>§7.12. Further Assurances</w:t>
      </w:r>
      <w:r>
        <w:rPr>
          <w:rFonts w:ascii="Arial" w:cs="Arial" w:eastAsia="Arial" w:hAnsi="Arial"/>
          <w:sz w:val="18"/>
          <w:szCs w:val="18"/>
          <w:color w:val="auto"/>
        </w:rPr>
        <w:t>. Each Borrower and the Guarantor will cooperate with the Administrative Agent and execute such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and documents as the Administrative Agent shall reasonably request to carry out to the Majority Banks’ satisfaction the transactions contemplated by this Agreement.</w:t>
      </w:r>
    </w:p>
    <w:p>
      <w:pPr>
        <w:spacing w:after="0" w:line="176" w:lineRule="exact"/>
        <w:rPr>
          <w:sz w:val="20"/>
          <w:szCs w:val="20"/>
          <w:color w:val="auto"/>
        </w:rPr>
      </w:pPr>
    </w:p>
    <w:p>
      <w:pPr>
        <w:ind w:right="40" w:firstLine="1297"/>
        <w:spacing w:after="0" w:line="256" w:lineRule="auto"/>
        <w:rPr>
          <w:sz w:val="20"/>
          <w:szCs w:val="20"/>
          <w:color w:val="auto"/>
        </w:rPr>
      </w:pPr>
      <w:r>
        <w:rPr>
          <w:rFonts w:ascii="Arial" w:cs="Arial" w:eastAsia="Arial" w:hAnsi="Arial"/>
          <w:sz w:val="18"/>
          <w:szCs w:val="18"/>
          <w:b w:val="1"/>
          <w:bCs w:val="1"/>
          <w:color w:val="auto"/>
        </w:rPr>
        <w:t>§7.13. Notice of Potential Claims or Litigation</w:t>
      </w:r>
      <w:r>
        <w:rPr>
          <w:rFonts w:ascii="Arial" w:cs="Arial" w:eastAsia="Arial" w:hAnsi="Arial"/>
          <w:sz w:val="18"/>
          <w:szCs w:val="18"/>
          <w:color w:val="auto"/>
        </w:rPr>
        <w:t>. Each Borrower shall deliver to the Banks written notice of the initiation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claim, complaint, investigation or any other notice of dispute or litigation against any Borrower or any of its Subsidiaries that could reasonably be expected to have a Material Adverse Effect, or which questions the validity or enforceability of any Loan Document, together with a copy of each such complaint or other notice received by any Borrower or any of its Subsidiaries if requested by the Administrative Agent within 30 days of receipt thereof or of the determination that such action could reasonably be expected to have a Material Adverse Effect, whichever occurs later (and the Borrowers will make such determination in each case as promptly as practicable).</w:t>
      </w:r>
    </w:p>
    <w:p>
      <w:pPr>
        <w:spacing w:after="0" w:line="188" w:lineRule="exact"/>
        <w:rPr>
          <w:sz w:val="20"/>
          <w:szCs w:val="20"/>
          <w:color w:val="auto"/>
        </w:rPr>
      </w:pPr>
    </w:p>
    <w:p>
      <w:pPr>
        <w:ind w:right="60" w:firstLine="1297"/>
        <w:spacing w:after="0" w:line="266" w:lineRule="auto"/>
        <w:rPr>
          <w:sz w:val="20"/>
          <w:szCs w:val="20"/>
          <w:color w:val="auto"/>
        </w:rPr>
      </w:pPr>
      <w:r>
        <w:rPr>
          <w:rFonts w:ascii="Arial" w:cs="Arial" w:eastAsia="Arial" w:hAnsi="Arial"/>
          <w:sz w:val="18"/>
          <w:szCs w:val="18"/>
          <w:b w:val="1"/>
          <w:bCs w:val="1"/>
          <w:color w:val="auto"/>
        </w:rPr>
        <w:t>§7.14. Notice of Certain Events Concerning Environmental Claims and/or ERISA Reportable Events</w:t>
      </w:r>
      <w:r>
        <w:rPr>
          <w:rFonts w:ascii="Arial" w:cs="Arial" w:eastAsia="Arial" w:hAnsi="Arial"/>
          <w:sz w:val="18"/>
          <w:szCs w:val="18"/>
          <w:color w:val="auto"/>
        </w:rPr>
        <w:t>. Each Borrower will</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and in any event within ten (10) Business Days of any Borrower’s obtaining knowledge thereof, notify the Banks in writing of any of the following events: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0" w:firstLine="653"/>
        <w:spacing w:after="0" w:line="264" w:lineRule="auto"/>
        <w:tabs>
          <w:tab w:leader="none" w:pos="2618"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Borrower or any Significant Subsidiary obtaining knowledge of any violation of any Environmental Law regarding the Real Property or a Borrower’s or Subsidiary’s operations which violation could reasonably be expected to have a Material Adverse Effect;</w:t>
      </w:r>
    </w:p>
    <w:p>
      <w:pPr>
        <w:spacing w:after="0" w:line="181" w:lineRule="exact"/>
        <w:rPr>
          <w:rFonts w:ascii="Arial" w:cs="Arial" w:eastAsia="Arial" w:hAnsi="Arial"/>
          <w:sz w:val="18"/>
          <w:szCs w:val="18"/>
          <w:color w:val="auto"/>
        </w:rPr>
      </w:pPr>
    </w:p>
    <w:p>
      <w:pPr>
        <w:ind w:left="1300" w:right="40" w:firstLine="653"/>
        <w:spacing w:after="0" w:line="342" w:lineRule="auto"/>
        <w:tabs>
          <w:tab w:leader="none" w:pos="2627" w:val="left"/>
        </w:tabs>
        <w:numPr>
          <w:ilvl w:val="1"/>
          <w:numId w:val="72"/>
        </w:numPr>
        <w:rPr>
          <w:rFonts w:ascii="Arial" w:cs="Arial" w:eastAsia="Arial" w:hAnsi="Arial"/>
          <w:sz w:val="16"/>
          <w:szCs w:val="16"/>
          <w:color w:val="auto"/>
        </w:rPr>
      </w:pPr>
      <w:r>
        <w:rPr>
          <w:rFonts w:ascii="Arial" w:cs="Arial" w:eastAsia="Arial" w:hAnsi="Arial"/>
          <w:sz w:val="16"/>
          <w:szCs w:val="16"/>
          <w:color w:val="auto"/>
        </w:rPr>
        <w:t>any Borrower or any Significant Subsidiary obtaining knowledge of any potential or known Release, or threat of Release, of any Hazardous Substance at, from, or into the Real Property which could reasonably be expected to have a Material Adverse Effect;</w:t>
      </w:r>
    </w:p>
    <w:p>
      <w:pPr>
        <w:spacing w:after="0" w:line="123" w:lineRule="exact"/>
        <w:rPr>
          <w:rFonts w:ascii="Arial" w:cs="Arial" w:eastAsia="Arial" w:hAnsi="Arial"/>
          <w:sz w:val="16"/>
          <w:szCs w:val="16"/>
          <w:color w:val="auto"/>
        </w:rPr>
      </w:pPr>
    </w:p>
    <w:p>
      <w:pPr>
        <w:ind w:left="1300" w:right="20" w:firstLine="653"/>
        <w:spacing w:after="0" w:line="272" w:lineRule="auto"/>
        <w:tabs>
          <w:tab w:leader="none" w:pos="2637" w:val="left"/>
        </w:tabs>
        <w:numPr>
          <w:ilvl w:val="1"/>
          <w:numId w:val="72"/>
        </w:numPr>
        <w:rPr>
          <w:rFonts w:ascii="Arial" w:cs="Arial" w:eastAsia="Arial" w:hAnsi="Arial"/>
          <w:sz w:val="17"/>
          <w:szCs w:val="17"/>
          <w:color w:val="auto"/>
        </w:rPr>
      </w:pPr>
      <w:r>
        <w:rPr>
          <w:rFonts w:ascii="Arial" w:cs="Arial" w:eastAsia="Arial" w:hAnsi="Arial"/>
          <w:sz w:val="17"/>
          <w:szCs w:val="17"/>
          <w:color w:val="auto"/>
        </w:rPr>
        <w:t>any Borrower’s or any Significant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any Borrower’s, any Significant Subsidiary’s or any Person’s operation of the Real Property, (B) contamination on, from, or into the Real Property, or (C) investigation or remediation of offsite locations at which any Borrower, any Significant Subsidiary, or its predecessors are alleged to have directly or indirectly Disposed of Hazardous Substances, if any thereof could reasonably be expected to have a Material Adverse Effect;</w:t>
      </w:r>
    </w:p>
    <w:p>
      <w:pPr>
        <w:spacing w:after="0" w:line="177" w:lineRule="exact"/>
        <w:rPr>
          <w:rFonts w:ascii="Arial" w:cs="Arial" w:eastAsia="Arial" w:hAnsi="Arial"/>
          <w:sz w:val="17"/>
          <w:szCs w:val="17"/>
          <w:color w:val="auto"/>
        </w:rPr>
      </w:pPr>
    </w:p>
    <w:p>
      <w:pPr>
        <w:ind w:left="1300" w:firstLine="653"/>
        <w:spacing w:after="0" w:line="257" w:lineRule="auto"/>
        <w:tabs>
          <w:tab w:leader="none" w:pos="2613"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Borrower or any Significant Subsidiary obtaining knowledge that any expense or loss has been incurred by any Governmental Authority in connection with the assessment, containment, removal or remediation of any Hazardous Substances with respect to which any Borrower or any Significant Subsidiary has been alleged to be liable by such Governmental Authority or for which a Lien may be imposed on the Real Property by such Governmental Authority, if any thereof could reasonably be expected to have a Material Adverse Effect;</w:t>
      </w:r>
    </w:p>
    <w:p>
      <w:pPr>
        <w:spacing w:after="0" w:line="188" w:lineRule="exact"/>
        <w:rPr>
          <w:rFonts w:ascii="Arial" w:cs="Arial" w:eastAsia="Arial" w:hAnsi="Arial"/>
          <w:sz w:val="18"/>
          <w:szCs w:val="18"/>
          <w:color w:val="auto"/>
        </w:rPr>
      </w:pPr>
    </w:p>
    <w:p>
      <w:pPr>
        <w:ind w:right="340" w:firstLine="980"/>
        <w:spacing w:after="0" w:line="277" w:lineRule="auto"/>
        <w:tabs>
          <w:tab w:leader="none" w:pos="13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occurrence of any ERISA Reportable Event or any failure by any Loan Party or any Subsidiary to materially perform its obligations under a Canadian Pension Plan, in each case that could reasonably be expected to have a Material Adverse Effect; and</w:t>
      </w:r>
    </w:p>
    <w:p>
      <w:pPr>
        <w:spacing w:after="0" w:line="170" w:lineRule="exact"/>
        <w:rPr>
          <w:rFonts w:ascii="Arial" w:cs="Arial" w:eastAsia="Arial" w:hAnsi="Arial"/>
          <w:sz w:val="18"/>
          <w:szCs w:val="18"/>
          <w:color w:val="auto"/>
        </w:rPr>
      </w:pPr>
    </w:p>
    <w:p>
      <w:pPr>
        <w:ind w:right="80" w:firstLine="980"/>
        <w:spacing w:after="0" w:line="342" w:lineRule="auto"/>
        <w:tabs>
          <w:tab w:leader="none" w:pos="1313" w:val="left"/>
        </w:tabs>
        <w:numPr>
          <w:ilvl w:val="0"/>
          <w:numId w:val="73"/>
        </w:numPr>
        <w:rPr>
          <w:rFonts w:ascii="Arial" w:cs="Arial" w:eastAsia="Arial" w:hAnsi="Arial"/>
          <w:sz w:val="16"/>
          <w:szCs w:val="16"/>
          <w:color w:val="auto"/>
        </w:rPr>
      </w:pPr>
      <w:r>
        <w:rPr>
          <w:rFonts w:ascii="Arial" w:cs="Arial" w:eastAsia="Arial" w:hAnsi="Arial"/>
          <w:sz w:val="16"/>
          <w:szCs w:val="16"/>
          <w:color w:val="auto"/>
        </w:rPr>
        <w:t>of the acquisition, as a result of the consummation of a Permitted Acquisition, of any Canadian Defined Benefit Pension Plan and copies of all documentation relating thereto and, thereafter, promptly after any request by the Administrative Agent or any Bank, copies of all actuarial valuation</w:t>
      </w:r>
    </w:p>
    <w:p>
      <w:pPr>
        <w:sectPr>
          <w:pgSz w:w="11900" w:h="16975" w:orient="portrait"/>
          <w:cols w:equalWidth="0" w:num="1">
            <w:col w:w="11420"/>
          </w:cols>
          <w:pgMar w:left="240" w:top="125" w:right="239" w:bottom="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reports in respect thereof and in respect of any other Canadian Defined Benefit Pension Plans in existence on the Effective Date.</w:t>
      </w:r>
    </w:p>
    <w:p>
      <w:pPr>
        <w:spacing w:after="0" w:line="221" w:lineRule="exact"/>
        <w:rPr>
          <w:sz w:val="20"/>
          <w:szCs w:val="20"/>
          <w:color w:val="auto"/>
        </w:rPr>
      </w:pPr>
    </w:p>
    <w:p>
      <w:pPr>
        <w:ind w:firstLine="1297"/>
        <w:spacing w:after="0" w:line="277" w:lineRule="auto"/>
        <w:rPr>
          <w:sz w:val="20"/>
          <w:szCs w:val="20"/>
          <w:color w:val="auto"/>
        </w:rPr>
      </w:pPr>
      <w:r>
        <w:rPr>
          <w:rFonts w:ascii="Arial" w:cs="Arial" w:eastAsia="Arial" w:hAnsi="Arial"/>
          <w:sz w:val="17"/>
          <w:szCs w:val="17"/>
          <w:b w:val="1"/>
          <w:bCs w:val="1"/>
          <w:color w:val="auto"/>
        </w:rPr>
        <w:t>§7.15. Notice of Default</w:t>
      </w:r>
      <w:r>
        <w:rPr>
          <w:rFonts w:ascii="Arial" w:cs="Arial" w:eastAsia="Arial" w:hAnsi="Arial"/>
          <w:sz w:val="17"/>
          <w:szCs w:val="17"/>
          <w:color w:val="auto"/>
        </w:rPr>
        <w:t>. Each Borrower will promptly notify the Banks in writing of the occurrence of any Default or Event of</w:t>
      </w:r>
      <w:r>
        <w:rPr>
          <w:rFonts w:ascii="Arial" w:cs="Arial" w:eastAsia="Arial" w:hAnsi="Arial"/>
          <w:sz w:val="17"/>
          <w:szCs w:val="17"/>
          <w:b w:val="1"/>
          <w:bCs w:val="1"/>
          <w:color w:val="auto"/>
        </w:rPr>
        <w:t xml:space="preserve"> </w:t>
      </w:r>
      <w:r>
        <w:rPr>
          <w:rFonts w:ascii="Arial" w:cs="Arial" w:eastAsia="Arial" w:hAnsi="Arial"/>
          <w:sz w:val="17"/>
          <w:szCs w:val="17"/>
          <w:color w:val="auto"/>
        </w:rPr>
        <w:t>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$100,000,000 as to which any Borrower or any Significant Subsidiary is a party or obligor, whether as principal or surety, the Company shall promptly upon obtaining actual knowledge thereof give written notice thereof to the Banks, describing the notice of action and the nature of the claimed default.</w:t>
      </w:r>
    </w:p>
    <w:p>
      <w:pPr>
        <w:spacing w:after="0" w:line="168"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§7.16. Use of Proceeds</w:t>
      </w:r>
      <w:r>
        <w:rPr>
          <w:rFonts w:ascii="Arial" w:cs="Arial" w:eastAsia="Arial" w:hAnsi="Arial"/>
          <w:sz w:val="18"/>
          <w:szCs w:val="18"/>
          <w:color w:val="auto"/>
        </w:rPr>
        <w:t>. The proceeds of the Loans shall be used for general corporate purposes, to provide working capital,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letters of credit, as an extension and continuation of the Indebtedness of the Company and its Subsidiaries under the Existing Credit Agreement. After application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of the proceeds of any Loan, not more than 25% of the value of the assets (either of the Borrowers only or of the Borrowers and their Subsidiaries on a consolidated basis) that are subject to any restriction on sale, pledge, or disposal under this Agreement will be represented by “margin stock,” as defined in accordance with Regulation U issued by the Board of Governors of the Federal Reserve System, now or hereafter in effect.</w:t>
      </w:r>
    </w:p>
    <w:p>
      <w:pPr>
        <w:spacing w:after="0" w:line="162"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b w:val="1"/>
          <w:bCs w:val="1"/>
          <w:color w:val="auto"/>
        </w:rPr>
        <w:t>§7.17. Certain Transactions</w:t>
      </w:r>
      <w:r>
        <w:rPr>
          <w:rFonts w:ascii="Arial" w:cs="Arial" w:eastAsia="Arial" w:hAnsi="Arial"/>
          <w:sz w:val="17"/>
          <w:szCs w:val="17"/>
          <w:color w:val="auto"/>
        </w:rPr>
        <w:t>. Except as disclosed in the Disclosure Documents prior to the Effective Date, and except for arm’s length</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pursuant to which any Borrower or any Subsidiary makes payments in the ordinary course of business, none of the officers, directors, or employees or any other affiliate of any Borrower or any Subsidiary are presently or shall be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any Borrower or any Subsidiary, any corporation, partnership, trust or other entity in which any officer, director, or any such employee has a substantial interest or is an officer, director, trustee or partner.</w:t>
      </w:r>
    </w:p>
    <w:p>
      <w:pPr>
        <w:spacing w:after="0" w:line="172" w:lineRule="exact"/>
        <w:rPr>
          <w:sz w:val="20"/>
          <w:szCs w:val="20"/>
          <w:color w:val="auto"/>
        </w:rPr>
      </w:pPr>
    </w:p>
    <w:p>
      <w:pPr>
        <w:ind w:right="220" w:firstLine="1297"/>
        <w:spacing w:after="0" w:line="289" w:lineRule="auto"/>
        <w:rPr>
          <w:sz w:val="20"/>
          <w:szCs w:val="20"/>
          <w:color w:val="auto"/>
        </w:rPr>
      </w:pPr>
      <w:r>
        <w:rPr>
          <w:rFonts w:ascii="Arial" w:cs="Arial" w:eastAsia="Arial" w:hAnsi="Arial"/>
          <w:sz w:val="17"/>
          <w:szCs w:val="17"/>
          <w:b w:val="1"/>
          <w:bCs w:val="1"/>
          <w:color w:val="auto"/>
        </w:rPr>
        <w:t>§7.18. Anti-Corruption Laws</w:t>
      </w:r>
      <w:r>
        <w:rPr>
          <w:rFonts w:ascii="Arial" w:cs="Arial" w:eastAsia="Arial" w:hAnsi="Arial"/>
          <w:sz w:val="17"/>
          <w:szCs w:val="17"/>
          <w:color w:val="auto"/>
        </w:rPr>
        <w:t>. Each Borrower shall and shall cause each of its Subsidiaries to conduct its businesses in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FCPA, the Corruption of Foreign Public Officials Act (Canada), the UK Bribery Act 2010, applicable Sanctions and other similar anti-corruption legislation in other jurisdictions and maintain policies and procedures designed to promote and achieve compliance with such laws.</w:t>
      </w:r>
    </w:p>
    <w:p>
      <w:pPr>
        <w:spacing w:after="0" w:line="15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u w:val="single" w:color="auto"/>
          <w:color w:val="auto"/>
        </w:rPr>
        <w:t>NEGATIVE COVENANTS OF THE BORROWERS</w:t>
      </w:r>
      <w:r>
        <w:rPr>
          <w:rFonts w:ascii="Arial" w:cs="Arial" w:eastAsia="Arial" w:hAnsi="Arial"/>
          <w:sz w:val="18"/>
          <w:szCs w:val="18"/>
          <w:color w:val="auto"/>
        </w:rPr>
        <w:t>. Each Borrower agrees that, so long as any Obligation or Letter of Credit is outstanding or</w:t>
      </w:r>
      <w:r>
        <w:rPr>
          <w:rFonts w:ascii="Arial" w:cs="Arial" w:eastAsia="Arial" w:hAnsi="Arial"/>
          <w:sz w:val="18"/>
          <w:szCs w:val="18"/>
          <w:b w:val="1"/>
          <w:bCs w:val="1"/>
          <w:color w:val="auto"/>
        </w:rPr>
        <w:t xml:space="preserve"> </w:t>
      </w:r>
      <w:r>
        <w:rPr>
          <w:rFonts w:ascii="Arial" w:cs="Arial" w:eastAsia="Arial" w:hAnsi="Arial"/>
          <w:sz w:val="18"/>
          <w:szCs w:val="18"/>
          <w:color w:val="auto"/>
        </w:rPr>
        <w:t>the Banks have any obligation to make Loans or any Issuing Bank has any obligation to issue, extend or renew any Letter of Credit hereunder, or the Banks have any obligation to reimburse any Issuing Bank for drawings honored under any Letter of Credit, it shall, and shall cause its Subsidiaries (or, if so indicated below, cause only Significant Subsidiaries) to, comply with the following covenants:</w:t>
      </w:r>
    </w:p>
    <w:p>
      <w:pPr>
        <w:spacing w:after="0" w:line="180" w:lineRule="exact"/>
        <w:rPr>
          <w:sz w:val="20"/>
          <w:szCs w:val="20"/>
          <w:color w:val="auto"/>
        </w:rPr>
      </w:pPr>
    </w:p>
    <w:p>
      <w:pPr>
        <w:ind w:right="20" w:firstLine="1297"/>
        <w:spacing w:after="0" w:line="281" w:lineRule="auto"/>
        <w:rPr>
          <w:sz w:val="20"/>
          <w:szCs w:val="20"/>
          <w:color w:val="auto"/>
        </w:rPr>
      </w:pPr>
      <w:r>
        <w:rPr>
          <w:rFonts w:ascii="Arial" w:cs="Arial" w:eastAsia="Arial" w:hAnsi="Arial"/>
          <w:sz w:val="17"/>
          <w:szCs w:val="17"/>
          <w:b w:val="1"/>
          <w:bCs w:val="1"/>
          <w:color w:val="auto"/>
        </w:rPr>
        <w:t>§8.1. Restrictions on Indebtedness</w:t>
      </w:r>
      <w:r>
        <w:rPr>
          <w:rFonts w:ascii="Arial" w:cs="Arial" w:eastAsia="Arial" w:hAnsi="Arial"/>
          <w:sz w:val="17"/>
          <w:szCs w:val="17"/>
          <w:color w:val="auto"/>
        </w:rPr>
        <w:t>. The Company will not permit any of its Subsidiaries (other than the Guarantor) to create, incur,</w:t>
      </w:r>
      <w:r>
        <w:rPr>
          <w:rFonts w:ascii="Arial" w:cs="Arial" w:eastAsia="Arial" w:hAnsi="Arial"/>
          <w:sz w:val="17"/>
          <w:szCs w:val="17"/>
          <w:b w:val="1"/>
          <w:bCs w:val="1"/>
          <w:color w:val="auto"/>
        </w:rPr>
        <w:t xml:space="preserve"> </w:t>
      </w:r>
      <w:r>
        <w:rPr>
          <w:rFonts w:ascii="Arial" w:cs="Arial" w:eastAsia="Arial" w:hAnsi="Arial"/>
          <w:sz w:val="17"/>
          <w:szCs w:val="17"/>
          <w:color w:val="auto"/>
        </w:rPr>
        <w:t>assume, or be or remain liable, contingently or otherwise, with respect to any Indebtedness, or to become or be responsible in any manner (whether by agreement to purchase any obligations, stock, assets, goods or services, or to supply or advance any funds, assets, goods or services or otherwise) with respect to any Indebtedness, in each case, of any other Person other than any Borrower or any of its Subsidiaries, other than:</w:t>
      </w:r>
    </w:p>
    <w:p>
      <w:pPr>
        <w:spacing w:after="0" w:line="169" w:lineRule="exact"/>
        <w:rPr>
          <w:sz w:val="20"/>
          <w:szCs w:val="20"/>
          <w:color w:val="auto"/>
        </w:rPr>
      </w:pPr>
    </w:p>
    <w:p>
      <w:pPr>
        <w:ind w:left="660" w:right="160" w:hanging="4"/>
        <w:spacing w:after="0" w:line="273" w:lineRule="auto"/>
        <w:tabs>
          <w:tab w:leader="none" w:pos="1305"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Indebtedness listed in </w:t>
      </w:r>
      <w:r>
        <w:rPr>
          <w:rFonts w:ascii="Arial" w:cs="Arial" w:eastAsia="Arial" w:hAnsi="Arial"/>
          <w:sz w:val="17"/>
          <w:szCs w:val="17"/>
          <w:u w:val="single" w:color="auto"/>
          <w:color w:val="auto"/>
        </w:rPr>
        <w:t>Schedule 8.1(a)</w:t>
      </w:r>
      <w:r>
        <w:rPr>
          <w:rFonts w:ascii="Arial" w:cs="Arial" w:eastAsia="Arial" w:hAnsi="Arial"/>
          <w:sz w:val="17"/>
          <w:szCs w:val="17"/>
          <w:color w:val="auto"/>
        </w:rPr>
        <w:t xml:space="preserve">, any extension, renewal or refinancing of such Indebtedness and any additional bonds issued and Capital Leases entered into from time to time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such Indebtedness is an extension, renewal or refinancing of existing Indebtedness, the terms and conditions of any such extensions, renewals or refinancings shall not increase the relative priority of such Indebtedness over the priority of the original Indebtedness, and (ii) in no event shall the aggregate outstanding principal amount of Indebtedness permitted by this </w:t>
      </w:r>
      <w:r>
        <w:rPr>
          <w:rFonts w:ascii="Arial" w:cs="Arial" w:eastAsia="Arial" w:hAnsi="Arial"/>
          <w:sz w:val="17"/>
          <w:szCs w:val="17"/>
          <w:u w:val="single" w:color="auto"/>
          <w:color w:val="auto"/>
        </w:rPr>
        <w:t>§8.1(a)</w:t>
      </w:r>
      <w:r>
        <w:rPr>
          <w:rFonts w:ascii="Arial" w:cs="Arial" w:eastAsia="Arial" w:hAnsi="Arial"/>
          <w:sz w:val="17"/>
          <w:szCs w:val="17"/>
          <w:color w:val="auto"/>
        </w:rPr>
        <w:t xml:space="preserve"> exceed the aggregate principal amount of the Indebtedness listed on </w:t>
      </w:r>
      <w:r>
        <w:rPr>
          <w:rFonts w:ascii="Arial" w:cs="Arial" w:eastAsia="Arial" w:hAnsi="Arial"/>
          <w:sz w:val="17"/>
          <w:szCs w:val="17"/>
          <w:u w:val="single" w:color="auto"/>
          <w:color w:val="auto"/>
        </w:rPr>
        <w:t>Schedule 8.1(a)</w:t>
      </w:r>
      <w:r>
        <w:rPr>
          <w:rFonts w:ascii="Arial" w:cs="Arial" w:eastAsia="Arial" w:hAnsi="Arial"/>
          <w:sz w:val="17"/>
          <w:szCs w:val="17"/>
          <w:color w:val="auto"/>
        </w:rPr>
        <w:t xml:space="preserve"> that is outstanding on the Effective Date (plus transaction costs, including premiums and fees, related thereto); and</w:t>
      </w:r>
    </w:p>
    <w:p>
      <w:pPr>
        <w:spacing w:after="0" w:line="178" w:lineRule="exact"/>
        <w:rPr>
          <w:rFonts w:ascii="Arial" w:cs="Arial" w:eastAsia="Arial" w:hAnsi="Arial"/>
          <w:sz w:val="17"/>
          <w:szCs w:val="17"/>
          <w:color w:val="auto"/>
        </w:rPr>
      </w:pPr>
    </w:p>
    <w:p>
      <w:pPr>
        <w:jc w:val="both"/>
        <w:ind w:left="660" w:right="40" w:hanging="4"/>
        <w:spacing w:after="0" w:line="264" w:lineRule="auto"/>
        <w:tabs>
          <w:tab w:leader="none" w:pos="13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other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sum (without duplication) of (i) the aggregate outstanding principal amount of Indebtedness permitted under this </w:t>
      </w:r>
      <w:r>
        <w:rPr>
          <w:rFonts w:ascii="Arial" w:cs="Arial" w:eastAsia="Arial" w:hAnsi="Arial"/>
          <w:sz w:val="18"/>
          <w:szCs w:val="18"/>
          <w:u w:val="single" w:color="auto"/>
          <w:color w:val="auto"/>
        </w:rPr>
        <w:t>§8.1(b)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outstanding principal amount of secured Indebtedness of the Company and its Subsidiaries permitted under subsections (k), (l) and (m) of the definition of “Permitted Liens”,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aggregate amount of Indebtedness with respect to outstanding Permitted Receivables Transactions (determined in accordance with the proviso to the definition of “Indebtedness”), shall not exceed 15% of Consolidated Tangible Assets at any time.</w:t>
      </w:r>
    </w:p>
    <w:p>
      <w:pPr>
        <w:spacing w:after="0" w:line="166"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b w:val="1"/>
          <w:bCs w:val="1"/>
          <w:color w:val="auto"/>
        </w:rPr>
        <w:t>§8.2. Restrictions on Liens</w:t>
      </w:r>
      <w:r>
        <w:rPr>
          <w:rFonts w:ascii="Arial" w:cs="Arial" w:eastAsia="Arial" w:hAnsi="Arial"/>
          <w:sz w:val="17"/>
          <w:szCs w:val="17"/>
          <w:color w:val="auto"/>
        </w:rPr>
        <w:t>. No Borrower will, or will cause its Subsidiaries to, create or incur or suffer to be created or incurred or</w:t>
      </w:r>
      <w:r>
        <w:rPr>
          <w:rFonts w:ascii="Arial" w:cs="Arial" w:eastAsia="Arial" w:hAnsi="Arial"/>
          <w:sz w:val="17"/>
          <w:szCs w:val="17"/>
          <w:b w:val="1"/>
          <w:bCs w:val="1"/>
          <w:color w:val="auto"/>
        </w:rPr>
        <w:t xml:space="preserve"> </w:t>
      </w:r>
      <w:r>
        <w:rPr>
          <w:rFonts w:ascii="Arial" w:cs="Arial" w:eastAsia="Arial" w:hAnsi="Arial"/>
          <w:sz w:val="17"/>
          <w:szCs w:val="17"/>
          <w:color w:val="auto"/>
        </w:rPr>
        <w:t>to exist any Lien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in each case except for Permitted Liens.</w:t>
      </w:r>
    </w:p>
    <w:p>
      <w:pPr>
        <w:spacing w:after="0" w:line="176"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Each Borrower and the Guarantor covenant and agree that if any of them or any of their Subsidiaries shall create or incur any Lien upon any of their respective properties or assets, whether now owned or hereafter acquired, other than Permitted Liens (unless prior written consent shall have been obtained from the Majority Banks), such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covenants of each Borrower and the Guarantor contained in this sentence shall only be in effect for so long as such Borrower or the Guarantor shall be similarly obligated under any other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 Event of Default shall occur for so long as such other</w:t>
      </w:r>
    </w:p>
    <w:p>
      <w:pPr>
        <w:sectPr>
          <w:pgSz w:w="11900" w:h="16838" w:orient="portrait"/>
          <w:cols w:equalWidth="0" w:num="1">
            <w:col w:w="11420"/>
          </w:cols>
          <w:pgMar w:left="240" w:top="125" w:right="239" w:bottom="0" w:gutter="0" w:footer="0" w:header="0"/>
        </w:sectPr>
      </w:pPr>
    </w:p>
    <w:bookmarkStart w:id="45" w:name="page46"/>
    <w:bookmarkEnd w:id="45"/>
    <w:p>
      <w:pPr>
        <w:ind w:right="280"/>
        <w:spacing w:after="0" w:line="277" w:lineRule="auto"/>
        <w:rPr>
          <w:sz w:val="20"/>
          <w:szCs w:val="20"/>
          <w:color w:val="auto"/>
        </w:rPr>
      </w:pPr>
      <w:r>
        <w:rPr>
          <w:rFonts w:ascii="Arial" w:cs="Arial" w:eastAsia="Arial" w:hAnsi="Arial"/>
          <w:sz w:val="18"/>
          <w:szCs w:val="18"/>
          <w:color w:val="auto"/>
        </w:rPr>
        <w:t>Indebtedness becomes secured notwithstanding any actions taken by such Borrower or the Guarantor to ratably secure the Obligations and the Guaranteed Obligations hereunder.</w:t>
      </w:r>
    </w:p>
    <w:p>
      <w:pPr>
        <w:spacing w:after="0" w:line="166" w:lineRule="exact"/>
        <w:rPr>
          <w:sz w:val="20"/>
          <w:szCs w:val="20"/>
          <w:color w:val="auto"/>
        </w:rPr>
      </w:pPr>
    </w:p>
    <w:p>
      <w:pPr>
        <w:ind w:right="60" w:firstLine="1297"/>
        <w:spacing w:after="0" w:line="292" w:lineRule="auto"/>
        <w:rPr>
          <w:sz w:val="20"/>
          <w:szCs w:val="20"/>
          <w:color w:val="auto"/>
        </w:rPr>
      </w:pPr>
      <w:r>
        <w:rPr>
          <w:rFonts w:ascii="Arial" w:cs="Arial" w:eastAsia="Arial" w:hAnsi="Arial"/>
          <w:sz w:val="16"/>
          <w:szCs w:val="16"/>
          <w:b w:val="1"/>
          <w:bCs w:val="1"/>
          <w:color w:val="auto"/>
        </w:rPr>
        <w:t>§8.3. Restrictions on Investments</w:t>
      </w:r>
      <w:r>
        <w:rPr>
          <w:rFonts w:ascii="Arial" w:cs="Arial" w:eastAsia="Arial" w:hAnsi="Arial"/>
          <w:sz w:val="16"/>
          <w:szCs w:val="16"/>
          <w:color w:val="auto"/>
        </w:rPr>
        <w:t>. Except to the extent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§8.4</w:t>
      </w:r>
      <w:r>
        <w:rPr>
          <w:rFonts w:ascii="Arial" w:cs="Arial" w:eastAsia="Arial" w:hAnsi="Arial"/>
          <w:sz w:val="16"/>
          <w:szCs w:val="16"/>
          <w:color w:val="auto"/>
        </w:rPr>
        <w:t>, no Borrower nor any Subsidiary may make or permit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exist or to remain outstanding any Investment, other than (a) Investments in Cash Equivalents, (b) Investments existing on the Effective Date and set forth on </w:t>
      </w:r>
      <w:r>
        <w:rPr>
          <w:rFonts w:ascii="Arial" w:cs="Arial" w:eastAsia="Arial" w:hAnsi="Arial"/>
          <w:sz w:val="16"/>
          <w:szCs w:val="16"/>
          <w:u w:val="single" w:color="auto"/>
          <w:color w:val="auto"/>
        </w:rPr>
        <w:t>Schedule 8.3</w:t>
      </w:r>
      <w:r>
        <w:rPr>
          <w:rFonts w:ascii="Arial" w:cs="Arial" w:eastAsia="Arial" w:hAnsi="Arial"/>
          <w:sz w:val="16"/>
          <w:szCs w:val="16"/>
          <w:color w:val="auto"/>
        </w:rPr>
        <w:t>, and (c) Investments existing on the Effective Date in Consolidated Subsidiaries, unless both before and after giving effect thereto (i) each Borrower and its Subsidiaries are in compliance with the covenants set forth in §</w:t>
      </w:r>
      <w:r>
        <w:rPr>
          <w:rFonts w:ascii="Arial" w:cs="Arial" w:eastAsia="Arial" w:hAnsi="Arial"/>
          <w:sz w:val="16"/>
          <w:szCs w:val="16"/>
          <w:u w:val="single" w:color="auto"/>
          <w:color w:val="auto"/>
        </w:rPr>
        <w:t>§7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hereof and (ii) there does not exist a Default or Event of Default and no Default or Event of Default would be created by the making of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aggregate amount of all Investments (excluding Investments described in clauses (a), (b) and (c) above), does not exceed 15% of Consolidated Tangible Assets and (y) the ability of the Subsidiaries of any Borrower to incur any Indebtedness in connection with any Investment permitted by this </w:t>
      </w:r>
      <w:r>
        <w:rPr>
          <w:rFonts w:ascii="Arial" w:cs="Arial" w:eastAsia="Arial" w:hAnsi="Arial"/>
          <w:sz w:val="16"/>
          <w:szCs w:val="16"/>
          <w:u w:val="single" w:color="auto"/>
          <w:color w:val="auto"/>
        </w:rPr>
        <w:t>§8.3</w:t>
      </w:r>
      <w:r>
        <w:rPr>
          <w:rFonts w:ascii="Arial" w:cs="Arial" w:eastAsia="Arial" w:hAnsi="Arial"/>
          <w:sz w:val="16"/>
          <w:szCs w:val="16"/>
          <w:color w:val="auto"/>
        </w:rPr>
        <w:t xml:space="preserve"> shall be governed by §</w:t>
      </w:r>
      <w:r>
        <w:rPr>
          <w:rFonts w:ascii="Arial" w:cs="Arial" w:eastAsia="Arial" w:hAnsi="Arial"/>
          <w:sz w:val="16"/>
          <w:szCs w:val="16"/>
          <w:u w:val="single" w:color="auto"/>
          <w:color w:val="auto"/>
        </w:rPr>
        <w:t>8.1</w:t>
      </w:r>
      <w:r>
        <w:rPr>
          <w:rFonts w:ascii="Arial" w:cs="Arial" w:eastAsia="Arial" w:hAnsi="Arial"/>
          <w:sz w:val="16"/>
          <w:szCs w:val="16"/>
          <w:color w:val="auto"/>
        </w:rPr>
        <w:t>.</w:t>
      </w:r>
    </w:p>
    <w:p>
      <w:pPr>
        <w:spacing w:after="0" w:line="162"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8"/>
          <w:szCs w:val="18"/>
          <w:b w:val="1"/>
          <w:bCs w:val="1"/>
          <w:color w:val="auto"/>
        </w:rPr>
        <w:t>Mergers, Consolidations, Sales</w:t>
      </w:r>
      <w:r>
        <w:rPr>
          <w:rFonts w:ascii="Arial" w:cs="Arial" w:eastAsia="Arial" w:hAnsi="Arial"/>
          <w:sz w:val="18"/>
          <w:szCs w:val="18"/>
          <w:color w:val="auto"/>
        </w:rPr>
        <w:t>.</w:t>
      </w:r>
    </w:p>
    <w:p>
      <w:pPr>
        <w:spacing w:after="0" w:line="229" w:lineRule="exact"/>
        <w:rPr>
          <w:sz w:val="20"/>
          <w:szCs w:val="20"/>
          <w:color w:val="auto"/>
        </w:rPr>
      </w:pPr>
    </w:p>
    <w:p>
      <w:pPr>
        <w:ind w:left="700" w:firstLine="655"/>
        <w:spacing w:after="0" w:line="255" w:lineRule="auto"/>
        <w:tabs>
          <w:tab w:leader="none" w:pos="1993"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No Borrower nor any Subsidiary shall be a party to any merger, , amalgamation, consolidation or exchange of stock unless such Borrower shall be the surviving entity with respect to any such transaction to which such Borrower is a party and the Guarantor shall be the survivor of any merger or amalgamation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or this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spacing w:after="0" w:line="289" w:lineRule="auto"/>
        <w:rPr>
          <w:sz w:val="20"/>
          <w:szCs w:val="20"/>
          <w:color w:val="auto"/>
        </w:rPr>
      </w:pPr>
      <w:r>
        <w:rPr>
          <w:rFonts w:ascii="Arial" w:cs="Arial" w:eastAsia="Arial" w:hAnsi="Arial"/>
          <w:sz w:val="16"/>
          <w:szCs w:val="16"/>
          <w:u w:val="single" w:color="auto"/>
          <w:color w:val="auto"/>
        </w:rPr>
        <w:t>§8.4</w:t>
      </w:r>
      <w:r>
        <w:rPr>
          <w:rFonts w:ascii="Arial" w:cs="Arial" w:eastAsia="Arial" w:hAnsi="Arial"/>
          <w:sz w:val="16"/>
          <w:szCs w:val="16"/>
          <w:color w:val="auto"/>
        </w:rPr>
        <w:t xml:space="preserve">. Notwithstanding the foregoing, any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and (ii) 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Borrower or its Subsidiaries may purchase or otherwise acquire all or substantially all of the assets or stock of any class of, or any partnership, membership or joint venture or other interest in, any Persons in unrelated businesses, not to exceed a total aggregate amount of $400,000,000 during the term of this Agreement. Notwithstanding anything herein to the contrary, the ability of the Subsidiaries of any Borrower to incur any Indebtedness in connection with any transaction permitted pursuant to this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shall be governed by </w:t>
      </w:r>
      <w:r>
        <w:rPr>
          <w:rFonts w:ascii="Arial" w:cs="Arial" w:eastAsia="Arial" w:hAnsi="Arial"/>
          <w:sz w:val="16"/>
          <w:szCs w:val="16"/>
          <w:u w:val="single" w:color="auto"/>
          <w:color w:val="auto"/>
        </w:rPr>
        <w:t>§8.1</w:t>
      </w:r>
      <w:r>
        <w:rPr>
          <w:rFonts w:ascii="Arial" w:cs="Arial" w:eastAsia="Arial" w:hAnsi="Arial"/>
          <w:sz w:val="16"/>
          <w:szCs w:val="16"/>
          <w:color w:val="auto"/>
        </w:rPr>
        <w:t>.</w:t>
      </w:r>
    </w:p>
    <w:p>
      <w:pPr>
        <w:spacing w:after="0" w:line="167" w:lineRule="exact"/>
        <w:rPr>
          <w:sz w:val="20"/>
          <w:szCs w:val="20"/>
          <w:color w:val="auto"/>
        </w:rPr>
      </w:pPr>
    </w:p>
    <w:p>
      <w:pPr>
        <w:ind w:left="700" w:right="80" w:firstLine="655"/>
        <w:spacing w:after="0" w:line="270" w:lineRule="auto"/>
        <w:tabs>
          <w:tab w:leader="none" w:pos="2004"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No Borrower nor any Subsidiary shall sell, transfer, convey or lease any assets or group of assets, including the sale or transfer of any property owned by any Borrower or any Subsidiary in order then or thereafter to lease such property or lease other property which such Borrower or any Subsidiary intends to use for substantially the same purpose as the property being sold or transferred, or sell or assign, with or without recourse, any receivables, except (i) transfers of real or personal property among Subsidiaries of the Company, (ii) so long as no Default or Event of Default has occurred and is continuing, or would result therefrom, sales of assets or pursuant to a sale-leaseback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net cash proceeds from any such sale or sale-leaseback shall, within 180 days, either be used to pay down outstanding Loans under this Agreement or be reinvested by such Person in assets of the business of such Borrower and its Subsidiaries, used for working capital, invested in Investments in accordance with the provisions of </w:t>
      </w:r>
      <w:r>
        <w:rPr>
          <w:rFonts w:ascii="Arial" w:cs="Arial" w:eastAsia="Arial" w:hAnsi="Arial"/>
          <w:sz w:val="17"/>
          <w:szCs w:val="17"/>
          <w:u w:val="single" w:color="auto"/>
          <w:color w:val="auto"/>
        </w:rPr>
        <w:t>§8.3</w:t>
      </w:r>
      <w:r>
        <w:rPr>
          <w:rFonts w:ascii="Arial" w:cs="Arial" w:eastAsia="Arial" w:hAnsi="Arial"/>
          <w:sz w:val="17"/>
          <w:szCs w:val="17"/>
          <w:color w:val="auto"/>
        </w:rPr>
        <w:t xml:space="preserve"> or used for other general corporate purposes, (iii) sales of accounts receivable (and contract rights, general intangibles or chattel paper related thereto) more than sixty (60) days past due sold or assigned in the ordinary course of collecting past due accounts, or (iv) pursuant to a Permitted Receivables Transaction.</w:t>
      </w:r>
    </w:p>
    <w:p>
      <w:pPr>
        <w:spacing w:after="0" w:line="174" w:lineRule="exact"/>
        <w:rPr>
          <w:sz w:val="20"/>
          <w:szCs w:val="20"/>
          <w:color w:val="auto"/>
        </w:rPr>
      </w:pPr>
    </w:p>
    <w:p>
      <w:pPr>
        <w:ind w:firstLine="1297"/>
        <w:spacing w:after="0" w:line="274" w:lineRule="auto"/>
        <w:rPr>
          <w:sz w:val="20"/>
          <w:szCs w:val="20"/>
          <w:color w:val="auto"/>
        </w:rPr>
      </w:pPr>
      <w:r>
        <w:rPr>
          <w:rFonts w:ascii="Arial" w:cs="Arial" w:eastAsia="Arial" w:hAnsi="Arial"/>
          <w:sz w:val="17"/>
          <w:szCs w:val="17"/>
          <w:b w:val="1"/>
          <w:bCs w:val="1"/>
          <w:color w:val="auto"/>
        </w:rPr>
        <w:t>§8.5. Restricted Distributions and Redemptions</w:t>
      </w:r>
      <w:r>
        <w:rPr>
          <w:rFonts w:ascii="Arial" w:cs="Arial" w:eastAsia="Arial" w:hAnsi="Arial"/>
          <w:sz w:val="17"/>
          <w:szCs w:val="17"/>
          <w:color w:val="auto"/>
        </w:rPr>
        <w:t>. No Borrower nor any of its Subsidiaries will (a) declare or pay any Distributions,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(b) redeem, convert, retire or otherwise acquire shares of any class of its capital stock (other than in connection with a merger or amalgamation permitted by </w:t>
      </w:r>
      <w:r>
        <w:rPr>
          <w:rFonts w:ascii="Arial" w:cs="Arial" w:eastAsia="Arial" w:hAnsi="Arial"/>
          <w:sz w:val="17"/>
          <w:szCs w:val="17"/>
          <w:u w:val="single" w:color="auto"/>
          <w:color w:val="auto"/>
        </w:rPr>
        <w:t>§8.4</w:t>
      </w:r>
      <w:r>
        <w:rPr>
          <w:rFonts w:ascii="Arial" w:cs="Arial" w:eastAsia="Arial" w:hAnsi="Arial"/>
          <w:sz w:val="17"/>
          <w:szCs w:val="17"/>
          <w:color w:val="auto"/>
        </w:rPr>
        <w:t xml:space="preserve"> hereof or conversion into another form of equity of any preferred shares of a Borrower existing as of the Effective Date pursuant to the terms thereof), unless at the time of such Distribution or redemption no Default or Event of Default exists or would be created hereunder. Notwithstanding the above, any Subsidiary may make Distributions to a Borrower and such Borrower agrees that no Borrower nor any Significant Subsidiary will enter into any agreement restricting Distributions from such Significant Subsidiary to a Borrower.</w:t>
      </w:r>
    </w:p>
    <w:p>
      <w:pPr>
        <w:spacing w:after="0" w:line="174" w:lineRule="exact"/>
        <w:rPr>
          <w:sz w:val="20"/>
          <w:szCs w:val="20"/>
          <w:color w:val="auto"/>
        </w:rPr>
      </w:pPr>
    </w:p>
    <w:p>
      <w:pPr>
        <w:ind w:right="20" w:firstLine="1297"/>
        <w:spacing w:after="0" w:line="298" w:lineRule="auto"/>
        <w:rPr>
          <w:sz w:val="20"/>
          <w:szCs w:val="20"/>
          <w:color w:val="auto"/>
        </w:rPr>
      </w:pPr>
      <w:r>
        <w:rPr>
          <w:rFonts w:ascii="Arial" w:cs="Arial" w:eastAsia="Arial" w:hAnsi="Arial"/>
          <w:sz w:val="16"/>
          <w:szCs w:val="16"/>
          <w:b w:val="1"/>
          <w:bCs w:val="1"/>
          <w:color w:val="auto"/>
        </w:rPr>
        <w:t xml:space="preserve">§8.6. Canadian Defined Benefit Pension Plans. </w:t>
      </w:r>
      <w:r>
        <w:rPr>
          <w:rFonts w:ascii="Arial" w:cs="Arial" w:eastAsia="Arial" w:hAnsi="Arial"/>
          <w:sz w:val="16"/>
          <w:szCs w:val="16"/>
          <w:color w:val="auto"/>
        </w:rPr>
        <w:t>No Borrower nor any Subsidiary will maintain, contribute to, or incur any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or contingent liability in respect of a Canadian Defined Benefit Pension Plan, except (i) Canadian Defined Benefit Pension Plans in existence on the Effective Date, (ii) Canadian Defined Benefit Pension Plans which exist as a result of the consummation of a Permitted Acquisition occurring after the Effective Date, and (iii) other Canadian Defined Benefit Pension Plans established after the Effective Date that could not reasonably be expected to result in liability of any Borrower or any Subsidiary in an aggregate amount exceeding $50,000,000 for all such plans established after the Effective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b w:val="1"/>
          <w:bCs w:val="1"/>
          <w:color w:val="auto"/>
        </w:rPr>
        <w:t>§8.7. Sanctions</w:t>
      </w:r>
      <w:r>
        <w:rPr>
          <w:rFonts w:ascii="Arial" w:cs="Arial" w:eastAsia="Arial" w:hAnsi="Arial"/>
          <w:sz w:val="18"/>
          <w:szCs w:val="18"/>
          <w:color w:val="auto"/>
        </w:rPr>
        <w:t>. No Borrower nor any of its Subsidiaries will, directly or indirectly, use the proceeds of any Loan or Letter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or (knowingly, in the case of any joint venture partner, individual or entity that is not a controlled Affiliate)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any material violation by any individual or entity (including any individual or entity participating in the transaction, whether as Bank, Lead Arranger, Administrative Agent, Issuing Bank, Swing Line Bank, or otherwise) of Sanctions or any applicable anti-money laundering and counter-terrorism financing provisions of The Bank Secrecy Act of 1970 (as amended) or any regulations issued pursuant to it.</w:t>
      </w:r>
    </w:p>
    <w:p>
      <w:pPr>
        <w:spacing w:after="0" w:line="189" w:lineRule="exact"/>
        <w:rPr>
          <w:sz w:val="20"/>
          <w:szCs w:val="20"/>
          <w:color w:val="auto"/>
        </w:rPr>
      </w:pPr>
    </w:p>
    <w:p>
      <w:pPr>
        <w:ind w:right="80" w:firstLine="1297"/>
        <w:spacing w:after="0" w:line="261" w:lineRule="auto"/>
        <w:rPr>
          <w:sz w:val="20"/>
          <w:szCs w:val="20"/>
          <w:color w:val="auto"/>
        </w:rPr>
      </w:pPr>
      <w:r>
        <w:rPr>
          <w:rFonts w:ascii="Arial" w:cs="Arial" w:eastAsia="Arial" w:hAnsi="Arial"/>
          <w:sz w:val="18"/>
          <w:szCs w:val="18"/>
          <w:b w:val="1"/>
          <w:bCs w:val="1"/>
          <w:color w:val="auto"/>
        </w:rPr>
        <w:t>§8.8. Anti-Corruption Laws</w:t>
      </w:r>
      <w:r>
        <w:rPr>
          <w:rFonts w:ascii="Arial" w:cs="Arial" w:eastAsia="Arial" w:hAnsi="Arial"/>
          <w:sz w:val="18"/>
          <w:szCs w:val="18"/>
          <w:color w:val="auto"/>
        </w:rPr>
        <w:t>. No Borrower nor any of its Subsidiaries will, directly or indirectly knowingly (as such term is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FCPA (as defined below)) use the proceeds of any Loan or Letter of Credit for any purpose which would breach the FCPA, the Corruption of Foreign Public Officials Act (Canada), the UK Bribery Act 2010 or other similar legislation governing bribery or corruption, in each, case, as applicable to the Company or its Subsidiaries from time to time.</w:t>
      </w:r>
    </w:p>
    <w:p>
      <w:pPr>
        <w:sectPr>
          <w:pgSz w:w="11900" w:h="16838" w:orient="portrait"/>
          <w:cols w:equalWidth="0" w:num="1">
            <w:col w:w="11400"/>
          </w:cols>
          <w:pgMar w:left="240" w:top="125" w:right="259" w:bottom="0" w:gutter="0" w:footer="0" w:header="0"/>
        </w:sectPr>
      </w:pPr>
    </w:p>
    <w:bookmarkStart w:id="46" w:name="page47"/>
    <w:bookmarkEnd w:id="46"/>
    <w:p>
      <w:pPr>
        <w:spacing w:after="0" w:line="269" w:lineRule="auto"/>
        <w:rPr>
          <w:sz w:val="20"/>
          <w:szCs w:val="20"/>
          <w:color w:val="auto"/>
        </w:rPr>
      </w:pPr>
      <w:r>
        <w:rPr>
          <w:rFonts w:ascii="Arial" w:cs="Arial" w:eastAsia="Arial" w:hAnsi="Arial"/>
          <w:sz w:val="17"/>
          <w:szCs w:val="17"/>
          <w:b w:val="1"/>
          <w:bCs w:val="1"/>
          <w:color w:val="auto"/>
        </w:rPr>
        <w:t xml:space="preserve">§9. </w:t>
      </w:r>
      <w:r>
        <w:rPr>
          <w:rFonts w:ascii="Arial" w:cs="Arial" w:eastAsia="Arial" w:hAnsi="Arial"/>
          <w:sz w:val="17"/>
          <w:szCs w:val="17"/>
          <w:b w:val="1"/>
          <w:bCs w:val="1"/>
          <w:u w:val="single" w:color="auto"/>
          <w:color w:val="auto"/>
        </w:rPr>
        <w:t>FINANCIAL COVENANT</w:t>
      </w:r>
      <w:r>
        <w:rPr>
          <w:rFonts w:ascii="Arial" w:cs="Arial" w:eastAsia="Arial" w:hAnsi="Arial"/>
          <w:sz w:val="17"/>
          <w:szCs w:val="17"/>
          <w:color w:val="auto"/>
        </w:rPr>
        <w:t>. The Company agrees that, so long as any Obligation or Letter of Credit is outstanding or the Banks have any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to make Loans or any Issuing Bank has any obligation to issue, extend or renew any Letter of Credit hereunder, or the Banks have any obligation to reimburse any Issuing Bank for drawings honored under any Letter of Credit, it shall not permit, as of the end of any fiscal quarter of the Company, the ratio of (a) Total Debt to (b) EBITDA for the four fiscal quarters then ending (the “</w:t>
      </w:r>
      <w:r>
        <w:rPr>
          <w:rFonts w:ascii="Arial" w:cs="Arial" w:eastAsia="Arial" w:hAnsi="Arial"/>
          <w:sz w:val="17"/>
          <w:szCs w:val="17"/>
          <w:u w:val="single" w:color="auto"/>
          <w:color w:val="auto"/>
        </w:rPr>
        <w:t>Leverage Ratio</w:t>
      </w:r>
      <w:r>
        <w:rPr>
          <w:rFonts w:ascii="Arial" w:cs="Arial" w:eastAsia="Arial" w:hAnsi="Arial"/>
          <w:sz w:val="17"/>
          <w:szCs w:val="17"/>
          <w:color w:val="auto"/>
        </w:rPr>
        <w:t xml:space="preserve">”) to exceed 3.50:1.00;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 Acquisition permitted under this Agreement involving aggregate consideration in excess of $200,000,000 occurs during a fiscal quarter, the Company shall have the right to increase the maximum permitted Leverage Ratio required to be maintained under this </w:t>
      </w:r>
      <w:r>
        <w:rPr>
          <w:rFonts w:ascii="Arial" w:cs="Arial" w:eastAsia="Arial" w:hAnsi="Arial"/>
          <w:sz w:val="17"/>
          <w:szCs w:val="17"/>
          <w:u w:val="single" w:color="auto"/>
          <w:color w:val="auto"/>
        </w:rPr>
        <w:t>§9</w:t>
      </w:r>
      <w:r>
        <w:rPr>
          <w:rFonts w:ascii="Arial" w:cs="Arial" w:eastAsia="Arial" w:hAnsi="Arial"/>
          <w:sz w:val="17"/>
          <w:szCs w:val="17"/>
          <w:color w:val="auto"/>
        </w:rPr>
        <w:t xml:space="preserve"> to 4.00:1.00 during the fiscal quarter in which such permitted Acquisition is consummated (the “</w:t>
      </w:r>
      <w:r>
        <w:rPr>
          <w:rFonts w:ascii="Arial" w:cs="Arial" w:eastAsia="Arial" w:hAnsi="Arial"/>
          <w:sz w:val="17"/>
          <w:szCs w:val="17"/>
          <w:u w:val="single" w:color="auto"/>
          <w:color w:val="auto"/>
        </w:rPr>
        <w:t>Trigger Quarter</w:t>
      </w:r>
      <w:r>
        <w:rPr>
          <w:rFonts w:ascii="Arial" w:cs="Arial" w:eastAsia="Arial" w:hAnsi="Arial"/>
          <w:sz w:val="17"/>
          <w:szCs w:val="17"/>
          <w:color w:val="auto"/>
        </w:rPr>
        <w:t>”) and each of the following three fiscal quarters following the Trigger Quarter (such period, an “</w:t>
      </w:r>
      <w:r>
        <w:rPr>
          <w:rFonts w:ascii="Arial" w:cs="Arial" w:eastAsia="Arial" w:hAnsi="Arial"/>
          <w:sz w:val="17"/>
          <w:szCs w:val="17"/>
          <w:u w:val="single" w:color="auto"/>
          <w:color w:val="auto"/>
        </w:rPr>
        <w:t>Elevated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Leverage Ratio Period</w:t>
      </w:r>
      <w:r>
        <w:rPr>
          <w:rFonts w:ascii="Arial" w:cs="Arial" w:eastAsia="Arial" w:hAnsi="Arial"/>
          <w:sz w:val="17"/>
          <w:szCs w:val="17"/>
          <w:color w:val="auto"/>
        </w:rPr>
        <w:t xml:space="preserve">”) so long as there is at least one fiscal quarter end after the end of each Elevated Leverage Ratio Period at which the required Leverage Ratio is less than or equal to 3.50:1.00;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be no more than two Elevated Leverage Ratio Periods during the term of this Agreement. Such election shall be made by the delivery of a written notice by the Company to the Administrative Agent making reference to this </w:t>
      </w:r>
      <w:r>
        <w:rPr>
          <w:rFonts w:ascii="Arial" w:cs="Arial" w:eastAsia="Arial" w:hAnsi="Arial"/>
          <w:sz w:val="17"/>
          <w:szCs w:val="17"/>
          <w:u w:val="single" w:color="auto"/>
          <w:color w:val="auto"/>
        </w:rPr>
        <w:t>§9</w:t>
      </w:r>
      <w:r>
        <w:rPr>
          <w:rFonts w:ascii="Arial" w:cs="Arial" w:eastAsia="Arial" w:hAnsi="Arial"/>
          <w:sz w:val="17"/>
          <w:szCs w:val="17"/>
          <w:color w:val="auto"/>
        </w:rPr>
        <w:t xml:space="preserve"> and notifying the Administrative Agent of the Company’s exercise of this right on or prior to the date of the actual or required delivery of a Compliance Certificate for the Trigger Quarter.</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u w:val="single" w:color="auto"/>
          <w:color w:val="auto"/>
        </w:rPr>
        <w:t>CONDITIONS PRECEDENT</w:t>
      </w:r>
      <w:r>
        <w:rPr>
          <w:rFonts w:ascii="Arial" w:cs="Arial" w:eastAsia="Arial" w:hAnsi="Arial"/>
          <w:sz w:val="18"/>
          <w:szCs w:val="18"/>
          <w:color w:val="auto"/>
        </w:rPr>
        <w:t>.</w:t>
      </w:r>
    </w:p>
    <w:p>
      <w:pPr>
        <w:spacing w:after="0" w:line="225" w:lineRule="exact"/>
        <w:rPr>
          <w:sz w:val="20"/>
          <w:szCs w:val="20"/>
          <w:color w:val="auto"/>
        </w:rPr>
      </w:pPr>
    </w:p>
    <w:p>
      <w:pPr>
        <w:ind w:right="340" w:firstLine="1297"/>
        <w:spacing w:after="0" w:line="282" w:lineRule="auto"/>
        <w:rPr>
          <w:sz w:val="20"/>
          <w:szCs w:val="20"/>
          <w:color w:val="auto"/>
        </w:rPr>
      </w:pPr>
      <w:r>
        <w:rPr>
          <w:rFonts w:ascii="Arial" w:cs="Arial" w:eastAsia="Arial" w:hAnsi="Arial"/>
          <w:sz w:val="18"/>
          <w:szCs w:val="18"/>
          <w:b w:val="1"/>
          <w:bCs w:val="1"/>
          <w:color w:val="auto"/>
        </w:rPr>
        <w:t>§10.1. Conditions To Effectiveness</w:t>
      </w:r>
      <w:r>
        <w:rPr>
          <w:rFonts w:ascii="Arial" w:cs="Arial" w:eastAsia="Arial" w:hAnsi="Arial"/>
          <w:sz w:val="18"/>
          <w:szCs w:val="18"/>
          <w:color w:val="auto"/>
        </w:rPr>
        <w:t>. The effectiveness of this Agreement as an amendment and restatement of the Existing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subject to the satisfaction of each of the following conditions precedent:</w:t>
      </w:r>
    </w:p>
    <w:p>
      <w:pPr>
        <w:spacing w:after="0" w:line="162" w:lineRule="exact"/>
        <w:rPr>
          <w:sz w:val="20"/>
          <w:szCs w:val="20"/>
          <w:color w:val="auto"/>
        </w:rPr>
      </w:pPr>
    </w:p>
    <w:p>
      <w:pPr>
        <w:ind w:right="140" w:firstLine="1945"/>
        <w:spacing w:after="0" w:line="266" w:lineRule="auto"/>
        <w:rPr>
          <w:sz w:val="20"/>
          <w:szCs w:val="20"/>
          <w:color w:val="auto"/>
        </w:rPr>
      </w:pPr>
      <w:r>
        <w:rPr>
          <w:rFonts w:ascii="Arial" w:cs="Arial" w:eastAsia="Arial" w:hAnsi="Arial"/>
          <w:sz w:val="18"/>
          <w:szCs w:val="18"/>
          <w:b w:val="1"/>
          <w:bCs w:val="1"/>
          <w:color w:val="auto"/>
        </w:rPr>
        <w:t>§10.1.1 Corporate Action</w:t>
      </w:r>
      <w:r>
        <w:rPr>
          <w:rFonts w:ascii="Arial" w:cs="Arial" w:eastAsia="Arial" w:hAnsi="Arial"/>
          <w:sz w:val="18"/>
          <w:szCs w:val="18"/>
          <w:color w:val="auto"/>
        </w:rPr>
        <w:t>. All corporate action necessary for the valid execution, delivery and performance by each</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the Guarantor of the Loan Documents shall have been duly and effectively taken, and evidence thereof certified by authorized officers of each Borrower and the Guarantor and satisfactory to the Administrative Agent shall have been provided to the Banks.</w:t>
      </w:r>
    </w:p>
    <w:p>
      <w:pPr>
        <w:spacing w:after="0" w:line="176" w:lineRule="exact"/>
        <w:rPr>
          <w:sz w:val="20"/>
          <w:szCs w:val="20"/>
          <w:color w:val="auto"/>
        </w:rPr>
      </w:pPr>
    </w:p>
    <w:p>
      <w:pPr>
        <w:jc w:val="both"/>
        <w:ind w:right="60" w:firstLine="1945"/>
        <w:spacing w:after="0" w:line="266" w:lineRule="auto"/>
        <w:rPr>
          <w:sz w:val="20"/>
          <w:szCs w:val="20"/>
          <w:color w:val="auto"/>
        </w:rPr>
      </w:pPr>
      <w:r>
        <w:rPr>
          <w:rFonts w:ascii="Arial" w:cs="Arial" w:eastAsia="Arial" w:hAnsi="Arial"/>
          <w:sz w:val="18"/>
          <w:szCs w:val="18"/>
          <w:b w:val="1"/>
          <w:bCs w:val="1"/>
          <w:color w:val="auto"/>
        </w:rPr>
        <w:t>§10.1.2 Loan Documents, Etc</w:t>
      </w:r>
      <w:r>
        <w:rPr>
          <w:rFonts w:ascii="Arial" w:cs="Arial" w:eastAsia="Arial" w:hAnsi="Arial"/>
          <w:sz w:val="18"/>
          <w:szCs w:val="18"/>
          <w:color w:val="auto"/>
        </w:rPr>
        <w:t>. Each of the Loan Documents (including any Notes requested by Banks hereunder)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listed on the closing agenda shall have been duly and properly authorized, executed and delivered by the respective parties thereto and shall be in full force and effect in a form satisfactory to the Majority Banks.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1945"/>
        <w:spacing w:after="0" w:line="277" w:lineRule="auto"/>
        <w:rPr>
          <w:sz w:val="20"/>
          <w:szCs w:val="20"/>
          <w:color w:val="auto"/>
        </w:rPr>
      </w:pPr>
      <w:r>
        <w:rPr>
          <w:rFonts w:ascii="Arial" w:cs="Arial" w:eastAsia="Arial" w:hAnsi="Arial"/>
          <w:sz w:val="17"/>
          <w:szCs w:val="17"/>
          <w:b w:val="1"/>
          <w:bCs w:val="1"/>
          <w:color w:val="auto"/>
        </w:rPr>
        <w:t>§10.1.3 Certified Copies of Charter Documents</w:t>
      </w:r>
      <w:r>
        <w:rPr>
          <w:rFonts w:ascii="Arial" w:cs="Arial" w:eastAsia="Arial" w:hAnsi="Arial"/>
          <w:sz w:val="17"/>
          <w:szCs w:val="17"/>
          <w:color w:val="auto"/>
        </w:rPr>
        <w:t>. The Banks shall have received from each Borrower and the Guarantor,</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certified by a duly authorized officer of such Person to be true and complete on the Effective Date, (a) its charter or other incorporation documents, (b) its by-laws (or equivalent) and (c) good standing certificates and such foreign qualifications as may be reasonably requested by the Administrative Agent (which, in the case of the Company and the Guarantor, shall be limited to domestic good standing certificates from such Person’s jurisdiction of organization and foreign good standing certificates (or comparable certificates) for the State of Texas).</w:t>
      </w:r>
    </w:p>
    <w:p>
      <w:pPr>
        <w:spacing w:after="0" w:line="168" w:lineRule="exact"/>
        <w:rPr>
          <w:sz w:val="20"/>
          <w:szCs w:val="20"/>
          <w:color w:val="auto"/>
        </w:rPr>
      </w:pPr>
    </w:p>
    <w:p>
      <w:pPr>
        <w:ind w:right="200" w:firstLine="1945"/>
        <w:spacing w:after="0" w:line="281" w:lineRule="auto"/>
        <w:rPr>
          <w:sz w:val="20"/>
          <w:szCs w:val="20"/>
          <w:color w:val="auto"/>
        </w:rPr>
      </w:pPr>
      <w:r>
        <w:rPr>
          <w:rFonts w:ascii="Arial" w:cs="Arial" w:eastAsia="Arial" w:hAnsi="Arial"/>
          <w:sz w:val="17"/>
          <w:szCs w:val="17"/>
          <w:b w:val="1"/>
          <w:bCs w:val="1"/>
          <w:color w:val="auto"/>
        </w:rPr>
        <w:t>§10.1.4 Incumbency Certificate</w:t>
      </w:r>
      <w:r>
        <w:rPr>
          <w:rFonts w:ascii="Arial" w:cs="Arial" w:eastAsia="Arial" w:hAnsi="Arial"/>
          <w:sz w:val="17"/>
          <w:szCs w:val="17"/>
          <w:color w:val="auto"/>
        </w:rPr>
        <w:t>. The Banks shall have received an incumbency certificate, dated as of the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signed by duly authorized officers of each Borrower and the Guarantor giving the name and bearing a specimen signature of each individual who shall be authorized: (a) to sign the Loan Documents on behalf of each Borrower and the Guarantor; (b) to submit Committed Loan Notices and Letter of Credit Applications; and (c) to give notices and to take other action on the Borrowers’ or the Guarantor’s behalf under the Loan Documents.</w:t>
      </w:r>
    </w:p>
    <w:p>
      <w:pPr>
        <w:spacing w:after="0" w:line="165" w:lineRule="exact"/>
        <w:rPr>
          <w:sz w:val="20"/>
          <w:szCs w:val="20"/>
          <w:color w:val="auto"/>
        </w:rPr>
      </w:pPr>
    </w:p>
    <w:p>
      <w:pPr>
        <w:ind w:right="420" w:firstLine="1945"/>
        <w:spacing w:after="0" w:line="281" w:lineRule="auto"/>
        <w:rPr>
          <w:sz w:val="20"/>
          <w:szCs w:val="20"/>
          <w:color w:val="auto"/>
        </w:rPr>
      </w:pPr>
      <w:r>
        <w:rPr>
          <w:rFonts w:ascii="Arial" w:cs="Arial" w:eastAsia="Arial" w:hAnsi="Arial"/>
          <w:sz w:val="17"/>
          <w:szCs w:val="17"/>
          <w:b w:val="1"/>
          <w:bCs w:val="1"/>
          <w:color w:val="auto"/>
        </w:rPr>
        <w:t>§10.1.5 Opinion of Counsel</w:t>
      </w:r>
      <w:r>
        <w:rPr>
          <w:rFonts w:ascii="Arial" w:cs="Arial" w:eastAsia="Arial" w:hAnsi="Arial"/>
          <w:sz w:val="17"/>
          <w:szCs w:val="17"/>
          <w:color w:val="auto"/>
        </w:rPr>
        <w:t>. The Banks shall have received favorable legal opinions from the General Counsel —</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&amp; Governance of the Company and the Guarantor and Canadian counsel of each of the Canadian Borrowers addressed to the Banks, dated the Effective Date, in form and substance satisfactory to the Administrative Agent, and a favorable legal opinion of McGuireWoods LLP, special New York counsel to the Administrative Agent, dated the Effective Date, as to the validity and binding effect of this Agreement.</w:t>
      </w:r>
    </w:p>
    <w:p>
      <w:pPr>
        <w:spacing w:after="0" w:line="165" w:lineRule="exact"/>
        <w:rPr>
          <w:sz w:val="20"/>
          <w:szCs w:val="20"/>
          <w:color w:val="auto"/>
        </w:rPr>
      </w:pPr>
    </w:p>
    <w:p>
      <w:pPr>
        <w:jc w:val="both"/>
        <w:ind w:right="20" w:firstLine="1945"/>
        <w:spacing w:after="0" w:line="266" w:lineRule="auto"/>
        <w:rPr>
          <w:sz w:val="20"/>
          <w:szCs w:val="20"/>
          <w:color w:val="auto"/>
        </w:rPr>
      </w:pPr>
      <w:r>
        <w:rPr>
          <w:rFonts w:ascii="Arial" w:cs="Arial" w:eastAsia="Arial" w:hAnsi="Arial"/>
          <w:sz w:val="18"/>
          <w:szCs w:val="18"/>
          <w:b w:val="1"/>
          <w:bCs w:val="1"/>
          <w:color w:val="auto"/>
        </w:rPr>
        <w:t>§10.1.6 Satisfactory Financial Condition</w:t>
      </w:r>
      <w:r>
        <w:rPr>
          <w:rFonts w:ascii="Arial" w:cs="Arial" w:eastAsia="Arial" w:hAnsi="Arial"/>
          <w:sz w:val="18"/>
          <w:szCs w:val="18"/>
          <w:color w:val="auto"/>
        </w:rPr>
        <w:t>. Other than as disclosed in the Disclosure Documents, no material adverse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occurred in the financial condition, results of operations, business, properties or prospects of each Borrower and its Subsidiaries, taken as a whole, since the Balance Sheet Date.</w:t>
      </w:r>
    </w:p>
    <w:p>
      <w:pPr>
        <w:spacing w:after="0" w:line="176"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6"/>
          <w:szCs w:val="16"/>
          <w:b w:val="1"/>
          <w:bCs w:val="1"/>
          <w:color w:val="auto"/>
        </w:rPr>
        <w:t>§10.1.7</w:t>
      </w:r>
      <w:r>
        <w:rPr>
          <w:sz w:val="20"/>
          <w:szCs w:val="20"/>
          <w:color w:val="auto"/>
        </w:rPr>
        <w:tab/>
      </w:r>
      <w:r>
        <w:rPr>
          <w:rFonts w:ascii="Arial" w:cs="Arial" w:eastAsia="Arial" w:hAnsi="Arial"/>
          <w:sz w:val="16"/>
          <w:szCs w:val="16"/>
          <w:b w:val="1"/>
          <w:bCs w:val="1"/>
          <w:color w:val="auto"/>
        </w:rPr>
        <w:t>Payment of Closing Fees</w:t>
      </w:r>
      <w:r>
        <w:rPr>
          <w:rFonts w:ascii="Arial" w:cs="Arial" w:eastAsia="Arial" w:hAnsi="Arial"/>
          <w:sz w:val="16"/>
          <w:szCs w:val="16"/>
          <w:color w:val="auto"/>
        </w:rPr>
        <w:t>. The Borrowers shall have paid the agreed-upon closing fees to the Administrative Agent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Banks.</w:t>
      </w:r>
    </w:p>
    <w:p>
      <w:pPr>
        <w:spacing w:after="0" w:line="207" w:lineRule="exact"/>
        <w:rPr>
          <w:sz w:val="20"/>
          <w:szCs w:val="20"/>
          <w:color w:val="auto"/>
        </w:rPr>
      </w:pPr>
    </w:p>
    <w:p>
      <w:pPr>
        <w:jc w:val="both"/>
        <w:ind w:right="220" w:firstLine="1945"/>
        <w:spacing w:after="0" w:line="266" w:lineRule="auto"/>
        <w:rPr>
          <w:sz w:val="20"/>
          <w:szCs w:val="20"/>
          <w:color w:val="auto"/>
        </w:rPr>
      </w:pPr>
      <w:r>
        <w:rPr>
          <w:rFonts w:ascii="Arial" w:cs="Arial" w:eastAsia="Arial" w:hAnsi="Arial"/>
          <w:sz w:val="18"/>
          <w:szCs w:val="18"/>
          <w:b w:val="1"/>
          <w:bCs w:val="1"/>
          <w:color w:val="auto"/>
        </w:rPr>
        <w:t>§10.1.8 Closing Certificate</w:t>
      </w:r>
      <w:r>
        <w:rPr>
          <w:rFonts w:ascii="Arial" w:cs="Arial" w:eastAsia="Arial" w:hAnsi="Arial"/>
          <w:sz w:val="18"/>
          <w:szCs w:val="18"/>
          <w:color w:val="auto"/>
        </w:rPr>
        <w:t>. Each Borrower shall have delivered to the Administrative Agent a certificate, dated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stating that, as of such date (a) the representations and warranties set forth herein and in the other Loan Documents are true and correct, and (b) no Default or Event of Default has occurred and is continuing.</w:t>
      </w:r>
    </w:p>
    <w:p>
      <w:pPr>
        <w:spacing w:after="0" w:line="176"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b w:val="1"/>
          <w:bCs w:val="1"/>
          <w:color w:val="auto"/>
        </w:rPr>
        <w:t>§10.1.9</w:t>
      </w:r>
      <w:r>
        <w:rPr>
          <w:sz w:val="20"/>
          <w:szCs w:val="20"/>
          <w:color w:val="auto"/>
        </w:rPr>
        <w:tab/>
      </w:r>
      <w:r>
        <w:rPr>
          <w:rFonts w:ascii="Arial" w:cs="Arial" w:eastAsia="Arial" w:hAnsi="Arial"/>
          <w:sz w:val="18"/>
          <w:szCs w:val="18"/>
          <w:b w:val="1"/>
          <w:bCs w:val="1"/>
          <w:color w:val="auto"/>
        </w:rPr>
        <w:t>USA PATRIOT ACT/KYC Information.</w:t>
      </w:r>
    </w:p>
    <w:p>
      <w:pPr>
        <w:spacing w:after="0" w:line="229" w:lineRule="exact"/>
        <w:rPr>
          <w:sz w:val="20"/>
          <w:szCs w:val="20"/>
          <w:color w:val="auto"/>
        </w:rPr>
      </w:pPr>
    </w:p>
    <w:p>
      <w:pPr>
        <w:jc w:val="both"/>
        <w:ind w:left="700" w:right="200" w:firstLine="655"/>
        <w:spacing w:after="0" w:line="259" w:lineRule="auto"/>
        <w:tabs>
          <w:tab w:leader="none" w:pos="1993"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the reasonable request of any Bank made at least ten days prior to the Effective Date, the Company shall have provided to such Bank, and such Bank shall be reasonably satisfied with, the documentation and other information so requested in connection with applicable “know your customer” and anti-money-laundering rules and regulations, including, without limitation, the USA PATRIOT Act and the Canadian AML Acts, in each case at least five days prior to the Effective Date.</w:t>
      </w:r>
    </w:p>
    <w:p>
      <w:pPr>
        <w:spacing w:after="0" w:line="186" w:lineRule="exact"/>
        <w:rPr>
          <w:rFonts w:ascii="Arial" w:cs="Arial" w:eastAsia="Arial" w:hAnsi="Arial"/>
          <w:sz w:val="18"/>
          <w:szCs w:val="18"/>
          <w:color w:val="auto"/>
        </w:rPr>
      </w:pPr>
    </w:p>
    <w:p>
      <w:pPr>
        <w:ind w:left="700" w:right="620" w:firstLine="655"/>
        <w:spacing w:after="0" w:line="342" w:lineRule="auto"/>
        <w:tabs>
          <w:tab w:leader="none" w:pos="2004" w:val="left"/>
        </w:tabs>
        <w:numPr>
          <w:ilvl w:val="0"/>
          <w:numId w:val="77"/>
        </w:numPr>
        <w:rPr>
          <w:rFonts w:ascii="Arial" w:cs="Arial" w:eastAsia="Arial" w:hAnsi="Arial"/>
          <w:sz w:val="16"/>
          <w:szCs w:val="16"/>
          <w:color w:val="auto"/>
        </w:rPr>
      </w:pPr>
      <w:r>
        <w:rPr>
          <w:rFonts w:ascii="Arial" w:cs="Arial" w:eastAsia="Arial" w:hAnsi="Arial"/>
          <w:sz w:val="16"/>
          <w:szCs w:val="16"/>
          <w:color w:val="auto"/>
        </w:rPr>
        <w:t>At least five days prior to the Effective Date, any Borrower that qualifies as a “legal entity customer” under the Beneficial Ownership Regulation shall deliver, to each Bank that so requests, a Beneficial Ownership Certification in relation to such Borrower.</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Without limiting the generality of the provisions of the last paragraph of </w:t>
      </w:r>
      <w:r>
        <w:rPr>
          <w:rFonts w:ascii="Arial" w:cs="Arial" w:eastAsia="Arial" w:hAnsi="Arial"/>
          <w:sz w:val="18"/>
          <w:szCs w:val="18"/>
          <w:u w:val="single" w:color="auto"/>
          <w:color w:val="auto"/>
        </w:rPr>
        <w:t>§15.2</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§10</w:t>
      </w:r>
      <w:r>
        <w:rPr>
          <w:rFonts w:ascii="Arial" w:cs="Arial" w:eastAsia="Arial" w:hAnsi="Arial"/>
          <w:sz w:val="18"/>
          <w:szCs w:val="18"/>
          <w:color w:val="auto"/>
        </w:rPr>
        <w:t>, each Bank that has signed this Agreement shall be deemed to have consented to, approved or accepted or to be satisfied with, each document or other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32" w:gutter="0" w:footer="0" w:header="0"/>
        </w:sectPr>
      </w:pPr>
    </w:p>
    <w:bookmarkStart w:id="47" w:name="page48"/>
    <w:bookmarkEnd w:id="47"/>
    <w:p>
      <w:pPr>
        <w:ind w:right="420"/>
        <w:spacing w:after="0" w:line="277" w:lineRule="auto"/>
        <w:rPr>
          <w:sz w:val="20"/>
          <w:szCs w:val="20"/>
          <w:color w:val="auto"/>
        </w:rPr>
      </w:pPr>
      <w:r>
        <w:rPr>
          <w:rFonts w:ascii="Arial" w:cs="Arial" w:eastAsia="Arial" w:hAnsi="Arial"/>
          <w:sz w:val="18"/>
          <w:szCs w:val="18"/>
          <w:color w:val="auto"/>
        </w:rPr>
        <w:t>matter required thereunder to be consented to or approved by or acceptable or satisfactory to a Bank unless the Administrative Agent shall have received notice from such Bank prior to the proposed Effective Date specifying its objection thereto.</w:t>
      </w:r>
    </w:p>
    <w:p>
      <w:pPr>
        <w:spacing w:after="0" w:line="16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CONDITIONS TO ALL LOANS</w:t>
      </w:r>
      <w:r>
        <w:rPr>
          <w:rFonts w:ascii="Arial" w:cs="Arial" w:eastAsia="Arial" w:hAnsi="Arial"/>
          <w:sz w:val="18"/>
          <w:szCs w:val="18"/>
          <w:color w:val="auto"/>
        </w:rPr>
        <w:t>. The obligations of the Banks to make or continue for an additional Interest Period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b w:val="1"/>
          <w:bCs w:val="1"/>
          <w:color w:val="auto"/>
        </w:rPr>
        <w:t xml:space="preserve"> </w:t>
      </w:r>
      <w:r>
        <w:rPr>
          <w:rFonts w:ascii="Arial" w:cs="Arial" w:eastAsia="Arial" w:hAnsi="Arial"/>
          <w:sz w:val="18"/>
          <w:szCs w:val="18"/>
          <w:color w:val="auto"/>
        </w:rPr>
        <w:t>any</w:t>
      </w:r>
      <w:r>
        <w:rPr>
          <w:rFonts w:ascii="Arial" w:cs="Arial" w:eastAsia="Arial" w:hAnsi="Arial"/>
          <w:sz w:val="18"/>
          <w:szCs w:val="18"/>
          <w:b w:val="1"/>
          <w:bCs w:val="1"/>
          <w:color w:val="auto"/>
        </w:rPr>
        <w:t xml:space="preserve"> </w:t>
      </w:r>
      <w:r>
        <w:rPr>
          <w:rFonts w:ascii="Arial" w:cs="Arial" w:eastAsia="Arial" w:hAnsi="Arial"/>
          <w:sz w:val="18"/>
          <w:szCs w:val="18"/>
          <w:color w:val="auto"/>
        </w:rPr>
        <w:t>Loan and the obligation of any Issuing Bank to issue, extend, or renew any Letter of Credit at the time of and subsequent to the Effective Date is subject to the following conditions precedent:</w:t>
      </w:r>
    </w:p>
    <w:p>
      <w:pPr>
        <w:spacing w:after="0" w:line="176"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b w:val="1"/>
          <w:bCs w:val="1"/>
          <w:color w:val="auto"/>
        </w:rPr>
        <w:t>§11.1. Representations True</w:t>
      </w:r>
      <w:r>
        <w:rPr>
          <w:rFonts w:ascii="Arial" w:cs="Arial" w:eastAsia="Arial" w:hAnsi="Arial"/>
          <w:sz w:val="17"/>
          <w:szCs w:val="17"/>
          <w:color w:val="auto"/>
        </w:rPr>
        <w:t>. Each Borrower shall have certified to the Administrative Agent and the Banks that each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representations and warranties of such Borrower and the Guarantor (as applicable) contained in this Agreement or in any document or instrument delivered pursuant to or in connection with this Agreement, other than the representation and warranty in </w:t>
      </w:r>
      <w:r>
        <w:rPr>
          <w:rFonts w:ascii="Arial" w:cs="Arial" w:eastAsia="Arial" w:hAnsi="Arial"/>
          <w:sz w:val="17"/>
          <w:szCs w:val="17"/>
          <w:u w:val="single" w:color="auto"/>
          <w:color w:val="auto"/>
        </w:rPr>
        <w:t>§6.5</w:t>
      </w:r>
      <w:r>
        <w:rPr>
          <w:rFonts w:ascii="Arial" w:cs="Arial" w:eastAsia="Arial" w:hAnsi="Arial"/>
          <w:sz w:val="17"/>
          <w:szCs w:val="17"/>
          <w:color w:val="auto"/>
        </w:rPr>
        <w:t xml:space="preserve"> hereof, is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w:t>
      </w:r>
    </w:p>
    <w:p>
      <w:pPr>
        <w:spacing w:after="0" w:line="172" w:lineRule="exact"/>
        <w:rPr>
          <w:sz w:val="20"/>
          <w:szCs w:val="20"/>
          <w:color w:val="auto"/>
        </w:rPr>
      </w:pPr>
    </w:p>
    <w:p>
      <w:pPr>
        <w:ind w:right="20" w:firstLine="1297"/>
        <w:spacing w:after="0" w:line="274" w:lineRule="auto"/>
        <w:rPr>
          <w:sz w:val="20"/>
          <w:szCs w:val="20"/>
          <w:color w:val="auto"/>
        </w:rPr>
      </w:pPr>
      <w:r>
        <w:rPr>
          <w:rFonts w:ascii="Arial" w:cs="Arial" w:eastAsia="Arial" w:hAnsi="Arial"/>
          <w:sz w:val="17"/>
          <w:szCs w:val="17"/>
          <w:b w:val="1"/>
          <w:bCs w:val="1"/>
          <w:color w:val="auto"/>
        </w:rPr>
        <w:t>§11.2. Performance; No Event of Default</w:t>
      </w:r>
      <w:r>
        <w:rPr>
          <w:rFonts w:ascii="Arial" w:cs="Arial" w:eastAsia="Arial" w:hAnsi="Arial"/>
          <w:sz w:val="17"/>
          <w:szCs w:val="17"/>
          <w:color w:val="auto"/>
        </w:rPr>
        <w:t>. Each Borrower shall have performed and complied with all terms and conditions herein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required to be performed or complied with by it prior to or at the time of the making of any Loan or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each Borrower that the condition specified in this </w:t>
      </w:r>
      <w:r>
        <w:rPr>
          <w:rFonts w:ascii="Arial" w:cs="Arial" w:eastAsia="Arial" w:hAnsi="Arial"/>
          <w:sz w:val="17"/>
          <w:szCs w:val="17"/>
          <w:u w:val="single" w:color="auto"/>
          <w:color w:val="auto"/>
        </w:rPr>
        <w:t>§11.2</w:t>
      </w:r>
      <w:r>
        <w:rPr>
          <w:rFonts w:ascii="Arial" w:cs="Arial" w:eastAsia="Arial" w:hAnsi="Arial"/>
          <w:sz w:val="17"/>
          <w:szCs w:val="17"/>
          <w:color w:val="auto"/>
        </w:rPr>
        <w:t xml:space="preserve"> will be duly satisfied on the date of such Loan or Letter of Credit issuance, extension or renewal.</w:t>
      </w:r>
    </w:p>
    <w:p>
      <w:pPr>
        <w:spacing w:after="0" w:line="174" w:lineRule="exact"/>
        <w:rPr>
          <w:sz w:val="20"/>
          <w:szCs w:val="20"/>
          <w:color w:val="auto"/>
        </w:rPr>
      </w:pPr>
    </w:p>
    <w:p>
      <w:pPr>
        <w:jc w:val="both"/>
        <w:ind w:right="140" w:firstLine="1297"/>
        <w:spacing w:after="0" w:line="303" w:lineRule="auto"/>
        <w:rPr>
          <w:sz w:val="20"/>
          <w:szCs w:val="20"/>
          <w:color w:val="auto"/>
        </w:rPr>
      </w:pPr>
      <w:r>
        <w:rPr>
          <w:rFonts w:ascii="Arial" w:cs="Arial" w:eastAsia="Arial" w:hAnsi="Arial"/>
          <w:sz w:val="16"/>
          <w:szCs w:val="16"/>
          <w:b w:val="1"/>
          <w:bCs w:val="1"/>
          <w:color w:val="auto"/>
        </w:rPr>
        <w:t>§11.3. Proceedings and Documents</w:t>
      </w:r>
      <w:r>
        <w:rPr>
          <w:rFonts w:ascii="Arial" w:cs="Arial" w:eastAsia="Arial" w:hAnsi="Arial"/>
          <w:sz w:val="16"/>
          <w:szCs w:val="16"/>
          <w:color w:val="auto"/>
        </w:rPr>
        <w:t>. All proceedings in connection with the transactions contemplated by this Agreement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taken and all documents incident thereto shall have been delivered to the Banks as of the date of the making of any extension of credit in substance and in form satisfactory to the Banks, including without limitation a Committed Loan Notice or a Letter of Credit Application and the Banks shall have received all information and such counterpart originals or certified or other copies of such documents as the Banks may reasonably request.</w:t>
      </w:r>
    </w:p>
    <w:p>
      <w:pPr>
        <w:spacing w:after="0" w:line="151" w:lineRule="exact"/>
        <w:rPr>
          <w:sz w:val="20"/>
          <w:szCs w:val="20"/>
          <w:color w:val="auto"/>
        </w:rPr>
      </w:pPr>
    </w:p>
    <w:p>
      <w:pPr>
        <w:jc w:val="both"/>
        <w:ind w:right="300" w:firstLine="1297"/>
        <w:spacing w:after="0" w:line="303" w:lineRule="auto"/>
        <w:rPr>
          <w:sz w:val="20"/>
          <w:szCs w:val="20"/>
          <w:color w:val="auto"/>
        </w:rPr>
      </w:pPr>
      <w:r>
        <w:rPr>
          <w:rFonts w:ascii="Arial" w:cs="Arial" w:eastAsia="Arial" w:hAnsi="Arial"/>
          <w:sz w:val="16"/>
          <w:szCs w:val="16"/>
          <w:b w:val="1"/>
          <w:bCs w:val="1"/>
          <w:color w:val="auto"/>
        </w:rPr>
        <w:t>§11.4. Extensions of Credit in Canadian Dollars</w:t>
      </w:r>
      <w:r>
        <w:rPr>
          <w:rFonts w:ascii="Arial" w:cs="Arial" w:eastAsia="Arial" w:hAnsi="Arial"/>
          <w:sz w:val="16"/>
          <w:szCs w:val="16"/>
          <w:color w:val="auto"/>
        </w:rPr>
        <w:t>. In the case of a Credit Extension to be denominated in Canadian Dollars, there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have occurred any change in national or international financial, political or economic conditions or currency exchange rates or exchange controls which in the reasonable opinion of the Administrative Agent, the Majority Banks or any applicable Issuing Bank (in the case of any Letter of Credit to be denominated in Canadian Dollars) would make it impracticable for such Credit Extension to be denominated in Canadian Dollars.</w:t>
      </w:r>
    </w:p>
    <w:p>
      <w:pPr>
        <w:spacing w:after="0" w:line="15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u w:val="single" w:color="auto"/>
          <w:color w:val="auto"/>
        </w:rPr>
        <w:t>EVENTS OF DEFAULT; ACCELERATION; TERMINATION OF COMMITMENT</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b w:val="1"/>
          <w:bCs w:val="1"/>
          <w:color w:val="auto"/>
        </w:rPr>
        <w:t>§12.1. Events of Default and Acceleration</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or, if the giving of notice or the lapse</w:t>
      </w:r>
      <w:r>
        <w:rPr>
          <w:rFonts w:ascii="Arial" w:cs="Arial" w:eastAsia="Arial" w:hAnsi="Arial"/>
          <w:sz w:val="18"/>
          <w:szCs w:val="18"/>
          <w:b w:val="1"/>
          <w:bCs w:val="1"/>
          <w:color w:val="auto"/>
        </w:rPr>
        <w:t xml:space="preserve"> </w:t>
      </w:r>
      <w:r>
        <w:rPr>
          <w:rFonts w:ascii="Arial" w:cs="Arial" w:eastAsia="Arial" w:hAnsi="Arial"/>
          <w:sz w:val="18"/>
          <w:szCs w:val="18"/>
          <w:color w:val="auto"/>
        </w:rPr>
        <w:t>of time or both is required, then, prior to such notice and/or lapse of time, “</w:t>
      </w:r>
      <w:r>
        <w:rPr>
          <w:rFonts w:ascii="Arial" w:cs="Arial" w:eastAsia="Arial" w:hAnsi="Arial"/>
          <w:sz w:val="18"/>
          <w:szCs w:val="18"/>
          <w:u w:val="single" w:color="auto"/>
          <w:color w:val="auto"/>
        </w:rPr>
        <w:t>Defaults</w:t>
      </w:r>
      <w:r>
        <w:rPr>
          <w:rFonts w:ascii="Arial" w:cs="Arial" w:eastAsia="Arial" w:hAnsi="Arial"/>
          <w:sz w:val="18"/>
          <w:szCs w:val="18"/>
          <w:color w:val="auto"/>
        </w:rPr>
        <w:t>”) shall occur: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260" w:firstLine="655"/>
        <w:spacing w:after="0" w:line="277" w:lineRule="auto"/>
        <w:tabs>
          <w:tab w:leader="none" w:pos="1993"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the Borrowers shall fail to pay any principal of the Loans when the same shall become due and payable, whether at the stated date of maturity or any accelerated date of maturity or at any other date fixed for payment;</w:t>
      </w:r>
    </w:p>
    <w:p>
      <w:pPr>
        <w:spacing w:after="0" w:line="170" w:lineRule="exact"/>
        <w:rPr>
          <w:rFonts w:ascii="Arial" w:cs="Arial" w:eastAsia="Arial" w:hAnsi="Arial"/>
          <w:sz w:val="18"/>
          <w:szCs w:val="18"/>
          <w:color w:val="auto"/>
        </w:rPr>
      </w:pPr>
    </w:p>
    <w:p>
      <w:pPr>
        <w:ind w:left="2020" w:hanging="665"/>
        <w:spacing w:after="0"/>
        <w:tabs>
          <w:tab w:leader="none" w:pos="20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if the Borrowers shall fail to pay any interest or fees or other amounts owing hereunder (other than those specified in subsection</w:t>
      </w:r>
    </w:p>
    <w:p>
      <w:pPr>
        <w:spacing w:after="0" w:line="46" w:lineRule="exact"/>
        <w:rPr>
          <w:rFonts w:ascii="Arial" w:cs="Arial" w:eastAsia="Arial" w:hAnsi="Arial"/>
          <w:sz w:val="16"/>
          <w:szCs w:val="16"/>
          <w:color w:val="auto"/>
        </w:rPr>
      </w:pPr>
    </w:p>
    <w:p>
      <w:pPr>
        <w:ind w:left="700" w:right="520" w:firstLine="7"/>
        <w:spacing w:after="0" w:line="261" w:lineRule="auto"/>
        <w:tabs>
          <w:tab w:leader="none" w:pos="9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above) within five (5) Business Days after the same shall become due and payable whether at the Maturity Date or any accelerated date of maturity or at any other date fixed for payment;</w:t>
      </w:r>
    </w:p>
    <w:p>
      <w:pPr>
        <w:spacing w:after="0" w:line="183" w:lineRule="exact"/>
        <w:rPr>
          <w:rFonts w:ascii="Arial" w:cs="Arial" w:eastAsia="Arial" w:hAnsi="Arial"/>
          <w:sz w:val="18"/>
          <w:szCs w:val="18"/>
          <w:color w:val="auto"/>
        </w:rPr>
      </w:pPr>
    </w:p>
    <w:p>
      <w:pPr>
        <w:ind w:left="2020" w:hanging="665"/>
        <w:spacing w:after="0"/>
        <w:tabs>
          <w:tab w:leader="none" w:pos="2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the Borrowers shall fail to comply with any of the covenants contained in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w:t>
      </w:r>
      <w:r>
        <w:rPr>
          <w:rFonts w:ascii="Arial" w:cs="Arial" w:eastAsia="Arial" w:hAnsi="Arial"/>
          <w:sz w:val="18"/>
          <w:szCs w:val="18"/>
          <w:u w:val="single" w:color="auto"/>
          <w:color w:val="auto"/>
        </w:rPr>
        <w:t>7.15</w:t>
      </w:r>
      <w:r>
        <w:rPr>
          <w:rFonts w:ascii="Arial" w:cs="Arial" w:eastAsia="Arial" w:hAnsi="Arial"/>
          <w:sz w:val="18"/>
          <w:szCs w:val="18"/>
          <w:color w:val="auto"/>
        </w:rPr>
        <w:t xml:space="preserve">, </w:t>
      </w:r>
      <w:r>
        <w:rPr>
          <w:rFonts w:ascii="Arial" w:cs="Arial" w:eastAsia="Arial" w:hAnsi="Arial"/>
          <w:sz w:val="18"/>
          <w:szCs w:val="18"/>
          <w:u w:val="single" w:color="auto"/>
          <w:color w:val="auto"/>
        </w:rPr>
        <w:t>7.16</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jc w:val="both"/>
        <w:ind w:left="700" w:right="200" w:firstLine="655"/>
        <w:spacing w:after="0" w:line="264" w:lineRule="auto"/>
        <w:tabs>
          <w:tab w:leader="none" w:pos="2004"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the Borrowers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Company by the Administrative Agent or any of the Banks;</w:t>
      </w:r>
    </w:p>
    <w:p>
      <w:pPr>
        <w:spacing w:after="0" w:line="181" w:lineRule="exact"/>
        <w:rPr>
          <w:rFonts w:ascii="Arial" w:cs="Arial" w:eastAsia="Arial" w:hAnsi="Arial"/>
          <w:sz w:val="18"/>
          <w:szCs w:val="18"/>
          <w:color w:val="auto"/>
        </w:rPr>
      </w:pPr>
    </w:p>
    <w:p>
      <w:pPr>
        <w:ind w:left="700" w:right="580" w:firstLine="655"/>
        <w:spacing w:after="0" w:line="308" w:lineRule="auto"/>
        <w:tabs>
          <w:tab w:leader="none" w:pos="2007" w:val="left"/>
        </w:tabs>
        <w:numPr>
          <w:ilvl w:val="1"/>
          <w:numId w:val="79"/>
        </w:numPr>
        <w:rPr>
          <w:rFonts w:ascii="Arial" w:cs="Arial" w:eastAsia="Arial" w:hAnsi="Arial"/>
          <w:sz w:val="17"/>
          <w:szCs w:val="17"/>
          <w:color w:val="auto"/>
        </w:rPr>
      </w:pPr>
      <w:r>
        <w:rPr>
          <w:rFonts w:ascii="Arial" w:cs="Arial" w:eastAsia="Arial" w:hAnsi="Arial"/>
          <w:sz w:val="17"/>
          <w:szCs w:val="17"/>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46" w:lineRule="exact"/>
        <w:rPr>
          <w:rFonts w:ascii="Arial" w:cs="Arial" w:eastAsia="Arial" w:hAnsi="Arial"/>
          <w:sz w:val="17"/>
          <w:szCs w:val="17"/>
          <w:color w:val="auto"/>
        </w:rPr>
      </w:pPr>
    </w:p>
    <w:p>
      <w:pPr>
        <w:ind w:left="700" w:right="40" w:firstLine="655"/>
        <w:spacing w:after="0" w:line="255" w:lineRule="auto"/>
        <w:tabs>
          <w:tab w:leader="none" w:pos="2001"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the Borrowers or any of their Subsidiaries shall fail to pay when due, or within any applicable period of grace, any Indebtedness or obligations under Swap Contracts in an aggregate amount greater than $100,000,000, or fail to observe or perform any material term, covenant or agreement contained in any one or more agreements by which it is bound, evidencing or securing any Indebtedness or obligations under Swap Contracts in an aggregate amount greater than $100,000,000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193" w:lineRule="exact"/>
        <w:rPr>
          <w:rFonts w:ascii="Arial" w:cs="Arial" w:eastAsia="Arial" w:hAnsi="Arial"/>
          <w:sz w:val="18"/>
          <w:szCs w:val="18"/>
          <w:color w:val="auto"/>
        </w:rPr>
      </w:pPr>
    </w:p>
    <w:p>
      <w:pPr>
        <w:ind w:left="700" w:firstLine="655"/>
        <w:spacing w:after="0" w:line="269" w:lineRule="auto"/>
        <w:tabs>
          <w:tab w:leader="none" w:pos="2017" w:val="left"/>
        </w:tabs>
        <w:numPr>
          <w:ilvl w:val="1"/>
          <w:numId w:val="79"/>
        </w:numPr>
        <w:rPr>
          <w:rFonts w:ascii="Arial" w:cs="Arial" w:eastAsia="Arial" w:hAnsi="Arial"/>
          <w:sz w:val="17"/>
          <w:szCs w:val="17"/>
          <w:color w:val="auto"/>
        </w:rPr>
      </w:pPr>
      <w:r>
        <w:rPr>
          <w:rFonts w:ascii="Arial" w:cs="Arial" w:eastAsia="Arial" w:hAnsi="Arial"/>
          <w:sz w:val="17"/>
          <w:szCs w:val="17"/>
          <w:color w:val="auto"/>
        </w:rPr>
        <w:t>if any Borrower, the Guarantor or any Significant Subsidiary makes an assignment for the benefit of creditors, makes a proposal to its creditors or files notice of its intention to do so, institutes any other proceeding under applicable law seeking to adjudicate it a bankrupt or an insolvent, or seeking liquidation, dissolution, winding-up, reorganization, compromise, arrangement, adjustment, protection, moratorium, relief, stay of proceedings of creditors, composition of it or its debts or any other similar relief, or admits in writing its inability to pay or generally fails to pay its debts as they mature or become due, or petitions or applies for the appointment of a trustee or other custodian, liquidator or receiver of any Borrower, the Guarantor or any Significant Subsidiary, or of any substantial part of the assets of any Borrower, the Guarantor or any Significant Subsidiary or commences any case or other proceeding relating to any Borrower, the Guarantor or any Significant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any Borrower, the Guarantor or any Significant Subsidiary or any Borrower, the Guarantor or any Significant Subsidiary indicates its approval thereof, consent thereto or acquiescence therein;</w:t>
      </w:r>
    </w:p>
    <w:p>
      <w:pPr>
        <w:sectPr>
          <w:pgSz w:w="11900" w:h="16838" w:orient="portrait"/>
          <w:cols w:equalWidth="0" w:num="1">
            <w:col w:w="11420"/>
          </w:cols>
          <w:pgMar w:left="240" w:top="125" w:right="239" w:bottom="0" w:gutter="0" w:footer="0" w:header="0"/>
        </w:sectPr>
      </w:pPr>
    </w:p>
    <w:bookmarkStart w:id="48" w:name="page49"/>
    <w:bookmarkEnd w:id="48"/>
    <w:p>
      <w:pPr>
        <w:ind w:left="700" w:right="260" w:firstLine="655"/>
        <w:spacing w:after="0" w:line="277" w:lineRule="auto"/>
        <w:tabs>
          <w:tab w:leader="none" w:pos="2004"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 decree or order is entered appointing any such trustee, custodian, liquidator or receiver or adjudicating any Borrower or the Guarantor or any Significant Subsidiary bankrupt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700" w:right="300"/>
        <w:spacing w:after="0" w:line="342" w:lineRule="auto"/>
        <w:rPr>
          <w:sz w:val="20"/>
          <w:szCs w:val="20"/>
          <w:color w:val="auto"/>
        </w:rPr>
      </w:pPr>
      <w:r>
        <w:rPr>
          <w:rFonts w:ascii="Arial" w:cs="Arial" w:eastAsia="Arial" w:hAnsi="Arial"/>
          <w:sz w:val="16"/>
          <w:szCs w:val="16"/>
          <w:color w:val="auto"/>
        </w:rPr>
        <w:t>insolvent, or approving a petition in any such case or other proceeding, or a decree or order for relief is entered in respect of any Borrower or the Guarantor or any Significant Subsidiary in an involuntary case under federal bankruptcy laws of any jurisdiction as now or hereafter constituted;</w:t>
      </w:r>
    </w:p>
    <w:p>
      <w:pPr>
        <w:spacing w:after="0" w:line="124" w:lineRule="exact"/>
        <w:rPr>
          <w:sz w:val="20"/>
          <w:szCs w:val="20"/>
          <w:color w:val="auto"/>
        </w:rPr>
      </w:pPr>
    </w:p>
    <w:p>
      <w:pPr>
        <w:ind w:left="700" w:right="180" w:firstLine="655"/>
        <w:spacing w:after="0" w:line="264" w:lineRule="auto"/>
        <w:tabs>
          <w:tab w:leader="none" w:pos="20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there shall remain in force, undischarged, unsatisfied and unstayed, for more than thirty days, whether or not consecutive, any final judgment against any Borrower or any Subsidiary which, with other outstanding final judgments against any Borrower or its Subsidiaries, exceeds in the aggregate $100,000,000 after taking into account any undisputed insurance coverage;</w:t>
      </w:r>
    </w:p>
    <w:p>
      <w:pPr>
        <w:spacing w:after="0" w:line="181" w:lineRule="exact"/>
        <w:rPr>
          <w:rFonts w:ascii="Arial" w:cs="Arial" w:eastAsia="Arial" w:hAnsi="Arial"/>
          <w:sz w:val="18"/>
          <w:szCs w:val="18"/>
          <w:color w:val="auto"/>
        </w:rPr>
      </w:pPr>
    </w:p>
    <w:p>
      <w:pPr>
        <w:ind w:left="700" w:firstLine="655"/>
        <w:spacing w:after="0" w:line="270" w:lineRule="auto"/>
        <w:tabs>
          <w:tab w:leader="none" w:pos="2004" w:val="left"/>
        </w:tabs>
        <w:numPr>
          <w:ilvl w:val="0"/>
          <w:numId w:val="81"/>
        </w:numPr>
        <w:rPr>
          <w:rFonts w:ascii="Arial" w:cs="Arial" w:eastAsia="Arial" w:hAnsi="Arial"/>
          <w:sz w:val="17"/>
          <w:szCs w:val="17"/>
          <w:color w:val="auto"/>
        </w:rPr>
      </w:pPr>
      <w:r>
        <w:rPr>
          <w:rFonts w:ascii="Arial" w:cs="Arial" w:eastAsia="Arial" w:hAnsi="Arial"/>
          <w:sz w:val="17"/>
          <w:szCs w:val="17"/>
          <w:color w:val="auto"/>
        </w:rPr>
        <w:t>(i) if, with respect to any Guaranteed Pension Plan, an ERISA Reportable Event shall have occurred and the Banks shall have determined in their reasonable discretion that such event reasonably could be expected to result in liability of any Borrower or any Subsidiary to the PBGC or such Plan in an aggregate amount exceeding $50,000,000 and such event in the circumstances occurring reasonably could constitute grounds for the partial or complete termination of such Plan by the PBGC or for the appointment by the appropriate United States District Court of a trustee to administer such Plan; or a trustee shall have been appointed by the appropriate United States District Court to administer such Plan; or the PBGC shall have instituted proceedings to terminate such Plan or (ii) any event, condition or circumstances, including any failure by any Loan Party or any Subsidiary to perform its obligations under a Canadian Pension Plan in respect of all Canadian Pension Plans and the Banks shall have determined in their reasonable discretion that such event reasonably could be expected to result in liability of any Borrower or any Subsidiary in an aggregate amount exceeding $50,000,000;</w:t>
      </w:r>
    </w:p>
    <w:p>
      <w:pPr>
        <w:spacing w:after="0" w:line="181" w:lineRule="exact"/>
        <w:rPr>
          <w:rFonts w:ascii="Arial" w:cs="Arial" w:eastAsia="Arial" w:hAnsi="Arial"/>
          <w:sz w:val="17"/>
          <w:szCs w:val="17"/>
          <w:color w:val="auto"/>
        </w:rPr>
      </w:pPr>
    </w:p>
    <w:p>
      <w:pPr>
        <w:ind w:left="700" w:right="20" w:firstLine="655"/>
        <w:spacing w:after="0" w:line="255" w:lineRule="auto"/>
        <w:tabs>
          <w:tab w:leader="none" w:pos="2004"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any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w:t>
      </w:r>
    </w:p>
    <w:p>
      <w:pPr>
        <w:spacing w:after="0" w:line="193" w:lineRule="exact"/>
        <w:rPr>
          <w:rFonts w:ascii="Arial" w:cs="Arial" w:eastAsia="Arial" w:hAnsi="Arial"/>
          <w:sz w:val="18"/>
          <w:szCs w:val="18"/>
          <w:color w:val="auto"/>
        </w:rPr>
      </w:pPr>
    </w:p>
    <w:p>
      <w:pPr>
        <w:ind w:left="700" w:right="220" w:firstLine="655"/>
        <w:spacing w:after="0" w:line="272" w:lineRule="auto"/>
        <w:tabs>
          <w:tab w:leader="none" w:pos="2018"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30% or more of the outstanding shares of common voting stock of the Company; or during any period of twelve consecutive calendar months, individuals who were directors of any Borrower on the first day of such period (together with any new directors whose election by such board or whose nomination for election by the shareholders of such Borrower was approved by a vote of a majority of the directors still in office who were either directors at the beginning of such period or whose election or nomination for election was previously so approved) shall cease to constitute a majority of the board of directors of such Borrower; or</w:t>
      </w:r>
    </w:p>
    <w:p>
      <w:pPr>
        <w:spacing w:after="0" w:line="177" w:lineRule="exact"/>
        <w:rPr>
          <w:rFonts w:ascii="Arial" w:cs="Arial" w:eastAsia="Arial" w:hAnsi="Arial"/>
          <w:sz w:val="17"/>
          <w:szCs w:val="17"/>
          <w:color w:val="auto"/>
        </w:rPr>
      </w:pPr>
    </w:p>
    <w:p>
      <w:pPr>
        <w:ind w:left="2000" w:hanging="645"/>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either of the Canadian Borrowers ceases to be directly or indirectly wholly-owned Subsidiaries of the Company;</w:t>
      </w:r>
    </w:p>
    <w:p>
      <w:pPr>
        <w:spacing w:after="0" w:line="225"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then, and in any such event, so long as the same may be continuing, the Administrative Agent may, and upon the request of the Majority Banks shall, by notice in writing to the Company, declare all amounts owing with respect to this Agreement and the other Loan Documents and all Reimbursement Obligations to be, and they shall thereupon forthwith become, immediately due and payable without presentment,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demand, protest, notice of intent to accelerate, notice of acceleration to the extent permitted by law or other notice of any kind, all of which are hereby expressly waived by each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any Event of Default specified in </w:t>
      </w:r>
      <w:r>
        <w:rPr>
          <w:rFonts w:ascii="Arial" w:cs="Arial" w:eastAsia="Arial" w:hAnsi="Arial"/>
          <w:sz w:val="18"/>
          <w:szCs w:val="18"/>
          <w:u w:val="single" w:color="auto"/>
          <w:color w:val="auto"/>
        </w:rPr>
        <w:t>§12.1(g)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12.1(h)</w:t>
      </w:r>
      <w:r>
        <w:rPr>
          <w:rFonts w:ascii="Arial" w:cs="Arial" w:eastAsia="Arial" w:hAnsi="Arial"/>
          <w:sz w:val="18"/>
          <w:szCs w:val="18"/>
          <w:color w:val="auto"/>
        </w:rPr>
        <w:t xml:space="preserve"> with respect to any Borrower or the Guarantor, all such amounts shall become immediately due and payable automatically and without any requirement of notice from the Administrative Agent or any Bank. Upon demand by the Majority Banks after the occurrence of any Event of Default (or, in the event of any Event of Default specified in </w:t>
      </w:r>
      <w:r>
        <w:rPr>
          <w:rFonts w:ascii="Arial" w:cs="Arial" w:eastAsia="Arial" w:hAnsi="Arial"/>
          <w:sz w:val="18"/>
          <w:szCs w:val="18"/>
          <w:u w:val="single" w:color="auto"/>
          <w:color w:val="auto"/>
        </w:rPr>
        <w:t>§12.1(g)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12.1(h)</w:t>
      </w:r>
      <w:r>
        <w:rPr>
          <w:rFonts w:ascii="Arial" w:cs="Arial" w:eastAsia="Arial" w:hAnsi="Arial"/>
          <w:sz w:val="18"/>
          <w:szCs w:val="18"/>
          <w:color w:val="auto"/>
        </w:rPr>
        <w:t xml:space="preserve"> with respect to any Borrower or the Guarantor, automatically without demand), the Borrowers shall immediately provide to the Administrative Agent cash in an amount equal to the aggregate Maximum Drawing Amount to be held by the Administrative Agent as collateral security for the Reimbursement Obligations.</w:t>
      </w:r>
    </w:p>
    <w:p>
      <w:pPr>
        <w:spacing w:after="0" w:line="185" w:lineRule="exact"/>
        <w:rPr>
          <w:sz w:val="20"/>
          <w:szCs w:val="20"/>
          <w:color w:val="auto"/>
        </w:rPr>
      </w:pPr>
    </w:p>
    <w:p>
      <w:pPr>
        <w:ind w:right="140" w:firstLine="1297"/>
        <w:spacing w:after="0" w:line="292" w:lineRule="auto"/>
        <w:rPr>
          <w:sz w:val="20"/>
          <w:szCs w:val="20"/>
          <w:color w:val="auto"/>
        </w:rPr>
      </w:pPr>
      <w:r>
        <w:rPr>
          <w:rFonts w:ascii="Arial" w:cs="Arial" w:eastAsia="Arial" w:hAnsi="Arial"/>
          <w:sz w:val="16"/>
          <w:szCs w:val="16"/>
          <w:b w:val="1"/>
          <w:bCs w:val="1"/>
          <w:color w:val="auto"/>
        </w:rPr>
        <w:t>§12.2. Termination of Commitments</w:t>
      </w:r>
      <w:r>
        <w:rPr>
          <w:rFonts w:ascii="Arial" w:cs="Arial" w:eastAsia="Arial" w:hAnsi="Arial"/>
          <w:sz w:val="16"/>
          <w:szCs w:val="16"/>
          <w:color w:val="auto"/>
        </w:rPr>
        <w:t>. If any Event of Default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 12.1(g)</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12.1(h)</w:t>
      </w:r>
      <w:r>
        <w:rPr>
          <w:rFonts w:ascii="Arial" w:cs="Arial" w:eastAsia="Arial" w:hAnsi="Arial"/>
          <w:sz w:val="16"/>
          <w:szCs w:val="16"/>
          <w:b w:val="1"/>
          <w:bCs w:val="1"/>
          <w:color w:val="auto"/>
        </w:rPr>
        <w:t xml:space="preserve"> </w:t>
      </w:r>
      <w:r>
        <w:rPr>
          <w:rFonts w:ascii="Arial" w:cs="Arial" w:eastAsia="Arial" w:hAnsi="Arial"/>
          <w:sz w:val="16"/>
          <w:szCs w:val="16"/>
          <w:color w:val="auto"/>
        </w:rPr>
        <w:t>hereof shall occur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or the Guarantor,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Company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any Borrower of any of its existing Obligations to the Banks, the Issuing Banks or the Administrative Agent hereunder or elsewhere.</w:t>
      </w:r>
    </w:p>
    <w:p>
      <w:pPr>
        <w:spacing w:after="0" w:line="162"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b w:val="1"/>
          <w:bCs w:val="1"/>
          <w:color w:val="auto"/>
        </w:rPr>
        <w:t>§12.3. Remedies</w:t>
      </w:r>
      <w:r>
        <w:rPr>
          <w:rFonts w:ascii="Arial" w:cs="Arial" w:eastAsia="Arial" w:hAnsi="Arial"/>
          <w:sz w:val="17"/>
          <w:szCs w:val="17"/>
          <w:color w:val="auto"/>
        </w:rPr>
        <w:t>. In case any one or more of the Events of Default shall have occurred and be continuing, and whether or not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Banks shall have accelerated the maturity of the Loans and other Obligations pursuant to </w:t>
      </w:r>
      <w:r>
        <w:rPr>
          <w:rFonts w:ascii="Arial" w:cs="Arial" w:eastAsia="Arial" w:hAnsi="Arial"/>
          <w:sz w:val="17"/>
          <w:szCs w:val="17"/>
          <w:u w:val="single" w:color="auto"/>
          <w:color w:val="auto"/>
        </w:rPr>
        <w:t>§12.1</w:t>
      </w:r>
      <w:r>
        <w:rPr>
          <w:rFonts w:ascii="Arial" w:cs="Arial" w:eastAsia="Arial" w:hAnsi="Arial"/>
          <w:sz w:val="17"/>
          <w:szCs w:val="17"/>
          <w:color w:val="auto"/>
        </w:rPr>
        <w:t xml:space="preserve">, the Administrative Agent shall, at the request of, or may, with the consent of, the Majority Banks, proceed to protect and enforce the respective rights of the Administrative Agent and the Banks by suit in equity, action at law or other appropriate proceeding, whether for the specific performance of any covenant or agreement contained in this Agreement and the other Loan Documents or any instrument pursuant to which the Obligations to the Administrative Agent or the Banks are evidenced, including, without limitation, as permitted by applicable law the obtaining of the </w:t>
      </w:r>
      <w:r>
        <w:rPr>
          <w:rFonts w:ascii="Arial" w:cs="Arial" w:eastAsia="Arial" w:hAnsi="Arial"/>
          <w:sz w:val="17"/>
          <w:szCs w:val="17"/>
          <w:u w:val="single" w:color="auto"/>
          <w:color w:val="auto"/>
        </w:rPr>
        <w:t>ex parte</w:t>
      </w:r>
      <w:r>
        <w:rPr>
          <w:rFonts w:ascii="Arial" w:cs="Arial" w:eastAsia="Arial" w:hAnsi="Arial"/>
          <w:sz w:val="17"/>
          <w:szCs w:val="17"/>
          <w:color w:val="auto"/>
        </w:rPr>
        <w:t xml:space="preserve"> appointment of a receiver, and, if such amount shall have become due, by declaration or otherwise, proceed to enforce the payment thereof or any legal or equitable right available to the Administrative Agent and the Banks, any recovery being subject to the terms of </w:t>
      </w:r>
      <w:r>
        <w:rPr>
          <w:rFonts w:ascii="Arial" w:cs="Arial" w:eastAsia="Arial" w:hAnsi="Arial"/>
          <w:sz w:val="17"/>
          <w:szCs w:val="17"/>
          <w:u w:val="single" w:color="auto"/>
          <w:color w:val="auto"/>
        </w:rPr>
        <w:t>§12.4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§29</w:t>
      </w:r>
      <w:r>
        <w:rPr>
          <w:rFonts w:ascii="Arial" w:cs="Arial" w:eastAsia="Arial" w:hAnsi="Arial"/>
          <w:sz w:val="17"/>
          <w:szCs w:val="17"/>
          <w:color w:val="auto"/>
        </w:rPr>
        <w:t xml:space="preserve">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ectPr>
          <w:pgSz w:w="11900" w:h="16838" w:orient="portrait"/>
          <w:cols w:equalWidth="0" w:num="1">
            <w:col w:w="11420"/>
          </w:cols>
          <w:pgMar w:left="240" w:top="125" w:right="239" w:bottom="0" w:gutter="0" w:footer="0" w:header="0"/>
        </w:sectPr>
      </w:pPr>
    </w:p>
    <w:bookmarkStart w:id="49" w:name="page50"/>
    <w:bookmarkEnd w:id="49"/>
    <w:p>
      <w:pPr>
        <w:spacing w:after="0" w:line="98" w:lineRule="exact"/>
        <w:rPr>
          <w:sz w:val="20"/>
          <w:szCs w:val="20"/>
          <w:color w:val="auto"/>
        </w:rPr>
      </w:pPr>
    </w:p>
    <w:p>
      <w:pPr>
        <w:ind w:right="80" w:firstLine="1297"/>
        <w:spacing w:after="0" w:line="261" w:lineRule="auto"/>
        <w:rPr>
          <w:sz w:val="20"/>
          <w:szCs w:val="20"/>
          <w:color w:val="auto"/>
        </w:rPr>
      </w:pPr>
      <w:r>
        <w:rPr>
          <w:rFonts w:ascii="Arial" w:cs="Arial" w:eastAsia="Arial" w:hAnsi="Arial"/>
          <w:sz w:val="18"/>
          <w:szCs w:val="18"/>
          <w:b w:val="1"/>
          <w:bCs w:val="1"/>
          <w:color w:val="auto"/>
        </w:rPr>
        <w:t xml:space="preserve">§12.4. Application of Receipts. </w:t>
      </w:r>
      <w:r>
        <w:rPr>
          <w:rFonts w:ascii="Arial" w:cs="Arial" w:eastAsia="Arial" w:hAnsi="Arial"/>
          <w:sz w:val="18"/>
          <w:szCs w:val="18"/>
          <w:color w:val="auto"/>
        </w:rPr>
        <w:t>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§12.3</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the Loans have automatically become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due and payable and the Reimbursement Obligations have automatically been required to be Cash Collateralized as set forth in the proviso to </w:t>
      </w:r>
      <w:r>
        <w:rPr>
          <w:rFonts w:ascii="Arial" w:cs="Arial" w:eastAsia="Arial" w:hAnsi="Arial"/>
          <w:sz w:val="18"/>
          <w:szCs w:val="18"/>
          <w:u w:val="single" w:color="auto"/>
          <w:color w:val="auto"/>
        </w:rPr>
        <w:t>§12.1</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§2.17</w:t>
      </w:r>
      <w:r>
        <w:rPr>
          <w:rFonts w:ascii="Arial" w:cs="Arial" w:eastAsia="Arial" w:hAnsi="Arial"/>
          <w:sz w:val="18"/>
          <w:szCs w:val="18"/>
          <w:color w:val="auto"/>
        </w:rPr>
        <w:t>, be applied by the Administrative Agent in the following order:</w:t>
      </w:r>
    </w:p>
    <w:p>
      <w:pPr>
        <w:spacing w:after="0" w:line="184" w:lineRule="exact"/>
        <w:rPr>
          <w:sz w:val="20"/>
          <w:szCs w:val="20"/>
          <w:color w:val="auto"/>
        </w:rPr>
      </w:pPr>
    </w:p>
    <w:p>
      <w:pPr>
        <w:ind w:right="440" w:firstLine="972"/>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§3</w:t>
      </w:r>
      <w:r>
        <w:rPr>
          <w:rFonts w:ascii="Arial" w:cs="Arial" w:eastAsia="Arial" w:hAnsi="Arial"/>
          <w:sz w:val="16"/>
          <w:szCs w:val="16"/>
          <w:color w:val="auto"/>
        </w:rPr>
        <w:t>) payable to the Administrative Agent in its capacity as such;</w:t>
      </w:r>
    </w:p>
    <w:p>
      <w:pPr>
        <w:spacing w:after="0" w:line="124" w:lineRule="exact"/>
        <w:rPr>
          <w:sz w:val="20"/>
          <w:szCs w:val="20"/>
          <w:color w:val="auto"/>
        </w:rPr>
      </w:pPr>
    </w:p>
    <w:p>
      <w:pPr>
        <w:ind w:right="120" w:firstLine="972"/>
        <w:spacing w:after="0" w:line="264"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payment of that portion of the Obligations constituting fees, indemnities and other amounts (other than principal, interest and Letter of Credit Fees) payable to the Banks and the Issuing Banks (including fees, charges and disbursements of counsel to the respective Banks and the Issuing Banks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amounts payable under </w:t>
      </w:r>
      <w:r>
        <w:rPr>
          <w:rFonts w:ascii="Arial" w:cs="Arial" w:eastAsia="Arial" w:hAnsi="Arial"/>
          <w:sz w:val="17"/>
          <w:szCs w:val="17"/>
          <w:u w:val="single" w:color="auto"/>
          <w:color w:val="auto"/>
        </w:rPr>
        <w:t>§3</w:t>
      </w:r>
      <w:r>
        <w:rPr>
          <w:rFonts w:ascii="Arial" w:cs="Arial" w:eastAsia="Arial" w:hAnsi="Arial"/>
          <w:sz w:val="18"/>
          <w:szCs w:val="18"/>
          <w:color w:val="auto"/>
        </w:rPr>
        <w:t xml:space="preserve">), ratably among them in proportion to the respective amounts described in this </w:t>
      </w:r>
      <w:r>
        <w:rPr>
          <w:rFonts w:ascii="Arial" w:cs="Arial" w:eastAsia="Arial" w:hAnsi="Arial"/>
          <w:sz w:val="18"/>
          <w:szCs w:val="18"/>
          <w:u w:val="single" w:color="auto"/>
          <w:color w:val="auto"/>
        </w:rPr>
        <w:t>clause Second</w:t>
      </w:r>
      <w:r>
        <w:rPr>
          <w:rFonts w:ascii="Arial" w:cs="Arial" w:eastAsia="Arial" w:hAnsi="Arial"/>
          <w:sz w:val="18"/>
          <w:szCs w:val="18"/>
          <w:color w:val="auto"/>
        </w:rPr>
        <w:t xml:space="preserve"> payable to them;</w:t>
      </w:r>
    </w:p>
    <w:p>
      <w:pPr>
        <w:spacing w:after="0" w:line="225" w:lineRule="exact"/>
        <w:rPr>
          <w:sz w:val="20"/>
          <w:szCs w:val="20"/>
          <w:color w:val="auto"/>
        </w:rPr>
      </w:pPr>
    </w:p>
    <w:p>
      <w:pPr>
        <w:ind w:right="380" w:firstLine="972"/>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ratably among the Banks and the Issuing Banks in proportion to the respective amounts described in this </w:t>
      </w:r>
      <w:r>
        <w:rPr>
          <w:rFonts w:ascii="Arial" w:cs="Arial" w:eastAsia="Arial" w:hAnsi="Arial"/>
          <w:sz w:val="18"/>
          <w:szCs w:val="18"/>
          <w:u w:val="single" w:color="auto"/>
          <w:color w:val="auto"/>
        </w:rPr>
        <w:t>clause Third</w:t>
      </w:r>
      <w:r>
        <w:rPr>
          <w:rFonts w:ascii="Arial" w:cs="Arial" w:eastAsia="Arial" w:hAnsi="Arial"/>
          <w:sz w:val="18"/>
          <w:szCs w:val="18"/>
          <w:color w:val="auto"/>
        </w:rPr>
        <w:t xml:space="preserve"> payable to them;</w:t>
      </w:r>
    </w:p>
    <w:p>
      <w:pPr>
        <w:spacing w:after="0" w:line="181" w:lineRule="exact"/>
        <w:rPr>
          <w:sz w:val="20"/>
          <w:szCs w:val="20"/>
          <w:color w:val="auto"/>
        </w:rPr>
      </w:pPr>
    </w:p>
    <w:p>
      <w:pPr>
        <w:ind w:right="160" w:firstLine="972"/>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and L/C Borrowings, ratably among the Banks and Issuing Banks in proportion to the respective amounts described in this </w:t>
      </w:r>
      <w:r>
        <w:rPr>
          <w:rFonts w:ascii="Arial" w:cs="Arial" w:eastAsia="Arial" w:hAnsi="Arial"/>
          <w:sz w:val="18"/>
          <w:szCs w:val="18"/>
          <w:u w:val="single" w:color="auto"/>
          <w:color w:val="auto"/>
        </w:rPr>
        <w:t>clause Fourth</w:t>
      </w:r>
      <w:r>
        <w:rPr>
          <w:rFonts w:ascii="Arial" w:cs="Arial" w:eastAsia="Arial" w:hAnsi="Arial"/>
          <w:sz w:val="18"/>
          <w:szCs w:val="18"/>
          <w:color w:val="auto"/>
        </w:rPr>
        <w:t xml:space="preserve"> held by them;</w:t>
      </w:r>
    </w:p>
    <w:p>
      <w:pPr>
        <w:spacing w:after="0" w:line="170" w:lineRule="exact"/>
        <w:rPr>
          <w:sz w:val="20"/>
          <w:szCs w:val="20"/>
          <w:color w:val="auto"/>
        </w:rPr>
      </w:pPr>
    </w:p>
    <w:p>
      <w:pPr>
        <w:ind w:right="180" w:firstLine="972"/>
        <w:spacing w:after="0" w:line="342" w:lineRule="auto"/>
        <w:rPr>
          <w:sz w:val="20"/>
          <w:szCs w:val="20"/>
          <w:color w:val="auto"/>
        </w:rPr>
      </w:pP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Administrative Agent for the account of the Issuing Banks, to Cash Collateralize that portion of L/C Obligations comprised of the aggregate undrawn amount of Letters of Credit to the extent not otherwise Cash Collateralized by the Borrowers pursuant to </w:t>
      </w:r>
      <w:r>
        <w:rPr>
          <w:rFonts w:ascii="Arial" w:cs="Arial" w:eastAsia="Arial" w:hAnsi="Arial"/>
          <w:sz w:val="16"/>
          <w:szCs w:val="16"/>
          <w:u w:val="single" w:color="auto"/>
          <w:color w:val="auto"/>
        </w:rPr>
        <w:t>§2.6.2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and</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Obligations have been indefeasibly paid in full, to the Borrowers or as otherwise required by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5"/>
          <w:szCs w:val="15"/>
          <w:u w:val="single" w:color="auto"/>
          <w:color w:val="auto"/>
        </w:rPr>
        <w:t>§2.6.2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amounts used to Cash Collateralize the aggregate undrawn amount of Letters of Credit pursuant to </w:t>
      </w:r>
      <w:r>
        <w:rPr>
          <w:rFonts w:ascii="Arial" w:cs="Arial" w:eastAsia="Arial" w:hAnsi="Arial"/>
          <w:sz w:val="16"/>
          <w:szCs w:val="16"/>
          <w:u w:val="single" w:color="auto"/>
          <w:color w:val="auto"/>
        </w:rPr>
        <w:t>clause Fifth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4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u w:val="single" w:color="auto"/>
          <w:color w:val="auto"/>
        </w:rPr>
        <w:t>SETOFF</w:t>
      </w:r>
      <w:r>
        <w:rPr>
          <w:rFonts w:ascii="Arial" w:cs="Arial" w:eastAsia="Arial" w:hAnsi="Arial"/>
          <w:sz w:val="16"/>
          <w:szCs w:val="16"/>
          <w:color w:val="auto"/>
        </w:rPr>
        <w:t>. During the continuance of an Event of Default, any deposits or other sums credited by or due from any Bank to any Borrower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securities or other property of such Borrower in the possession of such Bank may be applied to or set off against the payment of the Obligations and any and all other liabilities, direct, or indirect, absolute or contingent, due or to become due, now existing or hereafter arising, of such Borrower to the Banks or the Administrative Agent. Any amounts set off with respect to the Obligations shall, except to the extent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applies, be distributed ratably in accordance with </w:t>
      </w:r>
      <w:r>
        <w:rPr>
          <w:rFonts w:ascii="Arial" w:cs="Arial" w:eastAsia="Arial" w:hAnsi="Arial"/>
          <w:sz w:val="16"/>
          <w:szCs w:val="16"/>
          <w:u w:val="single" w:color="auto"/>
          <w:color w:val="auto"/>
        </w:rPr>
        <w:t>§29</w:t>
      </w:r>
      <w:r>
        <w:rPr>
          <w:rFonts w:ascii="Arial" w:cs="Arial" w:eastAsia="Arial" w:hAnsi="Arial"/>
          <w:sz w:val="16"/>
          <w:szCs w:val="16"/>
          <w:color w:val="auto"/>
        </w:rPr>
        <w:t xml:space="preserve"> among all of the Banks by the Bank setting off such amounts. If any Bank fails to share such setoff ratably, the Administrative Agent shall have the right to withhold such Bank’s share of the applicable Borrower’s payments until each of the Banks shall have, in the aggregate, received a pro rata repayment.</w:t>
      </w:r>
    </w:p>
    <w:p>
      <w:pPr>
        <w:spacing w:after="0" w:line="156"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Whether or not the transactions contemplated herein shall be consummated, each Borrower hereby promises to reimburse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and the Lead Arrangers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Each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such Borrower hereunder or under any other Loan Document, or in connection with any litigation, proceeding or dispute hereunder in any way related to the credit hereunder.</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u w:val="single" w:color="auto"/>
          <w:color w:val="auto"/>
        </w:rPr>
        <w:t>THE AGENTS</w:t>
      </w:r>
      <w:r>
        <w:rPr>
          <w:rFonts w:ascii="Arial" w:cs="Arial" w:eastAsia="Arial" w:hAnsi="Arial"/>
          <w:sz w:val="18"/>
          <w:szCs w:val="18"/>
          <w:color w:val="auto"/>
        </w:rPr>
        <w:t>.</w:t>
      </w:r>
    </w:p>
    <w:p>
      <w:pPr>
        <w:spacing w:after="0" w:line="225" w:lineRule="exact"/>
        <w:rPr>
          <w:sz w:val="20"/>
          <w:szCs w:val="20"/>
          <w:color w:val="auto"/>
        </w:rPr>
      </w:pPr>
    </w:p>
    <w:p>
      <w:pPr>
        <w:jc w:val="both"/>
        <w:ind w:right="160" w:firstLine="1297"/>
        <w:spacing w:after="0" w:line="266" w:lineRule="auto"/>
        <w:rPr>
          <w:sz w:val="20"/>
          <w:szCs w:val="20"/>
          <w:color w:val="auto"/>
        </w:rPr>
      </w:pPr>
      <w:r>
        <w:rPr>
          <w:rFonts w:ascii="Arial" w:cs="Arial" w:eastAsia="Arial" w:hAnsi="Arial"/>
          <w:sz w:val="18"/>
          <w:szCs w:val="18"/>
          <w:b w:val="1"/>
          <w:bCs w:val="1"/>
          <w:color w:val="auto"/>
        </w:rPr>
        <w:t>§15.1. Authorization and Action</w:t>
      </w:r>
      <w:r>
        <w:rPr>
          <w:rFonts w:ascii="Arial" w:cs="Arial" w:eastAsia="Arial" w:hAnsi="Arial"/>
          <w:sz w:val="18"/>
          <w:szCs w:val="18"/>
          <w:color w:val="auto"/>
        </w:rPr>
        <w:t>. Each Bank hereby irrevocably appoints Bank of America as Administrative Agent hereunder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authorizes Bank of America to take such action as Administrative Agent on its behalf and to exercise such powers under this Agreement as are delegated to the Administrative Agent by the terms hereof and thereof, together with such powers as are reasonably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incidental thereto. As to any matters not expressly provided for by this Agreement and the other Loan Documents, the Administrative Agent shall not be required to exercise any discretion or take any action, but shall be required to act or to refrain from acting (and shall be fully protected in so acting or refraining from acting) upon the instructions of the Majority Banks (or, when expressly required hereby, all of the Banks), and such instructions shall be binding upon all Banks;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Administrative Agent shall not be required to take any action which exposes the Administrative Agent to personal liability or which is contrary to this Agreement or the other Loan Documents or applicable law.</w:t>
      </w:r>
    </w:p>
    <w:p>
      <w:pPr>
        <w:spacing w:after="0" w:line="169"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b w:val="1"/>
          <w:bCs w:val="1"/>
          <w:color w:val="auto"/>
        </w:rPr>
        <w:t>§15.2. Administrative Agent’s Reliance, Etc</w:t>
      </w:r>
      <w:r>
        <w:rPr>
          <w:rFonts w:ascii="Arial" w:cs="Arial" w:eastAsia="Arial" w:hAnsi="Arial"/>
          <w:sz w:val="16"/>
          <w:szCs w:val="16"/>
          <w:color w:val="auto"/>
        </w:rPr>
        <w:t>. Neither the Administrative Agent nor any of its directors, officers, agents or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liable to any of the Banks for any action taken or omitted to be taken by it or them under or in connection with this Agreement or the other Loan Documents, except for its or their own gross negligence or willful misconduct. Without limitation of the generality of the foregoing, the Administrative Agent: (i) may consult with legal counsel (including counsel for the Borrowers), independent public accountants and other experts selected by it and shall not be liable to the Banks for any action taken or omitted to be taken in good faith by it in accordance with the advice of such counsel, accountants or experts;</w:t>
      </w:r>
    </w:p>
    <w:p>
      <w:pPr>
        <w:spacing w:after="0" w:line="2" w:lineRule="exact"/>
        <w:rPr>
          <w:sz w:val="20"/>
          <w:szCs w:val="20"/>
          <w:color w:val="auto"/>
        </w:rPr>
      </w:pPr>
    </w:p>
    <w:p>
      <w:pPr>
        <w:ind w:right="100" w:firstLine="8"/>
        <w:spacing w:after="0" w:line="292" w:lineRule="auto"/>
        <w:tabs>
          <w:tab w:leader="none" w:pos="265" w:val="left"/>
        </w:tabs>
        <w:numPr>
          <w:ilvl w:val="0"/>
          <w:numId w:val="82"/>
        </w:numPr>
        <w:rPr>
          <w:rFonts w:ascii="Arial" w:cs="Arial" w:eastAsia="Arial" w:hAnsi="Arial"/>
          <w:sz w:val="16"/>
          <w:szCs w:val="16"/>
          <w:color w:val="auto"/>
        </w:rPr>
      </w:pPr>
      <w:r>
        <w:rPr>
          <w:rFonts w:ascii="Arial" w:cs="Arial" w:eastAsia="Arial" w:hAnsi="Arial"/>
          <w:sz w:val="16"/>
          <w:szCs w:val="16"/>
          <w:color w:val="auto"/>
        </w:rPr>
        <w:t>shall not be subject to any fiduciary or other implied duties, regardless of whether a Default has occurred and is continuing; (iii) shall not, except as expressly set forth herein and in the other Loan Documents, have any duty to disclose, and shall not be liable for the failure to disclose, any information relating to any Borrower or any of its affiliates that is communicated to or obtained by the Person serving as the Administrative Agent or any of its affiliates in any capacity; (iv) makes no warranty or representation to any Bank and shall not be responsible to any Bank for any statements, warranties or representations (whether written or oral) made in or in connection with this Agreement or the other Loan Documents; (v) shall not have any duty to ascertain</w:t>
      </w:r>
    </w:p>
    <w:p>
      <w:pPr>
        <w:sectPr>
          <w:pgSz w:w="11900" w:h="16936" w:orient="portrait"/>
          <w:cols w:equalWidth="0" w:num="1">
            <w:col w:w="11400"/>
          </w:cols>
          <w:pgMar w:left="240" w:top="121" w:right="259" w:bottom="0" w:gutter="0" w:footer="0" w:header="0"/>
        </w:sectPr>
      </w:pPr>
    </w:p>
    <w:bookmarkStart w:id="50" w:name="page51"/>
    <w:bookmarkEnd w:id="50"/>
    <w:p>
      <w:pPr>
        <w:ind w:right="60"/>
        <w:spacing w:after="0" w:line="286" w:lineRule="auto"/>
        <w:rPr>
          <w:sz w:val="20"/>
          <w:szCs w:val="20"/>
          <w:color w:val="auto"/>
        </w:rPr>
      </w:pPr>
      <w:r>
        <w:rPr>
          <w:rFonts w:ascii="Arial" w:cs="Arial" w:eastAsia="Arial" w:hAnsi="Arial"/>
          <w:sz w:val="16"/>
          <w:szCs w:val="16"/>
          <w:color w:val="auto"/>
        </w:rPr>
        <w:t xml:space="preserve">or to inquire as to the performance or observance of any of the terms, covenants or conditions of this Agreement or the other Loan Documents on the part of the Borrowers or the Guarantor (or as to the contents of any certificate, report or other document delivered hereunder or thereunder) or to inspect the property (including the books and records) of any Borrower or the Guarantor or any of their Subsidiaries, and shall not be deemed to have knowledge or notice of any Default or Event of Default unless and until it shall have received, at its office specified in </w:t>
      </w:r>
      <w:r>
        <w:rPr>
          <w:rFonts w:ascii="Arial" w:cs="Arial" w:eastAsia="Arial" w:hAnsi="Arial"/>
          <w:sz w:val="16"/>
          <w:szCs w:val="16"/>
          <w:u w:val="single" w:color="auto"/>
          <w:color w:val="auto"/>
        </w:rPr>
        <w:t>§22</w:t>
      </w:r>
      <w:r>
        <w:rPr>
          <w:rFonts w:ascii="Arial" w:cs="Arial" w:eastAsia="Arial" w:hAnsi="Arial"/>
          <w:sz w:val="16"/>
          <w:szCs w:val="16"/>
          <w:color w:val="auto"/>
        </w:rPr>
        <w:t>, a notice describing the same and entitled “Notice of Default”;</w:t>
      </w:r>
    </w:p>
    <w:p>
      <w:pPr>
        <w:spacing w:after="0" w:line="2" w:lineRule="exact"/>
        <w:rPr>
          <w:sz w:val="20"/>
          <w:szCs w:val="20"/>
          <w:color w:val="auto"/>
        </w:rPr>
      </w:pPr>
    </w:p>
    <w:p>
      <w:pPr>
        <w:ind w:right="20" w:firstLine="8"/>
        <w:spacing w:after="0" w:line="269" w:lineRule="auto"/>
        <w:tabs>
          <w:tab w:leader="none" w:pos="305" w:val="left"/>
        </w:tabs>
        <w:numPr>
          <w:ilvl w:val="0"/>
          <w:numId w:val="83"/>
        </w:numPr>
        <w:rPr>
          <w:rFonts w:ascii="Arial" w:cs="Arial" w:eastAsia="Arial" w:hAnsi="Arial"/>
          <w:sz w:val="17"/>
          <w:szCs w:val="17"/>
          <w:color w:val="auto"/>
        </w:rPr>
      </w:pPr>
      <w:r>
        <w:rPr>
          <w:rFonts w:ascii="Arial" w:cs="Arial" w:eastAsia="Arial" w:hAnsi="Arial"/>
          <w:sz w:val="17"/>
          <w:szCs w:val="17"/>
          <w:color w:val="auto"/>
        </w:rPr>
        <w:t>shall not be responsible to any Bank for the due execution (other than its own), legality, validity, enforceability, genuineness, sufficiency or value of this Agreement or any related agreement, instrument or document furnished pursuant hereto; and (vii) shall incur no liability to the Banks under or in respect of this Agreement by acting upon any notice, consent, certificate or other instrument or writing (which may be by telecopier, telegram, cable or telex) reasonably believed by it to be genuine and signed or sent by the proper party or parties. In determining compliance with any condition hereunder to the making of a Loan, or the issuance of a Letter of Credit, that by its terms must be fulfilled to the satisfaction of a Bank or an Issuing Bank, the Administrative Agent may presume that such condition is satisfactory to such Bank or Issuing Bank unless the Administrative Agent shall have received notice to the contrary from such Bank or Issuing Bank prior to the making of such Loan or the issuance of such Letter of Credit.</w:t>
      </w:r>
    </w:p>
    <w:p>
      <w:pPr>
        <w:spacing w:after="0" w:line="177"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b w:val="1"/>
          <w:bCs w:val="1"/>
          <w:color w:val="auto"/>
        </w:rPr>
        <w:t>§15.3. Bank of America and Affiliates</w:t>
      </w:r>
      <w:r>
        <w:rPr>
          <w:rFonts w:ascii="Arial" w:cs="Arial" w:eastAsia="Arial" w:hAnsi="Arial"/>
          <w:sz w:val="17"/>
          <w:szCs w:val="17"/>
          <w:color w:val="auto"/>
        </w:rPr>
        <w:t>. With respect to its Commitment, Bank of America shall have the same rights and powers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and under the other Loan Documents as any other Bank and may exercise the same as though it were not the Administrative Agent, and the term “Bank” or “Banks” shall, unless otherwise expressly indicated, include Bank of America in its individual capacity. Bank of America and its Bank Affiliates may accept deposits from, lend money to, act as trustee under indentures of, and generally engage in any kind of business with, any Borrower, the Guarantor, any of their Subsidiaries and any Person who may do business with or own securities of any Borrower, the Guarantor, or any such Subsidiary, all as if Bank of America were not the Administrative Agent and without any duty to account therefor to the Banks. The Administrative Agent may perform any and all of its duties and exercise its rights and powers hereunder or under any other Loan Document by or through any one or more sub-agents appointed by the Administrative Agent. To the extent any such rights or powers are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delegated to a sub-agent, the Administrative Agent shall remain responsible for such sub-agent’s performance or exercise of such duties, rights and powers;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exculpatory provisions of this Agreement (including the provisions in </w:t>
      </w:r>
      <w:r>
        <w:rPr>
          <w:rFonts w:ascii="Arial" w:cs="Arial" w:eastAsia="Arial" w:hAnsi="Arial"/>
          <w:sz w:val="17"/>
          <w:szCs w:val="17"/>
          <w:u w:val="single" w:color="auto"/>
          <w:color w:val="auto"/>
        </w:rPr>
        <w:t>§15</w:t>
      </w:r>
      <w:r>
        <w:rPr>
          <w:rFonts w:ascii="Arial" w:cs="Arial" w:eastAsia="Arial" w:hAnsi="Arial"/>
          <w:sz w:val="17"/>
          <w:szCs w:val="17"/>
          <w:color w:val="auto"/>
        </w:rPr>
        <w:t>) shall apply to any such sub-agent.</w:t>
      </w:r>
    </w:p>
    <w:p>
      <w:pPr>
        <w:spacing w:after="0" w:line="143" w:lineRule="exact"/>
        <w:rPr>
          <w:sz w:val="20"/>
          <w:szCs w:val="20"/>
          <w:color w:val="auto"/>
        </w:rPr>
      </w:pPr>
    </w:p>
    <w:p>
      <w:pPr>
        <w:ind w:firstLine="1297"/>
        <w:spacing w:after="0" w:line="277" w:lineRule="auto"/>
        <w:rPr>
          <w:sz w:val="20"/>
          <w:szCs w:val="20"/>
          <w:color w:val="auto"/>
        </w:rPr>
      </w:pPr>
      <w:r>
        <w:rPr>
          <w:rFonts w:ascii="Arial" w:cs="Arial" w:eastAsia="Arial" w:hAnsi="Arial"/>
          <w:sz w:val="17"/>
          <w:szCs w:val="17"/>
          <w:b w:val="1"/>
          <w:bCs w:val="1"/>
          <w:color w:val="auto"/>
        </w:rPr>
        <w:t>§15.4. Bank Credit Decision</w:t>
      </w:r>
      <w:r>
        <w:rPr>
          <w:rFonts w:ascii="Arial" w:cs="Arial" w:eastAsia="Arial" w:hAnsi="Arial"/>
          <w:sz w:val="17"/>
          <w:szCs w:val="17"/>
          <w:color w:val="auto"/>
        </w:rPr>
        <w:t>. Each Bank acknowledges that it has, independently and without reliance upon the Administrative Agent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any other Bank and based on the financial statements referred to in </w:t>
      </w:r>
      <w:r>
        <w:rPr>
          <w:rFonts w:ascii="Arial" w:cs="Arial" w:eastAsia="Arial" w:hAnsi="Arial"/>
          <w:sz w:val="17"/>
          <w:szCs w:val="17"/>
          <w:u w:val="single" w:color="auto"/>
          <w:color w:val="auto"/>
        </w:rPr>
        <w:t>§6.4</w:t>
      </w:r>
      <w:r>
        <w:rPr>
          <w:rFonts w:ascii="Arial" w:cs="Arial" w:eastAsia="Arial" w:hAnsi="Arial"/>
          <w:sz w:val="17"/>
          <w:szCs w:val="17"/>
          <w:color w:val="auto"/>
        </w:rPr>
        <w:t xml:space="preserve"> and such other documents and information as it has deemed appropriate, made its own credit analysis and decision to enter into this Agreement and the other Loan Documents. Each Bank also acknowledges that it will, independently and without reliance upon the Administrative Agent or any other Bank and based on such documents and information as it shall deem appropriate at the time, continue to make its own credit decisions in taking or not taking action under this Agreement and the other Loan Documents.</w:t>
      </w:r>
    </w:p>
    <w:p>
      <w:pPr>
        <w:spacing w:after="0" w:line="168"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b w:val="1"/>
          <w:bCs w:val="1"/>
          <w:color w:val="auto"/>
        </w:rPr>
        <w:t>§15.5. Indemnification</w:t>
      </w:r>
      <w:r>
        <w:rPr>
          <w:rFonts w:ascii="Arial" w:cs="Arial" w:eastAsia="Arial" w:hAnsi="Arial"/>
          <w:sz w:val="16"/>
          <w:szCs w:val="16"/>
          <w:color w:val="auto"/>
        </w:rPr>
        <w:t>. The Banks agree to indemnify the Administrative Agent (to the extent not reimbursed by the 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ratably according to the respective amounts of their Commitments as most recently in effect at the time such indemnity is sought, from and against any and all liabilities, obligations, losses, damages, penalties, actions, judgments, suits and reasonable costs, expenses and disbursements of any kind or nature whatsoever which may be imposed on, incurred by, or asserted against the Administrative Agent in any way relating to or arising out of this Agreement or the other Loan Documents or any action taken or omitted by the Administrative Agent under this Agreement or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Bank shall be liable for any portion of such liabilities, obligations, losses, damages, penalties, actions, judgments, suits, costs, expenses or disbursements resulting from the Administrative Agent’s gross negligence or willful misconduct or from a material breach by the Administrative Agent of its obligations under this Agreement or under any other Loan Document, as determined by a court of competent jurisdiction. Without limiting the foregoing, each Bank agrees to reimburse the Administrative Agent promptly upon demand for its ratable share as aforesaid of any reasonable out of pocket expenses (including reasonable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and the other Loan Documents, to the extent that the Administrative Agent is not reimbursed for such expenses by the Borrowers.</w:t>
      </w:r>
    </w:p>
    <w:p>
      <w:pPr>
        <w:spacing w:after="0" w:line="169"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b w:val="1"/>
          <w:bCs w:val="1"/>
          <w:color w:val="auto"/>
        </w:rPr>
        <w:t>§15.6. Successor Administrative Agent</w:t>
      </w:r>
      <w:r>
        <w:rPr>
          <w:rFonts w:ascii="Arial" w:cs="Arial" w:eastAsia="Arial" w:hAnsi="Arial"/>
          <w:sz w:val="16"/>
          <w:szCs w:val="16"/>
          <w:color w:val="auto"/>
        </w:rPr>
        <w:t>. The Administrative Agent may resign at any time by giving written notice thereof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Banks and the Company and may be removed at any time with or without cause by the Majority Banks. Upon any such resignation or removal, the Majority Banks shall have the right to appoint a successor Administrative Agent that, unless a Default or Event of Default shall have occurred and then be continuing, is reasonably acceptable to the Borrowers. If no successor Administrative Agent shall have been so appointed by the Majority Banks, and shall have accepted such appointment, within 45 days after the retiring Administrative Agent’s giving of notice of resignation or the Majority Banks’ removal of the retiring Administrative Agent, then the retiring Administrative Agent may, on behalf of the Banks, appoint a successor Administrative Agent, which shall be a commercial bank, financial institution, trust company or similar entity regularly engaged in the business of administering syndicated loans and which successor Administrative Agent shall be organized under the laws of the United States of America or of any State thereof and have total assets of at least $1,000,000,000;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Company and the Banks that no such qualifying Person has accepted such appointment, then (x) such resignation shall nonetheless become effective in accordance with such notice and the retiring Administrative Agent shall be discharged from its duties and obligations hereunder and under the other Loan Documents, and (y) the Company may appoint a successor Administrative Agent to act until replaced by a successor Administrative Agent that is appointed by the Majority Banks (which successor Administrative Agent appointed by the Company shall be a commercial bank, financial institution, trust company or similar entity regularly engaged in the business 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administering syndicated loans that is organized under the laws of the United States of America or of any State thereof and have total assets of at least $1,000,000,000).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not already discharged therefrom as provided above in this Section). After any retiring Administrative Agent’s resignation or removal hereunder as Administrative Agent, the provisions of this </w:t>
      </w:r>
      <w:r>
        <w:rPr>
          <w:rFonts w:ascii="Arial" w:cs="Arial" w:eastAsia="Arial" w:hAnsi="Arial"/>
          <w:sz w:val="18"/>
          <w:szCs w:val="18"/>
          <w:u w:val="single" w:color="auto"/>
          <w:color w:val="auto"/>
        </w:rPr>
        <w:t>§15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§16</w:t>
      </w:r>
      <w:r>
        <w:rPr>
          <w:rFonts w:ascii="Arial" w:cs="Arial" w:eastAsia="Arial" w:hAnsi="Arial"/>
          <w:sz w:val="18"/>
          <w:szCs w:val="18"/>
          <w:color w:val="auto"/>
        </w:rPr>
        <w:t xml:space="preserve"> shall inure to its benefit as to any actions taken or omitted to be taken by it while it was Administrative Agent under this Agreement.</w:t>
      </w:r>
    </w:p>
    <w:p>
      <w:pPr>
        <w:spacing w:after="0" w:line="185" w:lineRule="exact"/>
        <w:rPr>
          <w:sz w:val="20"/>
          <w:szCs w:val="20"/>
          <w:color w:val="auto"/>
        </w:rPr>
      </w:pPr>
    </w:p>
    <w:p>
      <w:pPr>
        <w:ind w:right="360" w:firstLine="1297"/>
        <w:spacing w:after="0" w:line="313" w:lineRule="auto"/>
        <w:rPr>
          <w:sz w:val="20"/>
          <w:szCs w:val="20"/>
          <w:color w:val="auto"/>
        </w:rPr>
      </w:pPr>
      <w:r>
        <w:rPr>
          <w:rFonts w:ascii="Arial" w:cs="Arial" w:eastAsia="Arial" w:hAnsi="Arial"/>
          <w:sz w:val="17"/>
          <w:szCs w:val="17"/>
          <w:b w:val="1"/>
          <w:bCs w:val="1"/>
          <w:color w:val="auto"/>
        </w:rPr>
        <w:t>§15.7. Lead Arrangers, Etc</w:t>
      </w:r>
      <w:r>
        <w:rPr>
          <w:rFonts w:ascii="Arial" w:cs="Arial" w:eastAsia="Arial" w:hAnsi="Arial"/>
          <w:sz w:val="17"/>
          <w:szCs w:val="17"/>
          <w:color w:val="auto"/>
        </w:rPr>
        <w:t>. The parties identified on the cover hereof as Lead Arrangers and Joint Bookrunners, Documentation</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and Co-Documentation Agents shall have no obligations or liabilities under this Agreement and the other Loan Documents.</w:t>
      </w:r>
    </w:p>
    <w:p>
      <w:pPr>
        <w:sectPr>
          <w:pgSz w:w="11900" w:h="16838" w:orient="portrait"/>
          <w:cols w:equalWidth="0" w:num="1">
            <w:col w:w="11420"/>
          </w:cols>
          <w:pgMar w:left="240" w:top="125" w:right="239" w:bottom="0" w:gutter="0" w:footer="0" w:header="0"/>
        </w:sectPr>
      </w:pPr>
    </w:p>
    <w:bookmarkStart w:id="51" w:name="page52"/>
    <w:bookmarkEnd w:id="51"/>
    <w:p>
      <w:pPr>
        <w:jc w:val="both"/>
        <w:ind w:right="40" w:firstLine="1297"/>
        <w:spacing w:after="0" w:line="314" w:lineRule="auto"/>
        <w:rPr>
          <w:sz w:val="20"/>
          <w:szCs w:val="20"/>
          <w:color w:val="auto"/>
        </w:rPr>
      </w:pPr>
      <w:r>
        <w:rPr>
          <w:rFonts w:ascii="Arial" w:cs="Arial" w:eastAsia="Arial" w:hAnsi="Arial"/>
          <w:sz w:val="16"/>
          <w:szCs w:val="16"/>
          <w:b w:val="1"/>
          <w:bCs w:val="1"/>
          <w:color w:val="auto"/>
        </w:rPr>
        <w:t>§15.8. Documents</w:t>
      </w:r>
      <w:r>
        <w:rPr>
          <w:rFonts w:ascii="Arial" w:cs="Arial" w:eastAsia="Arial" w:hAnsi="Arial"/>
          <w:sz w:val="16"/>
          <w:szCs w:val="16"/>
          <w:color w:val="auto"/>
        </w:rPr>
        <w:t>. The Administrative Agent will forward to each Bank, promptly after receipt thereof, a copy of each notice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document furnished to the Administrative Agent for such Bank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the Administrative Agent may furnish to the Banks a monthly summary with respect to Letters of Credit issued hereunder in lieu of copies of the related Letter of Credit Applications.</w:t>
      </w:r>
    </w:p>
    <w:p>
      <w:pPr>
        <w:spacing w:after="0" w:line="142"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b w:val="1"/>
          <w:bCs w:val="1"/>
          <w:color w:val="auto"/>
        </w:rPr>
        <w:t xml:space="preserve">§15.9. Action by the Banks, Consents, Amendments, Waivers, Etc. </w:t>
      </w:r>
      <w:r>
        <w:rPr>
          <w:rFonts w:ascii="Arial" w:cs="Arial" w:eastAsia="Arial" w:hAnsi="Arial"/>
          <w:sz w:val="16"/>
          <w:szCs w:val="16"/>
          <w:color w:val="auto"/>
        </w:rPr>
        <w:t>(a) No failure or delay by the Administrative Agent, any</w:t>
      </w:r>
      <w:r>
        <w:rPr>
          <w:rFonts w:ascii="Arial" w:cs="Arial" w:eastAsia="Arial" w:hAnsi="Arial"/>
          <w:sz w:val="16"/>
          <w:szCs w:val="16"/>
          <w:b w:val="1"/>
          <w:bCs w:val="1"/>
          <w:color w:val="auto"/>
        </w:rPr>
        <w:t xml:space="preserve"> </w:t>
      </w:r>
      <w:r>
        <w:rPr>
          <w:rFonts w:ascii="Arial" w:cs="Arial" w:eastAsia="Arial" w:hAnsi="Arial"/>
          <w:sz w:val="16"/>
          <w:szCs w:val="16"/>
          <w:color w:val="auto"/>
        </w:rPr>
        <w:t>Issuing Bank or any Bank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Banks hereunder are cumulative and are not exclusive of any rights or remedies that they would otherwise have. No waiver of any provision of this Agreement or consent to any departure by any Borrower or the Guarantor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or Event of Default, regardless of whether the Administrative Agent, any Bank or the Issuing Bank may have had notice or knowledge of such Default or Event of Default at the time.</w:t>
      </w:r>
    </w:p>
    <w:p>
      <w:pPr>
        <w:spacing w:after="0" w:line="164" w:lineRule="exact"/>
        <w:rPr>
          <w:sz w:val="20"/>
          <w:szCs w:val="20"/>
          <w:color w:val="auto"/>
        </w:rPr>
      </w:pPr>
    </w:p>
    <w:p>
      <w:pPr>
        <w:ind w:left="700" w:right="40" w:firstLine="655"/>
        <w:spacing w:after="0" w:line="269" w:lineRule="auto"/>
        <w:tabs>
          <w:tab w:leader="none" w:pos="2004"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u w:val="single" w:color="auto"/>
          <w:color w:val="auto"/>
        </w:rPr>
        <w:t>§2.6.1</w:t>
      </w:r>
      <w:r>
        <w:rPr>
          <w:rFonts w:ascii="Arial" w:cs="Arial" w:eastAsia="Arial" w:hAnsi="Arial"/>
          <w:sz w:val="17"/>
          <w:szCs w:val="17"/>
          <w:color w:val="auto"/>
        </w:rPr>
        <w:t xml:space="preserve"> hereof with respect to </w:t>
      </w:r>
      <w:r>
        <w:rPr>
          <w:rFonts w:ascii="Arial" w:cs="Arial" w:eastAsia="Arial" w:hAnsi="Arial"/>
          <w:sz w:val="17"/>
          <w:szCs w:val="17"/>
          <w:u w:val="single" w:color="auto"/>
          <w:color w:val="auto"/>
        </w:rPr>
        <w:t>Schedule 2.6.1</w:t>
      </w:r>
      <w:r>
        <w:rPr>
          <w:rFonts w:ascii="Arial" w:cs="Arial" w:eastAsia="Arial" w:hAnsi="Arial"/>
          <w:sz w:val="17"/>
          <w:szCs w:val="17"/>
          <w:color w:val="auto"/>
        </w:rPr>
        <w:t xml:space="preserve"> and in </w:t>
      </w:r>
      <w:r>
        <w:rPr>
          <w:rFonts w:ascii="Arial" w:cs="Arial" w:eastAsia="Arial" w:hAnsi="Arial"/>
          <w:sz w:val="17"/>
          <w:szCs w:val="17"/>
          <w:u w:val="single" w:color="auto"/>
          <w:color w:val="auto"/>
        </w:rPr>
        <w:t>§3.3.2</w:t>
      </w:r>
      <w:r>
        <w:rPr>
          <w:rFonts w:ascii="Arial" w:cs="Arial" w:eastAsia="Arial" w:hAnsi="Arial"/>
          <w:sz w:val="17"/>
          <w:szCs w:val="17"/>
          <w:color w:val="auto"/>
        </w:rPr>
        <w:t xml:space="preserve">, neither this Agreement nor any provision hereof may be waived, amended or modified except pursuant to an agreement or agreements in writing entered into by each Borrower and the Majority Banks, and delivered to the Administrative Agent, or by each Borrower and the Administrative Agent with the consent of the Majority Banks;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agreement shall (i) increase the Commitment of any Bank without the written consent of such Bank; (ii) reduce the principal amount of any Loan or Reimbursement Obligations, or reduce the rate of interest on the Loans or reduce any fees payable hereunder, without the written consent of each Bank affected thereby; (iii) postpone the date of any payment of the principal amount of any Loan, or any interest thereon, or any fees payable hereunder, or reduce the amount of, waive or excuse any such payment, or postpone the scheduled date of expiration of any Commitment, without the written consent of each Bank affected thereby; (iv) release any Borrower from its Obligations or the Guarantor from its Guaranteed Obligations hereunder without the written consent of each Bank; (v) modify </w:t>
      </w:r>
      <w:r>
        <w:rPr>
          <w:rFonts w:ascii="Arial" w:cs="Arial" w:eastAsia="Arial" w:hAnsi="Arial"/>
          <w:sz w:val="17"/>
          <w:szCs w:val="17"/>
          <w:u w:val="single" w:color="auto"/>
          <w:color w:val="auto"/>
        </w:rPr>
        <w:t>§29(a)</w:t>
      </w:r>
      <w:r>
        <w:rPr>
          <w:rFonts w:ascii="Arial" w:cs="Arial" w:eastAsia="Arial" w:hAnsi="Arial"/>
          <w:sz w:val="17"/>
          <w:szCs w:val="17"/>
          <w:color w:val="auto"/>
        </w:rPr>
        <w:t xml:space="preserve"> without the written consent of each Bank; (vi) modify the definition of “Commitment Percentage”; (vii) change </w:t>
      </w:r>
      <w:r>
        <w:rPr>
          <w:rFonts w:ascii="Arial" w:cs="Arial" w:eastAsia="Arial" w:hAnsi="Arial"/>
          <w:sz w:val="17"/>
          <w:szCs w:val="17"/>
          <w:u w:val="single" w:color="auto"/>
          <w:color w:val="auto"/>
        </w:rPr>
        <w:t>§12.4</w:t>
      </w:r>
      <w:r>
        <w:rPr>
          <w:rFonts w:ascii="Arial" w:cs="Arial" w:eastAsia="Arial" w:hAnsi="Arial"/>
          <w:sz w:val="17"/>
          <w:szCs w:val="17"/>
          <w:color w:val="auto"/>
        </w:rPr>
        <w:t xml:space="preserve"> in a manner that would alter the pro rata sharing of payments required thereby without the written consent of each Bank; or (viii) change any of the provisions of this </w:t>
      </w:r>
      <w:r>
        <w:rPr>
          <w:rFonts w:ascii="Arial" w:cs="Arial" w:eastAsia="Arial" w:hAnsi="Arial"/>
          <w:sz w:val="17"/>
          <w:szCs w:val="17"/>
          <w:u w:val="single" w:color="auto"/>
          <w:color w:val="auto"/>
        </w:rPr>
        <w:t>§15.9</w:t>
      </w:r>
      <w:r>
        <w:rPr>
          <w:rFonts w:ascii="Arial" w:cs="Arial" w:eastAsia="Arial" w:hAnsi="Arial"/>
          <w:sz w:val="17"/>
          <w:szCs w:val="17"/>
          <w:color w:val="auto"/>
        </w:rPr>
        <w:t xml:space="preserve"> or any provision of this Agreement requiring action by all the Banks, 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40"/>
        <w:spacing w:after="0" w:line="290" w:lineRule="auto"/>
        <w:rPr>
          <w:sz w:val="20"/>
          <w:szCs w:val="20"/>
          <w:color w:val="auto"/>
        </w:rPr>
      </w:pPr>
      <w:r>
        <w:rPr>
          <w:rFonts w:ascii="Arial" w:cs="Arial" w:eastAsia="Arial" w:hAnsi="Arial"/>
          <w:sz w:val="16"/>
          <w:szCs w:val="16"/>
          <w:color w:val="auto"/>
        </w:rPr>
        <w:t xml:space="preserve">the percentage of Banks constituting “Majority Banks”, without the written consent of each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agreement shall amend, modify or otherwise affect the rights or duties of the Administrative Agent, the Swing Line Bank or any Issuing Bank hereunder without the prior written consent of the Administrative Agent, the Swing Line Bank or the Issuing Banks, as the case may be. Notwithstanding anything to the contrary herein, no Defaulting Bank shall have any right to approve or disapprove any amendment, waiver or consent hereunder (and any amendment, waiver or consent which by its terms requires the consent of all Banks or each affected Bank may be effected with the consent of the applicable Banks other than Defaulting Banks), except that (x) the Commitment of any Defaulting Bank may not be increased or extended without the consent of such Bank and (y) any waiver, amendment or modification requiring the consent of all Banks or each affected Bank that by its terms affects any Defaulting Bank disproportionately adversely than other affected Banks shall require the consent of such Defaulting Bank.</w:t>
      </w:r>
    </w:p>
    <w:p>
      <w:pPr>
        <w:spacing w:after="0" w:line="162"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b w:val="1"/>
          <w:bCs w:val="1"/>
          <w:color w:val="auto"/>
        </w:rPr>
        <w:t>§15.10.</w:t>
        <w:tab/>
        <w:t>Bank ERISA Representation.</w:t>
      </w:r>
    </w:p>
    <w:p>
      <w:pPr>
        <w:spacing w:after="0" w:line="225" w:lineRule="exact"/>
        <w:rPr>
          <w:sz w:val="20"/>
          <w:szCs w:val="20"/>
          <w:color w:val="auto"/>
        </w:rPr>
      </w:pPr>
    </w:p>
    <w:p>
      <w:pPr>
        <w:ind w:right="80" w:firstLine="1945"/>
        <w:spacing w:after="0" w:line="261" w:lineRule="auto"/>
        <w:rPr>
          <w:sz w:val="20"/>
          <w:szCs w:val="20"/>
          <w:color w:val="auto"/>
        </w:rPr>
      </w:pPr>
      <w:r>
        <w:rPr>
          <w:rFonts w:ascii="Arial" w:cs="Arial" w:eastAsia="Arial" w:hAnsi="Arial"/>
          <w:sz w:val="18"/>
          <w:szCs w:val="18"/>
          <w:b w:val="1"/>
          <w:bCs w:val="1"/>
          <w:color w:val="auto"/>
        </w:rPr>
        <w:t xml:space="preserve">§15.10.1 </w:t>
      </w:r>
      <w:r>
        <w:rPr>
          <w:rFonts w:ascii="Arial" w:cs="Arial" w:eastAsia="Arial" w:hAnsi="Arial"/>
          <w:sz w:val="18"/>
          <w:szCs w:val="18"/>
          <w:color w:val="auto"/>
        </w:rPr>
        <w:t>Each Bank (x) represents and warrants, as of the date such Person became a Bank party hereto, to, and (y)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date such Person became a Bank party hereto to the date such Person ceases being a Bank party hereto, for the benefit of, the Administrative Agent and each other Lead Arranger and their respective affiliates, and not, for the avoidance of doubt, to or for the benefit of the Borrowers or any other Loan Party, that at least one of the following is and will be true:</w:t>
      </w:r>
    </w:p>
    <w:p>
      <w:pPr>
        <w:spacing w:after="0" w:line="184" w:lineRule="exact"/>
        <w:rPr>
          <w:sz w:val="20"/>
          <w:szCs w:val="20"/>
          <w:color w:val="auto"/>
        </w:rPr>
      </w:pPr>
    </w:p>
    <w:p>
      <w:pPr>
        <w:ind w:left="700" w:firstLine="655"/>
        <w:spacing w:after="0" w:line="277" w:lineRule="auto"/>
        <w:tabs>
          <w:tab w:leader="none" w:pos="1993" w:val="left"/>
        </w:tabs>
        <w:numPr>
          <w:ilvl w:val="1"/>
          <w:numId w:val="85"/>
        </w:numPr>
        <w:rPr>
          <w:rFonts w:ascii="Arial" w:cs="Arial" w:eastAsia="Arial" w:hAnsi="Arial"/>
          <w:sz w:val="18"/>
          <w:szCs w:val="18"/>
          <w:color w:val="auto"/>
        </w:rPr>
      </w:pPr>
      <w:r>
        <w:rPr>
          <w:rFonts w:ascii="Arial" w:cs="Arial" w:eastAsia="Arial" w:hAnsi="Arial"/>
          <w:sz w:val="18"/>
          <w:szCs w:val="18"/>
          <w:color w:val="auto"/>
        </w:rPr>
        <w:t>such Bank is not using “plan assets” (within the meaning of 29 CFR § 2510.3-101, as modified by Section 3(42) of ERISA) of one or more Benefit Plans in connection with the Loans, the Letters of Credit or the Commitments;</w:t>
      </w:r>
    </w:p>
    <w:p>
      <w:pPr>
        <w:spacing w:after="0" w:line="170" w:lineRule="exact"/>
        <w:rPr>
          <w:rFonts w:ascii="Arial" w:cs="Arial" w:eastAsia="Arial" w:hAnsi="Arial"/>
          <w:sz w:val="18"/>
          <w:szCs w:val="18"/>
          <w:color w:val="auto"/>
        </w:rPr>
      </w:pPr>
    </w:p>
    <w:p>
      <w:pPr>
        <w:ind w:left="700" w:right="60" w:firstLine="655"/>
        <w:spacing w:after="0" w:line="273" w:lineRule="auto"/>
        <w:tabs>
          <w:tab w:leader="none" w:pos="2004"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Letters of Credit, the Commitments and this Agreement;</w:t>
      </w:r>
    </w:p>
    <w:p>
      <w:pPr>
        <w:spacing w:after="0" w:line="178" w:lineRule="exact"/>
        <w:rPr>
          <w:rFonts w:ascii="Arial" w:cs="Arial" w:eastAsia="Arial" w:hAnsi="Arial"/>
          <w:sz w:val="17"/>
          <w:szCs w:val="17"/>
          <w:color w:val="auto"/>
        </w:rPr>
      </w:pPr>
    </w:p>
    <w:p>
      <w:pPr>
        <w:ind w:left="700" w:right="20" w:firstLine="655"/>
        <w:spacing w:after="0" w:line="286" w:lineRule="auto"/>
        <w:tabs>
          <w:tab w:leader="none" w:pos="2007"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w:t>
      </w:r>
    </w:p>
    <w:p>
      <w:pPr>
        <w:spacing w:after="0" w:line="1" w:lineRule="exact"/>
        <w:rPr>
          <w:rFonts w:ascii="Arial" w:cs="Arial" w:eastAsia="Arial" w:hAnsi="Arial"/>
          <w:sz w:val="16"/>
          <w:szCs w:val="16"/>
          <w:color w:val="auto"/>
        </w:rPr>
      </w:pPr>
    </w:p>
    <w:p>
      <w:pPr>
        <w:jc w:val="both"/>
        <w:ind w:left="700" w:right="160" w:firstLine="7"/>
        <w:spacing w:after="0" w:line="255" w:lineRule="auto"/>
        <w:tabs>
          <w:tab w:leader="none" w:pos="9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 Part I of PTE 84-14 and (D) to the best knowledge of such Bank, the requirements of subsection (a) of Part I of PTE 84-14 are satisfied with respect to such Bank’s entrance into, participation in, administration of and performance of the Loans, the Letters of Credit, the Commitments and this Agreement; or</w:t>
      </w:r>
    </w:p>
    <w:p>
      <w:pPr>
        <w:spacing w:after="0" w:line="190" w:lineRule="exact"/>
        <w:rPr>
          <w:rFonts w:ascii="Arial" w:cs="Arial" w:eastAsia="Arial" w:hAnsi="Arial"/>
          <w:sz w:val="18"/>
          <w:szCs w:val="18"/>
          <w:color w:val="auto"/>
        </w:rPr>
      </w:pPr>
    </w:p>
    <w:p>
      <w:pPr>
        <w:ind w:left="700" w:right="540" w:firstLine="655"/>
        <w:spacing w:after="0" w:line="277" w:lineRule="auto"/>
        <w:tabs>
          <w:tab w:leader="none" w:pos="2004"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Bank.</w:t>
      </w:r>
    </w:p>
    <w:p>
      <w:pPr>
        <w:spacing w:after="0" w:line="166" w:lineRule="exact"/>
        <w:rPr>
          <w:sz w:val="20"/>
          <w:szCs w:val="20"/>
          <w:color w:val="auto"/>
        </w:rPr>
      </w:pPr>
    </w:p>
    <w:p>
      <w:pPr>
        <w:ind w:right="880" w:firstLine="1945"/>
        <w:spacing w:after="0" w:line="282" w:lineRule="auto"/>
        <w:rPr>
          <w:sz w:val="20"/>
          <w:szCs w:val="20"/>
          <w:color w:val="auto"/>
        </w:rPr>
      </w:pPr>
      <w:r>
        <w:rPr>
          <w:rFonts w:ascii="Arial" w:cs="Arial" w:eastAsia="Arial" w:hAnsi="Arial"/>
          <w:sz w:val="18"/>
          <w:szCs w:val="18"/>
          <w:b w:val="1"/>
          <w:bCs w:val="1"/>
          <w:color w:val="auto"/>
        </w:rPr>
        <w:t xml:space="preserve">§15.10.2 </w:t>
      </w:r>
      <w:r>
        <w:rPr>
          <w:rFonts w:ascii="Arial" w:cs="Arial" w:eastAsia="Arial" w:hAnsi="Arial"/>
          <w:sz w:val="18"/>
          <w:szCs w:val="18"/>
          <w:color w:val="auto"/>
        </w:rPr>
        <w:t>In addition, unless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§15.10.1(a)</w:t>
      </w:r>
      <w:r>
        <w:rPr>
          <w:rFonts w:ascii="Arial" w:cs="Arial" w:eastAsia="Arial" w:hAnsi="Arial"/>
          <w:sz w:val="18"/>
          <w:szCs w:val="18"/>
          <w:b w:val="1"/>
          <w:bCs w:val="1"/>
          <w:color w:val="auto"/>
        </w:rPr>
        <w:t xml:space="preserve"> </w:t>
      </w:r>
      <w:r>
        <w:rPr>
          <w:rFonts w:ascii="Arial" w:cs="Arial" w:eastAsia="Arial" w:hAnsi="Arial"/>
          <w:sz w:val="18"/>
          <w:szCs w:val="18"/>
          <w:color w:val="auto"/>
        </w:rPr>
        <w:t>above is true with respect to a Bank or such Bank has not provided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representation, warranty and covenant as provided in </w:t>
      </w:r>
      <w:r>
        <w:rPr>
          <w:rFonts w:ascii="Arial" w:cs="Arial" w:eastAsia="Arial" w:hAnsi="Arial"/>
          <w:sz w:val="18"/>
          <w:szCs w:val="18"/>
          <w:u w:val="single" w:color="auto"/>
          <w:color w:val="auto"/>
        </w:rPr>
        <w:t>§15.10.1(d)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32" w:gutter="0" w:footer="0" w:header="0"/>
        </w:sectPr>
      </w:pPr>
    </w:p>
    <w:bookmarkStart w:id="52" w:name="page53"/>
    <w:bookmarkEnd w:id="52"/>
    <w:p>
      <w:pPr>
        <w:spacing w:after="0" w:line="2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above, such Bank further (x) represents and warrants, as of the date such Person became a Bank party hereto, to, and (y) covenants, from the date such Person became a Bank party hereto to the date such Person ceases being a Bank party hereto, for the benefit of, the Administrative Agent and each Lead Arranger and their respective Affiliates, and not, for the avoidance of doubt, to or for the benefit of the Borrowers or any other Loan Party, that:</w:t>
      </w:r>
    </w:p>
    <w:p>
      <w:pPr>
        <w:spacing w:after="0" w:line="147" w:lineRule="exact"/>
        <w:rPr>
          <w:sz w:val="20"/>
          <w:szCs w:val="20"/>
          <w:color w:val="auto"/>
        </w:rPr>
      </w:pPr>
    </w:p>
    <w:p>
      <w:pPr>
        <w:ind w:left="700" w:right="180" w:firstLine="655"/>
        <w:spacing w:after="0" w:line="264" w:lineRule="auto"/>
        <w:tabs>
          <w:tab w:leader="none" w:pos="19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none of the Administrative Agent, or any Lead Arranger or any of their respective Affiliates is a fiduciary with respect to the assets of such Bank (including in connection with the reservation or exercise of any rights by the Administrative Agent under this Agreement, any Loan Document or any documents related to hereto or thereto);</w:t>
      </w:r>
    </w:p>
    <w:p>
      <w:pPr>
        <w:spacing w:after="0" w:line="181" w:lineRule="exact"/>
        <w:rPr>
          <w:rFonts w:ascii="Arial" w:cs="Arial" w:eastAsia="Arial" w:hAnsi="Arial"/>
          <w:sz w:val="18"/>
          <w:szCs w:val="18"/>
          <w:color w:val="auto"/>
        </w:rPr>
      </w:pPr>
    </w:p>
    <w:p>
      <w:pPr>
        <w:ind w:left="700" w:right="20" w:firstLine="655"/>
        <w:spacing w:after="0" w:line="279" w:lineRule="auto"/>
        <w:tabs>
          <w:tab w:leader="none" w:pos="2004"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Person making the investment decision on behalf of such Bank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$5,000,000, in each case as described in 29 CFR § 2510.3-21(c)(1)(i)(A)-(E);</w:t>
      </w:r>
    </w:p>
    <w:p>
      <w:pPr>
        <w:spacing w:after="0" w:line="171" w:lineRule="exact"/>
        <w:rPr>
          <w:rFonts w:ascii="Arial" w:cs="Arial" w:eastAsia="Arial" w:hAnsi="Arial"/>
          <w:sz w:val="17"/>
          <w:szCs w:val="17"/>
          <w:color w:val="auto"/>
        </w:rPr>
      </w:pPr>
    </w:p>
    <w:p>
      <w:pPr>
        <w:ind w:left="700" w:right="300" w:firstLine="655"/>
        <w:spacing w:after="0" w:line="312" w:lineRule="auto"/>
        <w:tabs>
          <w:tab w:leader="none" w:pos="2007"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Bank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46" w:lineRule="exact"/>
        <w:rPr>
          <w:rFonts w:ascii="Arial" w:cs="Arial" w:eastAsia="Arial" w:hAnsi="Arial"/>
          <w:sz w:val="16"/>
          <w:szCs w:val="16"/>
          <w:color w:val="auto"/>
        </w:rPr>
      </w:pPr>
    </w:p>
    <w:p>
      <w:pPr>
        <w:ind w:left="700" w:right="160" w:firstLine="655"/>
        <w:spacing w:after="0" w:line="259" w:lineRule="auto"/>
        <w:tabs>
          <w:tab w:leader="none" w:pos="200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Bank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86" w:lineRule="exact"/>
        <w:rPr>
          <w:rFonts w:ascii="Arial" w:cs="Arial" w:eastAsia="Arial" w:hAnsi="Arial"/>
          <w:sz w:val="18"/>
          <w:szCs w:val="18"/>
          <w:color w:val="auto"/>
        </w:rPr>
      </w:pPr>
    </w:p>
    <w:p>
      <w:pPr>
        <w:ind w:left="700" w:right="440" w:firstLine="655"/>
        <w:spacing w:after="0" w:line="264" w:lineRule="auto"/>
        <w:tabs>
          <w:tab w:leader="none" w:pos="2007"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 fee or other compensation is being paid directly to the Administrative Agent or any Lead Arranger or any their respective Affiliates for investment advice (as opposed to other services) in connection with the Loans, the Letters of Credit, the Commitments or this Agreement.</w:t>
      </w:r>
    </w:p>
    <w:p>
      <w:pPr>
        <w:spacing w:after="0" w:line="177" w:lineRule="exact"/>
        <w:rPr>
          <w:sz w:val="20"/>
          <w:szCs w:val="20"/>
          <w:color w:val="auto"/>
        </w:rPr>
      </w:pPr>
    </w:p>
    <w:p>
      <w:pPr>
        <w:ind w:firstLine="1945"/>
        <w:spacing w:after="0" w:line="290" w:lineRule="auto"/>
        <w:rPr>
          <w:sz w:val="20"/>
          <w:szCs w:val="20"/>
          <w:color w:val="auto"/>
        </w:rPr>
      </w:pPr>
      <w:r>
        <w:rPr>
          <w:rFonts w:ascii="Arial" w:cs="Arial" w:eastAsia="Arial" w:hAnsi="Arial"/>
          <w:sz w:val="16"/>
          <w:szCs w:val="16"/>
          <w:b w:val="1"/>
          <w:bCs w:val="1"/>
          <w:color w:val="auto"/>
        </w:rPr>
        <w:t xml:space="preserve">§15.10.3 </w:t>
      </w:r>
      <w:r>
        <w:rPr>
          <w:rFonts w:ascii="Arial" w:cs="Arial" w:eastAsia="Arial" w:hAnsi="Arial"/>
          <w:sz w:val="16"/>
          <w:szCs w:val="16"/>
          <w:color w:val="auto"/>
        </w:rPr>
        <w:t>The Administrative Agent and each Lead Arranger hereby informs the Banks that each such Person is not</w:t>
      </w:r>
      <w:r>
        <w:rPr>
          <w:rFonts w:ascii="Arial" w:cs="Arial" w:eastAsia="Arial" w:hAnsi="Arial"/>
          <w:sz w:val="16"/>
          <w:szCs w:val="16"/>
          <w:b w:val="1"/>
          <w:bCs w:val="1"/>
          <w:color w:val="auto"/>
        </w:rPr>
        <w:t xml:space="preserve"> </w:t>
      </w:r>
      <w:r>
        <w:rPr>
          <w:rFonts w:ascii="Arial" w:cs="Arial" w:eastAsia="Arial" w:hAnsi="Arial"/>
          <w:sz w:val="16"/>
          <w:szCs w:val="16"/>
          <w:color w:val="auto"/>
        </w:rPr>
        <w:t>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Bank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0"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Each Borrower agrees to indemnify and hold harmless the Banks, the Issuing Banks, the Lead Arrangers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and their affiliates, as well as their and their affiliates’ shareholders, directors, agents, officers, subsidiaries and affiliates, from and against all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such indemnified party or a material breach of the obligations of such indemnified party under this Agreement or under any other Loan Document, as determined by a court of competent jurisdiction in a final and non-appealable judgment. In any investigation, enforcement matter, proceeding or litigation, or the preparation therefor, the Banks, the Issuing Banks, the Lead Arrangers and the Administrative Agent shall be entitled to select their own counsel and, in addition to the foregoing indemnity, each Borrower agrees to pay promptly the reasonable fees and expenses of such counsel (including the non-duplicative allocated cost of internal counsel), and settlement costs. In the event of the commencement of any such proceeding or litigation against the Banks or Administrative Agent by third parties, the Borrowers shall be entitled to participate in such proceeding or litigation with counsel of their choice at their expense. In the case of an investigation, litigation or proceeding to which the indemnity in this </w:t>
      </w:r>
      <w:r>
        <w:rPr>
          <w:rFonts w:ascii="Arial" w:cs="Arial" w:eastAsia="Arial" w:hAnsi="Arial"/>
          <w:sz w:val="16"/>
          <w:szCs w:val="16"/>
          <w:u w:val="single" w:color="auto"/>
          <w:color w:val="auto"/>
        </w:rPr>
        <w:t>§16</w:t>
      </w:r>
      <w:r>
        <w:rPr>
          <w:rFonts w:ascii="Arial" w:cs="Arial" w:eastAsia="Arial" w:hAnsi="Arial"/>
          <w:sz w:val="16"/>
          <w:szCs w:val="16"/>
          <w:color w:val="auto"/>
        </w:rPr>
        <w:t xml:space="preserve"> applies, such indemnity shall be effective, subject to the limitations herein, whether or not such investigation, litigation or proceeding is brought by any Borrower, any Borrower’s equity-holders, affiliates or creditors or such an indemnified party, whether or not such indemnified party is otherwise a party thereto and whether or not the transactions contemplated hereby are consummated. The covenants of this </w:t>
      </w:r>
      <w:r>
        <w:rPr>
          <w:rFonts w:ascii="Arial" w:cs="Arial" w:eastAsia="Arial" w:hAnsi="Arial"/>
          <w:sz w:val="16"/>
          <w:szCs w:val="16"/>
          <w:u w:val="single" w:color="auto"/>
          <w:color w:val="auto"/>
        </w:rPr>
        <w:t>§16</w:t>
      </w:r>
      <w:r>
        <w:rPr>
          <w:rFonts w:ascii="Arial" w:cs="Arial" w:eastAsia="Arial" w:hAnsi="Arial"/>
          <w:sz w:val="16"/>
          <w:szCs w:val="16"/>
          <w:color w:val="auto"/>
        </w:rPr>
        <w:t xml:space="preserve"> shall survive payment or satisfaction of payment of amounts owing with respect to any Note or the Loans and satisfaction of all the Obligations hereunder and under the Loan Documents, IT BEING THE INTENT OF THE PARTIES HERETO THAT ALL SUCH INDEMNIFIED PARTIES SHALL BE INDEMNIFIED FOR THEIR ORDINARY SOLE, COMPARATIVE OR CONTRIBUTORY NEGLIGENCE. WITHOUT LIMITATION OF THE FOREGOING, NO PARTY SHALL BE LIABLE TO ANY OTHER PARTY IN RESPECT OF ANY INDIRECT, CONSEQUENTIAL OR PUNITIVE DAMAGES ASSERTED BY SUCH OTHER PARTY WITH RESPECT TO THE MATTERS CONTEMPLATED BY THIS AGREEMENT, ANY OTHER LOAN DOCUMENT OR ANY USE MADE OR TO BE MADE WITH THE PROCEEDS OF ANY CREDIT EXTENSION HEREUNDER OR THEREUNDER. Without limiting the provisions of </w:t>
      </w:r>
      <w:r>
        <w:rPr>
          <w:rFonts w:ascii="Arial" w:cs="Arial" w:eastAsia="Arial" w:hAnsi="Arial"/>
          <w:sz w:val="16"/>
          <w:szCs w:val="16"/>
          <w:u w:val="single" w:color="auto"/>
          <w:color w:val="auto"/>
        </w:rPr>
        <w:t>§3.1.3</w:t>
      </w:r>
      <w:r>
        <w:rPr>
          <w:rFonts w:ascii="Arial" w:cs="Arial" w:eastAsia="Arial" w:hAnsi="Arial"/>
          <w:sz w:val="16"/>
          <w:szCs w:val="16"/>
          <w:color w:val="auto"/>
        </w:rPr>
        <w:t>, this §</w:t>
      </w:r>
      <w:r>
        <w:rPr>
          <w:rFonts w:ascii="Arial" w:cs="Arial" w:eastAsia="Arial" w:hAnsi="Arial"/>
          <w:sz w:val="16"/>
          <w:szCs w:val="16"/>
          <w:u w:val="single" w:color="auto"/>
          <w:color w:val="auto"/>
        </w:rPr>
        <w:t>16</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3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u w:val="single" w:color="auto"/>
          <w:color w:val="auto"/>
        </w:rPr>
        <w:t>[RESERVED.]</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u w:val="single" w:color="auto"/>
          <w:color w:val="auto"/>
        </w:rPr>
        <w:t>TREATMENT OF CERTAIN CONFIDENTIAL INFORMATION</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92" w:lineRule="auto"/>
        <w:rPr>
          <w:sz w:val="20"/>
          <w:szCs w:val="20"/>
          <w:color w:val="auto"/>
        </w:rPr>
      </w:pPr>
      <w:r>
        <w:rPr>
          <w:rFonts w:ascii="Arial" w:cs="Arial" w:eastAsia="Arial" w:hAnsi="Arial"/>
          <w:sz w:val="16"/>
          <w:szCs w:val="16"/>
          <w:b w:val="1"/>
          <w:bCs w:val="1"/>
          <w:color w:val="auto"/>
        </w:rPr>
        <w:t>§18.1. Confidentiality</w:t>
      </w:r>
      <w:r>
        <w:rPr>
          <w:rFonts w:ascii="Arial" w:cs="Arial" w:eastAsia="Arial" w:hAnsi="Arial"/>
          <w:sz w:val="16"/>
          <w:szCs w:val="16"/>
          <w:color w:val="auto"/>
        </w:rPr>
        <w:t>. Each of the Banks and the Administrative Agent agrees, on behalf of itself and each of its affiliates,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officers, 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any Borrower or any of its Subsidiaries pursuant to this Agreement that is identified by such Person as being confidential at the time the same is delivered to the Banks or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limit the disclosure of any such information (a) after such information shall have become public other than through a violation of this </w:t>
      </w:r>
      <w:r>
        <w:rPr>
          <w:rFonts w:ascii="Arial" w:cs="Arial" w:eastAsia="Arial" w:hAnsi="Arial"/>
          <w:sz w:val="16"/>
          <w:szCs w:val="16"/>
          <w:u w:val="single" w:color="auto"/>
          <w:color w:val="auto"/>
        </w:rPr>
        <w:t>§18</w:t>
      </w:r>
      <w:r>
        <w:rPr>
          <w:rFonts w:ascii="Arial" w:cs="Arial" w:eastAsia="Arial" w:hAnsi="Arial"/>
          <w:sz w:val="16"/>
          <w:szCs w:val="16"/>
          <w:color w:val="auto"/>
        </w:rPr>
        <w:t>, or becomes available to any of the Banks or the Administrative Agent on a non-confidential basis from a source other than a Borrower, (b) to the extent required by statute, rule, regulation or judicial process, (c) to counsel, employees, advisors and/or</w:t>
      </w:r>
    </w:p>
    <w:p>
      <w:pPr>
        <w:sectPr>
          <w:pgSz w:w="11900" w:h="16866" w:orient="portrait"/>
          <w:cols w:equalWidth="0" w:num="1">
            <w:col w:w="11420"/>
          </w:cols>
          <w:pgMar w:left="240" w:top="125" w:right="239" w:bottom="0" w:gutter="0" w:footer="0" w:header="0"/>
        </w:sectPr>
      </w:pPr>
    </w:p>
    <w:bookmarkStart w:id="53" w:name="page54"/>
    <w:bookmarkEnd w:id="53"/>
    <w:p>
      <w:pPr>
        <w:spacing w:after="0" w:line="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agents for any of the Banks or the Administrative Agent, (d) to bank examiners or any other regulatory authority having jurisdiction over any Bank or any of its affiliates or the Administrative Agent or any self-regulatory body in which any of such Persons participates, or to auditors or accountants, (e) to the Administrative Agent, any Bank or any Financial Affiliate, (f) in connection with any litigation to which any one or more of the Banks, the Administrative Agent or any Financial Affiliate is a party, or in connection with the enforcement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rights or remedies hereunder or under any other Loan Document, (g) to a Bank Affiliate of any Bank or the Administrative Agent, (h) to any actual or prospective assignee or participant or any actual or prospective counterparty (or its advisors) to any swap or derivative transactions referenced to credit or other risks or events arising under this Agreement or any other Loan Document or to any credit insurance provider relating to any Borrower and its Obligations so long as such assignee, participant, counterparty or credit insurance provider, as the case may be, agrees to be bound by a confidentiality agreement the provisions of which shall be no less restrictive than </w:t>
      </w:r>
      <w:r>
        <w:rPr>
          <w:rFonts w:ascii="Arial" w:cs="Arial" w:eastAsia="Arial" w:hAnsi="Arial"/>
          <w:sz w:val="18"/>
          <w:szCs w:val="18"/>
          <w:u w:val="single" w:color="auto"/>
          <w:color w:val="auto"/>
        </w:rPr>
        <w:t>§18.1</w:t>
      </w:r>
      <w:r>
        <w:rPr>
          <w:rFonts w:ascii="Arial" w:cs="Arial" w:eastAsia="Arial" w:hAnsi="Arial"/>
          <w:sz w:val="18"/>
          <w:szCs w:val="18"/>
          <w:color w:val="auto"/>
        </w:rPr>
        <w:t>, or (i) with the consent of the Company. In addition, the Administrative Agent and the Banks may disclose the existence of this Agreement and information about this Agreement to market data collectors, similar service providers to the lending industry and service providers to the Administrative Agent and the Banks in connection with the administration of this Agreement and the other Loan Documents.</w:t>
      </w:r>
    </w:p>
    <w:p>
      <w:pPr>
        <w:spacing w:after="0" w:line="188" w:lineRule="exact"/>
        <w:rPr>
          <w:sz w:val="20"/>
          <w:szCs w:val="20"/>
          <w:color w:val="auto"/>
        </w:rPr>
      </w:pPr>
    </w:p>
    <w:p>
      <w:pPr>
        <w:ind w:right="100" w:firstLine="1297"/>
        <w:spacing w:after="0" w:line="261" w:lineRule="auto"/>
        <w:rPr>
          <w:sz w:val="20"/>
          <w:szCs w:val="20"/>
          <w:color w:val="auto"/>
        </w:rPr>
      </w:pPr>
      <w:r>
        <w:rPr>
          <w:rFonts w:ascii="Arial" w:cs="Arial" w:eastAsia="Arial" w:hAnsi="Arial"/>
          <w:sz w:val="18"/>
          <w:szCs w:val="18"/>
          <w:b w:val="1"/>
          <w:bCs w:val="1"/>
          <w:color w:val="auto"/>
        </w:rPr>
        <w:t>§18.2. Prior Notification</w:t>
      </w:r>
      <w:r>
        <w:rPr>
          <w:rFonts w:ascii="Arial" w:cs="Arial" w:eastAsia="Arial" w:hAnsi="Arial"/>
          <w:sz w:val="18"/>
          <w:szCs w:val="18"/>
          <w:color w:val="auto"/>
        </w:rPr>
        <w:t>. Unless specifically prohibited by applicable law or court order, each of the Banks and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shall, prior to disclosure thereof, notify the Company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180"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16"/>
          <w:szCs w:val="16"/>
          <w:b w:val="1"/>
          <w:bCs w:val="1"/>
          <w:color w:val="auto"/>
        </w:rPr>
        <w:t>§18.3. Other</w:t>
      </w:r>
      <w:r>
        <w:rPr>
          <w:rFonts w:ascii="Arial" w:cs="Arial" w:eastAsia="Arial" w:hAnsi="Arial"/>
          <w:sz w:val="16"/>
          <w:szCs w:val="16"/>
          <w:color w:val="auto"/>
        </w:rPr>
        <w:t>. In no event shall any Bank or the Administrative Agent be obligated or required to return any materials furnished to it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Financial Affiliate by any Borrower or any of its Subsidiaries. The obligations of each Bank under this </w:t>
      </w:r>
      <w:r>
        <w:rPr>
          <w:rFonts w:ascii="Arial" w:cs="Arial" w:eastAsia="Arial" w:hAnsi="Arial"/>
          <w:sz w:val="16"/>
          <w:szCs w:val="16"/>
          <w:u w:val="single" w:color="auto"/>
          <w:color w:val="auto"/>
        </w:rPr>
        <w:t>§18</w:t>
      </w:r>
      <w:r>
        <w:rPr>
          <w:rFonts w:ascii="Arial" w:cs="Arial" w:eastAsia="Arial" w:hAnsi="Arial"/>
          <w:sz w:val="16"/>
          <w:szCs w:val="16"/>
          <w:color w:val="auto"/>
        </w:rPr>
        <w:t xml:space="preserve"> shall supersede and replace the obligations of such Bank under any confidentiality letter in respect of this financing signed and delivered by such Bank to the Company prior to the date hereof and shall be binding upon any assignee of, or purchaser of any participation in, any interest in any of the Loans or Reimbursement Obligations from any Bank.</w:t>
      </w:r>
    </w:p>
    <w:p>
      <w:pPr>
        <w:spacing w:after="0" w:line="15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color w:val="auto"/>
        </w:rPr>
        <w:t xml:space="preserve">§19. </w:t>
      </w:r>
      <w:r>
        <w:rPr>
          <w:rFonts w:ascii="Arial" w:cs="Arial" w:eastAsia="Arial" w:hAnsi="Arial"/>
          <w:sz w:val="16"/>
          <w:szCs w:val="16"/>
          <w:b w:val="1"/>
          <w:bCs w:val="1"/>
          <w:u w:val="single" w:color="auto"/>
          <w:color w:val="auto"/>
        </w:rPr>
        <w:t>SURVIVAL OF COVENANTS, ETC</w:t>
      </w:r>
      <w:r>
        <w:rPr>
          <w:rFonts w:ascii="Arial" w:cs="Arial" w:eastAsia="Arial" w:hAnsi="Arial"/>
          <w:sz w:val="16"/>
          <w:szCs w:val="16"/>
          <w:color w:val="auto"/>
        </w:rPr>
        <w:t>. Unless otherwise stated herein, all covenants, agreements, representations and warranties made herein, in</w:t>
      </w:r>
      <w:r>
        <w:rPr>
          <w:rFonts w:ascii="Arial" w:cs="Arial" w:eastAsia="Arial" w:hAnsi="Arial"/>
          <w:sz w:val="16"/>
          <w:szCs w:val="16"/>
          <w:b w:val="1"/>
          <w:bCs w:val="1"/>
          <w:color w:val="auto"/>
        </w:rPr>
        <w:t xml:space="preserve"> </w:t>
      </w:r>
      <w:r>
        <w:rPr>
          <w:rFonts w:ascii="Arial" w:cs="Arial" w:eastAsia="Arial" w:hAnsi="Arial"/>
          <w:sz w:val="16"/>
          <w:szCs w:val="16"/>
          <w:color w:val="auto"/>
        </w:rPr>
        <w:t>the other Loan Documents or in any documents or other papers delivered by or on behalf of any Borrower or the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or any Letter of Credit remains outstanding and unpaid or any Bank has any obligation to make any Loans or any Issuing Bank has any obligation to issue, extend, or renew any Letters of Credit hereunder. All statements contained in any certificate or other paper delivered by or on behalf of any Borrower pursuant hereto or in connection with the transactions contemplated hereby shall constitute representations and warranties by such Borrower hereunder.</w:t>
      </w:r>
    </w:p>
    <w:p>
      <w:pPr>
        <w:spacing w:after="0" w:line="160"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§20. </w:t>
      </w:r>
      <w:r>
        <w:rPr>
          <w:rFonts w:ascii="Arial" w:cs="Arial" w:eastAsia="Arial" w:hAnsi="Arial"/>
          <w:sz w:val="16"/>
          <w:szCs w:val="16"/>
          <w:b w:val="1"/>
          <w:bCs w:val="1"/>
          <w:u w:val="single" w:color="auto"/>
          <w:color w:val="auto"/>
        </w:rPr>
        <w:t>ASSIGNMENT AND PARTICIPATION</w:t>
      </w:r>
      <w:r>
        <w:rPr>
          <w:rFonts w:ascii="Arial" w:cs="Arial" w:eastAsia="Arial" w:hAnsi="Arial"/>
          <w:sz w:val="16"/>
          <w:szCs w:val="16"/>
          <w:color w:val="auto"/>
        </w:rPr>
        <w:t>. It is understood and agreed that each Bank shall have the right to assign at any time all or a portion of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Commitment Percentage and interests in the risk relating to the Loans, outstanding Letters of Credit and its Commitment hereunder in an amount equal to or greater than (except in the case of an assignment by a Bank to any other Bank or Bank Affiliate, or unless otherwise agreed to by the Company and the Administrative Agent) $5,000,000 (or, if a Bank’s Commitment is less than $5,000,000, in a minimum amount equal to such Bank’s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Commitment reductions pursuant to </w:t>
      </w:r>
      <w:r>
        <w:rPr>
          <w:rFonts w:ascii="Arial" w:cs="Arial" w:eastAsia="Arial" w:hAnsi="Arial"/>
          <w:sz w:val="16"/>
          <w:szCs w:val="16"/>
          <w:u w:val="single" w:color="auto"/>
          <w:color w:val="auto"/>
        </w:rPr>
        <w:t>§2.6</w:t>
      </w:r>
      <w:r>
        <w:rPr>
          <w:rFonts w:ascii="Arial" w:cs="Arial" w:eastAsia="Arial" w:hAnsi="Arial"/>
          <w:sz w:val="16"/>
          <w:szCs w:val="16"/>
          <w:color w:val="auto"/>
        </w:rPr>
        <w:t>, such Bank’s Commitment was at least $5,000,000), to additional banks, other financial institutions or Bank Affiliates (other than Defaulting Banks) with the prior written approval (not to be unreasonably withheld or delayed) of the Administrative Agent, the Swing Line Bank and each Issuing Bank and, so long as no Event of Default has occurred and is continuing, the consent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Company’s consent shall not be required in the case of an assignment by a Bank to any other Bank, any Bank Affiliate of any Bank or any Approved Fund of any Bank and (ii) the Company shall be deemed to have consented to any such assignment unless it shall object thereto by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written notice to the Administrative Agent within ten (10) Business Days after having received notice thereof), which approvals shall not be unreasonably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approval shall be required by the Administrative Agent, the Swing Line Bank, any Issuing Bank or the Borrowers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assignment by BNP Paribas to either (A) Bank of the West or (B) BNP Paribas Fortis. Any Bank may at any time, and from time to time, assign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branch, lending office, or Bank Affiliate all or any part of its rights and obligations under the Loan Documents by notice to the Administrative Agent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It is further agreed that each bank or other financial institution which executes and delivers to the Administrative Agent and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hereunder an Assignment and Assumption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 or such other form approved by the Administrative Agent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together with an assignment fee in the amount of $3,500 payable by the assigning Bank to the Administrative Agent, shall,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date specified in such Assignment and Assumption, become a party to this Agreement and the other Loan Documents for all purposes of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other Loan Documents, and its portion of the Commitment, the Loans and Letters of Credit shall be as set forth in such Assignment and Assumption;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the Administrative Agent may, in its sole discretion, elect to waive such assignment fee. The Bank assignor thereunder shall, to the extent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and obligations hereunder have been assigned by it pursuant to such Assignment and Assumption, relinquish its rights (except for indemnity rights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arising out of the period prior to such assignment) and be released from its obligations under this Agreement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assignment by a Defaulting Bank will constitute a waiver or release of any claim of any party hereunder arising from that Bank’s having been a Defaulting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 In connection with any assignment of rights and obligations of any Defaulting Bank hereunder, no such assignment shall be effective unless and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other conditions thereto set forth herein, the parties to the assignment shall make such additional payments to the Administrative Agent in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aggregate amount sufficient, upon distribution thereof as appropriate (which may be outright payment, purchases by the assignee of participations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subparticipations, or other compensating actions, including funding, with the consent of the Company and the Administrative Agent, the applicable pro rata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of Committed Loans previously requested but not funded by the Defaulting Bank, to each of which the applicable assignee and assignor hereby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irrevocably consent), to (x) pay and satisfy in full all payment liabilities then owed by such Defaulting Bank to the Administrative Agent, the Issuing Banks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any Bank hereunder (and interest accrued thereon) and (y) acquire (and fund as appropriate) its full pro rata share of all Committed Loans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participations in Letters of Credit and Swing Line Loans in accordance with its Commitment Percentage. Notwithstanding the foregoing, in the event that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assignment of rights and obligations of any Defaulting Bank hereunder shall become effective under applicable law without compliance with the provisions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paragraph, then the assignee of such interest shall be deemed to be a Defaulting Bank for all purposes of this Agreement until such compliance occurs.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the execution and delivery of such Assignment and Assumption (a) to the extent applicable, the Borrowers shall issue Notes (and replacement Notes)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Administrative Agent shall make appropriate entries on the applicable loan account(s) to reflect such assignment of Loan(s); and (b) this Agreement and</w:t>
      </w:r>
    </w:p>
    <w:p>
      <w:pPr>
        <w:sectPr>
          <w:pgSz w:w="11900" w:h="16865" w:orient="portrait"/>
          <w:cols w:equalWidth="0" w:num="1">
            <w:col w:w="11420"/>
          </w:cols>
          <w:pgMar w:left="240" w:top="125" w:right="239" w:bottom="0" w:gutter="0" w:footer="0" w:header="0"/>
        </w:sectPr>
      </w:pPr>
    </w:p>
    <w:bookmarkStart w:id="54" w:name="page55"/>
    <w:bookmarkEnd w:id="54"/>
    <w:p>
      <w:pPr>
        <w:spacing w:after="0" w:line="291" w:lineRule="auto"/>
        <w:rPr>
          <w:sz w:val="20"/>
          <w:szCs w:val="20"/>
          <w:color w:val="auto"/>
        </w:rPr>
      </w:pP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shall be deemed to be appropriately amended to reflect (i) the status of the bank, financial institution or Bank Affiliate as a party hereto and (ii) the status and rights of the Banks hereunder. The Administrative Agent, acting solely for this purpose as an agent of the Borrowers, shall maintain at one of its offices in the United States a copy of each Assignment and Assumption delivered to it and a register for the recordation of the names and addresses of the Banks, and the Commitment Percentages of, and principal amounts (and stated interest) of the Loans owing to, each Bank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each Borrower, the Administrative Agent and the Banks shall treat each Person whose name is recorded in the Register pursuant to the terms hereof as a Bank hereunder for all purposes of this Agreement. The Register shall be available for inspection by any Borrower and any Bank, at any reasonable time and from time to time upon reasonable prior notice.</w:t>
      </w:r>
    </w:p>
    <w:p>
      <w:pPr>
        <w:spacing w:after="0" w:line="16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Each Bank shall also have the right to grant participations to one or more banks, other financial institutions or Bank Affiliates (other than Defaulting Banks) in its Commitment, the Loans and outstanding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Letters of Credit. The documents evidencing any such participation shall limit such participating bank’s, financial institution’s or Bank Affiliate’s, voting rights with respect to this Agreement to the matters set forth in </w:t>
      </w:r>
      <w:r>
        <w:rPr>
          <w:rFonts w:ascii="Arial" w:cs="Arial" w:eastAsia="Arial" w:hAnsi="Arial"/>
          <w:sz w:val="18"/>
          <w:szCs w:val="18"/>
          <w:u w:val="single" w:color="auto"/>
          <w:color w:val="auto"/>
        </w:rPr>
        <w:t>§15.9(b)(i)</w:t>
      </w:r>
      <w:r>
        <w:rPr>
          <w:rFonts w:ascii="Arial" w:cs="Arial" w:eastAsia="Arial" w:hAnsi="Arial"/>
          <w:sz w:val="18"/>
          <w:szCs w:val="18"/>
          <w:color w:val="auto"/>
        </w:rPr>
        <w:t xml:space="preserve"> —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§15.9(b)(vi)</w:t>
      </w:r>
      <w:r>
        <w:rPr>
          <w:rFonts w:ascii="Arial" w:cs="Arial" w:eastAsia="Arial" w:hAnsi="Arial"/>
          <w:sz w:val="18"/>
          <w:szCs w:val="18"/>
          <w:color w:val="auto"/>
        </w:rPr>
        <w:t xml:space="preserve">; and each such participant shall be entitled to the benefit of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hereof to the extent of its participation, subject to the limitations set forth therein. Each Bank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Bank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§5f.103-1(c) of the United States Treasury Regulations.</w:t>
      </w:r>
    </w:p>
    <w:p>
      <w:pPr>
        <w:spacing w:after="0" w:line="19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Notwithstanding the foregoing, no assignment or participation shall (a) be made to any Borrower or any of its affiliates, a Defaulting Bank or any of its Subsidiaries or a natural person (including any holding company, investment vehicle or trust for, or owned and operated for the primary benefit of a natural person) or (b) operate to increase the Total Commitment hereunder or otherwise alter the substantive terms of this Agreement, and no Bank which retains a Commitment hereunder shall have a Commitment of less than $5,000,000, except as a result of reductions in the Total Commitment pursuant to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hereof.</w:t>
      </w:r>
    </w:p>
    <w:p>
      <w:pPr>
        <w:spacing w:after="0" w:line="154"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 xml:space="preserve">Anything contained in this §20 to the contrary notwithstanding, any Bank may at any time pledge or assign a security interest in all or any portion of its interest and rights under this Agreement (including all or any portion of its Notes) to secure obligations of such Bank, including any pledge or assignment to secure obligations to a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shall release such Bank from any of its obligations hereunder or under any of the other Loan Documents or substitute any such pledgee or assignee for such Bank as a party hereto or thereto.</w:t>
      </w:r>
    </w:p>
    <w:p>
      <w:pPr>
        <w:spacing w:after="0" w:line="154"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 xml:space="preserve">Each Borrower agrees that in addition to disclosures made in accordance with standard and customary banking practices any Bank may disclose information obtained by such Bank pursuant to this Agreement to assignees or participants and potential assignees or participants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assignees or participants or potential assignees or participants shall agree to be bound by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hereof.</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Notwithstanding anything to the contrary contained herein, if at any time a Bank that is an Issuing Bank or the Swing Line Bank assigns all of its Commitment and Committed Loans pursuant to this </w:t>
      </w:r>
      <w:r>
        <w:rPr>
          <w:rFonts w:ascii="Arial" w:cs="Arial" w:eastAsia="Arial" w:hAnsi="Arial"/>
          <w:sz w:val="17"/>
          <w:szCs w:val="17"/>
          <w:u w:val="single" w:color="auto"/>
          <w:color w:val="auto"/>
        </w:rPr>
        <w:t>§20</w:t>
      </w:r>
      <w:r>
        <w:rPr>
          <w:rFonts w:ascii="Arial" w:cs="Arial" w:eastAsia="Arial" w:hAnsi="Arial"/>
          <w:sz w:val="17"/>
          <w:szCs w:val="17"/>
          <w:color w:val="auto"/>
        </w:rPr>
        <w:t xml:space="preserve">, such Bank may, (i) upon 45 days’ notice to the Company and the Banks, resign as an Issuing Bank and/or (ii) upon 45 days’ notice to the Company, resign as the Swing Line Bank. In the event of any such resignation as Issuing Bank or Swing Line Bank, the Company shall be entitled to appoint from among the Banks a successor Issuing Bank or Swing Line Bank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(x) no failure by the Company to appoint any such successor shall affect the resignation of the Bank that has elected to resign as Issuing Bank or Swing Line Bank, as the case may be, and (y) any such appointment of a successor Issuing Bank or Swing Line Bank must be acceptable to the Bank appointed to act in such capacity. If a Bank resigns as Issuing Bank, it shall retain the rights, powers, privileges and duties of an Issuing Bank hereunder with respect to all Letters of Credit outstanding as of the effective date of its resignation as Issuing Bank and all Reimbursement Obligations with respect thereto (including the right to require the Banks to make Base Rate Loans or Canadian Prime Rate Loans or fund Letter of Credit Participations, each pursuant to </w:t>
      </w:r>
      <w:r>
        <w:rPr>
          <w:rFonts w:ascii="Arial" w:cs="Arial" w:eastAsia="Arial" w:hAnsi="Arial"/>
          <w:sz w:val="17"/>
          <w:szCs w:val="17"/>
          <w:u w:val="single" w:color="auto"/>
          <w:color w:val="auto"/>
        </w:rPr>
        <w:t>§2.6</w:t>
      </w:r>
      <w:r>
        <w:rPr>
          <w:rFonts w:ascii="Arial" w:cs="Arial" w:eastAsia="Arial" w:hAnsi="Arial"/>
          <w:sz w:val="17"/>
          <w:szCs w:val="17"/>
          <w:color w:val="auto"/>
        </w:rPr>
        <w:t xml:space="preserve">). If a Bank resigns as the Swing Line Bank, it shall retain all the rights of the Swing Line Bank provided for hereunder with respect to Swing Line Loans made by it and outstanding as of the effective date of such resignation (including the right to require the Banks to make Base Rate Loans or fund risk participations in outstanding Swing Line Loans pursuant to </w:t>
      </w:r>
      <w:r>
        <w:rPr>
          <w:rFonts w:ascii="Arial" w:cs="Arial" w:eastAsia="Arial" w:hAnsi="Arial"/>
          <w:sz w:val="17"/>
          <w:szCs w:val="17"/>
          <w:u w:val="single" w:color="auto"/>
          <w:color w:val="auto"/>
        </w:rPr>
        <w:t>§2.5</w:t>
      </w:r>
      <w:r>
        <w:rPr>
          <w:rFonts w:ascii="Arial" w:cs="Arial" w:eastAsia="Arial" w:hAnsi="Arial"/>
          <w:sz w:val="17"/>
          <w:szCs w:val="17"/>
          <w:color w:val="auto"/>
        </w:rPr>
        <w:t>). Upon the appointment of a successor Issuing Bank and/or Swing Line Bank in accordance with the foregoing, (a) such successor shall succeed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and become vested with all of the rights, powers, privileges and duties of the retiring Issuing Bank or Swing Line Bank, as the case may be, and (b) the successor Issuing Bank shall issue letters of credit in substitution for the Letters of Credit issued by the resigning Issuing Bank, if any, that are outstanding at the time such resignation occurs or make other arrangements satisfactory to the resigning Issuing Bank to effectively assume the obligations of such resigning Issuing Bank with respect to such Letters of Credit.</w:t>
      </w:r>
    </w:p>
    <w:p>
      <w:pPr>
        <w:spacing w:after="0" w:line="183"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PARTIES IN INTEREST</w:t>
      </w:r>
      <w:r>
        <w:rPr>
          <w:rFonts w:ascii="Arial" w:cs="Arial" w:eastAsia="Arial" w:hAnsi="Arial"/>
          <w:sz w:val="17"/>
          <w:szCs w:val="17"/>
          <w:color w:val="auto"/>
        </w:rPr>
        <w:t>. All the terms of this Agreement and the other Loan Documents shall be binding upon and inure to the benefit of and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enforceable by the respective successors and assigns of the parties hereto and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any Borrower nor the Guarantor shall assign or transfer its rights or obligations hereunder or thereunder without the prior written consent of each of the Banks and the Administrative Agent.</w:t>
      </w:r>
    </w:p>
    <w:p>
      <w:pPr>
        <w:spacing w:after="0" w:line="15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u w:val="single" w:color="auto"/>
          <w:color w:val="auto"/>
        </w:rPr>
        <w:t>NOTICES, ETC</w:t>
      </w:r>
      <w:r>
        <w:rPr>
          <w:rFonts w:ascii="Arial" w:cs="Arial" w:eastAsia="Arial" w:hAnsi="Arial"/>
          <w:sz w:val="18"/>
          <w:szCs w:val="18"/>
          <w:color w:val="auto"/>
        </w:rPr>
        <w:t>.</w:t>
      </w:r>
    </w:p>
    <w:p>
      <w:pPr>
        <w:spacing w:after="0" w:line="229" w:lineRule="exact"/>
        <w:rPr>
          <w:sz w:val="20"/>
          <w:szCs w:val="20"/>
          <w:color w:val="auto"/>
        </w:rPr>
      </w:pPr>
    </w:p>
    <w:p>
      <w:pPr>
        <w:ind w:left="700" w:right="60" w:firstLine="655"/>
        <w:spacing w:after="0" w:line="279" w:lineRule="auto"/>
        <w:tabs>
          <w:tab w:leader="none" w:pos="1993" w:val="left"/>
        </w:tabs>
        <w:numPr>
          <w:ilvl w:val="0"/>
          <w:numId w:val="88"/>
        </w:numPr>
        <w:rPr>
          <w:rFonts w:ascii="Arial" w:cs="Arial" w:eastAsia="Arial" w:hAnsi="Arial"/>
          <w:sz w:val="17"/>
          <w:szCs w:val="17"/>
          <w:color w:val="auto"/>
        </w:rPr>
      </w:pPr>
      <w:r>
        <w:rPr>
          <w:rFonts w:ascii="Arial" w:cs="Arial" w:eastAsia="Arial" w:hAnsi="Arial"/>
          <w:sz w:val="17"/>
          <w:szCs w:val="17"/>
          <w:color w:val="auto"/>
        </w:rPr>
        <w:t>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auto"/>
        </w:rPr>
      </w:pPr>
    </w:p>
    <w:p>
      <w:pPr>
        <w:ind w:left="1300" w:right="20" w:firstLine="653"/>
        <w:spacing w:after="0" w:line="277" w:lineRule="auto"/>
        <w:tabs>
          <w:tab w:leader="none" w:pos="2618"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if to any Borrower, the Administrative Agent, an Issuing Bank or the Swing Line Bank, to the address, telecopier number, electronic mail address or telephone number specified for such Person on </w:t>
      </w:r>
      <w:r>
        <w:rPr>
          <w:rFonts w:ascii="Arial" w:cs="Arial" w:eastAsia="Arial" w:hAnsi="Arial"/>
          <w:sz w:val="18"/>
          <w:szCs w:val="18"/>
          <w:u w:val="single" w:color="auto"/>
          <w:color w:val="auto"/>
        </w:rPr>
        <w:t>Schedule 22</w:t>
      </w:r>
      <w:r>
        <w:rPr>
          <w:rFonts w:ascii="Arial" w:cs="Arial" w:eastAsia="Arial" w:hAnsi="Arial"/>
          <w:sz w:val="18"/>
          <w:szCs w:val="18"/>
          <w:color w:val="auto"/>
        </w:rPr>
        <w:t>; and</w:t>
      </w:r>
    </w:p>
    <w:p>
      <w:pPr>
        <w:sectPr>
          <w:pgSz w:w="11900" w:h="16838" w:orient="portrait"/>
          <w:cols w:equalWidth="0" w:num="1">
            <w:col w:w="11420"/>
          </w:cols>
          <w:pgMar w:left="240" w:top="125" w:right="239" w:bottom="0" w:gutter="0" w:footer="0" w:header="0"/>
        </w:sectPr>
      </w:pPr>
    </w:p>
    <w:bookmarkStart w:id="55" w:name="page56"/>
    <w:bookmarkEnd w:id="55"/>
    <w:p>
      <w:pPr>
        <w:ind w:left="640" w:right="160" w:firstLine="653"/>
        <w:spacing w:after="0" w:line="312" w:lineRule="auto"/>
        <w:tabs>
          <w:tab w:leader="none" w:pos="1967"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to any other Bank, to the address, telecopier number, electronic mail address or telephone number specified in its Administrative Questionnaire (including, as appropriate, notices delivered solely to the Person designated by a Bank on its Administrative Questionnaire then in effect for the delivery of notices that may contain material non-public information relating to any Borrower).</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ind w:left="40" w:right="180" w:firstLine="655"/>
        <w:spacing w:after="0" w:line="253" w:lineRule="auto"/>
        <w:tabs>
          <w:tab w:leader="none" w:pos="1344"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Notices, requests, financial statements, financial and other reports, certificates and other information materials and other communications to the Banks and the Issuing Banks hereunder (collectively, “</w:t>
      </w: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may be delivered or furnished by electronic communication (including e-mail, FpML messaging,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Bank or any Issuing Bank pursuant to </w:t>
      </w:r>
      <w:r>
        <w:rPr>
          <w:rFonts w:ascii="Arial" w:cs="Arial" w:eastAsia="Arial" w:hAnsi="Arial"/>
          <w:sz w:val="18"/>
          <w:szCs w:val="18"/>
          <w:u w:val="single" w:color="auto"/>
          <w:color w:val="auto"/>
        </w:rPr>
        <w:t>§2</w:t>
      </w:r>
      <w:r>
        <w:rPr>
          <w:rFonts w:ascii="Arial" w:cs="Arial" w:eastAsia="Arial" w:hAnsi="Arial"/>
          <w:sz w:val="18"/>
          <w:szCs w:val="18"/>
          <w:color w:val="auto"/>
        </w:rPr>
        <w:t xml:space="preserve"> if such Bank or Issuing Bank, as applicable, has notified the Administrative Agent that it is incapable of receiving notices under such Section by electronic communication. The Administrative Agent, the Swing Line Bank, each Issuing Bank or any Borrower may each, in its discretion, agree to accept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Communications. Unless the Administrative Agent otherwise prescribes, (i) Communications sent to an e-mail address shall be deemed received upon</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60"/>
        <w:spacing w:after="0" w:line="288" w:lineRule="auto"/>
        <w:rPr>
          <w:sz w:val="20"/>
          <w:szCs w:val="20"/>
          <w:color w:val="auto"/>
        </w:rPr>
      </w:pPr>
      <w:r>
        <w:rPr>
          <w:rFonts w:ascii="Arial" w:cs="Arial" w:eastAsia="Arial" w:hAnsi="Arial"/>
          <w:sz w:val="16"/>
          <w:szCs w:val="16"/>
          <w:color w:val="auto"/>
        </w:rPr>
        <w:t xml:space="preserve">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ind w:left="40" w:right="240" w:firstLine="7"/>
        <w:spacing w:after="0" w:line="255" w:lineRule="auto"/>
        <w:tabs>
          <w:tab w:leader="none" w:pos="3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90" w:lineRule="exact"/>
        <w:rPr>
          <w:rFonts w:ascii="Arial" w:cs="Arial" w:eastAsia="Arial" w:hAnsi="Arial"/>
          <w:sz w:val="18"/>
          <w:szCs w:val="18"/>
          <w:color w:val="auto"/>
        </w:rPr>
      </w:pPr>
    </w:p>
    <w:p>
      <w:pPr>
        <w:ind w:left="40" w:right="40" w:firstLine="655"/>
        <w:spacing w:after="0" w:line="267" w:lineRule="auto"/>
        <w:tabs>
          <w:tab w:leader="none" w:pos="1347" w:val="left"/>
        </w:tabs>
        <w:numPr>
          <w:ilvl w:val="1"/>
          <w:numId w:val="91"/>
        </w:numPr>
        <w:rPr>
          <w:rFonts w:ascii="Arial" w:cs="Arial" w:eastAsia="Arial" w:hAnsi="Arial"/>
          <w:sz w:val="17"/>
          <w:szCs w:val="17"/>
          <w:color w:val="auto"/>
        </w:rPr>
      </w:pPr>
      <w:r>
        <w:rPr>
          <w:rFonts w:ascii="Arial" w:cs="Arial" w:eastAsia="Arial" w:hAnsi="Arial"/>
          <w:sz w:val="17"/>
          <w:szCs w:val="17"/>
          <w:color w:val="auto"/>
        </w:rPr>
        <w:t>Each Borrower further agrees that (i) the Administrative Agent and/or the Lead Arrangers may make the Communications and/or information provided by or on behalf of the Borrowers hereunder available to the Banks by posting the Communications and such other information on SyndTrak, Intralinks or a substantially similar electronic transmission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(ii) certain of the Banks (each, a “</w:t>
      </w:r>
      <w:r>
        <w:rPr>
          <w:rFonts w:ascii="Arial" w:cs="Arial" w:eastAsia="Arial" w:hAnsi="Arial"/>
          <w:sz w:val="17"/>
          <w:szCs w:val="17"/>
          <w:u w:val="single" w:color="auto"/>
          <w:color w:val="auto"/>
        </w:rPr>
        <w:t>Public</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may have personnel who do not wish to receive material non-public information with respect to any Borrower or its affiliates, or the respective securities of any of the foregoing, and who may be engaged in investment and other market-related activities with respect to such Persons’ securities. Each Borrower hereby agrees that (w) all Communications and such other information that are to be made available to Public Lenders shall be clearly and conspicuously marked “PUBLIC” which, at a minimum, shall mean that the word “PUBLIC” shall appear prominently on the first page thereof; (x) by marking such Communications and other information “PUBLIC,” each Borrower shall be deemed to have authorized the Administrative Agent, the Lead Arrangers, the Issuing Banks and the Banks to treat such Communications and other information as not containing any material non-public information with respect to any Borrower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Communications and other information subject to </w:t>
      </w:r>
      <w:r>
        <w:rPr>
          <w:rFonts w:ascii="Arial" w:cs="Arial" w:eastAsia="Arial" w:hAnsi="Arial"/>
          <w:sz w:val="17"/>
          <w:szCs w:val="17"/>
          <w:u w:val="single" w:color="auto"/>
          <w:color w:val="auto"/>
        </w:rPr>
        <w:t>§18.1</w:t>
      </w:r>
      <w:r>
        <w:rPr>
          <w:rFonts w:ascii="Arial" w:cs="Arial" w:eastAsia="Arial" w:hAnsi="Arial"/>
          <w:sz w:val="17"/>
          <w:szCs w:val="17"/>
          <w:color w:val="auto"/>
        </w:rPr>
        <w:t xml:space="preserve">, they shall be treated as set forth in </w:t>
      </w:r>
      <w:r>
        <w:rPr>
          <w:rFonts w:ascii="Arial" w:cs="Arial" w:eastAsia="Arial" w:hAnsi="Arial"/>
          <w:sz w:val="17"/>
          <w:szCs w:val="17"/>
          <w:u w:val="single" w:color="auto"/>
          <w:color w:val="auto"/>
        </w:rPr>
        <w:t>§18.1</w:t>
      </w:r>
      <w:r>
        <w:rPr>
          <w:rFonts w:ascii="Arial" w:cs="Arial" w:eastAsia="Arial" w:hAnsi="Arial"/>
          <w:sz w:val="17"/>
          <w:szCs w:val="17"/>
          <w:color w:val="auto"/>
        </w:rPr>
        <w:t>); (y) all Communications and other information marked “PUBLIC” are permitted to be made available through a portion of the Platform designated “Public Side Information;” and (z) the Administrative Agent and the Lead Arrangers shall be entitled to treat any Communications and other information that are not marked “PUBLIC” as being suitable only for posting on a portion of the Platform not designated “Public Side Information.”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188" w:lineRule="exact"/>
        <w:rPr>
          <w:rFonts w:ascii="Arial" w:cs="Arial" w:eastAsia="Arial" w:hAnsi="Arial"/>
          <w:sz w:val="17"/>
          <w:szCs w:val="17"/>
          <w:color w:val="auto"/>
        </w:rPr>
      </w:pPr>
    </w:p>
    <w:p>
      <w:pPr>
        <w:ind w:left="40" w:firstLine="655"/>
        <w:spacing w:after="0" w:line="254" w:lineRule="auto"/>
        <w:tabs>
          <w:tab w:leader="none" w:pos="1344"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w:t>
      </w:r>
      <w:r>
        <w:rPr>
          <w:rFonts w:ascii="Arial" w:cs="Arial" w:eastAsia="Arial" w:hAnsi="Arial"/>
          <w:sz w:val="18"/>
          <w:szCs w:val="18"/>
          <w:u w:val="single" w:color="auto"/>
          <w:color w:val="auto"/>
        </w:rPr>
        <w:t>AGENT</w:t>
      </w:r>
    </w:p>
    <w:p>
      <w:pPr>
        <w:spacing w:after="0" w:line="19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20"/>
        <w:spacing w:after="0" w:line="253" w:lineRule="auto"/>
        <w:rPr>
          <w:sz w:val="20"/>
          <w:szCs w:val="20"/>
          <w:color w:val="auto"/>
        </w:rPr>
      </w:pP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HAVE ANY LIABILITY TO ANY BORROWER, ANY BANK OR ANY OTHER PERSON OR ENTITY FOR DAMAGES OF ANY KIND ARISING OUT OF ANY BORROWER’S OR THE ADMINISTRATIVE AGENT’S TRANSMISSION OF COMMUNICATIONS OR NOTICES THROUGH THE PLATFORM, ANY OTHER ELECTRONIC PLATFORM OR ELECTRONIC MESSAGING SERVICE, OR THROUGH THE INTERNET, EXCEPT TO THE EXTENT THE LIABILITY OF ANY AGENT PARTY IS FOUND IN A FINAL NON-APPEALABLE JUDGMENT BY A COURT OF COMPETENT JURISDICTION TO HAVE RESULTED PRIMARILY FROM SUCH AGENT PARTY’S GROSS NEGLIGENCE, WILLFUL MISCONDUCT OR MATERIAL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AGENT PARTY HAVE ANY LIABILITY TO ANY BORROWER, ANY BANK, ANY ISSUING BANK OR ANY OTHER PERSON FOR INDIRECT, SPECIAL, INCIDENTAL, CONSEQUENTIAL OR PUNITIVE DAMAGES (AS OPPOSED TO DIRECT OR ACTUAL DAMAGES).</w:t>
      </w:r>
    </w:p>
    <w:p>
      <w:pPr>
        <w:sectPr>
          <w:pgSz w:w="11900" w:h="16838" w:orient="portrait"/>
          <w:cols w:equalWidth="0" w:num="1">
            <w:col w:w="10760"/>
          </w:cols>
          <w:pgMar w:left="900" w:top="125" w:right="239" w:bottom="4" w:gutter="0" w:footer="0" w:header="0"/>
        </w:sectPr>
      </w:pPr>
    </w:p>
    <w:bookmarkStart w:id="56" w:name="page57"/>
    <w:bookmarkEnd w:id="56"/>
    <w:p>
      <w:pPr>
        <w:spacing w:after="0" w:line="115" w:lineRule="exact"/>
        <w:rPr>
          <w:sz w:val="20"/>
          <w:szCs w:val="20"/>
          <w:color w:val="auto"/>
        </w:rPr>
      </w:pPr>
    </w:p>
    <w:p>
      <w:pPr>
        <w:ind w:left="700" w:right="300" w:firstLine="655"/>
        <w:spacing w:after="0" w:line="273" w:lineRule="auto"/>
        <w:tabs>
          <w:tab w:leader="none" w:pos="2007"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Administrative Agent agrees that the receipt of the Communications by the Administrative Agent at its e-mail address set forth above shall constitute effective delivery of the Communications to the Administrative Agent for purposes of this Agreement. Each Bank agrees that notice to it (as provided in the next sentence) specifying that the Communications have been posted to the Platform shall constitute effective delivery of the Communications to such Bank for purposes of this Agreement. Each Bank agrees to notify the Administrative Agent in writing (including by electronic communication) from time to time of such Bank’s e-mail address to which the foregoing notice may be sent by electronic transmission and (ii) that the foregoing notice may be sent to such e-mail address.</w:t>
      </w:r>
    </w:p>
    <w:p>
      <w:pPr>
        <w:spacing w:after="0" w:line="178" w:lineRule="exact"/>
        <w:rPr>
          <w:rFonts w:ascii="Arial" w:cs="Arial" w:eastAsia="Arial" w:hAnsi="Arial"/>
          <w:sz w:val="17"/>
          <w:szCs w:val="17"/>
          <w:color w:val="auto"/>
        </w:rPr>
      </w:pPr>
    </w:p>
    <w:p>
      <w:pPr>
        <w:ind w:left="700" w:right="480" w:firstLine="655"/>
        <w:spacing w:after="0" w:line="277" w:lineRule="auto"/>
        <w:tabs>
          <w:tab w:leader="none" w:pos="2001"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or any Bank to give any notice or other communication pursuant to this Agreement in any other manner specified herein.</w:t>
      </w:r>
    </w:p>
    <w:p>
      <w:pPr>
        <w:spacing w:after="0" w:line="16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 The rights and remedies herein expressed are cumulative and not exclusive of any other rights which the Banks, the Issuing</w:t>
      </w:r>
      <w:r>
        <w:rPr>
          <w:rFonts w:ascii="Arial" w:cs="Arial" w:eastAsia="Arial" w:hAnsi="Arial"/>
          <w:sz w:val="17"/>
          <w:szCs w:val="17"/>
          <w:b w:val="1"/>
          <w:bCs w:val="1"/>
          <w:color w:val="auto"/>
        </w:rPr>
        <w:t xml:space="preserve"> </w:t>
      </w:r>
      <w:r>
        <w:rPr>
          <w:rFonts w:ascii="Arial" w:cs="Arial" w:eastAsia="Arial" w:hAnsi="Arial"/>
          <w:sz w:val="17"/>
          <w:szCs w:val="17"/>
          <w:color w:val="auto"/>
        </w:rPr>
        <w:t>Banks or the Administrative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 This Agreement, to the extent signed and delivered by means of a facsimile machine or other electronic imaging means,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 and deliver them to all other parties. No party hereto shall raise the use of a facsimile machine or other electronic imaging means to deliver a signature or the fact that any signature or agreement or instrument was transmitted or communicated through the use of a facsimile machine or other electronic imaging means as a defense to the formation of a contract and each party forever waives such defense.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u w:val="single" w:color="auto"/>
          <w:color w:val="auto"/>
        </w:rPr>
        <w:t>CONSENTS, ETC</w:t>
      </w:r>
      <w:r>
        <w:rPr>
          <w:rFonts w:ascii="Arial" w:cs="Arial" w:eastAsia="Arial" w:hAnsi="Arial"/>
          <w:sz w:val="17"/>
          <w:szCs w:val="17"/>
          <w:color w:val="auto"/>
        </w:rPr>
        <w:t>. Neither this Agreement nor any term hereof may be changed, waived, discharged or terminated, except as provided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§24</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§15.9</w:t>
      </w:r>
      <w:r>
        <w:rPr>
          <w:rFonts w:ascii="Arial" w:cs="Arial" w:eastAsia="Arial" w:hAnsi="Arial"/>
          <w:sz w:val="17"/>
          <w:szCs w:val="17"/>
          <w:color w:val="auto"/>
        </w:rPr>
        <w:t>.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any Borrower or the Guarantor of any terms of this Agreement or such other instrument or the continuance of any Default or Event of Default may be waived (either generally or in a particular instance and either retroactively or prospectively) with, but only with, the written consent of each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any Borrower or the Guarantor shall entitle any Borrower to other or further notice or demand in similar or other circumstances.</w:t>
      </w:r>
    </w:p>
    <w:p>
      <w:pPr>
        <w:spacing w:after="0" w:line="17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TO THE EXTENT PERMITTED BY APPLICABLE LAW, EACH OF THE PARTIES HERETO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EACH BORROWER AND THE GUARANTOR HEREBY WAIVE ANY RIGHT EITHER OF THEM MAY HAVE TO CLAIM OR RECOVER IN ANY LITIGATION REFERRED TO IN THE PRECEDING SENTENCE ANY SPECIAL, EXEMPLARY, PUNITIVE OR CONSEQUENTIAL DAMAGES OR ANY DAMAGES OTHER THAN, OR IN ADDITION TO, ACTUAL DAMAGES. EACH BORROWER AND THE GUARANTOR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EACH BORROWER’S AND THE GUARANTOR’S WAIVERS AND CERTIFICATIONS CONTAINED HEREIN.</w:t>
      </w:r>
    </w:p>
    <w:p>
      <w:pPr>
        <w:spacing w:after="0" w:line="18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color w:val="auto"/>
        </w:rPr>
        <w:t xml:space="preserve">§26. </w:t>
      </w:r>
      <w:r>
        <w:rPr>
          <w:rFonts w:ascii="Arial" w:cs="Arial" w:eastAsia="Arial" w:hAnsi="Arial"/>
          <w:sz w:val="17"/>
          <w:szCs w:val="17"/>
          <w:b w:val="1"/>
          <w:bCs w:val="1"/>
          <w:u w:val="single" w:color="auto"/>
          <w:color w:val="auto"/>
        </w:rPr>
        <w:t>GOVERNING LAW; SUBMISSION TO JURISDICTION</w:t>
      </w:r>
      <w:r>
        <w:rPr>
          <w:rFonts w:ascii="Arial" w:cs="Arial" w:eastAsia="Arial" w:hAnsi="Arial"/>
          <w:sz w:val="17"/>
          <w:szCs w:val="17"/>
          <w:color w:val="auto"/>
        </w:rPr>
        <w:t>. THIS AGREEMENT AND EACH OF THE OTHER LOAN DOCUMENTS 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CONTRACTS UNDER THE LAWS OF THE STATE OF NEW YORK AND SHALL, PURSUANT TO NEW YORK GENERAL OBLIGATIONS LAW §5-1401, BE CONSTRUED IN ACCORDANCE WITH AND GOVERNED BY THE LAW OF THE STATE OF NEW YORK. EACH BORROWER AND THE GUARANTOR CONSENT AND AGREE THAT ANY SUIT FOR THE ENFORCEMENT OF THIS AGREEMENT OR ANY OF THE OTHER LOAN DOCUMENTS MAY BE BROUGHT IN THE COURTS OF THE STATE OF NEW YORK SITTING IN MANHATTAN OR THE UNITED STATES DISTRICT COURT OF THE SOUTHERN DISTRICT OF NEW YORK AND ANY APPELLATE COURT FROM ANY THEREOF AND CONSENTS TO THE EXCLUSIVE JURISDICTION OF SUCH COURTS AND SERVICE OF PROCESS IN ANY SUCH SUIT BEING MADE UPON EACH BORROWER IN ACCORDANCE WITH LAW AT THE ADDRESS SPECIFIED IN </w:t>
      </w:r>
      <w:r>
        <w:rPr>
          <w:rFonts w:ascii="Arial" w:cs="Arial" w:eastAsia="Arial" w:hAnsi="Arial"/>
          <w:sz w:val="17"/>
          <w:szCs w:val="17"/>
          <w:u w:val="single" w:color="auto"/>
          <w:color w:val="auto"/>
        </w:rPr>
        <w:t>§22</w:t>
      </w:r>
      <w:r>
        <w:rPr>
          <w:rFonts w:ascii="Arial" w:cs="Arial" w:eastAsia="Arial" w:hAnsi="Arial"/>
          <w:sz w:val="17"/>
          <w:szCs w:val="17"/>
          <w:color w:val="auto"/>
        </w:rPr>
        <w:t>. EACH BORROWER AND THE GUARANTOR HEREBY WAIVE ANY OBJECTION THAT THEY MAY NOW OR HEREAFTER HAVE TO THE VENUE OF ANY SUCH SUIT OR ANY SUCH COURT OR THAT SUCH SUIT IS BROUGHT IN AN INCONVENIENT FORUM. EACH OF THE PARTIES HERETO AGREES THAT A FINAL JUDGMENT IN ANY SUCH ACTION OR PROCEEDING SHALL BE CONCLUSIVE AND MAY BE ENFORCED IN OTHER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JURISDICTIONS BY SUIT ON THE JUDGMENT OR IN ANY OTHER MANNER PROVIDED BY LAW.</w:t>
      </w:r>
    </w:p>
    <w:p>
      <w:pPr>
        <w:spacing w:after="0" w:line="221" w:lineRule="exact"/>
        <w:rPr>
          <w:sz w:val="20"/>
          <w:szCs w:val="20"/>
          <w:color w:val="auto"/>
        </w:rPr>
      </w:pPr>
    </w:p>
    <w:p>
      <w:pPr>
        <w:jc w:val="both"/>
        <w:ind w:right="120"/>
        <w:spacing w:after="0" w:line="314"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The provisions of this Agreement are severable and if any one clause or provision hereof shall be held invalid or unenforceable</w:t>
      </w:r>
      <w:r>
        <w:rPr>
          <w:rFonts w:ascii="Arial" w:cs="Arial" w:eastAsia="Arial" w:hAnsi="Arial"/>
          <w:sz w:val="16"/>
          <w:szCs w:val="16"/>
          <w:b w:val="1"/>
          <w:bCs w:val="1"/>
          <w:color w:val="auto"/>
        </w:rPr>
        <w:t xml:space="preserve"> </w:t>
      </w:r>
      <w:r>
        <w:rPr>
          <w:rFonts w:ascii="Arial" w:cs="Arial" w:eastAsia="Arial" w:hAnsi="Arial"/>
          <w:sz w:val="16"/>
          <w:szCs w:val="16"/>
          <w:color w:val="auto"/>
        </w:rPr>
        <w:t>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ectPr>
          <w:pgSz w:w="11900" w:h="16953" w:orient="portrait"/>
          <w:cols w:equalWidth="0" w:num="1">
            <w:col w:w="11420"/>
          </w:cols>
          <w:pgMar w:left="240" w:top="125" w:right="239" w:bottom="0" w:gutter="0" w:footer="0" w:header="0"/>
        </w:sectPr>
      </w:pPr>
    </w:p>
    <w:bookmarkStart w:id="57" w:name="page58"/>
    <w:bookmarkEnd w:id="57"/>
    <w:p>
      <w:pPr>
        <w:spacing w:after="0" w:line="2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Without limiting the foregoing provisions of this </w:t>
      </w:r>
      <w:r>
        <w:rPr>
          <w:rFonts w:ascii="Arial" w:cs="Arial" w:eastAsia="Arial" w:hAnsi="Arial"/>
          <w:sz w:val="17"/>
          <w:szCs w:val="17"/>
          <w:u w:val="single" w:color="auto"/>
          <w:color w:val="auto"/>
        </w:rPr>
        <w:t>§27</w:t>
      </w:r>
      <w:r>
        <w:rPr>
          <w:rFonts w:ascii="Arial" w:cs="Arial" w:eastAsia="Arial" w:hAnsi="Arial"/>
          <w:sz w:val="17"/>
          <w:szCs w:val="17"/>
          <w:color w:val="auto"/>
        </w:rPr>
        <w:t>, if and to the extent that the enforceability of any provisions in this Agreement relating to Defaulting Banks shall be limited by bankruptcy, insolvency, reorganization, moratorium or other similar laws, as determined in good faith by the Administrative Agent, the Issuing Banks or the Swing Line Bank, as applicable, then such provisions shall be deemed to be in effect only to the extent not so limited.</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u w:val="single" w:color="auto"/>
          <w:color w:val="auto"/>
        </w:rPr>
        <w:t>GUARANTY</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74" w:lineRule="auto"/>
        <w:rPr>
          <w:sz w:val="20"/>
          <w:szCs w:val="20"/>
          <w:color w:val="auto"/>
        </w:rPr>
      </w:pPr>
      <w:r>
        <w:rPr>
          <w:rFonts w:ascii="Arial" w:cs="Arial" w:eastAsia="Arial" w:hAnsi="Arial"/>
          <w:sz w:val="17"/>
          <w:szCs w:val="17"/>
          <w:b w:val="1"/>
          <w:bCs w:val="1"/>
          <w:color w:val="auto"/>
        </w:rPr>
        <w:t xml:space="preserve">§28.1. Guaranty. </w:t>
      </w:r>
      <w:r>
        <w:rPr>
          <w:rFonts w:ascii="Arial" w:cs="Arial" w:eastAsia="Arial" w:hAnsi="Arial"/>
          <w:sz w:val="17"/>
          <w:szCs w:val="17"/>
          <w:color w:val="auto"/>
        </w:rPr>
        <w:t>For value received and hereby acknowledged and as an inducement to the Banks and the Issuing Banks to make the</w:t>
      </w:r>
      <w:r>
        <w:rPr>
          <w:rFonts w:ascii="Arial" w:cs="Arial" w:eastAsia="Arial" w:hAnsi="Arial"/>
          <w:sz w:val="17"/>
          <w:szCs w:val="17"/>
          <w:b w:val="1"/>
          <w:bCs w:val="1"/>
          <w:color w:val="auto"/>
        </w:rPr>
        <w:t xml:space="preserve"> </w:t>
      </w:r>
      <w:r>
        <w:rPr>
          <w:rFonts w:ascii="Arial" w:cs="Arial" w:eastAsia="Arial" w:hAnsi="Arial"/>
          <w:sz w:val="17"/>
          <w:szCs w:val="17"/>
          <w:color w:val="auto"/>
        </w:rPr>
        <w:t>Loans available to the Borrowers, and issue, extend or renew Letters of Credit for the account of the Borrowers, the Guarantor hereby unconditionally and irrevocably guarantees (a) the full punctual payment when due, whether at stated maturity, by acceleration or otherwise, of all Obligations of each Borrower now or hereafter existing whether for principal, interest, fees, expenses or otherwise, and (b) the strict performance and observance by each Borrower of all agreements, warranties and covenants applicable to such Borrower in the Loan Documents and (c) the obligations of each Borrower under the Loan Documents (such Obligations collectively being hereafter referred to as the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w:t>
      </w:r>
    </w:p>
    <w:p>
      <w:pPr>
        <w:spacing w:after="0" w:line="174"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b w:val="1"/>
          <w:bCs w:val="1"/>
          <w:color w:val="auto"/>
        </w:rPr>
        <w:t xml:space="preserve">§28.2. Guaranty Absolute. </w:t>
      </w:r>
      <w:r>
        <w:rPr>
          <w:rFonts w:ascii="Arial" w:cs="Arial" w:eastAsia="Arial" w:hAnsi="Arial"/>
          <w:sz w:val="18"/>
          <w:szCs w:val="18"/>
          <w:color w:val="auto"/>
        </w:rPr>
        <w:t>The Guarantor guarantees that the Guaranteed Obligations will be paid strictly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hereof, regardless of any law, regulation or order now or hereafter in effect in any jurisdiction affecting any of such terms or the rights of any Bank, any Issuing Bank or the Administrative Agent with respect thereto. The liability of the Guarantor under the guaranty granted under this Agreement with regard to the Guaranteed Obligations shall be absolute and unconditional irrespective of:</w:t>
      </w:r>
    </w:p>
    <w:p>
      <w:pPr>
        <w:spacing w:after="0" w:line="184" w:lineRule="exact"/>
        <w:rPr>
          <w:sz w:val="20"/>
          <w:szCs w:val="20"/>
          <w:color w:val="auto"/>
        </w:rPr>
      </w:pPr>
    </w:p>
    <w:p>
      <w:pPr>
        <w:ind w:left="700" w:right="260" w:firstLine="655"/>
        <w:spacing w:after="0" w:line="264" w:lineRule="auto"/>
        <w:tabs>
          <w:tab w:leader="none" w:pos="1993"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Guaranteed Obligations or any other amendment or waiver of or any consent to departure from this Agreement or any other Loan Document (with regard to such Guaranteed Obligations);</w:t>
      </w:r>
    </w:p>
    <w:p>
      <w:pPr>
        <w:spacing w:after="0" w:line="181" w:lineRule="exact"/>
        <w:rPr>
          <w:rFonts w:ascii="Arial" w:cs="Arial" w:eastAsia="Arial" w:hAnsi="Arial"/>
          <w:sz w:val="18"/>
          <w:szCs w:val="18"/>
          <w:color w:val="auto"/>
        </w:rPr>
      </w:pPr>
    </w:p>
    <w:p>
      <w:pPr>
        <w:ind w:left="2020" w:hanging="665"/>
        <w:spacing w:after="0"/>
        <w:tabs>
          <w:tab w:leader="none" w:pos="20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release or amendment or waiver of or consent to departure from any other guaranty for all or any of its Guaranteed</w:t>
      </w:r>
    </w:p>
    <w:p>
      <w:pPr>
        <w:spacing w:after="0" w:line="34"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Obligations;</w:t>
      </w:r>
    </w:p>
    <w:p>
      <w:pPr>
        <w:spacing w:after="0" w:line="210" w:lineRule="exact"/>
        <w:rPr>
          <w:rFonts w:ascii="Arial" w:cs="Arial" w:eastAsia="Arial" w:hAnsi="Arial"/>
          <w:sz w:val="17"/>
          <w:szCs w:val="17"/>
          <w:color w:val="auto"/>
        </w:rPr>
      </w:pPr>
    </w:p>
    <w:p>
      <w:pPr>
        <w:ind w:left="2020" w:hanging="665"/>
        <w:spacing w:after="0"/>
        <w:tabs>
          <w:tab w:leader="none" w:pos="2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change in ownership of any Borrower;</w:t>
      </w:r>
    </w:p>
    <w:p>
      <w:pPr>
        <w:spacing w:after="0" w:line="225" w:lineRule="exact"/>
        <w:rPr>
          <w:rFonts w:ascii="Arial" w:cs="Arial" w:eastAsia="Arial" w:hAnsi="Arial"/>
          <w:sz w:val="18"/>
          <w:szCs w:val="18"/>
          <w:color w:val="auto"/>
        </w:rPr>
      </w:pPr>
    </w:p>
    <w:p>
      <w:pPr>
        <w:ind w:left="2020" w:hanging="665"/>
        <w:spacing w:after="0"/>
        <w:tabs>
          <w:tab w:leader="none" w:pos="2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acceptance of any partial payment(s) from any Borrower or the Guarantor; or</w:t>
      </w:r>
    </w:p>
    <w:p>
      <w:pPr>
        <w:spacing w:after="0" w:line="225" w:lineRule="exact"/>
        <w:rPr>
          <w:rFonts w:ascii="Arial" w:cs="Arial" w:eastAsia="Arial" w:hAnsi="Arial"/>
          <w:sz w:val="18"/>
          <w:szCs w:val="18"/>
          <w:color w:val="auto"/>
        </w:rPr>
      </w:pPr>
    </w:p>
    <w:p>
      <w:pPr>
        <w:ind w:left="700" w:right="420" w:firstLine="655"/>
        <w:spacing w:after="0" w:line="277" w:lineRule="auto"/>
        <w:tabs>
          <w:tab w:leader="none" w:pos="200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circumstance whatsoever which might otherwise constitute a defense available to, or a discharge of, a guarantor or surety or any Borrower in respect of its Obligations under any Loan Document.</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guaranty under this Agreement shall continue to be effective or be reinstated, as the case may be, if at any time any payment of any Guaranteed Obligation is rescinded or must otherwise be returned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Banks, the Issuing Banks or the Administrative Agent upon the insolvency, bankruptcy or reorganization of any Borrower or otherwise, all as though such payment had not been made.</w:t>
      </w:r>
    </w:p>
    <w:p>
      <w:pPr>
        <w:spacing w:after="0" w:line="166"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b w:val="1"/>
          <w:bCs w:val="1"/>
          <w:color w:val="auto"/>
        </w:rPr>
        <w:t xml:space="preserve">§28.3. Effectiveness; Enforcement. </w:t>
      </w:r>
      <w:r>
        <w:rPr>
          <w:rFonts w:ascii="Arial" w:cs="Arial" w:eastAsia="Arial" w:hAnsi="Arial"/>
          <w:sz w:val="17"/>
          <w:szCs w:val="17"/>
          <w:color w:val="auto"/>
        </w:rPr>
        <w:t>The guaranty under this Agreement shall be effective and shall be deemed to be made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each Loan 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any Borrower, and no defect in or insufficiency or want of powers of any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The guaranty under this Agreement is a guaranty of payment (and not of collection)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any Borrower, or to resort to any other source or means of obtaining payment of any of the said obligations or to elect any other remedy.</w:t>
      </w:r>
    </w:p>
    <w:p>
      <w:pPr>
        <w:spacing w:after="0" w:line="174" w:lineRule="exact"/>
        <w:rPr>
          <w:sz w:val="20"/>
          <w:szCs w:val="20"/>
          <w:color w:val="auto"/>
        </w:rPr>
      </w:pPr>
    </w:p>
    <w:p>
      <w:pPr>
        <w:ind w:right="220" w:firstLine="1297"/>
        <w:spacing w:after="0" w:line="274" w:lineRule="auto"/>
        <w:rPr>
          <w:sz w:val="20"/>
          <w:szCs w:val="20"/>
          <w:color w:val="auto"/>
        </w:rPr>
      </w:pPr>
      <w:r>
        <w:rPr>
          <w:rFonts w:ascii="Arial" w:cs="Arial" w:eastAsia="Arial" w:hAnsi="Arial"/>
          <w:sz w:val="17"/>
          <w:szCs w:val="17"/>
          <w:b w:val="1"/>
          <w:bCs w:val="1"/>
          <w:color w:val="auto"/>
        </w:rPr>
        <w:t xml:space="preserve">§28.4. Waiver. </w:t>
      </w:r>
      <w:r>
        <w:rPr>
          <w:rFonts w:ascii="Arial" w:cs="Arial" w:eastAsia="Arial" w:hAnsi="Arial"/>
          <w:sz w:val="17"/>
          <w:szCs w:val="17"/>
          <w:color w:val="auto"/>
        </w:rPr>
        <w:t>Except as otherwise specifically provided in any of the Loan Documents, the Guarantor hereby waives promptness,</w:t>
      </w:r>
      <w:r>
        <w:rPr>
          <w:rFonts w:ascii="Arial" w:cs="Arial" w:eastAsia="Arial" w:hAnsi="Arial"/>
          <w:sz w:val="17"/>
          <w:szCs w:val="17"/>
          <w:b w:val="1"/>
          <w:bCs w:val="1"/>
          <w:color w:val="auto"/>
        </w:rPr>
        <w:t xml:space="preserve"> </w:t>
      </w:r>
      <w:r>
        <w:rPr>
          <w:rFonts w:ascii="Arial" w:cs="Arial" w:eastAsia="Arial" w:hAnsi="Arial"/>
          <w:sz w:val="17"/>
          <w:szCs w:val="17"/>
          <w:color w:val="auto"/>
        </w:rPr>
        <w:t>diligence, protest, 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any Borrower or any other Person. The Guarantor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174"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b w:val="1"/>
          <w:bCs w:val="1"/>
          <w:color w:val="auto"/>
        </w:rPr>
        <w:t xml:space="preserve">§28.5. Expenses. </w:t>
      </w:r>
      <w:r>
        <w:rPr>
          <w:rFonts w:ascii="Arial" w:cs="Arial" w:eastAsia="Arial" w:hAnsi="Arial"/>
          <w:sz w:val="17"/>
          <w:szCs w:val="17"/>
          <w:color w:val="auto"/>
        </w:rPr>
        <w:t>The Guarantor hereby promises to reimburse (a) the Administrative Agent for all reasonable out-of-pocket fees and</w:t>
      </w:r>
      <w:r>
        <w:rPr>
          <w:rFonts w:ascii="Arial" w:cs="Arial" w:eastAsia="Arial" w:hAnsi="Arial"/>
          <w:sz w:val="17"/>
          <w:szCs w:val="17"/>
          <w:b w:val="1"/>
          <w:bCs w:val="1"/>
          <w:color w:val="auto"/>
        </w:rPr>
        <w:t xml:space="preserve"> </w:t>
      </w:r>
      <w:r>
        <w:rPr>
          <w:rFonts w:ascii="Arial" w:cs="Arial" w:eastAsia="Arial" w:hAnsi="Arial"/>
          <w:sz w:val="17"/>
          <w:szCs w:val="17"/>
          <w:color w:val="auto"/>
        </w:rPr>
        <w:t>disbursements (including all reasonable attorneys’ fees), incurred or expended in connection with the preparation, filing or recording, or interpretation of the guaranty under this Agreement, the other Loan Documents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172"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§28.6.</w:t>
      </w:r>
      <w:r>
        <w:rPr>
          <w:sz w:val="20"/>
          <w:szCs w:val="20"/>
          <w:color w:val="auto"/>
        </w:rPr>
        <w:tab/>
      </w:r>
      <w:r>
        <w:rPr>
          <w:rFonts w:ascii="Arial" w:cs="Arial" w:eastAsia="Arial" w:hAnsi="Arial"/>
          <w:sz w:val="18"/>
          <w:szCs w:val="18"/>
          <w:b w:val="1"/>
          <w:bCs w:val="1"/>
          <w:color w:val="auto"/>
        </w:rPr>
        <w:t>Concerning Joint and Several Liability of the Guarantor</w:t>
      </w:r>
      <w:r>
        <w:rPr>
          <w:rFonts w:ascii="Arial" w:cs="Arial" w:eastAsia="Arial" w:hAnsi="Arial"/>
          <w:sz w:val="18"/>
          <w:szCs w:val="18"/>
          <w:color w:val="auto"/>
        </w:rPr>
        <w:t>.</w:t>
      </w:r>
    </w:p>
    <w:p>
      <w:pPr>
        <w:spacing w:after="0" w:line="229" w:lineRule="exact"/>
        <w:rPr>
          <w:sz w:val="20"/>
          <w:szCs w:val="20"/>
          <w:color w:val="auto"/>
        </w:rPr>
      </w:pPr>
    </w:p>
    <w:p>
      <w:pPr>
        <w:ind w:left="700" w:right="20" w:firstLine="655"/>
        <w:spacing w:after="0" w:line="279" w:lineRule="auto"/>
        <w:tabs>
          <w:tab w:leader="none" w:pos="1993"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The Guarantor hereby irrevocably and unconditionally accepts, not merely as a surety but also as a co-debtor, joint and several liability with each Borrower, with respect to the payment and performance of all of its Guaranteed Obligations (including, without limitation, any Guaranteed Obligations arising under this </w:t>
      </w:r>
      <w:r>
        <w:rPr>
          <w:rFonts w:ascii="Arial" w:cs="Arial" w:eastAsia="Arial" w:hAnsi="Arial"/>
          <w:sz w:val="17"/>
          <w:szCs w:val="17"/>
          <w:u w:val="single" w:color="auto"/>
          <w:color w:val="auto"/>
        </w:rPr>
        <w:t>§28</w:t>
      </w:r>
      <w:r>
        <w:rPr>
          <w:rFonts w:ascii="Arial" w:cs="Arial" w:eastAsia="Arial" w:hAnsi="Arial"/>
          <w:sz w:val="17"/>
          <w:szCs w:val="17"/>
          <w:color w:val="auto"/>
        </w:rPr>
        <w:t>), it being the intention of the parties hereto that all such Guaranteed Obligations shall be the joint and several Guaranteed Obligations of the Guarantor and each Borrower without preferences or distinction among them.</w:t>
      </w:r>
    </w:p>
    <w:p>
      <w:pPr>
        <w:sectPr>
          <w:pgSz w:w="11900" w:h="16860" w:orient="portrait"/>
          <w:cols w:equalWidth="0" w:num="1">
            <w:col w:w="11400"/>
          </w:cols>
          <w:pgMar w:left="240" w:top="125" w:right="259" w:bottom="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firstLine="655"/>
        <w:spacing w:after="0" w:line="264" w:lineRule="auto"/>
        <w:tabs>
          <w:tab w:leader="none" w:pos="2004"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and to the extent that any Borrower shall fail to make any payment with respect to any of its Obligations as and when due or to perform any of its Guaranteed Obligations in accordance with the terms thereof, then in each such event the Guarantor will make such payment with respect to, or perform, such Guaranteed Obligation.</w:t>
      </w:r>
    </w:p>
    <w:p>
      <w:pPr>
        <w:spacing w:after="0" w:line="181" w:lineRule="exact"/>
        <w:rPr>
          <w:rFonts w:ascii="Arial" w:cs="Arial" w:eastAsia="Arial" w:hAnsi="Arial"/>
          <w:sz w:val="18"/>
          <w:szCs w:val="18"/>
          <w:color w:val="auto"/>
        </w:rPr>
      </w:pPr>
    </w:p>
    <w:p>
      <w:pPr>
        <w:ind w:left="700" w:firstLine="655"/>
        <w:spacing w:after="0" w:line="264" w:lineRule="auto"/>
        <w:tabs>
          <w:tab w:leader="none" w:pos="200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Guaranteed Obligations of the Guarantor under the provisions of this </w:t>
      </w:r>
      <w:r>
        <w:rPr>
          <w:rFonts w:ascii="Arial" w:cs="Arial" w:eastAsia="Arial" w:hAnsi="Arial"/>
          <w:sz w:val="18"/>
          <w:szCs w:val="18"/>
          <w:u w:val="single" w:color="auto"/>
          <w:color w:val="auto"/>
        </w:rPr>
        <w:t>§28</w:t>
      </w:r>
      <w:r>
        <w:rPr>
          <w:rFonts w:ascii="Arial" w:cs="Arial" w:eastAsia="Arial" w:hAnsi="Arial"/>
          <w:sz w:val="18"/>
          <w:szCs w:val="18"/>
          <w:color w:val="auto"/>
        </w:rPr>
        <w:t xml:space="preserve">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181" w:lineRule="exact"/>
        <w:rPr>
          <w:rFonts w:ascii="Arial" w:cs="Arial" w:eastAsia="Arial" w:hAnsi="Arial"/>
          <w:sz w:val="18"/>
          <w:szCs w:val="18"/>
          <w:color w:val="auto"/>
        </w:rPr>
      </w:pPr>
    </w:p>
    <w:p>
      <w:pPr>
        <w:ind w:left="700" w:firstLine="655"/>
        <w:spacing w:after="0" w:line="267" w:lineRule="auto"/>
        <w:tabs>
          <w:tab w:leader="none" w:pos="2004"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any Borrower or the Guarantor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any Borrower or the Guarantor. Without limiting the generality of the foregoing, the Guarantor assents to any other action or delay in acting or failure to act on the part of the Banks, the Issuing Banks or the Administrative Agent with respect to the failure by any Borrower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afford grounds for terminating, discharging or relieving the Guarantor, in whole or in part, from any of the Guaranteed Obligations under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it being the intention of the Guarantor that, so long as any of the Guaranteed Obligations hereunder remain unsatisfied, the Guaranteed Obligations of the Guarantor under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shall not be discharged except by performance and then only to the extent of such performance. The Guaranteed Obligations of the Guarantor under this §28 shall not be diminished or rendered unenforceable by any winding up, reorganization, arrangement, liquidation, reconstruction or similar proceeding with respect to any Borrower or the Guarantor or the Banks, the Issuing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any Borrower or the Guarantor, the Banks, the Issuing Banks or the Administrative Agent.</w:t>
      </w:r>
    </w:p>
    <w:p>
      <w:pPr>
        <w:spacing w:after="0" w:line="184" w:lineRule="exact"/>
        <w:rPr>
          <w:rFonts w:ascii="Arial" w:cs="Arial" w:eastAsia="Arial" w:hAnsi="Arial"/>
          <w:sz w:val="17"/>
          <w:szCs w:val="17"/>
          <w:color w:val="auto"/>
        </w:rPr>
      </w:pPr>
    </w:p>
    <w:p>
      <w:pPr>
        <w:ind w:left="700" w:right="100" w:firstLine="655"/>
        <w:spacing w:after="0" w:line="257" w:lineRule="auto"/>
        <w:tabs>
          <w:tab w:leader="none" w:pos="200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Guarantor shall be liable under this </w:t>
      </w:r>
      <w:r>
        <w:rPr>
          <w:rFonts w:ascii="Arial" w:cs="Arial" w:eastAsia="Arial" w:hAnsi="Arial"/>
          <w:sz w:val="18"/>
          <w:szCs w:val="18"/>
          <w:u w:val="single" w:color="auto"/>
          <w:color w:val="auto"/>
        </w:rPr>
        <w:t>§28</w:t>
      </w:r>
      <w:r>
        <w:rPr>
          <w:rFonts w:ascii="Arial" w:cs="Arial" w:eastAsia="Arial" w:hAnsi="Arial"/>
          <w:sz w:val="18"/>
          <w:szCs w:val="18"/>
          <w:color w:val="auto"/>
        </w:rPr>
        <w:t xml:space="preserve"> only for the maximum amount of such liabilities that can be incurred under applicable law without rendering this </w:t>
      </w:r>
      <w:r>
        <w:rPr>
          <w:rFonts w:ascii="Arial" w:cs="Arial" w:eastAsia="Arial" w:hAnsi="Arial"/>
          <w:sz w:val="18"/>
          <w:szCs w:val="18"/>
          <w:u w:val="single" w:color="auto"/>
          <w:color w:val="auto"/>
        </w:rPr>
        <w:t>§28</w:t>
      </w:r>
      <w:r>
        <w:rPr>
          <w:rFonts w:ascii="Arial" w:cs="Arial" w:eastAsia="Arial" w:hAnsi="Arial"/>
          <w:sz w:val="18"/>
          <w:szCs w:val="18"/>
          <w:color w:val="auto"/>
        </w:rPr>
        <w:t xml:space="preserve"> voidable under applicable law relating to fraudulent conveyance and fraudulent transfer, and not for any greater amount. Accordingly, if any obligation under any provision under this </w:t>
      </w:r>
      <w:r>
        <w:rPr>
          <w:rFonts w:ascii="Arial" w:cs="Arial" w:eastAsia="Arial" w:hAnsi="Arial"/>
          <w:sz w:val="18"/>
          <w:szCs w:val="18"/>
          <w:u w:val="single" w:color="auto"/>
          <w:color w:val="auto"/>
        </w:rPr>
        <w:t>§28</w:t>
      </w:r>
      <w:r>
        <w:rPr>
          <w:rFonts w:ascii="Arial" w:cs="Arial" w:eastAsia="Arial" w:hAnsi="Arial"/>
          <w:sz w:val="18"/>
          <w:szCs w:val="18"/>
          <w:color w:val="auto"/>
        </w:rPr>
        <w:t xml:space="preserve"> shall be declared to be invalid or unenforceable in any respect or to any extent, it is the stated intention and agreement of the Guarantor, the Administrative Agent, the Issuing Banks and the Banks that any balance of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80"/>
        <w:spacing w:after="0" w:line="286" w:lineRule="auto"/>
        <w:rPr>
          <w:sz w:val="20"/>
          <w:szCs w:val="20"/>
          <w:color w:val="auto"/>
        </w:rPr>
      </w:pPr>
      <w:r>
        <w:rPr>
          <w:rFonts w:ascii="Arial" w:cs="Arial" w:eastAsia="Arial" w:hAnsi="Arial"/>
          <w:sz w:val="17"/>
          <w:szCs w:val="17"/>
          <w:color w:val="auto"/>
        </w:rPr>
        <w:t xml:space="preserve">obligation created by such provision and all other obligations of the Guarantor under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to the Banks, the Issuing Banks or the Administrative Agent shall remain valid and enforceable, and that all sums not in excess of those permitted under applicable law shall remain fully collectible by the Banks, the Issuing Banks and the Administrative Agent from any Borrower or the Guarantor, as the case may be.</w:t>
      </w:r>
    </w:p>
    <w:p>
      <w:pPr>
        <w:spacing w:after="0" w:line="166" w:lineRule="exact"/>
        <w:rPr>
          <w:sz w:val="20"/>
          <w:szCs w:val="20"/>
          <w:color w:val="auto"/>
        </w:rPr>
      </w:pPr>
    </w:p>
    <w:p>
      <w:pPr>
        <w:ind w:left="700" w:right="60" w:firstLine="655"/>
        <w:spacing w:after="0" w:line="270" w:lineRule="auto"/>
        <w:tabs>
          <w:tab w:leader="none" w:pos="2001"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are made for the benefit of the Administrative Agent, the Issuing Banks and the Banks and their successors and assigns, and may be enforced in good faith by them from time to time against the Guarantor as often as occasion therefor may arise and without requirement on the part of the Administrative Agent, the Issuing Banks or the Banks first to marshal any of their claims or to exercise any of their rights against any Borrower or the Guarantor or to exhaust any remedies available to them against any Borrower or the Guarantor or to resort to any other source or means of obtaining payment of any of the obligations hereunder or to elect any other remedy. The provisions of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any Borrower or the Guarantor, or otherwise, the provisions of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will forthwith be reinstated in effect, as though such payment had not been made.</w:t>
      </w:r>
    </w:p>
    <w:p>
      <w:pPr>
        <w:spacing w:after="0" w:line="174" w:lineRule="exact"/>
        <w:rPr>
          <w:sz w:val="20"/>
          <w:szCs w:val="20"/>
          <w:color w:val="auto"/>
        </w:rPr>
      </w:pPr>
    </w:p>
    <w:p>
      <w:pPr>
        <w:ind w:firstLine="1297"/>
        <w:spacing w:after="0" w:line="295" w:lineRule="auto"/>
        <w:rPr>
          <w:sz w:val="20"/>
          <w:szCs w:val="20"/>
          <w:color w:val="auto"/>
        </w:rPr>
      </w:pPr>
      <w:r>
        <w:rPr>
          <w:rFonts w:ascii="Arial" w:cs="Arial" w:eastAsia="Arial" w:hAnsi="Arial"/>
          <w:sz w:val="16"/>
          <w:szCs w:val="16"/>
          <w:b w:val="1"/>
          <w:bCs w:val="1"/>
          <w:color w:val="auto"/>
        </w:rPr>
        <w:t xml:space="preserve">§28.7. Waiver. </w:t>
      </w:r>
      <w:r>
        <w:rPr>
          <w:rFonts w:ascii="Arial" w:cs="Arial" w:eastAsia="Arial" w:hAnsi="Arial"/>
          <w:sz w:val="16"/>
          <w:szCs w:val="16"/>
          <w:color w:val="auto"/>
        </w:rPr>
        <w:t>Until the final payment and performance in full of all of the Obligations, the Guarantor shall not exercise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Guarantor hereby waives any rights the Guarantor may have against any Borrower arising as a result of payment by the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the Guarantor will not claim any setoff, recoupment or counterclaim against any Borrower in respect of any liability of any Borrower to the Guarantor; and the Guarantor waives any benefit of and any right to participate in any collateral security which may be held by the Administrative Agent, the Issuing Banks or any Bank.</w:t>
      </w:r>
    </w:p>
    <w:p>
      <w:pPr>
        <w:spacing w:after="0" w:line="156" w:lineRule="exact"/>
        <w:rPr>
          <w:sz w:val="20"/>
          <w:szCs w:val="20"/>
          <w:color w:val="auto"/>
        </w:rPr>
      </w:pPr>
    </w:p>
    <w:p>
      <w:pPr>
        <w:ind w:right="40" w:firstLine="1297"/>
        <w:spacing w:after="0" w:line="295" w:lineRule="auto"/>
        <w:rPr>
          <w:sz w:val="20"/>
          <w:szCs w:val="20"/>
          <w:color w:val="auto"/>
        </w:rPr>
      </w:pPr>
      <w:r>
        <w:rPr>
          <w:rFonts w:ascii="Arial" w:cs="Arial" w:eastAsia="Arial" w:hAnsi="Arial"/>
          <w:sz w:val="16"/>
          <w:szCs w:val="16"/>
          <w:b w:val="1"/>
          <w:bCs w:val="1"/>
          <w:color w:val="auto"/>
        </w:rPr>
        <w:t xml:space="preserve">§28.8. Subrogation; Subordination. </w:t>
      </w:r>
      <w:r>
        <w:rPr>
          <w:rFonts w:ascii="Arial" w:cs="Arial" w:eastAsia="Arial" w:hAnsi="Arial"/>
          <w:sz w:val="16"/>
          <w:szCs w:val="16"/>
          <w:color w:val="auto"/>
        </w:rPr>
        <w:t>The payment of any amounts due with respect to any indebtedness of any Borrower for money</w:t>
      </w:r>
      <w:r>
        <w:rPr>
          <w:rFonts w:ascii="Arial" w:cs="Arial" w:eastAsia="Arial" w:hAnsi="Arial"/>
          <w:sz w:val="16"/>
          <w:szCs w:val="16"/>
          <w:b w:val="1"/>
          <w:bCs w:val="1"/>
          <w:color w:val="auto"/>
        </w:rPr>
        <w:t xml:space="preserve"> </w:t>
      </w:r>
      <w:r>
        <w:rPr>
          <w:rFonts w:ascii="Arial" w:cs="Arial" w:eastAsia="Arial" w:hAnsi="Arial"/>
          <w:sz w:val="16"/>
          <w:szCs w:val="16"/>
          <w:color w:val="auto"/>
        </w:rPr>
        <w:t>borrowed or credit received now or hereafter owed to the Guarantor is hereby 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any Borrower to the Guarantor until all of the Obligations shall have been paid in full</w:t>
      </w:r>
      <w:r>
        <w:rPr>
          <w:rFonts w:ascii="Arial" w:cs="Arial" w:eastAsia="Arial" w:hAnsi="Arial"/>
          <w:sz w:val="16"/>
          <w:szCs w:val="16"/>
          <w:i w:val="1"/>
          <w:iCs w:val="1"/>
          <w:color w:val="auto"/>
        </w:rPr>
        <w:t>.</w:t>
      </w:r>
      <w:r>
        <w:rPr>
          <w:rFonts w:ascii="Arial" w:cs="Arial" w:eastAsia="Arial" w:hAnsi="Arial"/>
          <w:sz w:val="16"/>
          <w:szCs w:val="16"/>
          <w:color w:val="auto"/>
        </w:rPr>
        <w:t xml:space="preserve"> If, notwithstanding the foregoing sentence, the Guarantor shall collect, enforce or receive any amounts in respect of such indebtedness while any Obligations are still outstanding, such amounts shall be collected, enforced and received by the Guarantor as trustee for the Banks, the Issuing Banks and the Administrative</w:t>
      </w:r>
    </w:p>
    <w:p>
      <w:pPr>
        <w:sectPr>
          <w:pgSz w:w="11900" w:h="16838" w:orient="portrait"/>
          <w:cols w:equalWidth="0" w:num="1">
            <w:col w:w="11400"/>
          </w:cols>
          <w:pgMar w:left="240" w:top="341" w:right="259" w:bottom="0" w:gutter="0" w:footer="0" w:header="0"/>
        </w:sectPr>
      </w:pPr>
    </w:p>
    <w:bookmarkStart w:id="59" w:name="page60"/>
    <w:bookmarkEnd w:id="59"/>
    <w:p>
      <w:pPr>
        <w:ind w:right="200"/>
        <w:spacing w:after="0" w:line="277" w:lineRule="auto"/>
        <w:rPr>
          <w:sz w:val="20"/>
          <w:szCs w:val="20"/>
          <w:color w:val="auto"/>
        </w:rPr>
      </w:pPr>
      <w:r>
        <w:rPr>
          <w:rFonts w:ascii="Arial" w:cs="Arial" w:eastAsia="Arial" w:hAnsi="Arial"/>
          <w:sz w:val="18"/>
          <w:szCs w:val="18"/>
          <w:color w:val="auto"/>
        </w:rPr>
        <w:t>Agent and be paid over to the Administrative Agent at Default, for the benefit of the Banks, the Issuing Banks, and the Administrative Agent on account of the Obligations without affecting in any manner the liability of the Guarantor under the other provisions hereof.</w:t>
      </w:r>
    </w:p>
    <w:p>
      <w:pPr>
        <w:spacing w:after="0" w:line="166" w:lineRule="exact"/>
        <w:rPr>
          <w:sz w:val="20"/>
          <w:szCs w:val="20"/>
          <w:color w:val="auto"/>
        </w:rPr>
      </w:pPr>
    </w:p>
    <w:p>
      <w:pPr>
        <w:jc w:val="both"/>
        <w:ind w:right="160" w:firstLine="1297"/>
        <w:spacing w:after="0" w:line="261" w:lineRule="auto"/>
        <w:rPr>
          <w:sz w:val="20"/>
          <w:szCs w:val="20"/>
          <w:color w:val="auto"/>
        </w:rPr>
      </w:pPr>
      <w:r>
        <w:rPr>
          <w:rFonts w:ascii="Arial" w:cs="Arial" w:eastAsia="Arial" w:hAnsi="Arial"/>
          <w:sz w:val="18"/>
          <w:szCs w:val="18"/>
          <w:b w:val="1"/>
          <w:bCs w:val="1"/>
          <w:color w:val="auto"/>
        </w:rPr>
        <w:t>§28.9. Consent and Confirmation</w:t>
      </w:r>
      <w:r>
        <w:rPr>
          <w:rFonts w:ascii="Arial" w:cs="Arial" w:eastAsia="Arial" w:hAnsi="Arial"/>
          <w:sz w:val="18"/>
          <w:szCs w:val="18"/>
          <w:color w:val="auto"/>
        </w:rPr>
        <w:t>. The Guarantor hereby (i) consents, acknowledges and agrees to the amendment and restatement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Existing Credit Agreement provided hereby and set forth herein, (ii) confirms and ratifies in all respects this Agreement and the enforceability of this Agreement in accordance with its terms, and (iii) confirms and agrees that the Guarantor’s payment and performance obligations under this Agreement, and the Guaranteed Obligations, do and shall continue as to and include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all Obligations upon and after the effectiveness of this Agreement and the amendment and restatement of the Existing Credit Agreement contemplated hereby.</w:t>
      </w: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u w:val="single" w:color="auto"/>
          <w:color w:val="auto"/>
        </w:rPr>
        <w:t>PRO RATA TREATMENT</w:t>
      </w:r>
      <w:r>
        <w:rPr>
          <w:rFonts w:ascii="Arial" w:cs="Arial" w:eastAsia="Arial" w:hAnsi="Arial"/>
          <w:sz w:val="18"/>
          <w:szCs w:val="18"/>
          <w:color w:val="auto"/>
        </w:rPr>
        <w:t>.</w:t>
      </w:r>
    </w:p>
    <w:p>
      <w:pPr>
        <w:spacing w:after="0" w:line="229" w:lineRule="exact"/>
        <w:rPr>
          <w:sz w:val="20"/>
          <w:szCs w:val="20"/>
          <w:color w:val="auto"/>
        </w:rPr>
      </w:pPr>
    </w:p>
    <w:p>
      <w:pPr>
        <w:ind w:left="700" w:firstLine="655"/>
        <w:spacing w:after="0" w:line="264" w:lineRule="auto"/>
        <w:tabs>
          <w:tab w:leader="none" w:pos="1993"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set forth herein, each payment or prepayment of principal and interest received hereunder shall be distributed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Banks, in accordance with the aggregate outstanding principal amount of the Obligations owing to each Bank divided by the aggregate outstanding principal amount of all Obligations.</w:t>
      </w:r>
    </w:p>
    <w:p>
      <w:pPr>
        <w:spacing w:after="0" w:line="181" w:lineRule="exact"/>
        <w:rPr>
          <w:rFonts w:ascii="Arial" w:cs="Arial" w:eastAsia="Arial" w:hAnsi="Arial"/>
          <w:sz w:val="18"/>
          <w:szCs w:val="18"/>
          <w:color w:val="auto"/>
        </w:rPr>
      </w:pPr>
    </w:p>
    <w:p>
      <w:pPr>
        <w:ind w:left="700" w:right="20" w:firstLine="655"/>
        <w:spacing w:after="0" w:line="267" w:lineRule="auto"/>
        <w:tabs>
          <w:tab w:leader="none" w:pos="2004"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Each Bank agrees that if it shall, through the exercise of a right of banker’s lien, setoff or counterclaim against any Borrower (pursuant to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or otherwise), including a secured claim under Section 506 of the Bankruptcy Code or any other Debtor Relief Law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as a result of which the unpaid principal portion of the Notes and the Obligations held by it shall be proportionately less than the unpaid principal portion of the Notes and the Obligations held by any other Bank, it shall be deemed to have simultaneously purchased from such other Bank a participation in the Notes and the Obligations held by such other Bank, so that the aggregate unpaid principal amount of the Notes and the Obligations and participations in Notes and Obligations held by each Bank shall be in the same proportion to the aggregate unpaid principal amount of the Notes and the Obligations then outstanding as the principal amount of the Notes and the Obligations held by it prior to such exercise of banker’s lien, setoff or counterclaim was to the principal amount of all Notes and Obligations outstanding prior to such exercise of banker’s lien, setoff or counterclaim; provided, however, that (i) if any such purchase or purchases or adjustments shall be made pursuant to this </w:t>
      </w:r>
      <w:r>
        <w:rPr>
          <w:rFonts w:ascii="Arial" w:cs="Arial" w:eastAsia="Arial" w:hAnsi="Arial"/>
          <w:sz w:val="17"/>
          <w:szCs w:val="17"/>
          <w:u w:val="single" w:color="auto"/>
          <w:color w:val="auto"/>
        </w:rPr>
        <w:t>§29</w:t>
      </w:r>
      <w:r>
        <w:rPr>
          <w:rFonts w:ascii="Arial" w:cs="Arial" w:eastAsia="Arial" w:hAnsi="Arial"/>
          <w:sz w:val="17"/>
          <w:szCs w:val="17"/>
          <w:color w:val="auto"/>
        </w:rPr>
        <w:t xml:space="preserve"> and the payment giving rise thereto shall thereafter be recovered, such purchase or purchases or adjustments shall be rescinded to the extent of such recovery and the purchase price or prices or adjustments restored without interest and (ii) the provisions of this Section shall not be construed to apply to (x) any payment made by or on behalf of any Borrower pursuant to and in accordance with the express terms of this Agreement (including the application of funds arising from the existence of a Defaulting Bank), or (y) any payment obtained by a Bank as consideration for the assignment of or sale of a participation in any of its Committed Loans or sub-participations in Reimbursement Obligations or Swing Line Loans to any assignee or participant, other than an assignment to any Borrower or any Subsidiary thereof (as to which the provisions of this Section shall apply). Each Borrower expressly consents to the foregoing arrangements and agrees that any Person holding such a participation in the Obligations deemed to have been so purchased may exercise any and all rights of banker’s lien, setoff or counterclaim with respect to any and all moneys owing by any Borrower to such Person as fully as if such Person had made a Loan directly to such Borrower in the amount of such participation.</w:t>
      </w:r>
    </w:p>
    <w:p>
      <w:pPr>
        <w:spacing w:after="0" w:line="18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§30. </w:t>
      </w:r>
      <w:r>
        <w:rPr>
          <w:rFonts w:ascii="Arial" w:cs="Arial" w:eastAsia="Arial" w:hAnsi="Arial"/>
          <w:sz w:val="18"/>
          <w:szCs w:val="18"/>
          <w:b w:val="1"/>
          <w:bCs w:val="1"/>
          <w:u w:val="single" w:color="auto"/>
          <w:color w:val="auto"/>
        </w:rPr>
        <w:t>FINAL AGREEMENT</w:t>
      </w:r>
      <w:r>
        <w:rPr>
          <w:rFonts w:ascii="Arial" w:cs="Arial" w:eastAsia="Arial" w:hAnsi="Arial"/>
          <w:sz w:val="18"/>
          <w:szCs w:val="18"/>
          <w:color w:val="auto"/>
        </w:rPr>
        <w:t>. THIS AGREEMENT AND THE OTHER LOAN DOCUMENTS REPRESENT THE FINAL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AND MAY NOT BE CONTRADICTED BY EVIDENCE OF PRIOR, CONTEMPORANEOUS, OR SUBSEQUENT ORAL AGREEMENTS OF THE PARTIES. THERE ARE NO UNWRITTEN ORAL AGREEMENTS BETWEEN THE PARTIES.</w:t>
      </w:r>
    </w:p>
    <w:p>
      <w:pPr>
        <w:spacing w:after="0" w:line="176"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USA PATRIOT ACT</w:t>
      </w:r>
      <w:r>
        <w:rPr>
          <w:rFonts w:ascii="Arial" w:cs="Arial" w:eastAsia="Arial" w:hAnsi="Arial"/>
          <w:sz w:val="16"/>
          <w:szCs w:val="16"/>
          <w:color w:val="auto"/>
        </w:rPr>
        <w:t>. Each Bank hereby notifies each Borrower that pursuant to the requirements of the USA PATRIOT Act and the Canadian</w:t>
      </w:r>
      <w:r>
        <w:rPr>
          <w:rFonts w:ascii="Arial" w:cs="Arial" w:eastAsia="Arial" w:hAnsi="Arial"/>
          <w:sz w:val="16"/>
          <w:szCs w:val="16"/>
          <w:b w:val="1"/>
          <w:bCs w:val="1"/>
          <w:color w:val="auto"/>
        </w:rPr>
        <w:t xml:space="preserve"> </w:t>
      </w:r>
      <w:r>
        <w:rPr>
          <w:rFonts w:ascii="Arial" w:cs="Arial" w:eastAsia="Arial" w:hAnsi="Arial"/>
          <w:sz w:val="16"/>
          <w:szCs w:val="16"/>
          <w:color w:val="auto"/>
        </w:rPr>
        <w:t>AML Acts, it is required to obtain, verify and record information that identifies each Borrower, which information includes the name and address of such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Borrower, information concerning its direct and indirect holders of equity interests and other Persons exercising control over it, and other information that will allow such Bank to identify such Borrower in accordance with the USA PATRIOT Act and the Canadian AML Acts. Each Borrower and each of its Subsidiaries shall provide such information and take such actions as are reasonably requested by the Administrative Agent or any Bank in order to assist the Administrative Agent and the Banks in maintaining compliance with the USA PATRIOT Act and the Canadian AML Acts.</w:t>
      </w:r>
    </w:p>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amendment, waiver or other modification hereof or of any other Loan Document), each of the Borrowers and the Guarantor acknowledges and agrees, and acknowledges its affiliates’ understanding, that: (i) (A) the arranging and other services regarding this Agreement provided by the Administrative Agent, the Banks and the Lead Arrangers are arm’s-length commercial transactions between each Borrower, the Guarantor and their respective affiliates, on the one hand, and the Administrative Agent, the Banks and the other Lead Arrangers, on the other hand, (B) each of the Borrowers and the Guarantor has consulted its own legal, accounting, regulatory and tax advisors to the extent it has deemed appropriate, and (C) each Borrower and the Guarantor is capable of evaluating, and understands and accepts, the terms, risks and conditions of the transactions contemplated hereby and by the other Loan Documents; (ii) (A) the Administrative Agent, each Bank and each Lead Arranger each is and has been acting solely as a principal and, except as expressly agreed in writing by the relevant parties, has not been, is not, and will not be acting as an advisor, agent or fiduciary for any Borrower, the Guarantor or any of their respective affiliates, or any other Person and (B) neither the Administrative Agent nor any Bank nor any Lead Arranger has any obligation to any Borrower, the Guarantor or any of their respective affiliates with respect to the transactions contemplated hereby except those obligations expressly set forth herein and in the other Loan Documents; and (iii) the Administrative Agent, the Banks and the Lead Arrangers and their respective affiliates may be engaged in a broad range of transactions that involve interests that differ from those of any Borrower, the Guarantor and their respective affiliates, and neither the Administrative Agent nor any Bank nor any Lead Arranger has any obligation to disclose any of such interests to any Borrower, the Guarantor or any of their respective affiliates. To the fullest extent permitted by law, each of the Borrowers and the Guarantor hereby waives and releases any claims that it may have against the Administrative Agent, the Banks and the other Lead Arrangers with respect to any breach or alleged breach of any agency or fiduciary duty to any Borrower, the Guarantor or any of their respective affiliates in connection with any aspect of any transaction contemplated hereby.</w:t>
      </w:r>
    </w:p>
    <w:p>
      <w:pPr>
        <w:sectPr>
          <w:pgSz w:w="11900" w:h="16838" w:orient="portrait"/>
          <w:cols w:equalWidth="0" w:num="1">
            <w:col w:w="11400"/>
          </w:cols>
          <w:pgMar w:left="240" w:top="125" w:right="259" w:bottom="0" w:gutter="0" w:footer="0" w:header="0"/>
        </w:sectPr>
      </w:pPr>
    </w:p>
    <w:bookmarkStart w:id="60" w:name="page61"/>
    <w:bookmarkEnd w:id="60"/>
    <w:p>
      <w:pPr>
        <w:ind w:right="120"/>
        <w:spacing w:after="0" w:line="285"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u w:val="single" w:color="auto"/>
          <w:color w:val="auto"/>
        </w:rPr>
        <w:t>PAYMENTS SET ASIDE</w:t>
      </w:r>
      <w:r>
        <w:rPr>
          <w:rFonts w:ascii="Arial" w:cs="Arial" w:eastAsia="Arial" w:hAnsi="Arial"/>
          <w:sz w:val="16"/>
          <w:szCs w:val="16"/>
          <w:color w:val="auto"/>
        </w:rPr>
        <w:t>. To the extent that any payment by or on behalf of any Borrower is made to the Administrative Agent, an Issuing Bank</w:t>
      </w:r>
      <w:r>
        <w:rPr>
          <w:rFonts w:ascii="Arial" w:cs="Arial" w:eastAsia="Arial" w:hAnsi="Arial"/>
          <w:sz w:val="16"/>
          <w:szCs w:val="16"/>
          <w:b w:val="1"/>
          <w:bCs w:val="1"/>
          <w:color w:val="auto"/>
        </w:rPr>
        <w:t xml:space="preserve"> </w:t>
      </w:r>
      <w:r>
        <w:rPr>
          <w:rFonts w:ascii="Arial" w:cs="Arial" w:eastAsia="Arial" w:hAnsi="Arial"/>
          <w:sz w:val="16"/>
          <w:szCs w:val="16"/>
          <w:color w:val="auto"/>
        </w:rPr>
        <w:t>or any Bank, or the Administrative Agent, an Issuing Bank or any Bank exercises its right of setoff, and such payment or the proceeds of such setoff or any part thereof is subsequently invalidated, declared to be fraudulent or preferential, set aside or required (including pursuant to any settlement entered into by the Administrative Agent, an Issuing Bank or such Bank in its discretion) to be repaid to a trustee, receiver or any other party, in connection with any proceeding under any bankruptcy, insolvency or similar law or otherwise, then (a) to the extent of such recovery, the obligation or part thereof originally intended to be satisfied shall be revived and continued in full force and effect as if such payment had not been made or such setoff had not occurred, and</w:t>
      </w:r>
    </w:p>
    <w:p>
      <w:pPr>
        <w:spacing w:after="0" w:line="4" w:lineRule="exact"/>
        <w:rPr>
          <w:sz w:val="20"/>
          <w:szCs w:val="20"/>
          <w:color w:val="auto"/>
        </w:rPr>
      </w:pPr>
    </w:p>
    <w:p>
      <w:pPr>
        <w:ind w:right="260" w:firstLine="8"/>
        <w:spacing w:after="0" w:line="273" w:lineRule="auto"/>
        <w:tabs>
          <w:tab w:leader="none" w:pos="255" w:val="left"/>
        </w:tabs>
        <w:numPr>
          <w:ilvl w:val="0"/>
          <w:numId w:val="98"/>
        </w:numPr>
        <w:rPr>
          <w:rFonts w:ascii="Arial" w:cs="Arial" w:eastAsia="Arial" w:hAnsi="Arial"/>
          <w:sz w:val="17"/>
          <w:szCs w:val="17"/>
          <w:color w:val="auto"/>
        </w:rPr>
      </w:pPr>
      <w:r>
        <w:rPr>
          <w:rFonts w:ascii="Arial" w:cs="Arial" w:eastAsia="Arial" w:hAnsi="Arial"/>
          <w:sz w:val="17"/>
          <w:szCs w:val="17"/>
          <w:color w:val="auto"/>
        </w:rPr>
        <w:t>each Bank and each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Banks and each Issuing Bank under clause (b) of the preceding sentence shall survive the payment in full of the Obligations and the termination of this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b w:val="1"/>
          <w:bCs w:val="1"/>
          <w:u w:val="single" w:color="auto"/>
          <w:color w:val="auto"/>
        </w:rPr>
        <w:t>ELECTRONIC EXECUTION OF ASSIGNMENTS AND CERTAIN OTHER DOCUMENTS</w:t>
      </w:r>
      <w:r>
        <w:rPr>
          <w:rFonts w:ascii="Arial" w:cs="Arial" w:eastAsia="Arial" w:hAnsi="Arial"/>
          <w:sz w:val="17"/>
          <w:szCs w:val="17"/>
          <w:color w:val="auto"/>
        </w:rPr>
        <w:t>. The words “execute,” “execution,” “signed,”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“signature,” and words of like import in or related to any document to be signed in connection with this Agreement and the transactions contemplated hereby (including without limitation Assignment and Assumptions, amendments or other modifications, Committed Loan Notice, Swing Line Loan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 xml:space="preserve">§35. </w:t>
      </w:r>
      <w:r>
        <w:rPr>
          <w:rFonts w:ascii="Arial" w:cs="Arial" w:eastAsia="Arial" w:hAnsi="Arial"/>
          <w:sz w:val="17"/>
          <w:szCs w:val="17"/>
          <w:b w:val="1"/>
          <w:bCs w:val="1"/>
          <w:u w:val="single" w:color="auto"/>
          <w:color w:val="auto"/>
        </w:rPr>
        <w:t>ACKNOWLEDGEMENT AND CONSENT TO BAIL-IN OF EEA FINANCIAL INSTITUTIONS</w:t>
      </w:r>
      <w:r>
        <w:rPr>
          <w:rFonts w:ascii="Arial" w:cs="Arial" w:eastAsia="Arial" w:hAnsi="Arial"/>
          <w:sz w:val="17"/>
          <w:szCs w:val="17"/>
          <w:b w:val="1"/>
          <w:bCs w:val="1"/>
          <w:color w:val="auto"/>
        </w:rPr>
        <w:t xml:space="preserve">. </w:t>
      </w:r>
      <w:r>
        <w:rPr>
          <w:rFonts w:ascii="Arial" w:cs="Arial" w:eastAsia="Arial" w:hAnsi="Arial"/>
          <w:sz w:val="17"/>
          <w:szCs w:val="17"/>
          <w:color w:val="auto"/>
        </w:rPr>
        <w:t>Solely to the extent any Bank or Issuing</w:t>
      </w:r>
      <w:r>
        <w:rPr>
          <w:rFonts w:ascii="Arial" w:cs="Arial" w:eastAsia="Arial" w:hAnsi="Arial"/>
          <w:sz w:val="17"/>
          <w:szCs w:val="17"/>
          <w:b w:val="1"/>
          <w:bCs w:val="1"/>
          <w:color w:val="auto"/>
        </w:rPr>
        <w:t xml:space="preserve"> </w:t>
      </w:r>
      <w:r>
        <w:rPr>
          <w:rFonts w:ascii="Arial" w:cs="Arial" w:eastAsia="Arial" w:hAnsi="Arial"/>
          <w:sz w:val="17"/>
          <w:szCs w:val="17"/>
          <w:color w:val="auto"/>
        </w:rPr>
        <w:t>Bank that is an EEA Financial Institution is a party to this Agreement and notwithstanding anything to the contrary in any Loan Document or in any other agreement, arrangement or understanding among any such parties, each party hereto acknowledges that any liability of any Bank or any Issuing Bank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68" w:lineRule="exact"/>
        <w:rPr>
          <w:sz w:val="20"/>
          <w:szCs w:val="20"/>
          <w:color w:val="auto"/>
        </w:rPr>
      </w:pPr>
    </w:p>
    <w:p>
      <w:pPr>
        <w:ind w:right="500" w:firstLine="1297"/>
        <w:spacing w:after="0" w:line="282" w:lineRule="auto"/>
        <w:rPr>
          <w:sz w:val="20"/>
          <w:szCs w:val="20"/>
          <w:color w:val="auto"/>
        </w:rPr>
      </w:pPr>
      <w:r>
        <w:rPr>
          <w:rFonts w:ascii="Arial" w:cs="Arial" w:eastAsia="Arial" w:hAnsi="Arial"/>
          <w:sz w:val="18"/>
          <w:szCs w:val="18"/>
          <w:b w:val="1"/>
          <w:bCs w:val="1"/>
          <w:color w:val="auto"/>
        </w:rPr>
        <w:t xml:space="preserve">§35.1. </w:t>
      </w:r>
      <w:r>
        <w:rPr>
          <w:rFonts w:ascii="Arial" w:cs="Arial" w:eastAsia="Arial" w:hAnsi="Arial"/>
          <w:sz w:val="18"/>
          <w:szCs w:val="18"/>
          <w:color w:val="auto"/>
        </w:rPr>
        <w:t>the application of any Write-Down and Conversion Powers by an EEA Resolution Authority to any such liabilities arising</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which may be payable to it by any Bank or Issuing Bank that is an EEA Financial Institution; and</w:t>
      </w:r>
    </w:p>
    <w:p>
      <w:pPr>
        <w:spacing w:after="0" w:line="162"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8"/>
          <w:szCs w:val="18"/>
          <w:color w:val="auto"/>
        </w:rPr>
        <w:t>the effects of any Bail-in Action on any such liability, including, if applicable:</w:t>
      </w:r>
    </w:p>
    <w:p>
      <w:pPr>
        <w:spacing w:after="0" w:line="225"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b w:val="1"/>
          <w:bCs w:val="1"/>
          <w:color w:val="auto"/>
        </w:rPr>
        <w:t>§35.2.1</w:t>
      </w:r>
      <w:r>
        <w:rPr>
          <w:sz w:val="20"/>
          <w:szCs w:val="20"/>
          <w:color w:val="auto"/>
        </w:rPr>
        <w:tab/>
      </w:r>
      <w:r>
        <w:rPr>
          <w:rFonts w:ascii="Arial" w:cs="Arial" w:eastAsia="Arial" w:hAnsi="Arial"/>
          <w:sz w:val="18"/>
          <w:szCs w:val="18"/>
          <w:color w:val="auto"/>
        </w:rPr>
        <w:t>a reduction in full or in part or cancellation of any such liability;</w:t>
      </w:r>
    </w:p>
    <w:p>
      <w:pPr>
        <w:spacing w:after="0" w:line="225" w:lineRule="exact"/>
        <w:rPr>
          <w:sz w:val="20"/>
          <w:szCs w:val="20"/>
          <w:color w:val="auto"/>
        </w:rPr>
      </w:pPr>
    </w:p>
    <w:p>
      <w:pPr>
        <w:ind w:right="60" w:firstLine="1945"/>
        <w:spacing w:after="0" w:line="289" w:lineRule="auto"/>
        <w:rPr>
          <w:sz w:val="20"/>
          <w:szCs w:val="20"/>
          <w:color w:val="auto"/>
        </w:rPr>
      </w:pPr>
      <w:r>
        <w:rPr>
          <w:rFonts w:ascii="Arial" w:cs="Arial" w:eastAsia="Arial" w:hAnsi="Arial"/>
          <w:sz w:val="17"/>
          <w:szCs w:val="17"/>
          <w:b w:val="1"/>
          <w:bCs w:val="1"/>
          <w:color w:val="auto"/>
        </w:rPr>
        <w:t xml:space="preserve">§35.2.2 </w:t>
      </w:r>
      <w:r>
        <w:rPr>
          <w:rFonts w:ascii="Arial" w:cs="Arial" w:eastAsia="Arial" w:hAnsi="Arial"/>
          <w:sz w:val="17"/>
          <w:szCs w:val="17"/>
          <w:color w:val="auto"/>
        </w:rPr>
        <w:t>a conversion of all, or a portion of, such liability into shares or other instruments of ownership in such EEA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8" w:lineRule="exact"/>
        <w:rPr>
          <w:sz w:val="20"/>
          <w:szCs w:val="20"/>
          <w:color w:val="auto"/>
        </w:rPr>
      </w:pPr>
    </w:p>
    <w:p>
      <w:pPr>
        <w:ind w:firstLine="1945"/>
        <w:spacing w:after="0" w:line="282" w:lineRule="auto"/>
        <w:rPr>
          <w:sz w:val="20"/>
          <w:szCs w:val="20"/>
          <w:color w:val="auto"/>
        </w:rPr>
      </w:pPr>
      <w:r>
        <w:rPr>
          <w:rFonts w:ascii="Arial" w:cs="Arial" w:eastAsia="Arial" w:hAnsi="Arial"/>
          <w:sz w:val="18"/>
          <w:szCs w:val="18"/>
          <w:b w:val="1"/>
          <w:bCs w:val="1"/>
          <w:color w:val="auto"/>
        </w:rPr>
        <w:t xml:space="preserve">§35.2.3 </w:t>
      </w:r>
      <w:r>
        <w:rPr>
          <w:rFonts w:ascii="Arial" w:cs="Arial" w:eastAsia="Arial" w:hAnsi="Arial"/>
          <w:sz w:val="18"/>
          <w:szCs w:val="18"/>
          <w:color w:val="auto"/>
        </w:rPr>
        <w:t>the variation of the terms of such liability in connection with the exercise of the write-down and conversion powers of</w:t>
      </w:r>
      <w:r>
        <w:rPr>
          <w:rFonts w:ascii="Arial" w:cs="Arial" w:eastAsia="Arial" w:hAnsi="Arial"/>
          <w:sz w:val="18"/>
          <w:szCs w:val="18"/>
          <w:b w:val="1"/>
          <w:bCs w:val="1"/>
          <w:color w:val="auto"/>
        </w:rPr>
        <w:t xml:space="preserve"> </w:t>
      </w:r>
      <w:r>
        <w:rPr>
          <w:rFonts w:ascii="Arial" w:cs="Arial" w:eastAsia="Arial" w:hAnsi="Arial"/>
          <w:sz w:val="18"/>
          <w:szCs w:val="18"/>
          <w:color w:val="auto"/>
        </w:rPr>
        <w:t>any EEA Resolution Authority.</w:t>
      </w:r>
    </w:p>
    <w:p>
      <w:pPr>
        <w:spacing w:after="0" w:line="16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INTEREST RATE LIMITATION</w:t>
      </w:r>
      <w:r>
        <w:rPr>
          <w:rFonts w:ascii="Arial" w:cs="Arial" w:eastAsia="Arial" w:hAnsi="Arial"/>
          <w:sz w:val="18"/>
          <w:szCs w:val="18"/>
          <w:color w:val="auto"/>
        </w:rPr>
        <w:t>. Notwithstanding anything to the contrary contained in any Loan Document, the interest paid or agreed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paid under the Loan Documents shall not exceed the maximum rate of non-usurious interest permitted by applicable law (including without limitation, the Criminal Code (Canada))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Administrative Agent or any Bank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Bank exceeds the Maximum Rate, such Person may, to the extent permitted by applicable law, (a) characterize any payment that is not principal as an expense, fee, or premium rather than interest, (b) exclude voluntary prepayments and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effects thereof, and (c) amortize, prorate, allocate, and spread in equal or unequal parts the total amount of interest throughout the contemplated term of the Obligations hereunder.</w:t>
      </w:r>
    </w:p>
    <w:p>
      <w:pPr>
        <w:spacing w:after="0" w:line="16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color w:val="auto"/>
        </w:rPr>
        <w:t xml:space="preserve">§37. </w:t>
      </w:r>
      <w:r>
        <w:rPr>
          <w:rFonts w:ascii="Arial" w:cs="Arial" w:eastAsia="Arial" w:hAnsi="Arial"/>
          <w:sz w:val="17"/>
          <w:szCs w:val="17"/>
          <w:b w:val="1"/>
          <w:bCs w:val="1"/>
          <w:u w:val="single" w:color="auto"/>
          <w:color w:val="auto"/>
        </w:rPr>
        <w:t>JUDGMENT CURRENCY</w:t>
      </w:r>
      <w:r>
        <w:rPr>
          <w:rFonts w:ascii="Arial" w:cs="Arial" w:eastAsia="Arial" w:hAnsi="Arial"/>
          <w:sz w:val="17"/>
          <w:szCs w:val="17"/>
          <w:color w:val="auto"/>
        </w:rPr>
        <w:t>. If, for the purposes of obtaining judgment in any court, it is necessary to convert a sum due hereunder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any Issuing Bank or any Bank hereunder or under the other Loan Documents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that in which such sum is denominated in accordance with the applicable provisions of this Agreement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Administrative Agent, such Issuing Bank or such Bank, as the case may be, of any sum adjudged to be so due in the Judgment Currency, the Administrative Agent, such Issuing Bank or such Bank, as the case may be, may in accordance with normal banking procedures purchase the Agreement Currency with the Judgment Currency. If the amount of the Agreement Currency so purchased is less than the sum originally due to the Administrative Agent, any Issuing Bank or any Bank from any Loan Party in the Agreement Currency, such Loan Party agrees, as a separate obligation and notwithstanding any such judgment, to indemnify the Administrative Agent, such Issuing Bank or such Bank, as the case may be, against such loss. If the amount of the Agreement Currency so purchased is greater than the sum originally due to the Administrative Agent, any Issuing Bank or any Bank in such currency, the Administrative Agent, such Issuing Bank or such Bank, as the case may be, agrees to return the amount of any excess to such Loan Party (or to any other Person who may be entitled thereto under applicable law).</w:t>
      </w:r>
    </w:p>
    <w:p>
      <w:pPr>
        <w:sectPr>
          <w:pgSz w:w="11900" w:h="16838" w:orient="portrait"/>
          <w:cols w:equalWidth="0" w:num="1">
            <w:col w:w="11420"/>
          </w:cols>
          <w:pgMar w:left="240" w:top="121" w:right="239" w:bottom="0" w:gutter="0" w:footer="0" w:header="0"/>
        </w:sectPr>
      </w:pPr>
    </w:p>
    <w:bookmarkStart w:id="61" w:name="page62"/>
    <w:bookmarkEnd w:id="61"/>
    <w:p>
      <w:pPr>
        <w:jc w:val="center"/>
        <w:ind w:right="640"/>
        <w:spacing w:after="0"/>
        <w:rPr>
          <w:sz w:val="20"/>
          <w:szCs w:val="20"/>
          <w:color w:val="auto"/>
        </w:rPr>
      </w:pPr>
      <w:r>
        <w:rPr>
          <w:rFonts w:ascii="Arial" w:cs="Arial" w:eastAsia="Arial" w:hAnsi="Arial"/>
          <w:sz w:val="18"/>
          <w:szCs w:val="18"/>
          <w:color w:val="auto"/>
        </w:rPr>
        <w:t>[Remainder of page is intentionally left blank; signature pages follow]</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duly executed this Agreement as of the date first set forth above.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THE BORROWERS AND GUARANTOR:</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Reed</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198" w:lineRule="exact"/>
        <w:rPr>
          <w:sz w:val="20"/>
          <w:szCs w:val="20"/>
          <w:color w:val="auto"/>
        </w:rPr>
      </w:pPr>
    </w:p>
    <w:p>
      <w:pPr>
        <w:jc w:val="right"/>
        <w:ind w:right="1140"/>
        <w:spacing w:after="0"/>
        <w:rPr>
          <w:sz w:val="20"/>
          <w:szCs w:val="20"/>
          <w:color w:val="auto"/>
        </w:rPr>
      </w:pPr>
      <w:r>
        <w:rPr>
          <w:rFonts w:ascii="Arial" w:cs="Arial" w:eastAsia="Arial" w:hAnsi="Arial"/>
          <w:sz w:val="18"/>
          <w:szCs w:val="18"/>
          <w:b w:val="1"/>
          <w:bCs w:val="1"/>
          <w:color w:val="auto"/>
        </w:rPr>
        <w:t>WASTE MANAGEMENT OF CANADA CORPORATION</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Reed</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 &amp; Treasurer</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WM QUEBEC INC.</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Reed</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19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WASTE MANAGEMENT HOLDINGS, INC.</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Reed</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 &amp; Treasurer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R. Bennett</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Jeff R. Bennett</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Fourth Amended and Restated Credit Agreement</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THE ADMINISTRATIVE AGENT</w:t>
      </w:r>
      <w:r>
        <w:rPr>
          <w:rFonts w:ascii="Arial" w:cs="Arial" w:eastAsia="Arial" w:hAnsi="Arial"/>
          <w:sz w:val="18"/>
          <w:szCs w:val="18"/>
          <w:b w:val="1"/>
          <w:bCs w:val="1"/>
          <w:color w:val="auto"/>
        </w:rPr>
        <w: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Administrative Agent</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Melissa Mullis</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Melissa Mullis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20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Fourth Amended and Restated Credit Agreement</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THE BANKS</w:t>
      </w:r>
      <w:r>
        <w:rPr>
          <w:rFonts w:ascii="Arial" w:cs="Arial" w:eastAsia="Arial" w:hAnsi="Arial"/>
          <w:sz w:val="18"/>
          <w:szCs w:val="18"/>
          <w:b w:val="1"/>
          <w:bCs w:val="1"/>
          <w:color w:val="auto"/>
        </w:rPr>
        <w: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Bank, Swing Line</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Bank and an Issuing Bank</w:t>
      </w:r>
    </w:p>
    <w:p>
      <w:pPr>
        <w:spacing w:after="0" w:line="211"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Contreras</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Michael Contreras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Fourth Amended and Restated Credit Agreement</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125" w:right="239" w:bottom="288" w:gutter="0" w:footer="0" w:header="0"/>
        </w:sectPr>
      </w:pPr>
    </w:p>
    <w:bookmarkStart w:id="62" w:name="page63"/>
    <w:bookmarkEnd w:id="62"/>
    <w:p>
      <w:pPr>
        <w:jc w:val="right"/>
        <w:ind w:right="68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 as a Bank and an Issuing Bank</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Predun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Peter Predun</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Fourth Amended and Restated Credit Agreement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color w:val="auto"/>
        </w:rPr>
        <w:t>, as a Bank and an Issuing Bank</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Malloy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Craig Malloy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Fourth Amended and Restated Credit Agreement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MIZUHO BANK, LTD.</w:t>
      </w:r>
      <w:r>
        <w:rPr>
          <w:rFonts w:ascii="Arial" w:cs="Arial" w:eastAsia="Arial" w:hAnsi="Arial"/>
          <w:sz w:val="18"/>
          <w:szCs w:val="18"/>
          <w:color w:val="auto"/>
        </w:rPr>
        <w:t>, as a Bank and an Issuing Bank</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Tracy Rahn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Tracy Rahn</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Fourth Amended and Restated Credit Agreement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BANK OF NOVA SCOTIA</w:t>
      </w:r>
      <w:r>
        <w:rPr>
          <w:rFonts w:ascii="Arial" w:cs="Arial" w:eastAsia="Arial" w:hAnsi="Arial"/>
          <w:sz w:val="18"/>
          <w:szCs w:val="18"/>
          <w:color w:val="auto"/>
        </w:rPr>
        <w:t>, as a Bank and an Issuing Bank</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Mauricio Saishio</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Mauricio Saishio</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Fourth Amended and Restated Credit Agreement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 as a Bank</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Mike Shryock</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Mike Shryock</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Nader Tannous</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Nader Tannous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Fourth Amended and Restated Credit Agreement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a Bank</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Reed</w:t>
            </w:r>
          </w:p>
        </w:tc>
      </w:tr>
      <w:tr>
        <w:trPr>
          <w:trHeight w:val="224"/>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Brian Reed</w:t>
            </w:r>
          </w:p>
        </w:tc>
      </w:tr>
    </w:tbl>
    <w:p>
      <w:pPr>
        <w:sectPr>
          <w:pgSz w:w="11900" w:h="16838" w:orient="portrait"/>
          <w:cols w:equalWidth="0" w:num="1">
            <w:col w:w="10220"/>
          </w:cols>
          <w:pgMar w:left="1440" w:top="337" w:right="239" w:bottom="0" w:gutter="0" w:footer="0" w:header="0"/>
        </w:sectPr>
      </w:pPr>
    </w:p>
    <w:bookmarkStart w:id="63" w:name="page64"/>
    <w:bookmarkEnd w:id="63"/>
    <w:p>
      <w:pPr>
        <w:ind w:left="4520"/>
        <w:spacing w:after="0"/>
        <w:tabs>
          <w:tab w:leader="none" w:pos="5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Fourth Amended and Restated Credit Agreement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a Bank</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Ming K. Chu</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Ming K. Chu</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Virginia Cosenza</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Virginia Cosenza</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Fourth Amended and Restated Credit Agreement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MUFG BANK, LTD.</w:t>
      </w:r>
      <w:r>
        <w:rPr>
          <w:rFonts w:ascii="Arial" w:cs="Arial" w:eastAsia="Arial" w:hAnsi="Arial"/>
          <w:sz w:val="18"/>
          <w:szCs w:val="18"/>
          <w:color w:val="auto"/>
        </w:rPr>
        <w:t>, as a Bank</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 Maia</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Maria F. Maia</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Fourth Amended and Restated Credit Agreement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 as a Bank and an Issuing Bank</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L. Shafer</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Jennifer L. Shafer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PNC BANK CANADA BRANCH</w:t>
      </w:r>
      <w:r>
        <w:rPr>
          <w:rFonts w:ascii="Arial" w:cs="Arial" w:eastAsia="Arial" w:hAnsi="Arial"/>
          <w:sz w:val="18"/>
          <w:szCs w:val="18"/>
          <w:color w:val="auto"/>
        </w:rPr>
        <w:t>, as a Bank</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Nazmin Adatia</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Nazmin Adatia</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Fourth Amended and Restated Credit Agreement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SUMITOMO MITSUI BANKING CORPORATION</w:t>
      </w:r>
      <w:r>
        <w:rPr>
          <w:rFonts w:ascii="Arial" w:cs="Arial" w:eastAsia="Arial" w:hAnsi="Arial"/>
          <w:sz w:val="18"/>
          <w:szCs w:val="18"/>
          <w:color w:val="auto"/>
        </w:rPr>
        <w:t>, as a Bank</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Katsuyuki Kubo</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Katsuyuki Kubo</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Fourth Amended and Restated Credit Agreement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 as a Bank and an Issuing Bank</w:t>
      </w:r>
    </w:p>
    <w:p>
      <w:pPr>
        <w:spacing w:after="0" w:line="241" w:lineRule="exact"/>
        <w:rPr>
          <w:sz w:val="20"/>
          <w:szCs w:val="20"/>
          <w:color w:val="auto"/>
        </w:rPr>
      </w:pPr>
    </w:p>
    <w:p>
      <w:pPr>
        <w:ind w:left="4520"/>
        <w:spacing w:after="0"/>
        <w:tabs>
          <w:tab w:leader="none" w:pos="5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Kara P. Van Duzee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14605</wp:posOffset>
            </wp:positionV>
            <wp:extent cx="31470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0220"/>
          </w:cols>
          <w:pgMar w:left="1440" w:top="125" w:right="239" w:bottom="0" w:gutter="0" w:footer="0" w:header="0"/>
        </w:sectPr>
      </w:pPr>
    </w:p>
    <w:bookmarkStart w:id="64" w:name="page65"/>
    <w:bookmarkEnd w:id="64"/>
    <w:p>
      <w:pPr>
        <w:ind w:left="4520"/>
        <w:spacing w:after="0"/>
        <w:tabs>
          <w:tab w:leader="none" w:pos="5240" w:val="left"/>
        </w:tabs>
        <w:rPr>
          <w:sz w:val="20"/>
          <w:szCs w:val="20"/>
          <w:color w:val="auto"/>
        </w:rPr>
      </w:pPr>
      <w:r>
        <w:rPr>
          <w:rFonts w:ascii="Arial" w:cs="Arial" w:eastAsia="Arial" w:hAnsi="Arial"/>
          <w:sz w:val="18"/>
          <w:szCs w:val="18"/>
          <w:color w:val="auto"/>
        </w:rPr>
        <w:t>Name:</w:t>
        <w:tab/>
        <w:t>Kara P. Van Duzee</w:t>
      </w:r>
    </w:p>
    <w:p>
      <w:pPr>
        <w:spacing w:after="0" w:line="23" w:lineRule="exact"/>
        <w:rPr>
          <w:sz w:val="20"/>
          <w:szCs w:val="20"/>
          <w:color w:val="auto"/>
        </w:rPr>
      </w:pPr>
    </w:p>
    <w:p>
      <w:pPr>
        <w:ind w:left="4520"/>
        <w:spacing w:after="0"/>
        <w:tabs>
          <w:tab w:leader="none" w:pos="5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Fourth Amended and Restated Credit Agreement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right="160"/>
        <w:spacing w:after="0" w:line="282" w:lineRule="auto"/>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as a Bank and an</w:t>
      </w:r>
      <w:r>
        <w:rPr>
          <w:rFonts w:ascii="Arial" w:cs="Arial" w:eastAsia="Arial" w:hAnsi="Arial"/>
          <w:sz w:val="18"/>
          <w:szCs w:val="18"/>
          <w:b w:val="1"/>
          <w:bCs w:val="1"/>
          <w:color w:val="auto"/>
        </w:rPr>
        <w:t xml:space="preserve"> </w:t>
      </w:r>
      <w:r>
        <w:rPr>
          <w:rFonts w:ascii="Arial" w:cs="Arial" w:eastAsia="Arial" w:hAnsi="Arial"/>
          <w:sz w:val="18"/>
          <w:szCs w:val="18"/>
          <w:color w:val="auto"/>
        </w:rPr>
        <w:t>Issuing Bank</w:t>
      </w:r>
    </w:p>
    <w:p>
      <w:pPr>
        <w:spacing w:after="0" w:line="166"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Nathan R. Rantala</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Nathan R. Rantala</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Fourth Amended and Restated Credit Agreement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CREDIT SUISSE AG, CAYMAN ISLANDS BRANCH</w:t>
      </w:r>
      <w:r>
        <w:rPr>
          <w:rFonts w:ascii="Arial" w:cs="Arial" w:eastAsia="Arial" w:hAnsi="Arial"/>
          <w:sz w:val="18"/>
          <w:szCs w:val="18"/>
          <w:color w:val="auto"/>
        </w:rPr>
        <w:t>, as a Bank</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Judith E. Smith</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Judith E. Smith</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Joan Park</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Joan Park</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Fourth Amended and Restated Credit Agreement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GOLDMAN SACHS BANK USA</w:t>
      </w:r>
      <w:r>
        <w:rPr>
          <w:rFonts w:ascii="Arial" w:cs="Arial" w:eastAsia="Arial" w:hAnsi="Arial"/>
          <w:sz w:val="18"/>
          <w:szCs w:val="18"/>
          <w:color w:val="auto"/>
        </w:rPr>
        <w:t>, as a Bank</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Durkin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Ryan Durkin</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Fourth Amended and Restated Credit Agreement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COMERICA BANK</w:t>
      </w:r>
      <w:r>
        <w:rPr>
          <w:rFonts w:ascii="Arial" w:cs="Arial" w:eastAsia="Arial" w:hAnsi="Arial"/>
          <w:sz w:val="18"/>
          <w:szCs w:val="18"/>
          <w:color w:val="auto"/>
        </w:rPr>
        <w:t>, as a Bank</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 J. Perenyi</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L. J. Perenyi</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Fourth Amended and Restated Credit Agreement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BANK OF NEW YORK MELLON</w:t>
      </w:r>
      <w:r>
        <w:rPr>
          <w:rFonts w:ascii="Arial" w:cs="Arial" w:eastAsia="Arial" w:hAnsi="Arial"/>
          <w:sz w:val="18"/>
          <w:szCs w:val="18"/>
          <w:color w:val="auto"/>
        </w:rPr>
        <w:t>, as a Bank</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Koller</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Koller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Waste Management, Inc.</w:t>
      </w:r>
    </w:p>
    <w:p>
      <w:pPr>
        <w:sectPr>
          <w:pgSz w:w="11900" w:h="16838" w:orient="portrait"/>
          <w:cols w:equalWidth="0" w:num="1">
            <w:col w:w="10220"/>
          </w:cols>
          <w:pgMar w:left="1440" w:top="125" w:right="239" w:bottom="0" w:gutter="0" w:footer="0" w:header="0"/>
        </w:sectPr>
      </w:pPr>
    </w:p>
    <w:bookmarkStart w:id="65" w:name="page66"/>
    <w:bookmarkEnd w:id="65"/>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Amended and Restated Credit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COMMITTED LOAN NOTICE</w:t>
      </w:r>
    </w:p>
    <w:p>
      <w:pPr>
        <w:spacing w:after="0" w:line="229" w:lineRule="exact"/>
        <w:rPr>
          <w:sz w:val="20"/>
          <w:szCs w:val="20"/>
          <w:color w:val="auto"/>
        </w:rPr>
      </w:pPr>
    </w:p>
    <w:p>
      <w:pPr>
        <w:ind w:left="10140"/>
        <w:spacing w:after="0"/>
        <w:tabs>
          <w:tab w:leader="none" w:pos="11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Reference is made to that certain Fourth Amended and Restated Revolving Credit Agreement, dated as of June 26, 2018 (as amended, modified, supplemented, restated and in effect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among Waste Management,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Waste Management of Canada Corporation, a Nova Scotia unlimited company (“</w:t>
      </w:r>
      <w:r>
        <w:rPr>
          <w:rFonts w:ascii="Arial" w:cs="Arial" w:eastAsia="Arial" w:hAnsi="Arial"/>
          <w:sz w:val="18"/>
          <w:szCs w:val="18"/>
          <w:u w:val="single" w:color="auto"/>
          <w:color w:val="auto"/>
        </w:rPr>
        <w:t>WMOCC</w:t>
      </w:r>
      <w:r>
        <w:rPr>
          <w:rFonts w:ascii="Arial" w:cs="Arial" w:eastAsia="Arial" w:hAnsi="Arial"/>
          <w:sz w:val="18"/>
          <w:szCs w:val="18"/>
          <w:color w:val="auto"/>
        </w:rPr>
        <w:t>”), WM Quebec Inc., a corporation incorporated under the laws of Canada (“</w:t>
      </w:r>
      <w:r>
        <w:rPr>
          <w:rFonts w:ascii="Arial" w:cs="Arial" w:eastAsia="Arial" w:hAnsi="Arial"/>
          <w:sz w:val="18"/>
          <w:szCs w:val="18"/>
          <w:u w:val="single" w:color="auto"/>
          <w:color w:val="auto"/>
        </w:rPr>
        <w:t>WMQ</w:t>
      </w:r>
      <w:r>
        <w:rPr>
          <w:rFonts w:ascii="Arial" w:cs="Arial" w:eastAsia="Arial" w:hAnsi="Arial"/>
          <w:sz w:val="18"/>
          <w:szCs w:val="18"/>
          <w:color w:val="auto"/>
        </w:rPr>
        <w:t>”, and together with WMOCC, the “</w:t>
      </w:r>
      <w:r>
        <w:rPr>
          <w:rFonts w:ascii="Arial" w:cs="Arial" w:eastAsia="Arial" w:hAnsi="Arial"/>
          <w:sz w:val="18"/>
          <w:szCs w:val="18"/>
          <w:u w:val="single" w:color="auto"/>
          <w:color w:val="auto"/>
        </w:rPr>
        <w:t>Canadian Borrowers</w:t>
      </w:r>
      <w:r>
        <w:rPr>
          <w:rFonts w:ascii="Arial" w:cs="Arial" w:eastAsia="Arial" w:hAnsi="Arial"/>
          <w:sz w:val="18"/>
          <w:szCs w:val="18"/>
          <w:color w:val="auto"/>
        </w:rPr>
        <w:t>”, and the Canadian Borrowers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Waste Management Holdings, Inc., a wholly owned Subsidiary of the Company, as Guarantor, the Banks from time to time party thereto, and Bank of America, N.A., as Administrative Agent, an Issuing Bank and Swing Line Bank.</w:t>
      </w:r>
    </w:p>
    <w:p>
      <w:pPr>
        <w:spacing w:after="0" w:line="18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hereby requests, on behalf of itself or, if applicable, the Canadian Borrower referenced in item 6 below (the “</w:t>
      </w:r>
      <w:r>
        <w:rPr>
          <w:rFonts w:ascii="Arial" w:cs="Arial" w:eastAsia="Arial" w:hAnsi="Arial"/>
          <w:sz w:val="18"/>
          <w:szCs w:val="18"/>
          <w:u w:val="single" w:color="auto"/>
          <w:color w:val="auto"/>
        </w:rPr>
        <w:t>Applicable Canadian</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Borrower</w:t>
      </w:r>
      <w:r>
        <w:rPr>
          <w:rFonts w:ascii="Arial" w:cs="Arial" w:eastAsia="Arial" w:hAnsi="Arial"/>
          <w:sz w:val="18"/>
          <w:szCs w:val="18"/>
          <w:color w:val="auto"/>
        </w:rPr>
        <w:t>”) (select one):</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w w:val="98"/>
              </w:rPr>
              <w:t>o A Borrowing of Committed Loans</w:t>
            </w:r>
          </w:p>
        </w:tc>
        <w:tc>
          <w:tcPr>
            <w:tcW w:w="4020" w:type="dxa"/>
            <w:vAlign w:val="bottom"/>
          </w:tcPr>
          <w:p>
            <w:pPr>
              <w:jc w:val="right"/>
              <w:spacing w:after="0"/>
              <w:rPr>
                <w:sz w:val="20"/>
                <w:szCs w:val="20"/>
                <w:color w:val="auto"/>
              </w:rPr>
            </w:pPr>
            <w:r>
              <w:rPr>
                <w:rFonts w:ascii="Arial" w:cs="Arial" w:eastAsia="Arial" w:hAnsi="Arial"/>
                <w:sz w:val="18"/>
                <w:szCs w:val="18"/>
                <w:color w:val="auto"/>
              </w:rPr>
              <w:t>o A conversion or continuation of Loans</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2380" w:type="dxa"/>
            <w:vAlign w:val="bottom"/>
          </w:tcPr>
          <w:p>
            <w:pPr>
              <w:ind w:left="260"/>
              <w:spacing w:after="0"/>
              <w:rPr>
                <w:sz w:val="20"/>
                <w:szCs w:val="20"/>
                <w:color w:val="auto"/>
              </w:rPr>
            </w:pPr>
            <w:r>
              <w:rPr>
                <w:rFonts w:ascii="Arial" w:cs="Arial" w:eastAsia="Arial" w:hAnsi="Arial"/>
                <w:sz w:val="18"/>
                <w:szCs w:val="18"/>
                <w:color w:val="auto"/>
              </w:rPr>
              <w:t>On</w:t>
            </w:r>
          </w:p>
        </w:tc>
        <w:tc>
          <w:tcPr>
            <w:tcW w:w="4020" w:type="dxa"/>
            <w:vAlign w:val="bottom"/>
          </w:tcPr>
          <w:p>
            <w:pPr>
              <w:jc w:val="right"/>
              <w:ind w:right="2570"/>
              <w:spacing w:after="0"/>
              <w:rPr>
                <w:sz w:val="20"/>
                <w:szCs w:val="20"/>
                <w:color w:val="auto"/>
              </w:rPr>
            </w:pPr>
            <w:r>
              <w:rPr>
                <w:rFonts w:ascii="Arial" w:cs="Arial" w:eastAsia="Arial" w:hAnsi="Arial"/>
                <w:sz w:val="18"/>
                <w:szCs w:val="18"/>
                <w:color w:val="auto"/>
                <w:w w:val="94"/>
              </w:rPr>
              <w:t>(a Business Day).</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2380" w:type="dxa"/>
            <w:vAlign w:val="bottom"/>
          </w:tcPr>
          <w:p>
            <w:pPr>
              <w:ind w:left="260"/>
              <w:spacing w:after="0"/>
              <w:rPr>
                <w:sz w:val="20"/>
                <w:szCs w:val="20"/>
                <w:color w:val="auto"/>
              </w:rPr>
            </w:pPr>
            <w:r>
              <w:rPr>
                <w:rFonts w:ascii="Arial" w:cs="Arial" w:eastAsia="Arial" w:hAnsi="Arial"/>
                <w:sz w:val="18"/>
                <w:szCs w:val="18"/>
                <w:color w:val="auto"/>
              </w:rPr>
              <w:t>In the amount of</w:t>
            </w:r>
          </w:p>
        </w:tc>
        <w:tc>
          <w:tcPr>
            <w:tcW w:w="4020" w:type="dxa"/>
            <w:vAlign w:val="bottom"/>
          </w:tcPr>
          <w:p>
            <w:pPr>
              <w:jc w:val="right"/>
              <w:ind w:right="3370"/>
              <w:spacing w:after="0"/>
              <w:rPr>
                <w:sz w:val="20"/>
                <w:szCs w:val="20"/>
                <w:color w:val="auto"/>
              </w:rPr>
            </w:pPr>
            <w:r>
              <w:rPr>
                <w:rFonts w:ascii="Arial" w:cs="Arial" w:eastAsia="Arial" w:hAnsi="Arial"/>
                <w:sz w:val="18"/>
                <w:szCs w:val="18"/>
                <w:color w:val="auto"/>
              </w:rPr>
              <w:t>.</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2380" w:type="dxa"/>
            <w:vAlign w:val="bottom"/>
          </w:tcPr>
          <w:p>
            <w:pPr>
              <w:ind w:left="260"/>
              <w:spacing w:after="0"/>
              <w:rPr>
                <w:sz w:val="20"/>
                <w:szCs w:val="20"/>
                <w:color w:val="auto"/>
              </w:rPr>
            </w:pPr>
            <w:r>
              <w:rPr>
                <w:rFonts w:ascii="Arial" w:cs="Arial" w:eastAsia="Arial" w:hAnsi="Arial"/>
                <w:sz w:val="18"/>
                <w:szCs w:val="18"/>
                <w:color w:val="auto"/>
              </w:rPr>
              <w:t>Comprised of</w:t>
            </w:r>
          </w:p>
        </w:tc>
        <w:tc>
          <w:tcPr>
            <w:tcW w:w="4020" w:type="dxa"/>
            <w:vAlign w:val="bottom"/>
          </w:tcPr>
          <w:p>
            <w:pPr>
              <w:jc w:val="right"/>
              <w:ind w:right="470"/>
              <w:spacing w:after="0"/>
              <w:rPr>
                <w:sz w:val="20"/>
                <w:szCs w:val="20"/>
                <w:color w:val="auto"/>
              </w:rPr>
            </w:pPr>
            <w:r>
              <w:rPr>
                <w:rFonts w:ascii="Arial" w:cs="Arial" w:eastAsia="Arial" w:hAnsi="Arial"/>
                <w:sz w:val="18"/>
                <w:szCs w:val="18"/>
                <w:b w:val="1"/>
                <w:bCs w:val="1"/>
                <w:color w:val="auto"/>
              </w:rPr>
              <w:t>[Type of Committed Loan requested]</w:t>
            </w:r>
          </w:p>
        </w:tc>
      </w:tr>
    </w:tbl>
    <w:p>
      <w:pPr>
        <w:spacing w:after="0" w:line="202"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following currency:</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5.</w:t>
            </w:r>
          </w:p>
        </w:tc>
        <w:tc>
          <w:tcPr>
            <w:tcW w:w="2480" w:type="dxa"/>
            <w:vAlign w:val="bottom"/>
          </w:tcPr>
          <w:p>
            <w:pPr>
              <w:ind w:left="260"/>
              <w:spacing w:after="0"/>
              <w:rPr>
                <w:sz w:val="20"/>
                <w:szCs w:val="20"/>
                <w:color w:val="auto"/>
              </w:rPr>
            </w:pPr>
            <w:r>
              <w:rPr>
                <w:rFonts w:ascii="Arial" w:cs="Arial" w:eastAsia="Arial" w:hAnsi="Arial"/>
                <w:sz w:val="18"/>
                <w:szCs w:val="18"/>
                <w:color w:val="auto"/>
                <w:w w:val="91"/>
              </w:rPr>
              <w:t>For Eurocurrency Rate Loans:</w:t>
            </w:r>
          </w:p>
        </w:tc>
        <w:tc>
          <w:tcPr>
            <w:tcW w:w="2160" w:type="dxa"/>
            <w:vAlign w:val="bottom"/>
          </w:tcPr>
          <w:p>
            <w:pPr>
              <w:ind w:left="60"/>
              <w:spacing w:after="0"/>
              <w:rPr>
                <w:sz w:val="20"/>
                <w:szCs w:val="20"/>
                <w:color w:val="auto"/>
              </w:rPr>
            </w:pPr>
            <w:r>
              <w:rPr>
                <w:rFonts w:ascii="Arial" w:cs="Arial" w:eastAsia="Arial" w:hAnsi="Arial"/>
                <w:sz w:val="18"/>
                <w:szCs w:val="18"/>
                <w:color w:val="auto"/>
              </w:rPr>
              <w:t>with an Interest Period of</w:t>
            </w:r>
          </w:p>
        </w:tc>
        <w:tc>
          <w:tcPr>
            <w:tcW w:w="1580" w:type="dxa"/>
            <w:vAlign w:val="bottom"/>
          </w:tcPr>
          <w:p>
            <w:pPr>
              <w:ind w:left="260"/>
              <w:spacing w:after="0"/>
              <w:rPr>
                <w:sz w:val="20"/>
                <w:szCs w:val="20"/>
                <w:color w:val="auto"/>
              </w:rPr>
            </w:pPr>
            <w:r>
              <w:rPr>
                <w:rFonts w:ascii="Arial" w:cs="Arial" w:eastAsia="Arial" w:hAnsi="Arial"/>
                <w:sz w:val="18"/>
                <w:szCs w:val="18"/>
                <w:color w:val="auto"/>
              </w:rPr>
              <w:t>months.</w:t>
            </w: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6.</w:t>
            </w:r>
          </w:p>
        </w:tc>
        <w:tc>
          <w:tcPr>
            <w:tcW w:w="2480" w:type="dxa"/>
            <w:vAlign w:val="bottom"/>
          </w:tcPr>
          <w:p>
            <w:pPr>
              <w:ind w:left="260"/>
              <w:spacing w:after="0"/>
              <w:rPr>
                <w:sz w:val="20"/>
                <w:szCs w:val="20"/>
                <w:color w:val="auto"/>
              </w:rPr>
            </w:pPr>
            <w:r>
              <w:rPr>
                <w:rFonts w:ascii="Arial" w:cs="Arial" w:eastAsia="Arial" w:hAnsi="Arial"/>
                <w:sz w:val="18"/>
                <w:szCs w:val="18"/>
                <w:color w:val="auto"/>
              </w:rPr>
              <w:t>On behalf of</w:t>
            </w:r>
          </w:p>
        </w:tc>
        <w:tc>
          <w:tcPr>
            <w:tcW w:w="37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[insert name of applicable Canadian Borrower]</w:t>
            </w:r>
            <w:r>
              <w:rPr>
                <w:rFonts w:ascii="Arial" w:cs="Arial" w:eastAsia="Arial" w:hAnsi="Arial"/>
                <w:sz w:val="18"/>
                <w:szCs w:val="18"/>
                <w:color w:val="auto"/>
                <w:w w:val="91"/>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Committed Borrowing, if any, requested herein complies with the provisos to the first sentence of </w:t>
      </w:r>
      <w:r>
        <w:rPr>
          <w:rFonts w:ascii="Arial" w:cs="Arial" w:eastAsia="Arial" w:hAnsi="Arial"/>
          <w:sz w:val="18"/>
          <w:szCs w:val="18"/>
          <w:u w:val="single" w:color="auto"/>
          <w:color w:val="auto"/>
        </w:rPr>
        <w:t>§2.1</w:t>
      </w:r>
      <w:r>
        <w:rPr>
          <w:rFonts w:ascii="Arial" w:cs="Arial" w:eastAsia="Arial" w:hAnsi="Arial"/>
          <w:sz w:val="18"/>
          <w:szCs w:val="18"/>
          <w:color w:val="auto"/>
        </w:rPr>
        <w:t xml:space="preserve"> of the Agreement.</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5715</wp:posOffset>
            </wp:positionV>
            <wp:extent cx="31984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SWING LINE LOAN REQUEST</w:t>
      </w:r>
    </w:p>
    <w:p>
      <w:pPr>
        <w:spacing w:after="0" w:line="229" w:lineRule="exact"/>
        <w:rPr>
          <w:sz w:val="20"/>
          <w:szCs w:val="20"/>
          <w:color w:val="auto"/>
        </w:rPr>
      </w:pPr>
    </w:p>
    <w:p>
      <w:pPr>
        <w:ind w:left="10140"/>
        <w:spacing w:after="0"/>
        <w:tabs>
          <w:tab w:leader="none" w:pos="11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ectPr>
          <w:pgSz w:w="11900" w:h="16911" w:orient="portrait"/>
          <w:cols w:equalWidth="0" w:num="1">
            <w:col w:w="11420"/>
          </w:cols>
          <w:pgMar w:left="240" w:top="125"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Swing Line Bank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Bank of America, N.A., as Administrative Agent</w:t>
      </w:r>
    </w:p>
    <w:p>
      <w:pPr>
        <w:spacing w:after="0" w:line="200" w:lineRule="exact"/>
        <w:rPr>
          <w:sz w:val="20"/>
          <w:szCs w:val="20"/>
          <w:color w:val="auto"/>
        </w:rPr>
      </w:pPr>
    </w:p>
    <w:p>
      <w:pPr>
        <w:sectPr>
          <w:pgSz w:w="11900" w:h="16911" w:orient="portrait"/>
          <w:cols w:equalWidth="0" w:num="2">
            <w:col w:w="240" w:space="400"/>
            <w:col w:w="10780"/>
          </w:cols>
          <w:pgMar w:left="240" w:top="125"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Reference is made to that certain Fourth Amended and Restated Revolving Credit Agreement, dated as of June 26, 2018 (as amended, modified, supplemented, restated and in effect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among Waste Management,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Waste Management of Canada Corporation, a Nova Scotia unlimited company (“</w:t>
      </w:r>
      <w:r>
        <w:rPr>
          <w:rFonts w:ascii="Arial" w:cs="Arial" w:eastAsia="Arial" w:hAnsi="Arial"/>
          <w:sz w:val="18"/>
          <w:szCs w:val="18"/>
          <w:u w:val="single" w:color="auto"/>
          <w:color w:val="auto"/>
        </w:rPr>
        <w:t>WMOCC</w:t>
      </w:r>
      <w:r>
        <w:rPr>
          <w:rFonts w:ascii="Arial" w:cs="Arial" w:eastAsia="Arial" w:hAnsi="Arial"/>
          <w:sz w:val="18"/>
          <w:szCs w:val="18"/>
          <w:color w:val="auto"/>
        </w:rPr>
        <w:t>”), WM Quebec Inc., a corporation incorporated under the laws of Canada (“</w:t>
      </w:r>
      <w:r>
        <w:rPr>
          <w:rFonts w:ascii="Arial" w:cs="Arial" w:eastAsia="Arial" w:hAnsi="Arial"/>
          <w:sz w:val="18"/>
          <w:szCs w:val="18"/>
          <w:u w:val="single" w:color="auto"/>
          <w:color w:val="auto"/>
        </w:rPr>
        <w:t>WMQ</w:t>
      </w:r>
      <w:r>
        <w:rPr>
          <w:rFonts w:ascii="Arial" w:cs="Arial" w:eastAsia="Arial" w:hAnsi="Arial"/>
          <w:sz w:val="18"/>
          <w:szCs w:val="18"/>
          <w:color w:val="auto"/>
        </w:rPr>
        <w:t>”, and together with WMOCC, the “</w:t>
      </w:r>
      <w:r>
        <w:rPr>
          <w:rFonts w:ascii="Arial" w:cs="Arial" w:eastAsia="Arial" w:hAnsi="Arial"/>
          <w:sz w:val="18"/>
          <w:szCs w:val="18"/>
          <w:u w:val="single" w:color="auto"/>
          <w:color w:val="auto"/>
        </w:rPr>
        <w:t>Canadian Borrowers</w:t>
      </w:r>
      <w:r>
        <w:rPr>
          <w:rFonts w:ascii="Arial" w:cs="Arial" w:eastAsia="Arial" w:hAnsi="Arial"/>
          <w:sz w:val="18"/>
          <w:szCs w:val="18"/>
          <w:color w:val="auto"/>
        </w:rPr>
        <w:t>”, and the Canadian Borrowers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Waste Management Holdings, Inc., a wholly owned Subsidiary of the Company (the “</w:t>
      </w:r>
      <w:r>
        <w:rPr>
          <w:rFonts w:ascii="Arial" w:cs="Arial" w:eastAsia="Arial" w:hAnsi="Arial"/>
          <w:sz w:val="18"/>
          <w:szCs w:val="18"/>
          <w:u w:val="single" w:color="auto"/>
          <w:color w:val="auto"/>
        </w:rPr>
        <w:t>Guarantor</w:t>
      </w:r>
      <w:r>
        <w:rPr>
          <w:rFonts w:ascii="Arial" w:cs="Arial" w:eastAsia="Arial" w:hAnsi="Arial"/>
          <w:sz w:val="18"/>
          <w:szCs w:val="18"/>
          <w:color w:val="auto"/>
        </w:rPr>
        <w:t>”), the Banks from time to time party thereto, and Bank of America, N.A., as Administrative Agent, an Issuing Bank and Swing Line Bank.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requests a Swing Line Loan: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1.</w:t>
            </w:r>
          </w:p>
        </w:tc>
        <w:tc>
          <w:tcPr>
            <w:tcW w:w="940" w:type="dxa"/>
            <w:vAlign w:val="bottom"/>
          </w:tcPr>
          <w:p>
            <w:pPr>
              <w:ind w:left="260"/>
              <w:spacing w:after="0"/>
              <w:rPr>
                <w:sz w:val="20"/>
                <w:szCs w:val="20"/>
                <w:color w:val="auto"/>
              </w:rPr>
            </w:pPr>
            <w:r>
              <w:rPr>
                <w:rFonts w:ascii="Arial" w:cs="Arial" w:eastAsia="Arial" w:hAnsi="Arial"/>
                <w:sz w:val="18"/>
                <w:szCs w:val="18"/>
                <w:color w:val="auto"/>
              </w:rPr>
              <w:t>On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(a Business Day).</w:t>
            </w: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In the amount of $</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r>
    </w:tbl>
    <w:p>
      <w:pPr>
        <w:sectPr>
          <w:pgSz w:w="11900" w:h="16911" w:orient="portrait"/>
          <w:cols w:equalWidth="0" w:num="1">
            <w:col w:w="11420"/>
          </w:cols>
          <w:pgMar w:left="240" w:top="125" w:right="239" w:bottom="0" w:gutter="0" w:footer="0" w:header="0"/>
          <w:type w:val="continuous"/>
        </w:sectPr>
      </w:pPr>
    </w:p>
    <w:bookmarkStart w:id="66" w:name="page67"/>
    <w:bookmarkEnd w:id="66"/>
    <w:p>
      <w:pPr>
        <w:ind w:left="660"/>
        <w:spacing w:after="0"/>
        <w:rPr>
          <w:sz w:val="20"/>
          <w:szCs w:val="20"/>
          <w:color w:val="auto"/>
        </w:rPr>
      </w:pPr>
      <w:r>
        <w:rPr>
          <w:rFonts w:ascii="Arial" w:cs="Arial" w:eastAsia="Arial" w:hAnsi="Arial"/>
          <w:sz w:val="18"/>
          <w:szCs w:val="18"/>
          <w:color w:val="auto"/>
        </w:rPr>
        <w:t xml:space="preserve">This Swing Line Loan Request complies with the requirements of the provisos to the first sentence of </w:t>
      </w:r>
      <w:r>
        <w:rPr>
          <w:rFonts w:ascii="Arial" w:cs="Arial" w:eastAsia="Arial" w:hAnsi="Arial"/>
          <w:sz w:val="18"/>
          <w:szCs w:val="18"/>
          <w:u w:val="single" w:color="auto"/>
          <w:color w:val="auto"/>
        </w:rPr>
        <w:t>§2.5.1</w:t>
      </w:r>
      <w:r>
        <w:rPr>
          <w:rFonts w:ascii="Arial" w:cs="Arial" w:eastAsia="Arial" w:hAnsi="Arial"/>
          <w:sz w:val="18"/>
          <w:szCs w:val="18"/>
          <w:color w:val="auto"/>
        </w:rPr>
        <w:t xml:space="preserve"> of the Agreement.</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5715</wp:posOffset>
            </wp:positionV>
            <wp:extent cx="31984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EXHIBIT C</w:t>
            </w:r>
          </w:p>
        </w:tc>
      </w:tr>
      <w:tr>
        <w:trPr>
          <w:trHeight w:val="392"/>
        </w:trPr>
        <w:tc>
          <w:tcPr>
            <w:tcW w:w="460" w:type="dxa"/>
            <w:vAlign w:val="bottom"/>
          </w:tcPr>
          <w:p>
            <w:pPr>
              <w:spacing w:after="0"/>
              <w:rPr>
                <w:sz w:val="24"/>
                <w:szCs w:val="24"/>
                <w:color w:val="auto"/>
              </w:rPr>
            </w:pPr>
          </w:p>
        </w:tc>
        <w:tc>
          <w:tcPr>
            <w:tcW w:w="10300" w:type="dxa"/>
            <w:vAlign w:val="bottom"/>
            <w:gridSpan w:val="5"/>
          </w:tcPr>
          <w:p>
            <w:pPr>
              <w:ind w:left="2880"/>
              <w:spacing w:after="0"/>
              <w:rPr>
                <w:sz w:val="20"/>
                <w:szCs w:val="20"/>
                <w:color w:val="auto"/>
              </w:rPr>
            </w:pPr>
            <w:r>
              <w:rPr>
                <w:rFonts w:ascii="Arial" w:cs="Arial" w:eastAsia="Arial" w:hAnsi="Arial"/>
                <w:sz w:val="18"/>
                <w:szCs w:val="18"/>
                <w:b w:val="1"/>
                <w:bCs w:val="1"/>
                <w:color w:val="auto"/>
              </w:rPr>
              <w:t>FORM OF COMPLIANCE CERTIFICATE</w:t>
            </w:r>
          </w:p>
        </w:tc>
      </w:tr>
      <w:tr>
        <w:trPr>
          <w:trHeight w:val="453"/>
        </w:trPr>
        <w:tc>
          <w:tcPr>
            <w:tcW w:w="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20" w:type="dxa"/>
            <w:vAlign w:val="bottom"/>
            <w:tcBorders>
              <w:top w:val="single" w:sz="8" w:color="auto"/>
            </w:tcBorders>
          </w:tcPr>
          <w:p>
            <w:pPr>
              <w:spacing w:after="0"/>
              <w:rPr>
                <w:sz w:val="24"/>
                <w:szCs w:val="24"/>
                <w:color w:val="auto"/>
              </w:rPr>
            </w:pPr>
          </w:p>
        </w:tc>
        <w:tc>
          <w:tcPr>
            <w:tcW w:w="4000" w:type="dxa"/>
            <w:vAlign w:val="bottom"/>
            <w:gridSpan w:val="3"/>
          </w:tcPr>
          <w:p>
            <w:pPr>
              <w:ind w:left="1620"/>
              <w:spacing w:after="0"/>
              <w:rPr>
                <w:sz w:val="20"/>
                <w:szCs w:val="20"/>
                <w:color w:val="auto"/>
              </w:rPr>
            </w:pPr>
            <w:r>
              <w:rPr>
                <w:rFonts w:ascii="Arial" w:cs="Arial" w:eastAsia="Arial" w:hAnsi="Arial"/>
                <w:sz w:val="18"/>
                <w:szCs w:val="18"/>
                <w:color w:val="auto"/>
              </w:rPr>
              <w:t>Compliance Certificate dated</w:t>
            </w:r>
          </w:p>
        </w:tc>
      </w:tr>
      <w:tr>
        <w:trPr>
          <w:trHeight w:val="392"/>
        </w:trPr>
        <w:tc>
          <w:tcPr>
            <w:tcW w:w="460" w:type="dxa"/>
            <w:vAlign w:val="bottom"/>
          </w:tcPr>
          <w:p>
            <w:pPr>
              <w:spacing w:after="0"/>
              <w:rPr>
                <w:sz w:val="20"/>
                <w:szCs w:val="20"/>
                <w:color w:val="auto"/>
              </w:rPr>
            </w:pPr>
            <w:r>
              <w:rPr>
                <w:rFonts w:ascii="Arial" w:cs="Arial" w:eastAsia="Arial" w:hAnsi="Arial"/>
                <w:sz w:val="18"/>
                <w:szCs w:val="18"/>
                <w:color w:val="auto"/>
              </w:rPr>
              <w:t>I,</w:t>
            </w:r>
          </w:p>
        </w:tc>
        <w:tc>
          <w:tcPr>
            <w:tcW w:w="10300" w:type="dxa"/>
            <w:vAlign w:val="bottom"/>
            <w:gridSpan w:val="5"/>
          </w:tcPr>
          <w:p>
            <w:pPr>
              <w:ind w:left="360"/>
              <w:spacing w:after="0"/>
              <w:rPr>
                <w:sz w:val="20"/>
                <w:szCs w:val="20"/>
                <w:color w:val="auto"/>
              </w:rPr>
            </w:pPr>
            <w:r>
              <w:rPr>
                <w:rFonts w:ascii="Arial" w:cs="Arial" w:eastAsia="Arial" w:hAnsi="Arial"/>
                <w:sz w:val="18"/>
                <w:szCs w:val="18"/>
                <w:color w:val="auto"/>
                <w:w w:val="99"/>
              </w:rPr>
              <w:t xml:space="preserve">, [Chief Financial Officer] [Chief Accounting Officer] [Corporate Treasurer] of </w:t>
            </w:r>
            <w:r>
              <w:rPr>
                <w:rFonts w:ascii="Arial" w:cs="Arial" w:eastAsia="Arial" w:hAnsi="Arial"/>
                <w:sz w:val="18"/>
                <w:szCs w:val="18"/>
                <w:b w:val="1"/>
                <w:bCs w:val="1"/>
                <w:color w:val="auto"/>
                <w:w w:val="99"/>
              </w:rPr>
              <w:t>WASTE MANAGEMENT, INC.</w:t>
            </w:r>
            <w:r>
              <w:rPr>
                <w:rFonts w:ascii="Arial" w:cs="Arial" w:eastAsia="Arial" w:hAnsi="Arial"/>
                <w:sz w:val="18"/>
                <w:szCs w:val="18"/>
                <w:color w:val="auto"/>
                <w:w w:val="99"/>
              </w:rPr>
              <w:t xml:space="preserve"> (the “Company”)</w:t>
            </w:r>
          </w:p>
        </w:tc>
      </w:tr>
      <w:tr>
        <w:trPr>
          <w:trHeight w:val="20"/>
        </w:trPr>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certify that (i) no Default or Event of Default exists, (ii) the Borrowers and their Subsidiaries are in compliance with </w:t>
      </w:r>
      <w:r>
        <w:rPr>
          <w:rFonts w:ascii="Arial" w:cs="Arial" w:eastAsia="Arial" w:hAnsi="Arial"/>
          <w:sz w:val="16"/>
          <w:szCs w:val="16"/>
          <w:u w:val="single" w:color="auto"/>
          <w:color w:val="auto"/>
        </w:rPr>
        <w:t>§§7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of the Fourth Amended and Restated Revolving Credit Agreement dated as of June 26, 2018 (as amended, modified, supplemented, restated and in effect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and (iii) the calculation of the debt restrictions in </w:t>
      </w:r>
      <w:r>
        <w:rPr>
          <w:rFonts w:ascii="Arial" w:cs="Arial" w:eastAsia="Arial" w:hAnsi="Arial"/>
          <w:sz w:val="16"/>
          <w:szCs w:val="16"/>
          <w:u w:val="single" w:color="auto"/>
          <w:color w:val="auto"/>
        </w:rPr>
        <w:t>§8.1</w:t>
      </w:r>
      <w:r>
        <w:rPr>
          <w:rFonts w:ascii="Arial" w:cs="Arial" w:eastAsia="Arial" w:hAnsi="Arial"/>
          <w:sz w:val="16"/>
          <w:szCs w:val="16"/>
          <w:color w:val="auto"/>
        </w:rPr>
        <w:t xml:space="preserve"> of the Credit Agreement 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is true, correct and complete [as of</w:t>
      </w:r>
    </w:p>
    <w:tbl>
      <w:tblPr>
        <w:tblLayout w:type="fixed"/>
        <w:tblInd w:w="0" w:type="dxa"/>
        <w:tblCellMar>
          <w:top w:w="0" w:type="dxa"/>
          <w:left w:w="0" w:type="dxa"/>
          <w:bottom w:w="0" w:type="dxa"/>
          <w:right w:w="0" w:type="dxa"/>
        </w:tblCellMar>
      </w:tblPr>
      <w:tr>
        <w:trPr>
          <w:trHeight w:val="176"/>
        </w:trPr>
        <w:tc>
          <w:tcPr>
            <w:tcW w:w="2220" w:type="dxa"/>
            <w:vAlign w:val="bottom"/>
          </w:tcPr>
          <w:p>
            <w:pPr>
              <w:spacing w:after="0" w:line="176" w:lineRule="exact"/>
              <w:rPr>
                <w:sz w:val="20"/>
                <w:szCs w:val="20"/>
                <w:color w:val="auto"/>
              </w:rPr>
            </w:pPr>
            <w:r>
              <w:rPr>
                <w:rFonts w:ascii="Arial" w:cs="Arial" w:eastAsia="Arial" w:hAnsi="Arial"/>
                <w:sz w:val="18"/>
                <w:szCs w:val="18"/>
                <w:color w:val="auto"/>
                <w:w w:val="96"/>
              </w:rPr>
              <w:t>the end of the quarter ended</w:t>
            </w:r>
          </w:p>
        </w:tc>
        <w:tc>
          <w:tcPr>
            <w:tcW w:w="9200" w:type="dxa"/>
            <w:vAlign w:val="bottom"/>
            <w:gridSpan w:val="4"/>
          </w:tcPr>
          <w:p>
            <w:pPr>
              <w:ind w:left="200"/>
              <w:spacing w:after="0" w:line="176" w:lineRule="exact"/>
              <w:rPr>
                <w:sz w:val="20"/>
                <w:szCs w:val="20"/>
                <w:color w:val="auto"/>
              </w:rPr>
            </w:pPr>
            <w:r>
              <w:rPr>
                <w:rFonts w:ascii="Arial" w:cs="Arial" w:eastAsia="Arial" w:hAnsi="Arial"/>
                <w:sz w:val="18"/>
                <w:szCs w:val="18"/>
                <w:color w:val="auto"/>
                <w:w w:val="91"/>
              </w:rPr>
              <w:t>]. Computations to evidence compliance with §9 of the Credit Agreement are detailed below. Capitalized terms used herein</w:t>
            </w:r>
          </w:p>
        </w:tc>
      </w:tr>
      <w:tr>
        <w:trPr>
          <w:trHeight w:val="20"/>
        </w:trPr>
        <w:tc>
          <w:tcPr>
            <w:tcW w:w="57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r>
      <w:tr>
        <w:trPr>
          <w:trHeight w:val="237"/>
        </w:trPr>
        <w:tc>
          <w:tcPr>
            <w:tcW w:w="11420" w:type="dxa"/>
            <w:vAlign w:val="bottom"/>
            <w:gridSpan w:val="5"/>
          </w:tcPr>
          <w:p>
            <w:pPr>
              <w:spacing w:after="0"/>
              <w:rPr>
                <w:sz w:val="20"/>
                <w:szCs w:val="20"/>
                <w:color w:val="auto"/>
              </w:rPr>
            </w:pPr>
            <w:r>
              <w:rPr>
                <w:rFonts w:ascii="Arial" w:cs="Arial" w:eastAsia="Arial" w:hAnsi="Arial"/>
                <w:sz w:val="18"/>
                <w:szCs w:val="18"/>
                <w:color w:val="auto"/>
              </w:rPr>
              <w:t>without definition shall have the meanings assigned to such terms in the Credit Agreement.</w:t>
            </w:r>
          </w:p>
        </w:tc>
      </w:tr>
      <w:tr>
        <w:trPr>
          <w:trHeight w:val="432"/>
        </w:trPr>
        <w:tc>
          <w:tcPr>
            <w:tcW w:w="2220" w:type="dxa"/>
            <w:vAlign w:val="bottom"/>
          </w:tcPr>
          <w:p>
            <w:pPr>
              <w:spacing w:after="0"/>
              <w:rPr>
                <w:sz w:val="24"/>
                <w:szCs w:val="24"/>
                <w:color w:val="auto"/>
              </w:rPr>
            </w:pPr>
          </w:p>
        </w:tc>
        <w:tc>
          <w:tcPr>
            <w:tcW w:w="9200" w:type="dxa"/>
            <w:vAlign w:val="bottom"/>
            <w:gridSpan w:val="4"/>
          </w:tcPr>
          <w:p>
            <w:pPr>
              <w:ind w:left="3500"/>
              <w:spacing w:after="0"/>
              <w:rPr>
                <w:sz w:val="20"/>
                <w:szCs w:val="20"/>
                <w:color w:val="auto"/>
              </w:rPr>
            </w:pPr>
            <w:r>
              <w:rPr>
                <w:rFonts w:ascii="Arial" w:cs="Arial" w:eastAsia="Arial" w:hAnsi="Arial"/>
                <w:sz w:val="18"/>
                <w:szCs w:val="18"/>
                <w:b w:val="1"/>
                <w:bCs w:val="1"/>
                <w:color w:val="auto"/>
              </w:rPr>
              <w:t>WASTE MANAGEMENT, INC.</w:t>
            </w:r>
          </w:p>
        </w:tc>
      </w:tr>
      <w:tr>
        <w:trPr>
          <w:trHeight w:val="432"/>
        </w:trPr>
        <w:tc>
          <w:tcPr>
            <w:tcW w:w="2220" w:type="dxa"/>
            <w:vAlign w:val="bottom"/>
          </w:tcPr>
          <w:p>
            <w:pPr>
              <w:spacing w:after="0"/>
              <w:rPr>
                <w:sz w:val="24"/>
                <w:szCs w:val="24"/>
                <w:color w:val="auto"/>
              </w:rPr>
            </w:pPr>
          </w:p>
        </w:tc>
        <w:tc>
          <w:tcPr>
            <w:tcW w:w="9200" w:type="dxa"/>
            <w:vAlign w:val="bottom"/>
            <w:gridSpan w:val="4"/>
          </w:tcPr>
          <w:p>
            <w:pPr>
              <w:ind w:left="3500"/>
              <w:spacing w:after="0"/>
              <w:rPr>
                <w:sz w:val="20"/>
                <w:szCs w:val="20"/>
                <w:color w:val="auto"/>
              </w:rPr>
            </w:pPr>
            <w:r>
              <w:rPr>
                <w:rFonts w:ascii="Arial" w:cs="Arial" w:eastAsia="Arial" w:hAnsi="Arial"/>
                <w:sz w:val="18"/>
                <w:szCs w:val="18"/>
                <w:color w:val="auto"/>
              </w:rPr>
              <w:t>By:</w:t>
            </w:r>
          </w:p>
        </w:tc>
      </w:tr>
      <w:tr>
        <w:trPr>
          <w:trHeight w:val="196"/>
        </w:trPr>
        <w:tc>
          <w:tcPr>
            <w:tcW w:w="2220" w:type="dxa"/>
            <w:vAlign w:val="bottom"/>
          </w:tcPr>
          <w:p>
            <w:pPr>
              <w:spacing w:after="0"/>
              <w:rPr>
                <w:sz w:val="17"/>
                <w:szCs w:val="17"/>
                <w:color w:val="auto"/>
              </w:rPr>
            </w:pPr>
          </w:p>
        </w:tc>
        <w:tc>
          <w:tcPr>
            <w:tcW w:w="4160" w:type="dxa"/>
            <w:vAlign w:val="bottom"/>
            <w:gridSpan w:val="3"/>
          </w:tcPr>
          <w:p>
            <w:pPr>
              <w:ind w:left="3500"/>
              <w:spacing w:after="0" w:line="196" w:lineRule="exact"/>
              <w:rPr>
                <w:sz w:val="20"/>
                <w:szCs w:val="20"/>
                <w:color w:val="auto"/>
              </w:rPr>
            </w:pPr>
            <w:r>
              <w:rPr>
                <w:rFonts w:ascii="Arial" w:cs="Arial" w:eastAsia="Arial" w:hAnsi="Arial"/>
                <w:sz w:val="18"/>
                <w:szCs w:val="18"/>
                <w:color w:val="auto"/>
              </w:rPr>
              <w:t>Name:</w:t>
            </w:r>
          </w:p>
        </w:tc>
        <w:tc>
          <w:tcPr>
            <w:tcW w:w="5040" w:type="dxa"/>
            <w:vAlign w:val="bottom"/>
            <w:tcBorders>
              <w:top w:val="single" w:sz="8" w:color="auto"/>
              <w:bottom w:val="single" w:sz="8" w:color="auto"/>
            </w:tcBorders>
          </w:tcPr>
          <w:p>
            <w:pPr>
              <w:spacing w:after="0"/>
              <w:rPr>
                <w:sz w:val="17"/>
                <w:szCs w:val="17"/>
                <w:color w:val="auto"/>
              </w:rPr>
            </w:pPr>
          </w:p>
        </w:tc>
      </w:tr>
      <w:tr>
        <w:trPr>
          <w:trHeight w:val="196"/>
        </w:trPr>
        <w:tc>
          <w:tcPr>
            <w:tcW w:w="2220" w:type="dxa"/>
            <w:vAlign w:val="bottom"/>
          </w:tcPr>
          <w:p>
            <w:pPr>
              <w:spacing w:after="0"/>
              <w:rPr>
                <w:sz w:val="17"/>
                <w:szCs w:val="17"/>
                <w:color w:val="auto"/>
              </w:rPr>
            </w:pPr>
          </w:p>
        </w:tc>
        <w:tc>
          <w:tcPr>
            <w:tcW w:w="4160" w:type="dxa"/>
            <w:vAlign w:val="bottom"/>
            <w:gridSpan w:val="3"/>
          </w:tcPr>
          <w:p>
            <w:pPr>
              <w:ind w:left="3500"/>
              <w:spacing w:after="0" w:line="196" w:lineRule="exact"/>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b w:val="1"/>
                <w:bCs w:val="1"/>
                <w:color w:val="auto"/>
              </w:rPr>
              <w:t>§9</w:t>
            </w:r>
          </w:p>
        </w:tc>
        <w:tc>
          <w:tcPr>
            <w:tcW w:w="6620" w:type="dxa"/>
            <w:vAlign w:val="bottom"/>
            <w:gridSpan w:val="5"/>
          </w:tcPr>
          <w:p>
            <w:pPr>
              <w:ind w:left="220"/>
              <w:spacing w:after="0"/>
              <w:rPr>
                <w:sz w:val="20"/>
                <w:szCs w:val="20"/>
                <w:color w:val="auto"/>
              </w:rPr>
            </w:pPr>
            <w:r>
              <w:rPr>
                <w:rFonts w:ascii="Arial" w:cs="Arial" w:eastAsia="Arial" w:hAnsi="Arial"/>
                <w:sz w:val="18"/>
                <w:szCs w:val="18"/>
                <w:b w:val="1"/>
                <w:bCs w:val="1"/>
                <w:color w:val="auto"/>
              </w:rPr>
              <w:t>Leverage Ratio</w:t>
            </w:r>
          </w:p>
        </w:tc>
        <w:tc>
          <w:tcPr>
            <w:tcW w:w="25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2"/>
        </w:trPr>
        <w:tc>
          <w:tcPr>
            <w:tcW w:w="7040" w:type="dxa"/>
            <w:vAlign w:val="bottom"/>
            <w:gridSpan w:val="6"/>
          </w:tcPr>
          <w:p>
            <w:pPr>
              <w:spacing w:after="0"/>
              <w:rPr>
                <w:sz w:val="20"/>
                <w:szCs w:val="20"/>
                <w:color w:val="auto"/>
              </w:rPr>
            </w:pPr>
            <w:r>
              <w:rPr>
                <w:rFonts w:ascii="Arial" w:cs="Arial" w:eastAsia="Arial" w:hAnsi="Arial"/>
                <w:sz w:val="18"/>
                <w:szCs w:val="18"/>
                <w:color w:val="auto"/>
              </w:rPr>
              <w:t>Consolidated Net Income (or Deficit)</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ind w:left="260"/>
              <w:spacing w:after="0"/>
              <w:rPr>
                <w:sz w:val="20"/>
                <w:szCs w:val="20"/>
                <w:color w:val="auto"/>
              </w:rPr>
            </w:pPr>
            <w:r>
              <w:rPr>
                <w:rFonts w:ascii="Arial" w:cs="Arial" w:eastAsia="Arial" w:hAnsi="Arial"/>
                <w:sz w:val="18"/>
                <w:szCs w:val="18"/>
                <w:color w:val="auto"/>
              </w:rPr>
              <w:t>(i)</w:t>
            </w:r>
          </w:p>
        </w:tc>
      </w:tr>
      <w:tr>
        <w:trPr>
          <w:trHeight w:val="190"/>
        </w:trPr>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380" w:type="dxa"/>
            <w:vAlign w:val="bottom"/>
            <w:gridSpan w:val="4"/>
          </w:tcPr>
          <w:p>
            <w:pPr>
              <w:spacing w:after="0" w:line="190" w:lineRule="exact"/>
              <w:rPr>
                <w:sz w:val="20"/>
                <w:szCs w:val="20"/>
                <w:color w:val="auto"/>
              </w:rPr>
            </w:pPr>
            <w:r>
              <w:rPr>
                <w:rFonts w:ascii="Arial" w:cs="Arial" w:eastAsia="Arial" w:hAnsi="Arial"/>
                <w:sz w:val="18"/>
                <w:szCs w:val="18"/>
                <w:color w:val="auto"/>
              </w:rPr>
              <w:t>Plus (without duplication):</w:t>
            </w:r>
          </w:p>
        </w:tc>
        <w:tc>
          <w:tcPr>
            <w:tcW w:w="25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22"/>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80" w:type="dxa"/>
            <w:vAlign w:val="bottom"/>
            <w:gridSpan w:val="3"/>
          </w:tcPr>
          <w:p>
            <w:pPr>
              <w:ind w:left="80"/>
              <w:spacing w:after="0"/>
              <w:rPr>
                <w:sz w:val="20"/>
                <w:szCs w:val="20"/>
                <w:color w:val="auto"/>
              </w:rPr>
            </w:pPr>
            <w:r>
              <w:rPr>
                <w:rFonts w:ascii="Arial" w:cs="Arial" w:eastAsia="Arial" w:hAnsi="Arial"/>
                <w:sz w:val="18"/>
                <w:szCs w:val="18"/>
                <w:color w:val="auto"/>
              </w:rPr>
              <w:t>interest expense</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ind w:left="260"/>
              <w:spacing w:after="0"/>
              <w:rPr>
                <w:sz w:val="20"/>
                <w:szCs w:val="20"/>
                <w:color w:val="auto"/>
              </w:rPr>
            </w:pPr>
            <w:r>
              <w:rPr>
                <w:rFonts w:ascii="Arial" w:cs="Arial" w:eastAsia="Arial" w:hAnsi="Arial"/>
                <w:sz w:val="18"/>
                <w:szCs w:val="18"/>
                <w:color w:val="auto"/>
              </w:rPr>
              <w:t>(ii)</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80" w:type="dxa"/>
            <w:vAlign w:val="bottom"/>
            <w:gridSpan w:val="3"/>
          </w:tcPr>
          <w:p>
            <w:pPr>
              <w:ind w:left="80"/>
              <w:spacing w:after="0"/>
              <w:rPr>
                <w:sz w:val="20"/>
                <w:szCs w:val="20"/>
                <w:color w:val="auto"/>
              </w:rPr>
            </w:pPr>
            <w:r>
              <w:rPr>
                <w:rFonts w:ascii="Arial" w:cs="Arial" w:eastAsia="Arial" w:hAnsi="Arial"/>
                <w:sz w:val="18"/>
                <w:szCs w:val="18"/>
                <w:color w:val="auto"/>
              </w:rPr>
              <w:t>equity in losses (earnings) of unconsolidated entities</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ind w:left="260"/>
              <w:spacing w:after="0"/>
              <w:rPr>
                <w:sz w:val="20"/>
                <w:szCs w:val="20"/>
                <w:color w:val="auto"/>
              </w:rPr>
            </w:pPr>
            <w:r>
              <w:rPr>
                <w:rFonts w:ascii="Arial" w:cs="Arial" w:eastAsia="Arial" w:hAnsi="Arial"/>
                <w:sz w:val="18"/>
                <w:szCs w:val="18"/>
                <w:color w:val="auto"/>
              </w:rPr>
              <w:t>(iii)</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80" w:type="dxa"/>
            <w:vAlign w:val="bottom"/>
            <w:gridSpan w:val="3"/>
          </w:tcPr>
          <w:p>
            <w:pPr>
              <w:ind w:left="80"/>
              <w:spacing w:after="0"/>
              <w:rPr>
                <w:sz w:val="20"/>
                <w:szCs w:val="20"/>
                <w:color w:val="auto"/>
              </w:rPr>
            </w:pPr>
            <w:r>
              <w:rPr>
                <w:rFonts w:ascii="Arial" w:cs="Arial" w:eastAsia="Arial" w:hAnsi="Arial"/>
                <w:sz w:val="18"/>
                <w:szCs w:val="18"/>
                <w:color w:val="auto"/>
              </w:rPr>
              <w:t>income tax expense</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ind w:left="260"/>
              <w:spacing w:after="0"/>
              <w:rPr>
                <w:sz w:val="20"/>
                <w:szCs w:val="20"/>
                <w:color w:val="auto"/>
              </w:rPr>
            </w:pPr>
            <w:r>
              <w:rPr>
                <w:rFonts w:ascii="Arial" w:cs="Arial" w:eastAsia="Arial" w:hAnsi="Arial"/>
                <w:sz w:val="18"/>
                <w:szCs w:val="18"/>
                <w:color w:val="auto"/>
              </w:rPr>
              <w:t>(iv)</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80" w:type="dxa"/>
            <w:vAlign w:val="bottom"/>
            <w:gridSpan w:val="3"/>
          </w:tcPr>
          <w:p>
            <w:pPr>
              <w:ind w:left="80"/>
              <w:spacing w:after="0"/>
              <w:rPr>
                <w:sz w:val="20"/>
                <w:szCs w:val="20"/>
                <w:color w:val="auto"/>
              </w:rPr>
            </w:pPr>
            <w:r>
              <w:rPr>
                <w:rFonts w:ascii="Arial" w:cs="Arial" w:eastAsia="Arial" w:hAnsi="Arial"/>
                <w:sz w:val="18"/>
                <w:szCs w:val="18"/>
                <w:color w:val="auto"/>
              </w:rPr>
              <w:t>non-cash write-downs or write-offs of assets</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ind w:left="260"/>
              <w:spacing w:after="0"/>
              <w:rPr>
                <w:sz w:val="20"/>
                <w:szCs w:val="20"/>
                <w:color w:val="auto"/>
              </w:rPr>
            </w:pPr>
            <w:r>
              <w:rPr>
                <w:rFonts w:ascii="Arial" w:cs="Arial" w:eastAsia="Arial" w:hAnsi="Arial"/>
                <w:sz w:val="18"/>
                <w:szCs w:val="18"/>
                <w:color w:val="auto"/>
              </w:rPr>
              <w:t>(v)</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80" w:type="dxa"/>
            <w:vAlign w:val="bottom"/>
            <w:gridSpan w:val="3"/>
          </w:tcPr>
          <w:p>
            <w:pPr>
              <w:ind w:left="80"/>
              <w:spacing w:after="0"/>
              <w:rPr>
                <w:sz w:val="20"/>
                <w:szCs w:val="20"/>
                <w:color w:val="auto"/>
              </w:rPr>
            </w:pPr>
            <w:r>
              <w:rPr>
                <w:rFonts w:ascii="Arial" w:cs="Arial" w:eastAsia="Arial" w:hAnsi="Arial"/>
                <w:sz w:val="18"/>
                <w:szCs w:val="18"/>
                <w:color w:val="auto"/>
              </w:rPr>
              <w:t>losses attributable to the extinguishment</w:t>
            </w:r>
          </w:p>
        </w:tc>
        <w:tc>
          <w:tcPr>
            <w:tcW w:w="25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80" w:type="dxa"/>
            <w:vAlign w:val="bottom"/>
            <w:gridSpan w:val="3"/>
          </w:tcPr>
          <w:p>
            <w:pPr>
              <w:ind w:left="80"/>
              <w:spacing w:after="0"/>
              <w:rPr>
                <w:sz w:val="20"/>
                <w:szCs w:val="20"/>
                <w:color w:val="auto"/>
              </w:rPr>
            </w:pPr>
            <w:r>
              <w:rPr>
                <w:rFonts w:ascii="Arial" w:cs="Arial" w:eastAsia="Arial" w:hAnsi="Arial"/>
                <w:sz w:val="18"/>
                <w:szCs w:val="18"/>
                <w:color w:val="auto"/>
              </w:rPr>
              <w:t>of Indebtedness</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ind w:left="260"/>
              <w:spacing w:after="0"/>
              <w:rPr>
                <w:sz w:val="20"/>
                <w:szCs w:val="20"/>
                <w:color w:val="auto"/>
              </w:rPr>
            </w:pPr>
            <w:r>
              <w:rPr>
                <w:rFonts w:ascii="Arial" w:cs="Arial" w:eastAsia="Arial" w:hAnsi="Arial"/>
                <w:sz w:val="18"/>
                <w:szCs w:val="18"/>
                <w:color w:val="auto"/>
              </w:rPr>
              <w:t>(vi)</w:t>
            </w:r>
          </w:p>
        </w:tc>
      </w:tr>
      <w:tr>
        <w:trPr>
          <w:trHeight w:val="190"/>
        </w:trPr>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380" w:type="dxa"/>
            <w:vAlign w:val="bottom"/>
            <w:gridSpan w:val="4"/>
          </w:tcPr>
          <w:p>
            <w:pPr>
              <w:spacing w:after="0" w:line="190" w:lineRule="exact"/>
              <w:rPr>
                <w:sz w:val="20"/>
                <w:szCs w:val="20"/>
                <w:color w:val="auto"/>
              </w:rPr>
            </w:pPr>
            <w:r>
              <w:rPr>
                <w:rFonts w:ascii="Arial" w:cs="Arial" w:eastAsia="Arial" w:hAnsi="Arial"/>
                <w:sz w:val="18"/>
                <w:szCs w:val="18"/>
                <w:color w:val="auto"/>
              </w:rPr>
              <w:t>Minus non-cash extraordinary gains on the sale of assets</w:t>
            </w:r>
          </w:p>
        </w:tc>
        <w:tc>
          <w:tcPr>
            <w:tcW w:w="2540" w:type="dxa"/>
            <w:vAlign w:val="bottom"/>
          </w:tcPr>
          <w:p>
            <w:pPr>
              <w:jc w:val="right"/>
              <w:ind w:right="150"/>
              <w:spacing w:after="0" w:line="190" w:lineRule="exact"/>
              <w:rPr>
                <w:sz w:val="20"/>
                <w:szCs w:val="20"/>
                <w:color w:val="auto"/>
              </w:rPr>
            </w:pPr>
            <w:r>
              <w:rPr>
                <w:rFonts w:ascii="Arial" w:cs="Arial" w:eastAsia="Arial" w:hAnsi="Arial"/>
                <w:sz w:val="18"/>
                <w:szCs w:val="18"/>
                <w:color w:val="auto"/>
              </w:rPr>
              <w:t>$</w:t>
            </w:r>
          </w:p>
        </w:tc>
        <w:tc>
          <w:tcPr>
            <w:tcW w:w="1880" w:type="dxa"/>
            <w:vAlign w:val="bottom"/>
          </w:tcPr>
          <w:p>
            <w:pPr>
              <w:ind w:left="260"/>
              <w:spacing w:after="0" w:line="190" w:lineRule="exact"/>
              <w:rPr>
                <w:sz w:val="20"/>
                <w:szCs w:val="20"/>
                <w:color w:val="auto"/>
              </w:rPr>
            </w:pPr>
            <w:r>
              <w:rPr>
                <w:rFonts w:ascii="Arial" w:cs="Arial" w:eastAsia="Arial" w:hAnsi="Arial"/>
                <w:sz w:val="18"/>
                <w:szCs w:val="18"/>
                <w:color w:val="auto"/>
              </w:rPr>
              <w:t>(vii)</w:t>
            </w:r>
          </w:p>
        </w:tc>
      </w:tr>
      <w:tr>
        <w:trPr>
          <w:trHeight w:val="20"/>
        </w:trPr>
        <w:tc>
          <w:tcPr>
            <w:tcW w:w="66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7040" w:type="dxa"/>
            <w:vAlign w:val="bottom"/>
            <w:gridSpan w:val="6"/>
          </w:tcPr>
          <w:p>
            <w:pPr>
              <w:spacing w:after="0"/>
              <w:rPr>
                <w:sz w:val="20"/>
                <w:szCs w:val="20"/>
                <w:color w:val="auto"/>
              </w:rPr>
            </w:pPr>
            <w:r>
              <w:rPr>
                <w:rFonts w:ascii="Arial" w:cs="Arial" w:eastAsia="Arial" w:hAnsi="Arial"/>
                <w:sz w:val="18"/>
                <w:szCs w:val="18"/>
                <w:color w:val="auto"/>
              </w:rPr>
              <w:t>EBIT (sum of (i) through (vi) minus (vii))</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ind w:left="260"/>
              <w:spacing w:after="0"/>
              <w:rPr>
                <w:sz w:val="20"/>
                <w:szCs w:val="20"/>
                <w:color w:val="auto"/>
              </w:rPr>
            </w:pPr>
            <w:r>
              <w:rPr>
                <w:rFonts w:ascii="Arial" w:cs="Arial" w:eastAsia="Arial" w:hAnsi="Arial"/>
                <w:sz w:val="18"/>
                <w:szCs w:val="18"/>
                <w:color w:val="auto"/>
              </w:rPr>
              <w:t>(a)</w:t>
            </w:r>
          </w:p>
        </w:tc>
      </w:tr>
      <w:tr>
        <w:trPr>
          <w:trHeight w:val="418"/>
        </w:trPr>
        <w:tc>
          <w:tcPr>
            <w:tcW w:w="7040" w:type="dxa"/>
            <w:vAlign w:val="bottom"/>
            <w:gridSpan w:val="6"/>
          </w:tcPr>
          <w:p>
            <w:pPr>
              <w:spacing w:after="0"/>
              <w:rPr>
                <w:sz w:val="20"/>
                <w:szCs w:val="20"/>
                <w:color w:val="auto"/>
              </w:rPr>
            </w:pPr>
            <w:r>
              <w:rPr>
                <w:rFonts w:ascii="Arial" w:cs="Arial" w:eastAsia="Arial" w:hAnsi="Arial"/>
                <w:sz w:val="18"/>
                <w:szCs w:val="18"/>
                <w:color w:val="auto"/>
              </w:rPr>
              <w:t>Consolidated Net Income of Acquired Businesses</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ind w:left="260"/>
              <w:spacing w:after="0"/>
              <w:rPr>
                <w:sz w:val="20"/>
                <w:szCs w:val="20"/>
                <w:color w:val="auto"/>
              </w:rPr>
            </w:pPr>
            <w:r>
              <w:rPr>
                <w:rFonts w:ascii="Arial" w:cs="Arial" w:eastAsia="Arial" w:hAnsi="Arial"/>
                <w:sz w:val="18"/>
                <w:szCs w:val="18"/>
                <w:color w:val="auto"/>
              </w:rPr>
              <w:t>(i)</w:t>
            </w:r>
          </w:p>
        </w:tc>
      </w:tr>
      <w:tr>
        <w:trPr>
          <w:trHeight w:val="190"/>
        </w:trPr>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380" w:type="dxa"/>
            <w:vAlign w:val="bottom"/>
            <w:gridSpan w:val="4"/>
          </w:tcPr>
          <w:p>
            <w:pPr>
              <w:spacing w:after="0" w:line="190" w:lineRule="exact"/>
              <w:rPr>
                <w:sz w:val="20"/>
                <w:szCs w:val="20"/>
                <w:color w:val="auto"/>
              </w:rPr>
            </w:pPr>
            <w:r>
              <w:rPr>
                <w:rFonts w:ascii="Arial" w:cs="Arial" w:eastAsia="Arial" w:hAnsi="Arial"/>
                <w:sz w:val="18"/>
                <w:szCs w:val="18"/>
                <w:color w:val="auto"/>
              </w:rPr>
              <w:t>Plus (without duplication):</w:t>
            </w:r>
          </w:p>
        </w:tc>
        <w:tc>
          <w:tcPr>
            <w:tcW w:w="25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22"/>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80" w:type="dxa"/>
            <w:vAlign w:val="bottom"/>
            <w:gridSpan w:val="3"/>
          </w:tcPr>
          <w:p>
            <w:pPr>
              <w:ind w:left="80"/>
              <w:spacing w:after="0"/>
              <w:rPr>
                <w:sz w:val="20"/>
                <w:szCs w:val="20"/>
                <w:color w:val="auto"/>
              </w:rPr>
            </w:pPr>
            <w:r>
              <w:rPr>
                <w:rFonts w:ascii="Arial" w:cs="Arial" w:eastAsia="Arial" w:hAnsi="Arial"/>
                <w:sz w:val="18"/>
                <w:szCs w:val="18"/>
                <w:color w:val="auto"/>
              </w:rPr>
              <w:t>interest expense</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ind w:left="260"/>
              <w:spacing w:after="0"/>
              <w:rPr>
                <w:sz w:val="20"/>
                <w:szCs w:val="20"/>
                <w:color w:val="auto"/>
              </w:rPr>
            </w:pPr>
            <w:r>
              <w:rPr>
                <w:rFonts w:ascii="Arial" w:cs="Arial" w:eastAsia="Arial" w:hAnsi="Arial"/>
                <w:sz w:val="18"/>
                <w:szCs w:val="18"/>
                <w:color w:val="auto"/>
              </w:rPr>
              <w:t>(ii)</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80" w:type="dxa"/>
            <w:vAlign w:val="bottom"/>
            <w:gridSpan w:val="3"/>
          </w:tcPr>
          <w:p>
            <w:pPr>
              <w:ind w:left="80"/>
              <w:spacing w:after="0"/>
              <w:rPr>
                <w:sz w:val="20"/>
                <w:szCs w:val="20"/>
                <w:color w:val="auto"/>
              </w:rPr>
            </w:pPr>
            <w:r>
              <w:rPr>
                <w:rFonts w:ascii="Arial" w:cs="Arial" w:eastAsia="Arial" w:hAnsi="Arial"/>
                <w:sz w:val="18"/>
                <w:szCs w:val="18"/>
                <w:color w:val="auto"/>
              </w:rPr>
              <w:t>equity in losses (earnings) of unconsolidated entities</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ind w:left="260"/>
              <w:spacing w:after="0"/>
              <w:rPr>
                <w:sz w:val="20"/>
                <w:szCs w:val="20"/>
                <w:color w:val="auto"/>
              </w:rPr>
            </w:pPr>
            <w:r>
              <w:rPr>
                <w:rFonts w:ascii="Arial" w:cs="Arial" w:eastAsia="Arial" w:hAnsi="Arial"/>
                <w:sz w:val="18"/>
                <w:szCs w:val="18"/>
                <w:color w:val="auto"/>
              </w:rPr>
              <w:t>(iii)</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80" w:type="dxa"/>
            <w:vAlign w:val="bottom"/>
            <w:gridSpan w:val="3"/>
          </w:tcPr>
          <w:p>
            <w:pPr>
              <w:ind w:left="80"/>
              <w:spacing w:after="0"/>
              <w:rPr>
                <w:sz w:val="20"/>
                <w:szCs w:val="20"/>
                <w:color w:val="auto"/>
              </w:rPr>
            </w:pPr>
            <w:r>
              <w:rPr>
                <w:rFonts w:ascii="Arial" w:cs="Arial" w:eastAsia="Arial" w:hAnsi="Arial"/>
                <w:sz w:val="18"/>
                <w:szCs w:val="18"/>
                <w:color w:val="auto"/>
              </w:rPr>
              <w:t>income tax expense</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ind w:left="260"/>
              <w:spacing w:after="0"/>
              <w:rPr>
                <w:sz w:val="20"/>
                <w:szCs w:val="20"/>
                <w:color w:val="auto"/>
              </w:rPr>
            </w:pPr>
            <w:r>
              <w:rPr>
                <w:rFonts w:ascii="Arial" w:cs="Arial" w:eastAsia="Arial" w:hAnsi="Arial"/>
                <w:sz w:val="18"/>
                <w:szCs w:val="18"/>
                <w:color w:val="auto"/>
              </w:rPr>
              <w:t>(iv)</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80" w:type="dxa"/>
            <w:vAlign w:val="bottom"/>
            <w:gridSpan w:val="3"/>
          </w:tcPr>
          <w:p>
            <w:pPr>
              <w:ind w:left="80"/>
              <w:spacing w:after="0"/>
              <w:rPr>
                <w:sz w:val="20"/>
                <w:szCs w:val="20"/>
                <w:color w:val="auto"/>
              </w:rPr>
            </w:pPr>
            <w:r>
              <w:rPr>
                <w:rFonts w:ascii="Arial" w:cs="Arial" w:eastAsia="Arial" w:hAnsi="Arial"/>
                <w:sz w:val="18"/>
                <w:szCs w:val="18"/>
                <w:color w:val="auto"/>
              </w:rPr>
              <w:t>non-cash writedowns or write-offs of assets</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ind w:left="260"/>
              <w:spacing w:after="0"/>
              <w:rPr>
                <w:sz w:val="20"/>
                <w:szCs w:val="20"/>
                <w:color w:val="auto"/>
              </w:rPr>
            </w:pPr>
            <w:r>
              <w:rPr>
                <w:rFonts w:ascii="Arial" w:cs="Arial" w:eastAsia="Arial" w:hAnsi="Arial"/>
                <w:sz w:val="18"/>
                <w:szCs w:val="18"/>
                <w:color w:val="auto"/>
              </w:rPr>
              <w:t>(v)</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80" w:type="dxa"/>
            <w:vAlign w:val="bottom"/>
            <w:gridSpan w:val="3"/>
          </w:tcPr>
          <w:p>
            <w:pPr>
              <w:ind w:left="80"/>
              <w:spacing w:after="0"/>
              <w:rPr>
                <w:sz w:val="20"/>
                <w:szCs w:val="20"/>
                <w:color w:val="auto"/>
              </w:rPr>
            </w:pPr>
            <w:r>
              <w:rPr>
                <w:rFonts w:ascii="Arial" w:cs="Arial" w:eastAsia="Arial" w:hAnsi="Arial"/>
                <w:sz w:val="18"/>
                <w:szCs w:val="18"/>
                <w:color w:val="auto"/>
              </w:rPr>
              <w:t>losses attributable to the extinguishment</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ind w:left="260"/>
              <w:spacing w:after="0"/>
              <w:rPr>
                <w:sz w:val="20"/>
                <w:szCs w:val="20"/>
                <w:color w:val="auto"/>
              </w:rPr>
            </w:pPr>
            <w:r>
              <w:rPr>
                <w:rFonts w:ascii="Arial" w:cs="Arial" w:eastAsia="Arial" w:hAnsi="Arial"/>
                <w:sz w:val="18"/>
                <w:szCs w:val="18"/>
                <w:color w:val="auto"/>
              </w:rPr>
              <w:t>(vi)</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80" w:type="dxa"/>
            <w:vAlign w:val="bottom"/>
            <w:gridSpan w:val="3"/>
          </w:tcPr>
          <w:p>
            <w:pPr>
              <w:ind w:left="80"/>
              <w:spacing w:after="0"/>
              <w:rPr>
                <w:sz w:val="20"/>
                <w:szCs w:val="20"/>
                <w:color w:val="auto"/>
              </w:rPr>
            </w:pPr>
            <w:r>
              <w:rPr>
                <w:rFonts w:ascii="Arial" w:cs="Arial" w:eastAsia="Arial" w:hAnsi="Arial"/>
                <w:sz w:val="18"/>
                <w:szCs w:val="18"/>
                <w:color w:val="auto"/>
              </w:rPr>
              <w:t>of Indebtedness</w:t>
            </w:r>
          </w:p>
        </w:tc>
        <w:tc>
          <w:tcPr>
            <w:tcW w:w="25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90"/>
        </w:trPr>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380" w:type="dxa"/>
            <w:vAlign w:val="bottom"/>
            <w:gridSpan w:val="4"/>
          </w:tcPr>
          <w:p>
            <w:pPr>
              <w:spacing w:after="0" w:line="190" w:lineRule="exact"/>
              <w:rPr>
                <w:sz w:val="20"/>
                <w:szCs w:val="20"/>
                <w:color w:val="auto"/>
              </w:rPr>
            </w:pPr>
            <w:r>
              <w:rPr>
                <w:rFonts w:ascii="Arial" w:cs="Arial" w:eastAsia="Arial" w:hAnsi="Arial"/>
                <w:sz w:val="18"/>
                <w:szCs w:val="18"/>
                <w:color w:val="auto"/>
              </w:rPr>
              <w:t>Minus non-cash extraordinary gains on the sale of assets</w:t>
            </w:r>
          </w:p>
        </w:tc>
        <w:tc>
          <w:tcPr>
            <w:tcW w:w="2540" w:type="dxa"/>
            <w:vAlign w:val="bottom"/>
          </w:tcPr>
          <w:p>
            <w:pPr>
              <w:jc w:val="right"/>
              <w:ind w:right="150"/>
              <w:spacing w:after="0" w:line="190" w:lineRule="exact"/>
              <w:rPr>
                <w:sz w:val="20"/>
                <w:szCs w:val="20"/>
                <w:color w:val="auto"/>
              </w:rPr>
            </w:pPr>
            <w:r>
              <w:rPr>
                <w:rFonts w:ascii="Arial" w:cs="Arial" w:eastAsia="Arial" w:hAnsi="Arial"/>
                <w:sz w:val="18"/>
                <w:szCs w:val="18"/>
                <w:color w:val="auto"/>
              </w:rPr>
              <w:t>$</w:t>
            </w:r>
          </w:p>
        </w:tc>
        <w:tc>
          <w:tcPr>
            <w:tcW w:w="1880" w:type="dxa"/>
            <w:vAlign w:val="bottom"/>
          </w:tcPr>
          <w:p>
            <w:pPr>
              <w:ind w:left="260"/>
              <w:spacing w:after="0" w:line="190" w:lineRule="exact"/>
              <w:rPr>
                <w:sz w:val="20"/>
                <w:szCs w:val="20"/>
                <w:color w:val="auto"/>
              </w:rPr>
            </w:pPr>
            <w:r>
              <w:rPr>
                <w:rFonts w:ascii="Arial" w:cs="Arial" w:eastAsia="Arial" w:hAnsi="Arial"/>
                <w:sz w:val="18"/>
                <w:szCs w:val="18"/>
                <w:color w:val="auto"/>
              </w:rPr>
              <w:t>(vii)</w:t>
            </w:r>
          </w:p>
        </w:tc>
      </w:tr>
      <w:tr>
        <w:trPr>
          <w:trHeight w:val="20"/>
        </w:trPr>
        <w:tc>
          <w:tcPr>
            <w:tcW w:w="66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7040" w:type="dxa"/>
            <w:vAlign w:val="bottom"/>
            <w:gridSpan w:val="6"/>
          </w:tcPr>
          <w:p>
            <w:pPr>
              <w:spacing w:after="0"/>
              <w:rPr>
                <w:sz w:val="20"/>
                <w:szCs w:val="20"/>
                <w:color w:val="auto"/>
              </w:rPr>
            </w:pPr>
            <w:r>
              <w:rPr>
                <w:rFonts w:ascii="Arial" w:cs="Arial" w:eastAsia="Arial" w:hAnsi="Arial"/>
                <w:sz w:val="18"/>
                <w:szCs w:val="18"/>
                <w:color w:val="auto"/>
              </w:rPr>
              <w:t>EBIT of Acquired Businesses (sum of (i) through (vi) minus (vii))</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ind w:left="260"/>
              <w:spacing w:after="0"/>
              <w:rPr>
                <w:sz w:val="20"/>
                <w:szCs w:val="20"/>
                <w:color w:val="auto"/>
              </w:rPr>
            </w:pPr>
            <w:r>
              <w:rPr>
                <w:rFonts w:ascii="Arial" w:cs="Arial" w:eastAsia="Arial" w:hAnsi="Arial"/>
                <w:sz w:val="18"/>
                <w:szCs w:val="18"/>
                <w:color w:val="auto"/>
              </w:rPr>
              <w:t>(b)</w:t>
            </w:r>
          </w:p>
        </w:tc>
      </w:tr>
      <w:tr>
        <w:trPr>
          <w:trHeight w:val="348"/>
        </w:trPr>
        <w:tc>
          <w:tcPr>
            <w:tcW w:w="4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gridSpan w:val="4"/>
          </w:tcPr>
          <w:p>
            <w:pPr>
              <w:spacing w:after="0"/>
              <w:rPr>
                <w:sz w:val="20"/>
                <w:szCs w:val="20"/>
                <w:color w:val="auto"/>
              </w:rPr>
            </w:pPr>
            <w:r>
              <w:rPr>
                <w:rFonts w:ascii="Arial" w:cs="Arial" w:eastAsia="Arial" w:hAnsi="Arial"/>
                <w:sz w:val="18"/>
                <w:szCs w:val="18"/>
                <w:color w:val="auto"/>
              </w:rPr>
              <w:t>Sum of (a) plus (b)</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(c)</w:t>
            </w: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Plus:</w:t>
            </w:r>
          </w:p>
        </w:tc>
        <w:tc>
          <w:tcPr>
            <w:tcW w:w="300" w:type="dxa"/>
            <w:vAlign w:val="bottom"/>
            <w:tcBorders>
              <w:top w:val="single" w:sz="8" w:color="auto"/>
            </w:tcBorders>
          </w:tcPr>
          <w:p>
            <w:pPr>
              <w:spacing w:after="0"/>
              <w:rPr>
                <w:sz w:val="24"/>
                <w:szCs w:val="24"/>
                <w:color w:val="auto"/>
              </w:rPr>
            </w:pPr>
          </w:p>
        </w:tc>
        <w:tc>
          <w:tcPr>
            <w:tcW w:w="7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320" w:type="dxa"/>
            <w:vAlign w:val="bottom"/>
            <w:tcBorders>
              <w:top w:val="single" w:sz="8" w:color="auto"/>
            </w:tcBorders>
          </w:tcPr>
          <w:p>
            <w:pPr>
              <w:spacing w:after="0"/>
              <w:rPr>
                <w:sz w:val="19"/>
                <w:szCs w:val="19"/>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Depreciation expense</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(i)</w:t>
            </w:r>
          </w:p>
        </w:tc>
      </w:tr>
      <w:tr>
        <w:trPr>
          <w:trHeight w:val="230"/>
        </w:trPr>
        <w:tc>
          <w:tcPr>
            <w:tcW w:w="320" w:type="dxa"/>
            <w:vAlign w:val="bottom"/>
          </w:tcPr>
          <w:p>
            <w:pPr>
              <w:spacing w:after="0"/>
              <w:rPr>
                <w:sz w:val="20"/>
                <w:szCs w:val="20"/>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Amortization expense</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(ii)</w:t>
            </w:r>
          </w:p>
        </w:tc>
      </w:tr>
      <w:tr>
        <w:trPr>
          <w:trHeight w:val="432"/>
        </w:trPr>
        <w:tc>
          <w:tcPr>
            <w:tcW w:w="320" w:type="dxa"/>
            <w:vAlign w:val="bottom"/>
          </w:tcPr>
          <w:p>
            <w:pPr>
              <w:spacing w:after="0"/>
              <w:rPr>
                <w:sz w:val="24"/>
                <w:szCs w:val="24"/>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EBITDA (sum of (c), (i) and (ii))</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(d)</w:t>
            </w:r>
          </w:p>
        </w:tc>
      </w:tr>
      <w:tr>
        <w:trPr>
          <w:trHeight w:val="418"/>
        </w:trPr>
        <w:tc>
          <w:tcPr>
            <w:tcW w:w="8980" w:type="dxa"/>
            <w:vAlign w:val="bottom"/>
            <w:gridSpan w:val="4"/>
          </w:tcPr>
          <w:p>
            <w:pPr>
              <w:spacing w:after="0"/>
              <w:rPr>
                <w:sz w:val="20"/>
                <w:szCs w:val="20"/>
                <w:color w:val="auto"/>
              </w:rPr>
            </w:pPr>
            <w:r>
              <w:rPr>
                <w:rFonts w:ascii="Arial" w:cs="Arial" w:eastAsia="Arial" w:hAnsi="Arial"/>
                <w:sz w:val="18"/>
                <w:szCs w:val="18"/>
                <w:color w:val="auto"/>
              </w:rPr>
              <w:t>The sum of the following (calculated on a consolidated basis for the Company and its Subsidiaries):</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Indebtedness for borrowed money</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(i)</w:t>
            </w:r>
          </w:p>
        </w:tc>
      </w:tr>
      <w:tr>
        <w:trPr>
          <w:trHeight w:val="216"/>
        </w:trPr>
        <w:tc>
          <w:tcPr>
            <w:tcW w:w="320" w:type="dxa"/>
            <w:vAlign w:val="bottom"/>
          </w:tcPr>
          <w:p>
            <w:pPr>
              <w:spacing w:after="0"/>
              <w:rPr>
                <w:sz w:val="18"/>
                <w:szCs w:val="18"/>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Obligations for deferred purchase price of property or services (other than trade payables)</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(ii)</w:t>
            </w:r>
          </w:p>
        </w:tc>
      </w:tr>
      <w:tr>
        <w:trPr>
          <w:trHeight w:val="216"/>
        </w:trPr>
        <w:tc>
          <w:tcPr>
            <w:tcW w:w="320" w:type="dxa"/>
            <w:vAlign w:val="bottom"/>
          </w:tcPr>
          <w:p>
            <w:pPr>
              <w:spacing w:after="0"/>
              <w:rPr>
                <w:sz w:val="18"/>
                <w:szCs w:val="18"/>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Obligations evidenced by debt instruments</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w w:val="99"/>
              </w:rPr>
              <w:t>(iii)</w:t>
            </w:r>
          </w:p>
        </w:tc>
      </w:tr>
      <w:tr>
        <w:trPr>
          <w:trHeight w:val="216"/>
        </w:trPr>
        <w:tc>
          <w:tcPr>
            <w:tcW w:w="320" w:type="dxa"/>
            <w:vAlign w:val="bottom"/>
          </w:tcPr>
          <w:p>
            <w:pPr>
              <w:spacing w:after="0"/>
              <w:rPr>
                <w:sz w:val="18"/>
                <w:szCs w:val="18"/>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Obligations under conditional sales</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w w:val="95"/>
              </w:rPr>
              <w:t>(iv)</w:t>
            </w:r>
          </w:p>
        </w:tc>
      </w:tr>
      <w:tr>
        <w:trPr>
          <w:trHeight w:val="216"/>
        </w:trPr>
        <w:tc>
          <w:tcPr>
            <w:tcW w:w="320" w:type="dxa"/>
            <w:vAlign w:val="bottom"/>
          </w:tcPr>
          <w:p>
            <w:pPr>
              <w:spacing w:after="0"/>
              <w:rPr>
                <w:sz w:val="18"/>
                <w:szCs w:val="18"/>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Obligations, liabilities and indebtedness under Capitalized Leases</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(v)</w:t>
            </w:r>
          </w:p>
        </w:tc>
      </w:tr>
      <w:tr>
        <w:trPr>
          <w:trHeight w:val="230"/>
        </w:trPr>
        <w:tc>
          <w:tcPr>
            <w:tcW w:w="320" w:type="dxa"/>
            <w:vAlign w:val="bottom"/>
          </w:tcPr>
          <w:p>
            <w:pPr>
              <w:spacing w:after="0"/>
              <w:rPr>
                <w:sz w:val="20"/>
                <w:szCs w:val="20"/>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w w:val="92"/>
              </w:rPr>
              <w:t>Obligations, liabilities and indebtedness under bonding arrangements (to the extent that a surety has been called</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w w:val="95"/>
              </w:rPr>
              <w:t>(vi)</w:t>
            </w:r>
          </w:p>
        </w:tc>
      </w:tr>
    </w:tbl>
    <w:p>
      <w:pPr>
        <w:sectPr>
          <w:pgSz w:w="11900" w:h="16838" w:orient="portrait"/>
          <w:cols w:equalWidth="0" w:num="1">
            <w:col w:w="11460"/>
          </w:cols>
          <w:pgMar w:left="240" w:top="341" w:right="199" w:bottom="0" w:gutter="0" w:footer="0" w:header="0"/>
        </w:sectPr>
      </w:pPr>
    </w:p>
    <w:bookmarkStart w:id="67" w:name="page68"/>
    <w:bookmarkEnd w:id="6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ind w:left="980"/>
              <w:spacing w:after="0"/>
              <w:rPr>
                <w:sz w:val="20"/>
                <w:szCs w:val="20"/>
                <w:color w:val="auto"/>
              </w:rPr>
            </w:pPr>
            <w:r>
              <w:rPr>
                <w:rFonts w:ascii="Arial" w:cs="Arial" w:eastAsia="Arial" w:hAnsi="Arial"/>
                <w:sz w:val="18"/>
                <w:szCs w:val="18"/>
                <w:color w:val="auto"/>
              </w:rPr>
              <w:t>upon to make payment on a bond)</w:t>
            </w:r>
          </w:p>
        </w:tc>
        <w:tc>
          <w:tcPr>
            <w:tcW w:w="18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20" w:type="dxa"/>
            <w:vAlign w:val="bottom"/>
          </w:tcPr>
          <w:p>
            <w:pPr>
              <w:ind w:left="660"/>
              <w:spacing w:after="0"/>
              <w:rPr>
                <w:sz w:val="20"/>
                <w:szCs w:val="20"/>
                <w:color w:val="auto"/>
              </w:rPr>
            </w:pPr>
            <w:r>
              <w:rPr>
                <w:rFonts w:ascii="Arial" w:cs="Arial" w:eastAsia="Arial" w:hAnsi="Arial"/>
                <w:sz w:val="18"/>
                <w:szCs w:val="18"/>
                <w:color w:val="auto"/>
              </w:rPr>
              <w:t>Guaranties of the Indebtedness of others</w:t>
            </w:r>
          </w:p>
        </w:tc>
        <w:tc>
          <w:tcPr>
            <w:tcW w:w="1860" w:type="dxa"/>
            <w:vAlign w:val="bottom"/>
          </w:tcPr>
          <w:p>
            <w:pPr>
              <w:ind w:left="1620"/>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(vii)</w:t>
            </w:r>
          </w:p>
        </w:tc>
      </w:tr>
      <w:tr>
        <w:trPr>
          <w:trHeight w:val="216"/>
        </w:trPr>
        <w:tc>
          <w:tcPr>
            <w:tcW w:w="7620" w:type="dxa"/>
            <w:vAlign w:val="bottom"/>
          </w:tcPr>
          <w:p>
            <w:pPr>
              <w:ind w:left="660"/>
              <w:spacing w:after="0"/>
              <w:rPr>
                <w:sz w:val="20"/>
                <w:szCs w:val="20"/>
                <w:color w:val="auto"/>
              </w:rPr>
            </w:pPr>
            <w:r>
              <w:rPr>
                <w:rFonts w:ascii="Arial" w:cs="Arial" w:eastAsia="Arial" w:hAnsi="Arial"/>
                <w:sz w:val="18"/>
                <w:szCs w:val="18"/>
                <w:color w:val="auto"/>
              </w:rPr>
              <w:t>Indebtedness secured by liens or encumbrances on property</w:t>
            </w:r>
          </w:p>
        </w:tc>
        <w:tc>
          <w:tcPr>
            <w:tcW w:w="1860" w:type="dxa"/>
            <w:vAlign w:val="bottom"/>
          </w:tcPr>
          <w:p>
            <w:pPr>
              <w:ind w:left="1620"/>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(viii)</w:t>
            </w:r>
          </w:p>
        </w:tc>
      </w:tr>
      <w:tr>
        <w:trPr>
          <w:trHeight w:val="230"/>
        </w:trPr>
        <w:tc>
          <w:tcPr>
            <w:tcW w:w="7620" w:type="dxa"/>
            <w:vAlign w:val="bottom"/>
          </w:tcPr>
          <w:p>
            <w:pPr>
              <w:ind w:left="660"/>
              <w:spacing w:after="0"/>
              <w:rPr>
                <w:sz w:val="20"/>
                <w:szCs w:val="20"/>
                <w:color w:val="auto"/>
              </w:rPr>
            </w:pPr>
            <w:r>
              <w:rPr>
                <w:rFonts w:ascii="Arial" w:cs="Arial" w:eastAsia="Arial" w:hAnsi="Arial"/>
                <w:sz w:val="18"/>
                <w:szCs w:val="18"/>
                <w:color w:val="auto"/>
              </w:rPr>
              <w:t>Non-contingent reimbursement obligations with respect to letters of credit</w:t>
            </w:r>
          </w:p>
        </w:tc>
        <w:tc>
          <w:tcPr>
            <w:tcW w:w="1860" w:type="dxa"/>
            <w:vAlign w:val="bottom"/>
          </w:tcPr>
          <w:p>
            <w:pPr>
              <w:ind w:left="1620"/>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(ix)</w:t>
            </w:r>
          </w:p>
        </w:tc>
      </w:tr>
      <w:tr>
        <w:trPr>
          <w:trHeight w:val="432"/>
        </w:trPr>
        <w:tc>
          <w:tcPr>
            <w:tcW w:w="7620" w:type="dxa"/>
            <w:vAlign w:val="bottom"/>
          </w:tcPr>
          <w:p>
            <w:pPr>
              <w:spacing w:after="0"/>
              <w:rPr>
                <w:sz w:val="20"/>
                <w:szCs w:val="20"/>
                <w:color w:val="auto"/>
              </w:rPr>
            </w:pPr>
            <w:r>
              <w:rPr>
                <w:rFonts w:ascii="Arial" w:cs="Arial" w:eastAsia="Arial" w:hAnsi="Arial"/>
                <w:sz w:val="18"/>
                <w:szCs w:val="18"/>
                <w:color w:val="auto"/>
              </w:rPr>
              <w:t>Total Debt (sum of (i) through (ix))</w:t>
            </w:r>
          </w:p>
        </w:tc>
        <w:tc>
          <w:tcPr>
            <w:tcW w:w="1860" w:type="dxa"/>
            <w:vAlign w:val="bottom"/>
          </w:tcPr>
          <w:p>
            <w:pPr>
              <w:ind w:left="1620"/>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(e)</w:t>
            </w:r>
          </w:p>
        </w:tc>
      </w:tr>
      <w:tr>
        <w:trPr>
          <w:trHeight w:val="432"/>
        </w:trPr>
        <w:tc>
          <w:tcPr>
            <w:tcW w:w="7620" w:type="dxa"/>
            <w:vAlign w:val="bottom"/>
          </w:tcPr>
          <w:p>
            <w:pPr>
              <w:spacing w:after="0"/>
              <w:rPr>
                <w:sz w:val="20"/>
                <w:szCs w:val="20"/>
                <w:color w:val="auto"/>
              </w:rPr>
            </w:pPr>
            <w:r>
              <w:rPr>
                <w:rFonts w:ascii="Arial" w:cs="Arial" w:eastAsia="Arial" w:hAnsi="Arial"/>
                <w:sz w:val="18"/>
                <w:szCs w:val="18"/>
                <w:color w:val="auto"/>
              </w:rPr>
              <w:t>Ratio of (e) to (d)</w:t>
            </w:r>
          </w:p>
        </w:tc>
        <w:tc>
          <w:tcPr>
            <w:tcW w:w="1860" w:type="dxa"/>
            <w:vAlign w:val="bottom"/>
          </w:tcPr>
          <w:p>
            <w:pPr>
              <w:spacing w:after="0"/>
              <w:rPr>
                <w:sz w:val="24"/>
                <w:szCs w:val="24"/>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432"/>
        </w:trPr>
        <w:tc>
          <w:tcPr>
            <w:tcW w:w="7620" w:type="dxa"/>
            <w:vAlign w:val="bottom"/>
          </w:tcPr>
          <w:p>
            <w:pPr>
              <w:ind w:left="180"/>
              <w:spacing w:after="0"/>
              <w:rPr>
                <w:sz w:val="20"/>
                <w:szCs w:val="20"/>
                <w:color w:val="auto"/>
              </w:rPr>
            </w:pPr>
            <w:r>
              <w:rPr>
                <w:rFonts w:ascii="Arial" w:cs="Arial" w:eastAsia="Arial" w:hAnsi="Arial"/>
                <w:sz w:val="18"/>
                <w:szCs w:val="18"/>
                <w:color w:val="auto"/>
              </w:rPr>
              <w:t>Maximum permitted:(1)</w:t>
            </w:r>
          </w:p>
        </w:tc>
        <w:tc>
          <w:tcPr>
            <w:tcW w:w="2580" w:type="dxa"/>
            <w:vAlign w:val="bottom"/>
            <w:gridSpan w:val="2"/>
          </w:tcPr>
          <w:p>
            <w:pPr>
              <w:ind w:left="1620"/>
              <w:spacing w:after="0"/>
              <w:rPr>
                <w:sz w:val="20"/>
                <w:szCs w:val="20"/>
                <w:color w:val="auto"/>
              </w:rPr>
            </w:pPr>
            <w:r>
              <w:rPr>
                <w:rFonts w:ascii="Arial" w:cs="Arial" w:eastAsia="Arial" w:hAnsi="Arial"/>
                <w:sz w:val="18"/>
                <w:szCs w:val="18"/>
                <w:color w:val="auto"/>
              </w:rPr>
              <w:t>3.50 :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 w:firstLine="8"/>
        <w:spacing w:after="0" w:line="257" w:lineRule="auto"/>
        <w:tabs>
          <w:tab w:leader="none" w:pos="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If an Acquisition permitted under the Credit Agreement involving aggregate consideration in excess of $200,000,000 occurs during a fiscal quarter, the Company shall have the right to increase the maximum permitted Leverage Ratio required to be maintained under </w:t>
      </w:r>
      <w:r>
        <w:rPr>
          <w:rFonts w:ascii="Arial" w:cs="Arial" w:eastAsia="Arial" w:hAnsi="Arial"/>
          <w:sz w:val="18"/>
          <w:szCs w:val="18"/>
          <w:u w:val="single" w:color="auto"/>
          <w:color w:val="auto"/>
        </w:rPr>
        <w:t>§9</w:t>
      </w:r>
      <w:r>
        <w:rPr>
          <w:rFonts w:ascii="Arial" w:cs="Arial" w:eastAsia="Arial" w:hAnsi="Arial"/>
          <w:sz w:val="18"/>
          <w:szCs w:val="18"/>
          <w:color w:val="auto"/>
        </w:rPr>
        <w:t xml:space="preserve"> of the Credit Agreement to 4.00:1.00 during an Elevated Leverage Ratio Period so long as there is at least one fiscal quarter end after the end of each Elevated Ratio Leverage Period at which the Leverage Ratio is less than or equal to 3.50:1.00;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no more than two Elevated Leverage Ratio Periods during the term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ASSIGNMENT AND ASSUMPTION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This Assignment and Assumption (this “</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is dated as of the Effective Date set forth below and is entered into by and between the Assignor identified in item 1 below (the “</w:t>
      </w:r>
      <w:r>
        <w:rPr>
          <w:rFonts w:ascii="Arial" w:cs="Arial" w:eastAsia="Arial" w:hAnsi="Arial"/>
          <w:sz w:val="17"/>
          <w:szCs w:val="17"/>
          <w:u w:val="single" w:color="auto"/>
          <w:color w:val="auto"/>
        </w:rPr>
        <w:t>Assignor</w:t>
      </w:r>
      <w:r>
        <w:rPr>
          <w:rFonts w:ascii="Arial" w:cs="Arial" w:eastAsia="Arial" w:hAnsi="Arial"/>
          <w:sz w:val="17"/>
          <w:szCs w:val="17"/>
          <w:color w:val="auto"/>
        </w:rPr>
        <w:t>”) and the Assignee identified in item 2 below (the “</w:t>
      </w:r>
      <w:r>
        <w:rPr>
          <w:rFonts w:ascii="Arial" w:cs="Arial" w:eastAsia="Arial" w:hAnsi="Arial"/>
          <w:sz w:val="17"/>
          <w:szCs w:val="17"/>
          <w:u w:val="single" w:color="auto"/>
          <w:color w:val="auto"/>
        </w:rPr>
        <w:t>Assignee</w:t>
      </w:r>
      <w:r>
        <w:rPr>
          <w:rFonts w:ascii="Arial" w:cs="Arial" w:eastAsia="Arial" w:hAnsi="Arial"/>
          <w:sz w:val="17"/>
          <w:szCs w:val="17"/>
          <w:color w:val="auto"/>
        </w:rPr>
        <w:t>”). Capitalized terms used but not defined herein shall have the meanings given to them in the Credit Agreement identified below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73"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Bank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the Letters of Credit and the Swing Line Loans included in such facilities) and (ii) to the extent permitted to be assigned under applicable law, all claims, suits, causes of action and any other right of the Assignor (in its capacity as a Bank)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 (ii) above being referred to herein collectively as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 Assignor and, except as expressly provided in this Assignment and Assumption, without representation or warranty by the Assignor.</w:t>
      </w:r>
    </w:p>
    <w:p>
      <w:pPr>
        <w:spacing w:after="0" w:line="169" w:lineRule="exact"/>
        <w:rPr>
          <w:sz w:val="20"/>
          <w:szCs w:val="20"/>
          <w:color w:val="auto"/>
        </w:rPr>
      </w:pPr>
    </w:p>
    <w:p>
      <w:pPr>
        <w:ind w:left="580" w:hanging="572"/>
        <w:spacing w:after="0"/>
        <w:tabs>
          <w:tab w:leader="none" w:pos="5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Assignor</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[Assignor [is][is not] a Defaulting Bank]</w:t>
      </w:r>
    </w:p>
    <w:p>
      <w:pPr>
        <w:spacing w:after="0" w:line="210" w:lineRule="exact"/>
        <w:rPr>
          <w:rFonts w:ascii="Arial" w:cs="Arial" w:eastAsia="Arial" w:hAnsi="Arial"/>
          <w:sz w:val="18"/>
          <w:szCs w:val="18"/>
          <w:color w:val="auto"/>
        </w:rPr>
      </w:pPr>
    </w:p>
    <w:p>
      <w:pPr>
        <w:ind w:left="580" w:hanging="572"/>
        <w:spacing w:after="0"/>
        <w:tabs>
          <w:tab w:leader="none" w:pos="5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[indicate [Bank Affiliate][Approved Fund] of [</w:t>
      </w:r>
      <w:r>
        <w:rPr>
          <w:rFonts w:ascii="Arial" w:cs="Arial" w:eastAsia="Arial" w:hAnsi="Arial"/>
          <w:sz w:val="18"/>
          <w:szCs w:val="18"/>
          <w:i w:val="1"/>
          <w:iCs w:val="1"/>
          <w:color w:val="auto"/>
        </w:rPr>
        <w:t>identify Bank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-130810</wp:posOffset>
            </wp:positionV>
            <wp:extent cx="26498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-542290</wp:posOffset>
            </wp:positionV>
            <wp:extent cx="26498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91" w:lineRule="exact"/>
        <w:rPr>
          <w:sz w:val="20"/>
          <w:szCs w:val="20"/>
          <w:color w:val="auto"/>
        </w:rPr>
      </w:pPr>
    </w:p>
    <w:p>
      <w:pPr>
        <w:spacing w:after="0"/>
        <w:tabs>
          <w:tab w:leader="none" w:pos="560" w:val="left"/>
          <w:tab w:leader="none" w:pos="30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auto"/>
        </w:rPr>
        <w:t>Borrowers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Waste Management, Inc., Waste Management of Canada Corporation and WM Quebec Inc.</w:t>
      </w:r>
    </w:p>
    <w:p>
      <w:pPr>
        <w:spacing w:after="0" w:line="225" w:lineRule="exact"/>
        <w:rPr>
          <w:sz w:val="20"/>
          <w:szCs w:val="20"/>
          <w:color w:val="auto"/>
        </w:rPr>
      </w:pPr>
    </w:p>
    <w:p>
      <w:pPr>
        <w:ind w:left="580" w:hanging="572"/>
        <w:spacing w:after="0"/>
        <w:tabs>
          <w:tab w:leader="none" w:pos="5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r>
        <w:rPr>
          <w:rFonts w:ascii="Arial" w:cs="Arial" w:eastAsia="Arial" w:hAnsi="Arial"/>
          <w:sz w:val="16"/>
          <w:szCs w:val="16"/>
          <w:color w:val="auto"/>
        </w:rPr>
        <w:t>Bank of America, N.A., as the administrative agent under the Credit Agreement</w:t>
      </w:r>
    </w:p>
    <w:p>
      <w:pPr>
        <w:spacing w:after="0" w:line="225" w:lineRule="exact"/>
        <w:rPr>
          <w:rFonts w:ascii="Arial" w:cs="Arial" w:eastAsia="Arial" w:hAnsi="Arial"/>
          <w:sz w:val="18"/>
          <w:szCs w:val="18"/>
          <w:color w:val="auto"/>
        </w:rPr>
      </w:pPr>
    </w:p>
    <w:p>
      <w:pPr>
        <w:ind w:left="3060" w:right="180" w:hanging="3052"/>
        <w:spacing w:after="0" w:line="279" w:lineRule="auto"/>
        <w:tabs>
          <w:tab w:leader="none" w:pos="589"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w:t>
      </w:r>
      <w:r>
        <w:rPr>
          <w:rFonts w:ascii="Arial" w:cs="Arial" w:eastAsia="Arial" w:hAnsi="Arial"/>
          <w:sz w:val="17"/>
          <w:szCs w:val="17"/>
          <w:color w:val="auto"/>
        </w:rPr>
        <w:t>Fourth Amended and Restated Credit Agreement, dated as of June 26, 2018, among Waste Management, Inc.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w:t>
      </w:r>
      <w:r>
        <w:rPr>
          <w:rFonts w:ascii="Arial" w:cs="Arial" w:eastAsia="Arial" w:hAnsi="Arial"/>
          <w:sz w:val="17"/>
          <w:szCs w:val="17"/>
          <w:u w:val="single" w:color="auto"/>
          <w:color w:val="auto"/>
        </w:rPr>
        <w:t>WMOCC</w:t>
      </w:r>
      <w:r>
        <w:rPr>
          <w:rFonts w:ascii="Arial" w:cs="Arial" w:eastAsia="Arial" w:hAnsi="Arial"/>
          <w:sz w:val="17"/>
          <w:szCs w:val="17"/>
          <w:color w:val="auto"/>
        </w:rPr>
        <w:t>”) and WM Quebec Inc. (“</w:t>
      </w:r>
      <w:r>
        <w:rPr>
          <w:rFonts w:ascii="Arial" w:cs="Arial" w:eastAsia="Arial" w:hAnsi="Arial"/>
          <w:sz w:val="17"/>
          <w:szCs w:val="17"/>
          <w:u w:val="single" w:color="auto"/>
          <w:color w:val="auto"/>
        </w:rPr>
        <w:t>WMO</w:t>
      </w:r>
      <w:r>
        <w:rPr>
          <w:rFonts w:ascii="Arial" w:cs="Arial" w:eastAsia="Arial" w:hAnsi="Arial"/>
          <w:sz w:val="17"/>
          <w:szCs w:val="17"/>
          <w:color w:val="auto"/>
        </w:rPr>
        <w:t>”, and together with the Company and WMOCC, each a “</w:t>
      </w:r>
      <w:r>
        <w:rPr>
          <w:rFonts w:ascii="Arial" w:cs="Arial" w:eastAsia="Arial" w:hAnsi="Arial"/>
          <w:sz w:val="17"/>
          <w:szCs w:val="17"/>
          <w:u w:val="single" w:color="auto"/>
          <w:color w:val="auto"/>
        </w:rPr>
        <w:t>Borrower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Borrowers</w:t>
      </w:r>
      <w:r>
        <w:rPr>
          <w:rFonts w:ascii="Arial" w:cs="Arial" w:eastAsia="Arial" w:hAnsi="Arial"/>
          <w:sz w:val="17"/>
          <w:szCs w:val="17"/>
          <w:color w:val="auto"/>
        </w:rPr>
        <w:t>”), Waste Management Holdings, Inc., as Guarantor, the Banks from time to time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7"/>
          <w:szCs w:val="17"/>
          <w:color w:val="auto"/>
        </w:rPr>
        <w:t>Bank of America, N.A., as Administrative Agent, an Issuing Bank, and Swing Line Bank</w:t>
      </w:r>
    </w:p>
    <w:p>
      <w:pPr>
        <w:spacing w:after="0" w:line="225" w:lineRule="exact"/>
        <w:rPr>
          <w:sz w:val="20"/>
          <w:szCs w:val="20"/>
          <w:color w:val="auto"/>
        </w:rPr>
      </w:pPr>
    </w:p>
    <w:p>
      <w:pPr>
        <w:ind w:left="580" w:hanging="572"/>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Assigned Interest</w:t>
      </w:r>
      <w:r>
        <w:rPr>
          <w:rFonts w:ascii="Arial" w:cs="Arial" w:eastAsia="Arial" w:hAnsi="Arial"/>
          <w:sz w:val="18"/>
          <w:szCs w:val="18"/>
          <w:color w:val="auto"/>
        </w:rPr>
        <w:t>:</w:t>
      </w:r>
    </w:p>
    <w:p>
      <w:pPr>
        <w:sectPr>
          <w:pgSz w:w="11900" w:h="16901" w:orient="portrait"/>
          <w:cols w:equalWidth="0" w:num="1">
            <w:col w:w="11420"/>
          </w:cols>
          <w:pgMar w:left="240" w:top="125" w:right="239" w:bottom="0" w:gutter="0" w:footer="0" w:header="0"/>
        </w:sectPr>
      </w:pPr>
    </w:p>
    <w:p>
      <w:pPr>
        <w:spacing w:after="0" w:line="217" w:lineRule="exact"/>
        <w:rPr>
          <w:sz w:val="20"/>
          <w:szCs w:val="20"/>
          <w:color w:val="auto"/>
        </w:rPr>
      </w:pPr>
    </w:p>
    <w:p>
      <w:pPr>
        <w:ind w:left="500"/>
        <w:spacing w:after="0"/>
        <w:tabs>
          <w:tab w:leader="none" w:pos="3080" w:val="left"/>
          <w:tab w:leader="none" w:pos="4360" w:val="left"/>
          <w:tab w:leader="none" w:pos="5600" w:val="left"/>
          <w:tab w:leader="none" w:pos="7000" w:val="left"/>
          <w:tab w:leader="none" w:pos="8420" w:val="left"/>
          <w:tab w:leader="none" w:pos="9780" w:val="left"/>
        </w:tabs>
        <w:rPr>
          <w:sz w:val="20"/>
          <w:szCs w:val="20"/>
          <w:color w:val="auto"/>
        </w:rPr>
      </w:pPr>
      <w:r>
        <w:rPr>
          <w:rFonts w:ascii="Arial" w:cs="Arial" w:eastAsia="Arial" w:hAnsi="Arial"/>
          <w:sz w:val="14"/>
          <w:szCs w:val="14"/>
          <w:b w:val="1"/>
          <w:bCs w:val="1"/>
          <w:color w:val="auto"/>
        </w:rPr>
        <w:t>Assignor</w:t>
      </w:r>
      <w:r>
        <w:rPr>
          <w:sz w:val="20"/>
          <w:szCs w:val="20"/>
          <w:color w:val="auto"/>
        </w:rPr>
        <w:tab/>
      </w:r>
      <w:r>
        <w:rPr>
          <w:rFonts w:ascii="Arial" w:cs="Arial" w:eastAsia="Arial" w:hAnsi="Arial"/>
          <w:sz w:val="14"/>
          <w:szCs w:val="14"/>
          <w:b w:val="1"/>
          <w:bCs w:val="1"/>
          <w:color w:val="auto"/>
        </w:rPr>
        <w:t>Assignee</w:t>
      </w:r>
      <w:r>
        <w:rPr>
          <w:sz w:val="20"/>
          <w:szCs w:val="20"/>
          <w:color w:val="auto"/>
        </w:rPr>
        <w:tab/>
      </w:r>
      <w:r>
        <w:rPr>
          <w:rFonts w:ascii="Arial" w:cs="Arial" w:eastAsia="Arial" w:hAnsi="Arial"/>
          <w:sz w:val="14"/>
          <w:szCs w:val="14"/>
          <w:b w:val="1"/>
          <w:bCs w:val="1"/>
          <w:color w:val="auto"/>
        </w:rPr>
        <w:t>Facility</w:t>
      </w:r>
      <w:r>
        <w:rPr>
          <w:sz w:val="20"/>
          <w:szCs w:val="20"/>
          <w:color w:val="auto"/>
        </w:rPr>
        <w:tab/>
      </w:r>
      <w:r>
        <w:rPr>
          <w:rFonts w:ascii="Arial" w:cs="Arial" w:eastAsia="Arial" w:hAnsi="Arial"/>
          <w:sz w:val="14"/>
          <w:szCs w:val="14"/>
          <w:b w:val="1"/>
          <w:bCs w:val="1"/>
          <w:color w:val="auto"/>
        </w:rPr>
        <w:t>Aggregate</w:t>
      </w:r>
      <w:r>
        <w:rPr>
          <w:sz w:val="20"/>
          <w:szCs w:val="20"/>
          <w:color w:val="auto"/>
        </w:rPr>
        <w:tab/>
      </w:r>
      <w:r>
        <w:rPr>
          <w:rFonts w:ascii="Arial" w:cs="Arial" w:eastAsia="Arial" w:hAnsi="Arial"/>
          <w:sz w:val="14"/>
          <w:szCs w:val="14"/>
          <w:b w:val="1"/>
          <w:bCs w:val="1"/>
          <w:color w:val="auto"/>
        </w:rPr>
        <w:t>Amount of</w:t>
      </w:r>
      <w:r>
        <w:rPr>
          <w:sz w:val="20"/>
          <w:szCs w:val="20"/>
          <w:color w:val="auto"/>
        </w:rPr>
        <w:tab/>
      </w:r>
      <w:r>
        <w:rPr>
          <w:rFonts w:ascii="Arial" w:cs="Arial" w:eastAsia="Arial" w:hAnsi="Arial"/>
          <w:sz w:val="14"/>
          <w:szCs w:val="14"/>
          <w:b w:val="1"/>
          <w:bCs w:val="1"/>
          <w:color w:val="auto"/>
        </w:rPr>
        <w:t>Percentage</w:t>
      </w:r>
      <w:r>
        <w:rPr>
          <w:sz w:val="20"/>
          <w:szCs w:val="20"/>
          <w:color w:val="auto"/>
        </w:rPr>
        <w:tab/>
      </w:r>
      <w:r>
        <w:rPr>
          <w:rFonts w:ascii="Arial" w:cs="Arial" w:eastAsia="Arial" w:hAnsi="Arial"/>
          <w:sz w:val="14"/>
          <w:szCs w:val="14"/>
          <w:b w:val="1"/>
          <w:bCs w:val="1"/>
          <w:color w:val="auto"/>
        </w:rPr>
        <w:t>CUSIP</w:t>
      </w:r>
    </w:p>
    <w:p>
      <w:pPr>
        <w:sectPr>
          <w:pgSz w:w="11900" w:h="16901" w:orient="portrait"/>
          <w:cols w:equalWidth="0" w:num="1">
            <w:col w:w="11420"/>
          </w:cols>
          <w:pgMar w:left="240" w:top="125" w:right="239" w:bottom="0" w:gutter="0" w:footer="0" w:header="0"/>
          <w:type w:val="continuous"/>
        </w:sectPr>
      </w:pPr>
    </w:p>
    <w:bookmarkStart w:id="68" w:name="page69"/>
    <w:bookmarkEnd w:id="68"/>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Assigned</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 of</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Commitment/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Assigned of</w:t>
            </w:r>
          </w:p>
        </w:tc>
        <w:tc>
          <w:tcPr>
            <w:tcW w:w="220" w:type="dxa"/>
            <w:vAlign w:val="bottom"/>
          </w:tcPr>
          <w:p>
            <w:pPr>
              <w:spacing w:after="0"/>
              <w:rPr>
                <w:sz w:val="14"/>
                <w:szCs w:val="14"/>
                <w:color w:val="auto"/>
              </w:rPr>
            </w:pPr>
          </w:p>
        </w:tc>
        <w:tc>
          <w:tcPr>
            <w:tcW w:w="940" w:type="dxa"/>
            <w:vAlign w:val="bottom"/>
            <w:gridSpan w:val="3"/>
          </w:tcPr>
          <w:p>
            <w:pPr>
              <w:ind w:left="140"/>
              <w:spacing w:after="0"/>
              <w:rPr>
                <w:sz w:val="20"/>
                <w:szCs w:val="20"/>
                <w:color w:val="auto"/>
              </w:rPr>
            </w:pPr>
            <w:r>
              <w:rPr>
                <w:rFonts w:ascii="Arial" w:cs="Arial" w:eastAsia="Arial" w:hAnsi="Arial"/>
                <w:sz w:val="14"/>
                <w:szCs w:val="14"/>
                <w:b w:val="1"/>
                <w:bCs w:val="1"/>
                <w:color w:val="auto"/>
              </w:rPr>
              <w:t>Number</w:t>
            </w:r>
          </w:p>
        </w:tc>
      </w:tr>
      <w:tr>
        <w:trPr>
          <w:trHeight w:val="149"/>
        </w:trPr>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Commitment/</w:t>
            </w: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Loans</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Commitment/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Loans for all</w:t>
            </w: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Assigned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Loans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Banks</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500" w:type="dxa"/>
            <w:vAlign w:val="bottom"/>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4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2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Trade Date:</w:t>
            </w:r>
          </w:p>
        </w:tc>
        <w:tc>
          <w:tcPr>
            <w:tcW w:w="3420" w:type="dxa"/>
            <w:vAlign w:val="bottom"/>
            <w:gridSpan w:val="5"/>
          </w:tcPr>
          <w:p>
            <w:pPr>
              <w:jc w:val="right"/>
              <w:ind w:right="808"/>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60" w:type="dxa"/>
            <w:vAlign w:val="bottom"/>
            <w:gridSpan w:val="15"/>
          </w:tcPr>
          <w:p>
            <w:pPr>
              <w:spacing w:after="0" w:line="20" w:lineRule="exact"/>
              <w:rPr>
                <w:sz w:val="1"/>
                <w:szCs w:val="1"/>
                <w:color w:val="auto"/>
              </w:rPr>
            </w:pPr>
          </w:p>
        </w:tc>
      </w:tr>
      <w:tr>
        <w:trPr>
          <w:trHeight w:val="438"/>
        </w:trPr>
        <w:tc>
          <w:tcPr>
            <w:tcW w:w="1700" w:type="dxa"/>
            <w:vAlign w:val="bottom"/>
            <w:gridSpan w:val="4"/>
          </w:tcPr>
          <w:p>
            <w:pPr>
              <w:spacing w:after="0"/>
              <w:rPr>
                <w:sz w:val="20"/>
                <w:szCs w:val="20"/>
                <w:color w:val="auto"/>
              </w:rPr>
            </w:pPr>
            <w:r>
              <w:rPr>
                <w:rFonts w:ascii="Arial" w:cs="Arial" w:eastAsia="Arial" w:hAnsi="Arial"/>
                <w:sz w:val="18"/>
                <w:szCs w:val="18"/>
                <w:color w:val="auto"/>
              </w:rPr>
              <w:t>Effective Date:</w:t>
            </w:r>
          </w:p>
        </w:tc>
        <w:tc>
          <w:tcPr>
            <w:tcW w:w="8860" w:type="dxa"/>
            <w:vAlign w:val="bottom"/>
            <w:gridSpan w:val="15"/>
          </w:tcPr>
          <w:p>
            <w:pPr>
              <w:ind w:left="260"/>
              <w:spacing w:after="0"/>
              <w:rPr>
                <w:sz w:val="20"/>
                <w:szCs w:val="20"/>
                <w:color w:val="auto"/>
              </w:rPr>
            </w:pPr>
            <w:r>
              <w:rPr>
                <w:rFonts w:ascii="Arial" w:cs="Arial" w:eastAsia="Arial" w:hAnsi="Arial"/>
                <w:sz w:val="18"/>
                <w:szCs w:val="18"/>
                <w:color w:val="auto"/>
                <w:w w:val="98"/>
              </w:rPr>
              <w:t>, 20  [TO BE INSERTED BY ADMINISTRATIVE AGENT AND WHICH SHALL BE THE EFFECTIVE DATE OF</w:t>
            </w:r>
          </w:p>
        </w:tc>
      </w:tr>
      <w:tr>
        <w:trPr>
          <w:trHeight w:val="230"/>
        </w:trPr>
        <w:tc>
          <w:tcPr>
            <w:tcW w:w="5320" w:type="dxa"/>
            <w:vAlign w:val="bottom"/>
            <w:gridSpan w:val="10"/>
          </w:tcPr>
          <w:p>
            <w:pPr>
              <w:spacing w:after="0"/>
              <w:rPr>
                <w:sz w:val="20"/>
                <w:szCs w:val="20"/>
                <w:color w:val="auto"/>
              </w:rPr>
            </w:pPr>
            <w:r>
              <w:rPr>
                <w:rFonts w:ascii="Arial" w:cs="Arial" w:eastAsia="Arial" w:hAnsi="Arial"/>
                <w:sz w:val="18"/>
                <w:szCs w:val="18"/>
                <w:color w:val="auto"/>
                <w:w w:val="98"/>
              </w:rPr>
              <w:t>RECORDATION OF TRANSFER IN THE REGISTER THEREFOR.]</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ASSIGNOR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OF ASSIGNOR]</w:t>
      </w:r>
    </w:p>
    <w:p>
      <w:pPr>
        <w:spacing w:after="0" w:line="21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ASSIGNEE</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OF ASSIGNEE]</w:t>
      </w:r>
    </w:p>
    <w:p>
      <w:pPr>
        <w:spacing w:after="0" w:line="21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and](3)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10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788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[Consented to:](4)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788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78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18268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00" w:hanging="292"/>
        <w:spacing w:after="0"/>
        <w:tabs>
          <w:tab w:leader="none" w:pos="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be completed if the Assignor and the Assignee intend that the minimum assignment amount is to be determined as of the Trade Date.</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be added only if the consent of the Administrative Agent is required by the terms of the Credit Agreement.</w:t>
      </w:r>
    </w:p>
    <w:p>
      <w:pPr>
        <w:spacing w:after="0" w:line="9" w:lineRule="exact"/>
        <w:rPr>
          <w:rFonts w:ascii="Arial" w:cs="Arial" w:eastAsia="Arial" w:hAnsi="Arial"/>
          <w:sz w:val="18"/>
          <w:szCs w:val="18"/>
          <w:color w:val="auto"/>
        </w:rPr>
      </w:pPr>
    </w:p>
    <w:p>
      <w:pPr>
        <w:ind w:right="680" w:firstLine="8"/>
        <w:spacing w:after="0" w:line="261" w:lineRule="auto"/>
        <w:tabs>
          <w:tab w:leader="none" w:pos="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be added only if the consent of the Company and/or other parties (e.g. Swing Line Bank, Issuing Banks)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540"/>
        <w:spacing w:after="0"/>
        <w:rPr>
          <w:sz w:val="20"/>
          <w:szCs w:val="20"/>
          <w:color w:val="auto"/>
        </w:rPr>
      </w:pPr>
      <w:r>
        <w:rPr>
          <w:rFonts w:ascii="Arial" w:cs="Arial" w:eastAsia="Arial" w:hAnsi="Arial"/>
          <w:sz w:val="17"/>
          <w:szCs w:val="17"/>
          <w:b w:val="1"/>
          <w:bCs w:val="1"/>
          <w:i w:val="1"/>
          <w:iCs w:val="1"/>
          <w:color w:val="auto"/>
        </w:rPr>
        <w:t>ANNEX 1 TO ASSIGNMENT AND ASSUMPTION</w:t>
      </w:r>
    </w:p>
    <w:p>
      <w:pPr>
        <w:spacing w:after="0" w:line="2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Fourth Amended and Restated Credit Agreement, dated as of June 26, 2018, among Waste Management, Inc., Waste Management of Canada Corporation and WM Quebec Inc., collectively as Borrowers, Waste Management Holdings, Inc., as Guarantor, the Banks from time to time party thereto, </w:t>
      </w:r>
      <w:r>
        <w:rPr>
          <w:rFonts w:ascii="Arial" w:cs="Arial" w:eastAsia="Arial" w:hAnsi="Arial"/>
          <w:sz w:val="17"/>
          <w:szCs w:val="17"/>
          <w:b w:val="1"/>
          <w:bCs w:val="1"/>
          <w:color w:val="auto"/>
        </w:rPr>
        <w:t>and Bank of America, N.A., as Administrative Agent, an Issuing Bank, and Swing Line Bank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211" w:lineRule="exact"/>
        <w:rPr>
          <w:sz w:val="20"/>
          <w:szCs w:val="20"/>
          <w:color w:val="auto"/>
        </w:rPr>
      </w:pPr>
    </w:p>
    <w:p>
      <w:pPr>
        <w:ind w:left="1620" w:hanging="478"/>
        <w:spacing w:after="0"/>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140" w:firstLine="1134"/>
        <w:spacing w:after="0" w:line="288"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w:t>
      </w:r>
      <w:r>
        <w:rPr>
          <w:rFonts w:ascii="Arial" w:cs="Arial" w:eastAsia="Arial" w:hAnsi="Arial"/>
          <w:sz w:val="16"/>
          <w:szCs w:val="16"/>
          <w:b w:val="1"/>
          <w:bCs w:val="1"/>
          <w:color w:val="auto"/>
        </w:rPr>
        <w:t>not</w:t>
      </w:r>
      <w:r>
        <w:rPr>
          <w:rFonts w:ascii="Arial" w:cs="Arial" w:eastAsia="Arial" w:hAnsi="Arial"/>
          <w:sz w:val="16"/>
          <w:szCs w:val="16"/>
          <w:color w:val="auto"/>
        </w:rPr>
        <w:t>] a Defaulting Bank; and</w:t>
      </w:r>
    </w:p>
    <w:p>
      <w:pPr>
        <w:ind w:right="20" w:firstLine="8"/>
        <w:spacing w:after="0" w:line="253" w:lineRule="auto"/>
        <w:tabs>
          <w:tab w:leader="none" w:pos="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91" w:lineRule="exact"/>
        <w:rPr>
          <w:sz w:val="20"/>
          <w:szCs w:val="20"/>
          <w:color w:val="auto"/>
        </w:rPr>
      </w:pPr>
    </w:p>
    <w:p>
      <w:pPr>
        <w:ind w:firstLine="1134"/>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Bank under the Credit Agreement,</w:t>
      </w:r>
    </w:p>
    <w:p>
      <w:pPr>
        <w:ind w:right="40" w:firstLine="8"/>
        <w:spacing w:after="0" w:line="292" w:lineRule="auto"/>
        <w:tabs>
          <w:tab w:leader="none" w:pos="26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it meets all the requirements to be an assignee under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of the Credit Agreement), (iii) from and after the Effective Date, it shall be bound by the provisions of the Credit Agreement as a Bank thereunder and, to the extent of the Assigned Interest, shall have the obligations of a Bank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w:t>
      </w:r>
    </w:p>
    <w:p>
      <w:pPr>
        <w:sectPr>
          <w:pgSz w:w="11900" w:h="16896" w:orient="portrait"/>
          <w:cols w:equalWidth="0" w:num="1">
            <w:col w:w="11420"/>
          </w:cols>
          <w:pgMar w:left="240" w:top="104" w:right="239" w:bottom="0" w:gutter="0" w:footer="0" w:header="0"/>
        </w:sectPr>
      </w:pPr>
    </w:p>
    <w:bookmarkStart w:id="69" w:name="page70"/>
    <w:bookmarkEnd w:id="69"/>
    <w:p>
      <w:pPr>
        <w:ind w:right="100"/>
        <w:spacing w:after="0" w:line="285" w:lineRule="auto"/>
        <w:rPr>
          <w:sz w:val="20"/>
          <w:szCs w:val="20"/>
          <w:color w:val="auto"/>
        </w:rPr>
      </w:pPr>
      <w:r>
        <w:rPr>
          <w:rFonts w:ascii="Arial" w:cs="Arial" w:eastAsia="Arial" w:hAnsi="Arial"/>
          <w:sz w:val="16"/>
          <w:szCs w:val="16"/>
          <w:color w:val="auto"/>
        </w:rPr>
        <w:t xml:space="preserve">the most recent financial statements delivered pursuant to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 Assigned Interest, (vi) it has, independently and without reliance upon the Administrative Agent or any other Bank and based on such documents and information as it has deemed appropriate, made its own credit analysis and decision to enter into this Assignment and Assumption and to purchase the Assigned Interest, and (vii) if it is a Foreign Bank, attached hereto is any documentation required to be delivered by it pursuant to the terms of the Credit Agreement, duly completed and executed by the Assignee; and</w:t>
      </w:r>
    </w:p>
    <w:p>
      <w:pPr>
        <w:spacing w:after="0" w:line="2" w:lineRule="exact"/>
        <w:rPr>
          <w:sz w:val="20"/>
          <w:szCs w:val="20"/>
          <w:color w:val="auto"/>
        </w:rPr>
      </w:pPr>
    </w:p>
    <w:p>
      <w:pPr>
        <w:jc w:val="both"/>
        <w:ind w:right="80" w:firstLine="8"/>
        <w:spacing w:after="0" w:line="254" w:lineRule="auto"/>
        <w:tabs>
          <w:tab w:leader="none" w:pos="2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agrees that (i) it will, independently and without reliance upon the Administrative Agent, the Assignor or any other Bank,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Bank.</w:t>
      </w:r>
    </w:p>
    <w:p>
      <w:pPr>
        <w:spacing w:after="0" w:line="189" w:lineRule="exact"/>
        <w:rPr>
          <w:rFonts w:ascii="Arial" w:cs="Arial" w:eastAsia="Arial" w:hAnsi="Arial"/>
          <w:sz w:val="18"/>
          <w:szCs w:val="18"/>
          <w:color w:val="auto"/>
        </w:rPr>
      </w:pPr>
    </w:p>
    <w:p>
      <w:pPr>
        <w:ind w:right="340" w:firstLine="1142"/>
        <w:spacing w:after="0" w:line="277" w:lineRule="auto"/>
        <w:tabs>
          <w:tab w:leader="none" w:pos="162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amounts) to the Assignor for amounts which have accrued to but excluding the Effective Date and to the Assignee for amounts which have accrued from and after the Effective Date.</w:t>
      </w:r>
    </w:p>
    <w:p>
      <w:pPr>
        <w:spacing w:after="0" w:line="170" w:lineRule="exact"/>
        <w:rPr>
          <w:sz w:val="20"/>
          <w:szCs w:val="20"/>
          <w:color w:val="auto"/>
        </w:rPr>
      </w:pPr>
    </w:p>
    <w:p>
      <w:pPr>
        <w:ind w:right="280" w:firstLine="1142"/>
        <w:spacing w:after="0" w:line="257" w:lineRule="auto"/>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ADMINISTRATIVE QUESTIONNAIRE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QUESTIONNAIRE — (MULTICURRENCY)</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i w:val="1"/>
          <w:iCs w:val="1"/>
          <w:color w:val="auto"/>
        </w:rPr>
        <w:t>CONFIDENTIAL</w:t>
      </w:r>
    </w:p>
    <w:p>
      <w:pPr>
        <w:spacing w:after="0" w:line="207" w:lineRule="exact"/>
        <w:rPr>
          <w:sz w:val="20"/>
          <w:szCs w:val="20"/>
          <w:color w:val="auto"/>
        </w:rPr>
      </w:pPr>
    </w:p>
    <w:p>
      <w:pPr>
        <w:ind w:left="280" w:hanging="272"/>
        <w:spacing w:after="0"/>
        <w:tabs>
          <w:tab w:leader="none" w:pos="2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as of date (enter date):</w:t>
      </w:r>
    </w:p>
    <w:p>
      <w:pPr>
        <w:spacing w:after="0" w:line="225" w:lineRule="exact"/>
        <w:rPr>
          <w:rFonts w:ascii="Arial" w:cs="Arial" w:eastAsia="Arial" w:hAnsi="Arial"/>
          <w:sz w:val="18"/>
          <w:szCs w:val="18"/>
          <w:b w:val="1"/>
          <w:bCs w:val="1"/>
          <w:color w:val="auto"/>
        </w:rPr>
      </w:pPr>
    </w:p>
    <w:p>
      <w:pPr>
        <w:ind w:left="340" w:hanging="332"/>
        <w:spacing w:after="0"/>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Borrower or Deal Name: Waste Management</w:t>
      </w:r>
    </w:p>
    <w:p>
      <w:pPr>
        <w:spacing w:after="0" w:line="225" w:lineRule="exact"/>
        <w:rPr>
          <w:rFonts w:ascii="Arial" w:cs="Arial" w:eastAsia="Arial" w:hAnsi="Arial"/>
          <w:sz w:val="18"/>
          <w:szCs w:val="18"/>
          <w:b w:val="1"/>
          <w:bCs w:val="1"/>
          <w:color w:val="auto"/>
        </w:rPr>
      </w:pPr>
    </w:p>
    <w:p>
      <w:pPr>
        <w:ind w:left="240" w:hanging="232"/>
        <w:spacing w:after="0"/>
        <w:tabs>
          <w:tab w:leader="none" w:pos="2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Legal Name of Lender of Record for Signature Page</w:t>
      </w:r>
      <w:r>
        <w:rPr>
          <w:rFonts w:ascii="Arial" w:cs="Arial" w:eastAsia="Arial" w:hAnsi="Arial"/>
          <w:sz w:val="18"/>
          <w:szCs w:val="18"/>
          <w:color w:val="auto"/>
        </w:rPr>
        <w:t>:</w:t>
      </w:r>
    </w:p>
    <w:p>
      <w:pPr>
        <w:spacing w:after="0" w:line="27" w:lineRule="exact"/>
        <w:rPr>
          <w:rFonts w:ascii="Arial" w:cs="Arial" w:eastAsia="Arial" w:hAnsi="Arial"/>
          <w:sz w:val="18"/>
          <w:szCs w:val="18"/>
          <w:b w:val="1"/>
          <w:bCs w:val="1"/>
          <w:color w:val="auto"/>
        </w:rPr>
      </w:pPr>
    </w:p>
    <w:p>
      <w:pPr>
        <w:ind w:left="240" w:right="8540"/>
        <w:spacing w:after="0" w:line="32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Markit Entity Identifier (MEI) #: </w:t>
      </w:r>
      <w:r>
        <w:rPr>
          <w:rFonts w:ascii="Arial" w:cs="Arial" w:eastAsia="Arial" w:hAnsi="Arial"/>
          <w:sz w:val="16"/>
          <w:szCs w:val="16"/>
          <w:color w:val="auto"/>
        </w:rPr>
        <w:t>Fund Manager Name (if applicable):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ind w:left="240"/>
              <w:spacing w:after="0"/>
              <w:rPr>
                <w:sz w:val="20"/>
                <w:szCs w:val="20"/>
                <w:color w:val="auto"/>
              </w:rPr>
            </w:pPr>
            <w:r>
              <w:rPr>
                <w:rFonts w:ascii="Arial" w:cs="Arial" w:eastAsia="Arial" w:hAnsi="Arial"/>
                <w:sz w:val="18"/>
                <w:szCs w:val="18"/>
                <w:color w:val="auto"/>
              </w:rPr>
              <w:t>Address:</w:t>
            </w:r>
          </w:p>
        </w:tc>
        <w:tc>
          <w:tcPr>
            <w:tcW w:w="16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0"/>
        </w:trPr>
        <w:tc>
          <w:tcPr>
            <w:tcW w:w="980" w:type="dxa"/>
            <w:vAlign w:val="bottom"/>
          </w:tcPr>
          <w:p>
            <w:pPr>
              <w:ind w:left="240"/>
              <w:spacing w:after="0"/>
              <w:rPr>
                <w:sz w:val="20"/>
                <w:szCs w:val="20"/>
                <w:color w:val="auto"/>
              </w:rPr>
            </w:pPr>
            <w:r>
              <w:rPr>
                <w:rFonts w:ascii="Arial" w:cs="Arial" w:eastAsia="Arial" w:hAnsi="Arial"/>
                <w:sz w:val="18"/>
                <w:szCs w:val="18"/>
                <w:color w:val="auto"/>
              </w:rPr>
              <w:t>City:</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State/Province:</w:t>
            </w:r>
          </w:p>
        </w:tc>
        <w:tc>
          <w:tcPr>
            <w:tcW w:w="4120" w:type="dxa"/>
            <w:vAlign w:val="bottom"/>
          </w:tcPr>
          <w:p>
            <w:pPr>
              <w:ind w:left="240"/>
              <w:spacing w:after="0"/>
              <w:rPr>
                <w:sz w:val="20"/>
                <w:szCs w:val="20"/>
                <w:color w:val="auto"/>
              </w:rPr>
            </w:pPr>
            <w:r>
              <w:rPr>
                <w:rFonts w:ascii="Arial" w:cs="Arial" w:eastAsia="Arial" w:hAnsi="Arial"/>
                <w:sz w:val="18"/>
                <w:szCs w:val="18"/>
                <w:color w:val="auto"/>
              </w:rPr>
              <w:t>Postal Code:</w:t>
            </w:r>
          </w:p>
        </w:tc>
        <w:tc>
          <w:tcPr>
            <w:tcW w:w="3040" w:type="dxa"/>
            <w:vAlign w:val="bottom"/>
          </w:tcPr>
          <w:p>
            <w:pPr>
              <w:spacing w:after="0"/>
              <w:rPr>
                <w:sz w:val="20"/>
                <w:szCs w:val="20"/>
                <w:color w:val="auto"/>
              </w:rPr>
            </w:pPr>
          </w:p>
        </w:tc>
      </w:tr>
      <w:tr>
        <w:trPr>
          <w:trHeight w:val="418"/>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w w:val="98"/>
              </w:rPr>
              <w:t>4. Domestic Funding Address:</w:t>
            </w:r>
          </w:p>
        </w:tc>
        <w:tc>
          <w:tcPr>
            <w:tcW w:w="7160" w:type="dxa"/>
            <w:vAlign w:val="bottom"/>
            <w:gridSpan w:val="2"/>
          </w:tcPr>
          <w:p>
            <w:pPr>
              <w:ind w:left="3140"/>
              <w:spacing w:after="0"/>
              <w:rPr>
                <w:sz w:val="20"/>
                <w:szCs w:val="20"/>
                <w:color w:val="auto"/>
              </w:rPr>
            </w:pPr>
            <w:r>
              <w:rPr>
                <w:rFonts w:ascii="Arial" w:cs="Arial" w:eastAsia="Arial" w:hAnsi="Arial"/>
                <w:sz w:val="18"/>
                <w:szCs w:val="18"/>
                <w:b w:val="1"/>
                <w:bCs w:val="1"/>
                <w:color w:val="auto"/>
                <w:w w:val="90"/>
              </w:rPr>
              <w:t>5. Eurodollar Funding Address (</w:t>
            </w:r>
            <w:r>
              <w:rPr>
                <w:rFonts w:ascii="Arial" w:cs="Arial" w:eastAsia="Arial" w:hAnsi="Arial"/>
                <w:sz w:val="18"/>
                <w:szCs w:val="18"/>
                <w:b w:val="1"/>
                <w:bCs w:val="1"/>
                <w:i w:val="1"/>
                <w:iCs w:val="1"/>
                <w:color w:val="auto"/>
                <w:w w:val="90"/>
              </w:rPr>
              <w:t>if different than #4</w:t>
            </w:r>
            <w:r>
              <w:rPr>
                <w:rFonts w:ascii="Arial" w:cs="Arial" w:eastAsia="Arial" w:hAnsi="Arial"/>
                <w:sz w:val="18"/>
                <w:szCs w:val="18"/>
                <w:b w:val="1"/>
                <w:bCs w:val="1"/>
                <w:color w:val="auto"/>
                <w:w w:val="90"/>
              </w:rPr>
              <w:t>):</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Street Address:</w:t>
            </w:r>
          </w:p>
        </w:tc>
        <w:tc>
          <w:tcPr>
            <w:tcW w:w="7160" w:type="dxa"/>
            <w:vAlign w:val="bottom"/>
            <w:gridSpan w:val="2"/>
          </w:tcPr>
          <w:p>
            <w:pPr>
              <w:ind w:left="3140"/>
              <w:spacing w:after="0"/>
              <w:rPr>
                <w:sz w:val="20"/>
                <w:szCs w:val="20"/>
                <w:color w:val="auto"/>
              </w:rPr>
            </w:pPr>
            <w:r>
              <w:rPr>
                <w:rFonts w:ascii="Arial" w:cs="Arial" w:eastAsia="Arial" w:hAnsi="Arial"/>
                <w:sz w:val="18"/>
                <w:szCs w:val="18"/>
                <w:color w:val="auto"/>
              </w:rPr>
              <w:t>Street Address:</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Suite/ Mail Code:</w:t>
            </w:r>
          </w:p>
        </w:tc>
        <w:tc>
          <w:tcPr>
            <w:tcW w:w="7160" w:type="dxa"/>
            <w:vAlign w:val="bottom"/>
            <w:gridSpan w:val="2"/>
          </w:tcPr>
          <w:p>
            <w:pPr>
              <w:ind w:left="3140"/>
              <w:spacing w:after="0"/>
              <w:rPr>
                <w:sz w:val="20"/>
                <w:szCs w:val="20"/>
                <w:color w:val="auto"/>
              </w:rPr>
            </w:pPr>
            <w:r>
              <w:rPr>
                <w:rFonts w:ascii="Arial" w:cs="Arial" w:eastAsia="Arial" w:hAnsi="Arial"/>
                <w:sz w:val="18"/>
                <w:szCs w:val="18"/>
                <w:color w:val="auto"/>
              </w:rPr>
              <w:t>Suite/ Mail Code:</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City:</w:t>
            </w:r>
          </w:p>
        </w:tc>
        <w:tc>
          <w:tcPr>
            <w:tcW w:w="1600" w:type="dxa"/>
            <w:vAlign w:val="bottom"/>
          </w:tcPr>
          <w:p>
            <w:pPr>
              <w:jc w:val="right"/>
              <w:ind w:right="1030"/>
              <w:spacing w:after="0"/>
              <w:rPr>
                <w:sz w:val="20"/>
                <w:szCs w:val="20"/>
                <w:color w:val="auto"/>
              </w:rPr>
            </w:pPr>
            <w:r>
              <w:rPr>
                <w:rFonts w:ascii="Arial" w:cs="Arial" w:eastAsia="Arial" w:hAnsi="Arial"/>
                <w:sz w:val="18"/>
                <w:szCs w:val="18"/>
                <w:color w:val="auto"/>
                <w:w w:val="97"/>
              </w:rPr>
              <w:t>State:</w:t>
            </w:r>
          </w:p>
        </w:tc>
        <w:tc>
          <w:tcPr>
            <w:tcW w:w="4120" w:type="dxa"/>
            <w:vAlign w:val="bottom"/>
          </w:tcPr>
          <w:p>
            <w:pPr>
              <w:ind w:left="3140"/>
              <w:spacing w:after="0"/>
              <w:rPr>
                <w:sz w:val="20"/>
                <w:szCs w:val="20"/>
                <w:color w:val="auto"/>
              </w:rPr>
            </w:pPr>
            <w:r>
              <w:rPr>
                <w:rFonts w:ascii="Arial" w:cs="Arial" w:eastAsia="Arial" w:hAnsi="Arial"/>
                <w:sz w:val="18"/>
                <w:szCs w:val="18"/>
                <w:color w:val="auto"/>
              </w:rPr>
              <w:t>City:</w:t>
            </w:r>
          </w:p>
        </w:tc>
        <w:tc>
          <w:tcPr>
            <w:tcW w:w="3040" w:type="dxa"/>
            <w:vAlign w:val="bottom"/>
          </w:tcPr>
          <w:p>
            <w:pPr>
              <w:ind w:left="60"/>
              <w:spacing w:after="0"/>
              <w:rPr>
                <w:sz w:val="20"/>
                <w:szCs w:val="20"/>
                <w:color w:val="auto"/>
              </w:rPr>
            </w:pPr>
            <w:r>
              <w:rPr>
                <w:rFonts w:ascii="Arial" w:cs="Arial" w:eastAsia="Arial" w:hAnsi="Arial"/>
                <w:sz w:val="18"/>
                <w:szCs w:val="18"/>
                <w:color w:val="auto"/>
              </w:rPr>
              <w:t>State:</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3"/>
              </w:rPr>
              <w:t>Postal Code:</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Country:</w:t>
            </w:r>
          </w:p>
        </w:tc>
        <w:tc>
          <w:tcPr>
            <w:tcW w:w="4120" w:type="dxa"/>
            <w:vAlign w:val="bottom"/>
          </w:tcPr>
          <w:p>
            <w:pPr>
              <w:ind w:left="3140"/>
              <w:spacing w:after="0"/>
              <w:rPr>
                <w:sz w:val="20"/>
                <w:szCs w:val="20"/>
                <w:color w:val="auto"/>
              </w:rPr>
            </w:pPr>
            <w:r>
              <w:rPr>
                <w:rFonts w:ascii="Arial" w:cs="Arial" w:eastAsia="Arial" w:hAnsi="Arial"/>
                <w:sz w:val="18"/>
                <w:szCs w:val="18"/>
                <w:color w:val="auto"/>
                <w:w w:val="93"/>
              </w:rPr>
              <w:t>Postal Code:</w:t>
            </w:r>
          </w:p>
        </w:tc>
        <w:tc>
          <w:tcPr>
            <w:tcW w:w="3040" w:type="dxa"/>
            <w:vAlign w:val="bottom"/>
          </w:tcPr>
          <w:p>
            <w:pPr>
              <w:ind w:left="620"/>
              <w:spacing w:after="0"/>
              <w:rPr>
                <w:sz w:val="20"/>
                <w:szCs w:val="20"/>
                <w:color w:val="auto"/>
              </w:rPr>
            </w:pPr>
            <w:r>
              <w:rPr>
                <w:rFonts w:ascii="Arial" w:cs="Arial" w:eastAsia="Arial" w:hAnsi="Arial"/>
                <w:sz w:val="18"/>
                <w:szCs w:val="18"/>
                <w:color w:val="auto"/>
              </w:rPr>
              <w:t>Country:</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Lender’s Contact Information:</w:t>
      </w:r>
    </w:p>
    <w:p>
      <w:pPr>
        <w:spacing w:after="0" w:line="2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i w:val="1"/>
          <w:iCs w:val="1"/>
          <w:color w:val="auto"/>
        </w:rPr>
        <w:t>Syndicate level information (which may contain material non-public information about the Borrower and its related parties or their respective securities will be made available to the Credit Contact(s). The Credit Contacts identified must be able to receive such information in accordance with his/her institution’s compliance procedures and applicable laws, including Federal and State securities laws.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Primary Credit Contact:</w:t>
            </w: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w w:val="89"/>
              </w:rPr>
              <w:t>Secondary Credit Contact:</w:t>
            </w:r>
          </w:p>
        </w:tc>
      </w:tr>
      <w:tr>
        <w:trPr>
          <w:trHeight w:val="222"/>
        </w:trPr>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Name:</w:t>
            </w:r>
          </w:p>
        </w:tc>
        <w:tc>
          <w:tcPr>
            <w:tcW w:w="3860" w:type="dxa"/>
            <w:vAlign w:val="bottom"/>
          </w:tcPr>
          <w:p>
            <w:pPr>
              <w:spacing w:after="0"/>
              <w:rPr>
                <w:sz w:val="19"/>
                <w:szCs w:val="19"/>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Name:</w:t>
            </w:r>
          </w:p>
        </w:tc>
        <w:tc>
          <w:tcPr>
            <w:tcW w:w="60" w:type="dxa"/>
            <w:vAlign w:val="bottom"/>
          </w:tcPr>
          <w:p>
            <w:pPr>
              <w:spacing w:after="0"/>
              <w:rPr>
                <w:sz w:val="19"/>
                <w:szCs w:val="19"/>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Middle Name:</w:t>
            </w:r>
          </w:p>
        </w:tc>
        <w:tc>
          <w:tcPr>
            <w:tcW w:w="2060" w:type="dxa"/>
            <w:vAlign w:val="bottom"/>
            <w:gridSpan w:val="2"/>
          </w:tcPr>
          <w:p>
            <w:pPr>
              <w:spacing w:after="0"/>
              <w:rPr>
                <w:sz w:val="20"/>
                <w:szCs w:val="20"/>
                <w:color w:val="auto"/>
              </w:rPr>
            </w:pPr>
            <w:r>
              <w:rPr>
                <w:rFonts w:ascii="Arial" w:cs="Arial" w:eastAsia="Arial" w:hAnsi="Arial"/>
                <w:sz w:val="18"/>
                <w:szCs w:val="18"/>
                <w:color w:val="auto"/>
              </w:rPr>
              <w:t>Middle Name: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Last Name:</w:t>
            </w:r>
          </w:p>
        </w:tc>
        <w:tc>
          <w:tcPr>
            <w:tcW w:w="2060" w:type="dxa"/>
            <w:vAlign w:val="bottom"/>
            <w:gridSpan w:val="2"/>
          </w:tcPr>
          <w:p>
            <w:pPr>
              <w:spacing w:after="0"/>
              <w:rPr>
                <w:sz w:val="20"/>
                <w:szCs w:val="20"/>
                <w:color w:val="auto"/>
              </w:rPr>
            </w:pPr>
            <w:r>
              <w:rPr>
                <w:rFonts w:ascii="Arial" w:cs="Arial" w:eastAsia="Arial" w:hAnsi="Arial"/>
                <w:sz w:val="18"/>
                <w:szCs w:val="18"/>
                <w:color w:val="auto"/>
              </w:rPr>
              <w:t>Last Name: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Title:</w:t>
            </w:r>
          </w:p>
        </w:tc>
        <w:tc>
          <w:tcPr>
            <w:tcW w:w="206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Street Address:</w:t>
            </w:r>
          </w:p>
        </w:tc>
        <w:tc>
          <w:tcPr>
            <w:tcW w:w="2060" w:type="dxa"/>
            <w:vAlign w:val="bottom"/>
            <w:gridSpan w:val="2"/>
          </w:tcPr>
          <w:p>
            <w:pPr>
              <w:spacing w:after="0"/>
              <w:rPr>
                <w:sz w:val="20"/>
                <w:szCs w:val="20"/>
                <w:color w:val="auto"/>
              </w:rPr>
            </w:pPr>
            <w:r>
              <w:rPr>
                <w:rFonts w:ascii="Arial" w:cs="Arial" w:eastAsia="Arial" w:hAnsi="Arial"/>
                <w:sz w:val="18"/>
                <w:szCs w:val="18"/>
                <w:color w:val="auto"/>
              </w:rPr>
              <w:t>Street Address: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Suite/Mail Code:</w:t>
            </w:r>
          </w:p>
        </w:tc>
        <w:tc>
          <w:tcPr>
            <w:tcW w:w="2060" w:type="dxa"/>
            <w:vAlign w:val="bottom"/>
            <w:gridSpan w:val="2"/>
          </w:tcPr>
          <w:p>
            <w:pPr>
              <w:spacing w:after="0"/>
              <w:rPr>
                <w:sz w:val="20"/>
                <w:szCs w:val="20"/>
                <w:color w:val="auto"/>
              </w:rPr>
            </w:pPr>
            <w:r>
              <w:rPr>
                <w:rFonts w:ascii="Arial" w:cs="Arial" w:eastAsia="Arial" w:hAnsi="Arial"/>
                <w:sz w:val="18"/>
                <w:szCs w:val="18"/>
                <w:color w:val="auto"/>
              </w:rPr>
              <w:t>Suite/Mail Code: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City:</w:t>
            </w:r>
          </w:p>
        </w:tc>
        <w:tc>
          <w:tcPr>
            <w:tcW w:w="2060" w:type="dxa"/>
            <w:vAlign w:val="bottom"/>
            <w:gridSpan w:val="2"/>
          </w:tcPr>
          <w:p>
            <w:pPr>
              <w:spacing w:after="0"/>
              <w:rPr>
                <w:sz w:val="20"/>
                <w:szCs w:val="20"/>
                <w:color w:val="auto"/>
              </w:rPr>
            </w:pPr>
            <w:r>
              <w:rPr>
                <w:rFonts w:ascii="Arial" w:cs="Arial" w:eastAsia="Arial" w:hAnsi="Arial"/>
                <w:sz w:val="18"/>
                <w:szCs w:val="18"/>
                <w:color w:val="auto"/>
              </w:rPr>
              <w:t>City:</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State:</w:t>
            </w:r>
          </w:p>
        </w:tc>
        <w:tc>
          <w:tcPr>
            <w:tcW w:w="2060" w:type="dxa"/>
            <w:vAlign w:val="bottom"/>
            <w:gridSpan w:val="2"/>
          </w:tcPr>
          <w:p>
            <w:pPr>
              <w:spacing w:after="0"/>
              <w:rPr>
                <w:sz w:val="20"/>
                <w:szCs w:val="20"/>
                <w:color w:val="auto"/>
              </w:rPr>
            </w:pPr>
            <w:r>
              <w:rPr>
                <w:rFonts w:ascii="Arial" w:cs="Arial" w:eastAsia="Arial" w:hAnsi="Arial"/>
                <w:sz w:val="18"/>
                <w:szCs w:val="18"/>
                <w:color w:val="auto"/>
              </w:rPr>
              <w:t>State: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Postal Code:</w:t>
            </w:r>
          </w:p>
        </w:tc>
        <w:tc>
          <w:tcPr>
            <w:tcW w:w="2060" w:type="dxa"/>
            <w:vAlign w:val="bottom"/>
            <w:gridSpan w:val="2"/>
          </w:tcPr>
          <w:p>
            <w:pPr>
              <w:spacing w:after="0"/>
              <w:rPr>
                <w:sz w:val="20"/>
                <w:szCs w:val="20"/>
                <w:color w:val="auto"/>
              </w:rPr>
            </w:pPr>
            <w:r>
              <w:rPr>
                <w:rFonts w:ascii="Arial" w:cs="Arial" w:eastAsia="Arial" w:hAnsi="Arial"/>
                <w:sz w:val="18"/>
                <w:szCs w:val="18"/>
                <w:color w:val="auto"/>
              </w:rPr>
              <w:t>Postal Code: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Country:</w:t>
            </w:r>
          </w:p>
        </w:tc>
        <w:tc>
          <w:tcPr>
            <w:tcW w:w="2060" w:type="dxa"/>
            <w:vAlign w:val="bottom"/>
            <w:gridSpan w:val="2"/>
          </w:tcPr>
          <w:p>
            <w:pPr>
              <w:spacing w:after="0"/>
              <w:rPr>
                <w:sz w:val="20"/>
                <w:szCs w:val="20"/>
                <w:color w:val="auto"/>
              </w:rPr>
            </w:pPr>
            <w:r>
              <w:rPr>
                <w:rFonts w:ascii="Arial" w:cs="Arial" w:eastAsia="Arial" w:hAnsi="Arial"/>
                <w:sz w:val="18"/>
                <w:szCs w:val="18"/>
                <w:color w:val="auto"/>
              </w:rPr>
              <w:t>Country:</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Office Telephone #:</w:t>
            </w:r>
          </w:p>
        </w:tc>
        <w:tc>
          <w:tcPr>
            <w:tcW w:w="2060" w:type="dxa"/>
            <w:vAlign w:val="bottom"/>
            <w:gridSpan w:val="2"/>
          </w:tcPr>
          <w:p>
            <w:pPr>
              <w:spacing w:after="0"/>
              <w:rPr>
                <w:sz w:val="20"/>
                <w:szCs w:val="20"/>
                <w:color w:val="auto"/>
              </w:rPr>
            </w:pPr>
            <w:r>
              <w:rPr>
                <w:rFonts w:ascii="Arial" w:cs="Arial" w:eastAsia="Arial" w:hAnsi="Arial"/>
                <w:sz w:val="18"/>
                <w:szCs w:val="18"/>
                <w:color w:val="auto"/>
              </w:rPr>
              <w:t>Office Telephone #:</w:t>
            </w:r>
          </w:p>
        </w:tc>
      </w:tr>
    </w:tbl>
    <w:p>
      <w:pPr>
        <w:sectPr>
          <w:pgSz w:w="11900" w:h="16838" w:orient="portrait"/>
          <w:cols w:equalWidth="0" w:num="1">
            <w:col w:w="11420"/>
          </w:cols>
          <w:pgMar w:left="240" w:top="125" w:right="239" w:bottom="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Office Facsimile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Work E-Mail Address: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SyndTrak E-Mail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Office Facsimile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Work E-Mail Address: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SyndTrak E-Mail Address:</w:t>
      </w:r>
    </w:p>
    <w:p>
      <w:pPr>
        <w:spacing w:after="0" w:line="200" w:lineRule="exact"/>
        <w:rPr>
          <w:sz w:val="20"/>
          <w:szCs w:val="20"/>
          <w:color w:val="auto"/>
        </w:rPr>
      </w:pPr>
    </w:p>
    <w:p>
      <w:pPr>
        <w:sectPr>
          <w:pgSz w:w="11900" w:h="16838" w:orient="portrait"/>
          <w:cols w:equalWidth="0" w:num="2">
            <w:col w:w="5000" w:space="720"/>
            <w:col w:w="5700"/>
          </w:cols>
          <w:pgMar w:left="240" w:top="125" w:right="239" w:bottom="0"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SyndTrak User Access</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Enter E-Mail Addresses of any respective contact who should have access to SyndTrak below.</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SyndTrak E-Mail Addresses: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-121920</wp:posOffset>
            </wp:positionV>
            <wp:extent cx="4939665" cy="3600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39665" cy="3600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Primary Operations Contact: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First:</w:t>
            </w:r>
          </w:p>
        </w:tc>
        <w:tc>
          <w:tcPr>
            <w:tcW w:w="500" w:type="dxa"/>
            <w:vAlign w:val="bottom"/>
          </w:tcPr>
          <w:p>
            <w:pPr>
              <w:ind w:left="40"/>
              <w:spacing w:after="0"/>
              <w:rPr>
                <w:sz w:val="20"/>
                <w:szCs w:val="20"/>
                <w:color w:val="auto"/>
              </w:rPr>
            </w:pPr>
            <w:r>
              <w:rPr>
                <w:rFonts w:ascii="Arial" w:cs="Arial" w:eastAsia="Arial" w:hAnsi="Arial"/>
                <w:sz w:val="18"/>
                <w:szCs w:val="18"/>
                <w:color w:val="auto"/>
              </w:rPr>
              <w:t>MI:</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Last: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Street Address:</w:t>
            </w:r>
          </w:p>
        </w:tc>
        <w:tc>
          <w:tcPr>
            <w:tcW w:w="800" w:type="dxa"/>
            <w:vAlign w:val="bottom"/>
          </w:tcPr>
          <w:p>
            <w:pPr>
              <w:spacing w:after="0"/>
              <w:rPr>
                <w:sz w:val="18"/>
                <w:szCs w:val="18"/>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w w:val="96"/>
              </w:rPr>
              <w:t>Suite/ Mail Code:</w:t>
            </w:r>
          </w:p>
        </w:tc>
        <w:tc>
          <w:tcPr>
            <w:tcW w:w="80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City:</w:t>
            </w:r>
          </w:p>
        </w:tc>
        <w:tc>
          <w:tcPr>
            <w:tcW w:w="1300" w:type="dxa"/>
            <w:vAlign w:val="bottom"/>
            <w:gridSpan w:val="2"/>
          </w:tcPr>
          <w:p>
            <w:pPr>
              <w:jc w:val="right"/>
              <w:ind w:right="650"/>
              <w:spacing w:after="0"/>
              <w:rPr>
                <w:sz w:val="20"/>
                <w:szCs w:val="20"/>
                <w:color w:val="auto"/>
              </w:rPr>
            </w:pPr>
            <w:r>
              <w:rPr>
                <w:rFonts w:ascii="Arial" w:cs="Arial" w:eastAsia="Arial" w:hAnsi="Arial"/>
                <w:sz w:val="18"/>
                <w:szCs w:val="18"/>
                <w:color w:val="auto"/>
              </w:rPr>
              <w:t>State:</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Postal Code:</w:t>
            </w:r>
          </w:p>
        </w:tc>
        <w:tc>
          <w:tcPr>
            <w:tcW w:w="800" w:type="dxa"/>
            <w:vAlign w:val="bottom"/>
          </w:tcPr>
          <w:p>
            <w:pPr>
              <w:jc w:val="right"/>
              <w:spacing w:after="0"/>
              <w:rPr>
                <w:sz w:val="20"/>
                <w:szCs w:val="20"/>
                <w:color w:val="auto"/>
              </w:rPr>
            </w:pPr>
            <w:r>
              <w:rPr>
                <w:rFonts w:ascii="Arial" w:cs="Arial" w:eastAsia="Arial" w:hAnsi="Arial"/>
                <w:sz w:val="18"/>
                <w:szCs w:val="18"/>
                <w:color w:val="auto"/>
              </w:rPr>
              <w:t>Country:</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w w:val="91"/>
              </w:rPr>
              <w:t>Telephone:</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6"/>
              </w:rPr>
              <w:t>Facsimile:</w:t>
            </w:r>
          </w:p>
        </w:tc>
      </w:tr>
    </w:tbl>
    <w:p>
      <w:pPr>
        <w:spacing w:after="0"/>
        <w:rPr>
          <w:sz w:val="20"/>
          <w:szCs w:val="20"/>
          <w:color w:val="auto"/>
        </w:rPr>
      </w:pPr>
      <w:r>
        <w:rPr>
          <w:rFonts w:ascii="Arial" w:cs="Arial" w:eastAsia="Arial" w:hAnsi="Arial"/>
          <w:sz w:val="18"/>
          <w:szCs w:val="18"/>
          <w:color w:val="auto"/>
        </w:rPr>
        <w:t>E-Mail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SyndTrak E-Mail Address:</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Does Secondary Operations Contact need copy of notices?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Operations Closer Contact: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b w:val="1"/>
                <w:bCs w:val="1"/>
                <w:color w:val="auto"/>
              </w:rPr>
              <w:t>First:</w:t>
            </w:r>
          </w:p>
        </w:tc>
        <w:tc>
          <w:tcPr>
            <w:tcW w:w="14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MI:</w:t>
            </w:r>
          </w:p>
        </w:tc>
        <w:tc>
          <w:tcPr>
            <w:tcW w:w="900" w:type="dxa"/>
            <w:vAlign w:val="bottom"/>
            <w:gridSpan w:val="2"/>
          </w:tcPr>
          <w:p>
            <w:pPr>
              <w:ind w:left="480"/>
              <w:spacing w:after="0"/>
              <w:rPr>
                <w:sz w:val="20"/>
                <w:szCs w:val="20"/>
                <w:color w:val="auto"/>
              </w:rPr>
            </w:pPr>
            <w:r>
              <w:rPr>
                <w:rFonts w:ascii="Arial" w:cs="Arial" w:eastAsia="Arial" w:hAnsi="Arial"/>
                <w:sz w:val="18"/>
                <w:szCs w:val="18"/>
                <w:b w:val="1"/>
                <w:bCs w:val="1"/>
                <w:color w:val="auto"/>
                <w:w w:val="92"/>
              </w:rPr>
              <w:t>Last:</w:t>
            </w: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Street Address: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93"/>
              </w:rPr>
              <w:t>Suite/ Mail Code:</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color w:val="auto"/>
              </w:rPr>
              <w:t>City:</w:t>
            </w:r>
          </w:p>
        </w:tc>
        <w:tc>
          <w:tcPr>
            <w:tcW w:w="14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State:</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89"/>
              </w:rPr>
              <w:t>Postal Code:</w:t>
            </w:r>
          </w:p>
        </w:tc>
        <w:tc>
          <w:tcPr>
            <w:tcW w:w="38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b w:val="1"/>
                <w:bCs w:val="1"/>
                <w:color w:val="auto"/>
                <w:w w:val="93"/>
              </w:rPr>
              <w:t>Country:</w:t>
            </w: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color w:val="auto"/>
                <w:w w:val="87"/>
              </w:rPr>
              <w:t>Telephone:</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Facsimile:</w:t>
            </w:r>
          </w:p>
        </w:tc>
      </w:t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99"/>
              </w:rPr>
              <w:t>E-Mail Address:</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19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Letter of Credit Contact:</w:t>
            </w:r>
          </w:p>
        </w:tc>
        <w:tc>
          <w:tcPr>
            <w:tcW w:w="340" w:type="dxa"/>
            <w:vAlign w:val="bottom"/>
          </w:tcPr>
          <w:p>
            <w:pPr>
              <w:spacing w:after="0"/>
              <w:rPr>
                <w:sz w:val="24"/>
                <w:szCs w:val="24"/>
                <w:color w:val="auto"/>
              </w:rPr>
            </w:pP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First:</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MI:</w:t>
            </w: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Last: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Street Address: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w w:val="99"/>
              </w:rPr>
              <w:t>Suite/ Mail Code:</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City:</w:t>
            </w:r>
          </w:p>
        </w:tc>
        <w:tc>
          <w:tcPr>
            <w:tcW w:w="1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State:</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w w:val="95"/>
              </w:rPr>
              <w:t>Postal Code:</w:t>
            </w:r>
          </w:p>
        </w:tc>
        <w:tc>
          <w:tcPr>
            <w:tcW w:w="380" w:type="dxa"/>
            <w:vAlign w:val="bottom"/>
          </w:tcPr>
          <w:p>
            <w:pPr>
              <w:spacing w:after="0"/>
              <w:rPr>
                <w:sz w:val="18"/>
                <w:szCs w:val="18"/>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Country:</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w w:val="93"/>
              </w:rPr>
              <w:t>Telephone:</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Facsimile:</w:t>
            </w:r>
          </w:p>
        </w:tc>
      </w:tr>
    </w:tbl>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Secondary Operations Contact:</w:t>
      </w:r>
    </w:p>
    <w:p>
      <w:pPr>
        <w:spacing w:after="0" w:line="22"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First:</w:t>
            </w:r>
          </w:p>
        </w:tc>
        <w:tc>
          <w:tcPr>
            <w:tcW w:w="500" w:type="dxa"/>
            <w:vAlign w:val="bottom"/>
          </w:tcPr>
          <w:p>
            <w:pPr>
              <w:ind w:left="40"/>
              <w:spacing w:after="0"/>
              <w:rPr>
                <w:sz w:val="20"/>
                <w:szCs w:val="20"/>
                <w:color w:val="auto"/>
              </w:rPr>
            </w:pPr>
            <w:r>
              <w:rPr>
                <w:rFonts w:ascii="Arial" w:cs="Arial" w:eastAsia="Arial" w:hAnsi="Arial"/>
                <w:sz w:val="18"/>
                <w:szCs w:val="18"/>
                <w:color w:val="auto"/>
              </w:rPr>
              <w:t>MI:</w:t>
            </w:r>
          </w:p>
        </w:tc>
        <w:tc>
          <w:tcPr>
            <w:tcW w:w="800" w:type="dxa"/>
            <w:vAlign w:val="bottom"/>
          </w:tcPr>
          <w:p>
            <w:pPr>
              <w:jc w:val="center"/>
              <w:ind w:left="70"/>
              <w:spacing w:after="0"/>
              <w:rPr>
                <w:sz w:val="20"/>
                <w:szCs w:val="20"/>
                <w:color w:val="auto"/>
              </w:rPr>
            </w:pPr>
            <w:r>
              <w:rPr>
                <w:rFonts w:ascii="Arial" w:cs="Arial" w:eastAsia="Arial" w:hAnsi="Arial"/>
                <w:sz w:val="18"/>
                <w:szCs w:val="18"/>
                <w:color w:val="auto"/>
                <w:w w:val="92"/>
              </w:rPr>
              <w:t>Last: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Street Address:</w:t>
            </w:r>
          </w:p>
        </w:tc>
        <w:tc>
          <w:tcPr>
            <w:tcW w:w="800" w:type="dxa"/>
            <w:vAlign w:val="bottom"/>
          </w:tcPr>
          <w:p>
            <w:pPr>
              <w:spacing w:after="0"/>
              <w:rPr>
                <w:sz w:val="18"/>
                <w:szCs w:val="18"/>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w w:val="96"/>
              </w:rPr>
              <w:t>Suite/ Mail Code:</w:t>
            </w:r>
          </w:p>
        </w:tc>
        <w:tc>
          <w:tcPr>
            <w:tcW w:w="80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City:</w:t>
            </w: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State:</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Postal Code:</w:t>
            </w:r>
          </w:p>
        </w:tc>
        <w:tc>
          <w:tcPr>
            <w:tcW w:w="800" w:type="dxa"/>
            <w:vAlign w:val="bottom"/>
          </w:tcPr>
          <w:p>
            <w:pPr>
              <w:jc w:val="center"/>
              <w:ind w:left="70"/>
              <w:spacing w:after="0"/>
              <w:rPr>
                <w:sz w:val="20"/>
                <w:szCs w:val="20"/>
                <w:color w:val="auto"/>
              </w:rPr>
            </w:pPr>
            <w:r>
              <w:rPr>
                <w:rFonts w:ascii="Arial" w:cs="Arial" w:eastAsia="Arial" w:hAnsi="Arial"/>
                <w:sz w:val="18"/>
                <w:szCs w:val="18"/>
                <w:color w:val="auto"/>
                <w:w w:val="94"/>
              </w:rPr>
              <w:t>Country:</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w w:val="91"/>
              </w:rPr>
              <w:t>Telephone:</w:t>
            </w:r>
          </w:p>
        </w:tc>
        <w:tc>
          <w:tcPr>
            <w:tcW w:w="500" w:type="dxa"/>
            <w:vAlign w:val="bottom"/>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w w:val="91"/>
              </w:rPr>
              <w:t>Facsimile:</w:t>
            </w:r>
          </w:p>
        </w:tc>
      </w:tr>
    </w:tbl>
    <w:p>
      <w:pPr>
        <w:ind w:left="320"/>
        <w:spacing w:after="0"/>
        <w:rPr>
          <w:sz w:val="20"/>
          <w:szCs w:val="20"/>
          <w:color w:val="auto"/>
        </w:rPr>
      </w:pPr>
      <w:r>
        <w:rPr>
          <w:rFonts w:ascii="Arial" w:cs="Arial" w:eastAsia="Arial" w:hAnsi="Arial"/>
          <w:sz w:val="18"/>
          <w:szCs w:val="18"/>
          <w:color w:val="auto"/>
        </w:rPr>
        <w:t>E-Mail Address: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SyndTrak E-Mail Address: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YES o  NO </w:t>
      </w:r>
      <w:r>
        <w:rPr>
          <w:rFonts w:ascii="Arial" w:cs="Arial" w:eastAsia="Arial" w:hAnsi="Arial"/>
          <w:sz w:val="18"/>
          <w:szCs w:val="18"/>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Arial" w:cs="Arial" w:eastAsia="Arial" w:hAnsi="Arial"/>
          <w:sz w:val="16"/>
          <w:szCs w:val="16"/>
          <w:b w:val="1"/>
          <w:bCs w:val="1"/>
          <w:u w:val="single" w:color="auto"/>
          <w:color w:val="auto"/>
        </w:rPr>
        <w:t>Draft Documentation Contact or Legal Counsel:</w:t>
      </w:r>
    </w:p>
    <w:p>
      <w:pPr>
        <w:spacing w:after="0" w:line="45"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900" w:type="dxa"/>
            <w:vAlign w:val="bottom"/>
          </w:tcPr>
          <w:p>
            <w:pPr>
              <w:ind w:left="60"/>
              <w:spacing w:after="0"/>
              <w:rPr>
                <w:sz w:val="20"/>
                <w:szCs w:val="20"/>
                <w:color w:val="auto"/>
              </w:rPr>
            </w:pPr>
            <w:r>
              <w:rPr>
                <w:rFonts w:ascii="Arial" w:cs="Arial" w:eastAsia="Arial" w:hAnsi="Arial"/>
                <w:sz w:val="18"/>
                <w:szCs w:val="18"/>
                <w:color w:val="auto"/>
              </w:rPr>
              <w:t>First:</w:t>
            </w:r>
          </w:p>
        </w:tc>
        <w:tc>
          <w:tcPr>
            <w:tcW w:w="500" w:type="dxa"/>
            <w:vAlign w:val="bottom"/>
          </w:tcPr>
          <w:p>
            <w:pPr>
              <w:ind w:left="40"/>
              <w:spacing w:after="0"/>
              <w:rPr>
                <w:sz w:val="20"/>
                <w:szCs w:val="20"/>
                <w:color w:val="auto"/>
              </w:rPr>
            </w:pPr>
            <w:r>
              <w:rPr>
                <w:rFonts w:ascii="Arial" w:cs="Arial" w:eastAsia="Arial" w:hAnsi="Arial"/>
                <w:sz w:val="18"/>
                <w:szCs w:val="18"/>
                <w:color w:val="auto"/>
              </w:rPr>
              <w:t>MI:</w:t>
            </w:r>
          </w:p>
        </w:tc>
        <w:tc>
          <w:tcPr>
            <w:tcW w:w="800" w:type="dxa"/>
            <w:vAlign w:val="bottom"/>
          </w:tcPr>
          <w:p>
            <w:pPr>
              <w:jc w:val="center"/>
              <w:ind w:left="70"/>
              <w:spacing w:after="0"/>
              <w:rPr>
                <w:sz w:val="20"/>
                <w:szCs w:val="20"/>
                <w:color w:val="auto"/>
              </w:rPr>
            </w:pPr>
            <w:r>
              <w:rPr>
                <w:rFonts w:ascii="Arial" w:cs="Arial" w:eastAsia="Arial" w:hAnsi="Arial"/>
                <w:sz w:val="18"/>
                <w:szCs w:val="18"/>
                <w:color w:val="auto"/>
                <w:w w:val="92"/>
              </w:rPr>
              <w:t>Last:</w:t>
            </w:r>
          </w:p>
        </w:tc>
      </w:tr>
      <w:tr>
        <w:trPr>
          <w:trHeight w:val="216"/>
        </w:trPr>
        <w:tc>
          <w:tcPr>
            <w:tcW w:w="900" w:type="dxa"/>
            <w:vAlign w:val="bottom"/>
          </w:tcPr>
          <w:p>
            <w:pPr>
              <w:ind w:left="60"/>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400" w:type="dxa"/>
            <w:vAlign w:val="bottom"/>
            <w:gridSpan w:val="2"/>
          </w:tcPr>
          <w:p>
            <w:pPr>
              <w:ind w:left="60"/>
              <w:spacing w:after="0"/>
              <w:rPr>
                <w:sz w:val="20"/>
                <w:szCs w:val="20"/>
                <w:color w:val="auto"/>
              </w:rPr>
            </w:pPr>
            <w:r>
              <w:rPr>
                <w:rFonts w:ascii="Arial" w:cs="Arial" w:eastAsia="Arial" w:hAnsi="Arial"/>
                <w:sz w:val="18"/>
                <w:szCs w:val="18"/>
                <w:color w:val="auto"/>
              </w:rPr>
              <w:t>Street Address:</w:t>
            </w:r>
          </w:p>
        </w:tc>
        <w:tc>
          <w:tcPr>
            <w:tcW w:w="800" w:type="dxa"/>
            <w:vAlign w:val="bottom"/>
          </w:tcPr>
          <w:p>
            <w:pPr>
              <w:spacing w:after="0"/>
              <w:rPr>
                <w:sz w:val="18"/>
                <w:szCs w:val="18"/>
                <w:color w:val="auto"/>
              </w:rPr>
            </w:pPr>
          </w:p>
        </w:tc>
      </w:tr>
      <w:tr>
        <w:trPr>
          <w:trHeight w:val="216"/>
        </w:trPr>
        <w:tc>
          <w:tcPr>
            <w:tcW w:w="1400" w:type="dxa"/>
            <w:vAlign w:val="bottom"/>
            <w:gridSpan w:val="2"/>
          </w:tcPr>
          <w:p>
            <w:pPr>
              <w:ind w:left="60"/>
              <w:spacing w:after="0"/>
              <w:rPr>
                <w:sz w:val="20"/>
                <w:szCs w:val="20"/>
                <w:color w:val="auto"/>
              </w:rPr>
            </w:pPr>
            <w:r>
              <w:rPr>
                <w:rFonts w:ascii="Arial" w:cs="Arial" w:eastAsia="Arial" w:hAnsi="Arial"/>
                <w:sz w:val="18"/>
                <w:szCs w:val="18"/>
                <w:color w:val="auto"/>
                <w:w w:val="96"/>
              </w:rPr>
              <w:t>Suite/ Mail Code:</w:t>
            </w:r>
          </w:p>
        </w:tc>
        <w:tc>
          <w:tcPr>
            <w:tcW w:w="800" w:type="dxa"/>
            <w:vAlign w:val="bottom"/>
          </w:tcPr>
          <w:p>
            <w:pPr>
              <w:spacing w:after="0"/>
              <w:rPr>
                <w:sz w:val="18"/>
                <w:szCs w:val="18"/>
                <w:color w:val="auto"/>
              </w:rPr>
            </w:pPr>
          </w:p>
        </w:tc>
      </w:tr>
      <w:tr>
        <w:trPr>
          <w:trHeight w:val="216"/>
        </w:trPr>
        <w:tc>
          <w:tcPr>
            <w:tcW w:w="900" w:type="dxa"/>
            <w:vAlign w:val="bottom"/>
          </w:tcPr>
          <w:p>
            <w:pPr>
              <w:ind w:left="60"/>
              <w:spacing w:after="0"/>
              <w:rPr>
                <w:sz w:val="20"/>
                <w:szCs w:val="20"/>
                <w:color w:val="auto"/>
              </w:rPr>
            </w:pPr>
            <w:r>
              <w:rPr>
                <w:rFonts w:ascii="Arial" w:cs="Arial" w:eastAsia="Arial" w:hAnsi="Arial"/>
                <w:sz w:val="18"/>
                <w:szCs w:val="18"/>
                <w:color w:val="auto"/>
              </w:rPr>
              <w:t>City:</w:t>
            </w: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State:</w:t>
            </w:r>
          </w:p>
        </w:tc>
      </w:tr>
      <w:tr>
        <w:trPr>
          <w:trHeight w:val="216"/>
        </w:trPr>
        <w:tc>
          <w:tcPr>
            <w:tcW w:w="1400" w:type="dxa"/>
            <w:vAlign w:val="bottom"/>
            <w:gridSpan w:val="2"/>
          </w:tcPr>
          <w:p>
            <w:pPr>
              <w:ind w:left="60"/>
              <w:spacing w:after="0"/>
              <w:rPr>
                <w:sz w:val="20"/>
                <w:szCs w:val="20"/>
                <w:color w:val="auto"/>
              </w:rPr>
            </w:pPr>
            <w:r>
              <w:rPr>
                <w:rFonts w:ascii="Arial" w:cs="Arial" w:eastAsia="Arial" w:hAnsi="Arial"/>
                <w:sz w:val="18"/>
                <w:szCs w:val="18"/>
                <w:color w:val="auto"/>
              </w:rPr>
              <w:t>Postal Code:</w:t>
            </w:r>
          </w:p>
        </w:tc>
        <w:tc>
          <w:tcPr>
            <w:tcW w:w="800" w:type="dxa"/>
            <w:vAlign w:val="bottom"/>
          </w:tcPr>
          <w:p>
            <w:pPr>
              <w:jc w:val="center"/>
              <w:ind w:left="70"/>
              <w:spacing w:after="0"/>
              <w:rPr>
                <w:sz w:val="20"/>
                <w:szCs w:val="20"/>
                <w:color w:val="auto"/>
              </w:rPr>
            </w:pPr>
            <w:r>
              <w:rPr>
                <w:rFonts w:ascii="Arial" w:cs="Arial" w:eastAsia="Arial" w:hAnsi="Arial"/>
                <w:sz w:val="18"/>
                <w:szCs w:val="18"/>
                <w:color w:val="auto"/>
                <w:w w:val="94"/>
              </w:rPr>
              <w:t>Country:</w:t>
            </w:r>
          </w:p>
        </w:tc>
      </w:tr>
      <w:tr>
        <w:trPr>
          <w:trHeight w:val="216"/>
        </w:trPr>
        <w:tc>
          <w:tcPr>
            <w:tcW w:w="900" w:type="dxa"/>
            <w:vAlign w:val="bottom"/>
          </w:tcPr>
          <w:p>
            <w:pPr>
              <w:ind w:left="60"/>
              <w:spacing w:after="0"/>
              <w:rPr>
                <w:sz w:val="20"/>
                <w:szCs w:val="20"/>
                <w:color w:val="auto"/>
              </w:rPr>
            </w:pPr>
            <w:r>
              <w:rPr>
                <w:rFonts w:ascii="Arial" w:cs="Arial" w:eastAsia="Arial" w:hAnsi="Arial"/>
                <w:sz w:val="18"/>
                <w:szCs w:val="18"/>
                <w:color w:val="auto"/>
                <w:w w:val="91"/>
              </w:rPr>
              <w:t>Telephone:</w:t>
            </w:r>
          </w:p>
        </w:tc>
        <w:tc>
          <w:tcPr>
            <w:tcW w:w="500" w:type="dxa"/>
            <w:vAlign w:val="bottom"/>
          </w:tcPr>
          <w:p>
            <w:pPr>
              <w:spacing w:after="0"/>
              <w:rPr>
                <w:sz w:val="18"/>
                <w:szCs w:val="18"/>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w w:val="91"/>
              </w:rPr>
              <w:t>Facsimile:</w:t>
            </w:r>
          </w:p>
        </w:tc>
      </w:tr>
      <w:tr>
        <w:trPr>
          <w:trHeight w:val="230"/>
        </w:trPr>
        <w:tc>
          <w:tcPr>
            <w:tcW w:w="1400" w:type="dxa"/>
            <w:vAlign w:val="bottom"/>
            <w:gridSpan w:val="2"/>
          </w:tcPr>
          <w:p>
            <w:pPr>
              <w:ind w:left="60"/>
              <w:spacing w:after="0"/>
              <w:rPr>
                <w:sz w:val="20"/>
                <w:szCs w:val="20"/>
                <w:color w:val="auto"/>
              </w:rPr>
            </w:pPr>
            <w:r>
              <w:rPr>
                <w:rFonts w:ascii="Arial" w:cs="Arial" w:eastAsia="Arial" w:hAnsi="Arial"/>
                <w:sz w:val="18"/>
                <w:szCs w:val="18"/>
                <w:color w:val="auto"/>
              </w:rPr>
              <w:t>E-Mail Address:</w:t>
            </w:r>
          </w:p>
        </w:tc>
        <w:tc>
          <w:tcPr>
            <w:tcW w:w="800" w:type="dxa"/>
            <w:vAlign w:val="bottom"/>
          </w:tcPr>
          <w:p>
            <w:pPr>
              <w:spacing w:after="0"/>
              <w:rPr>
                <w:sz w:val="20"/>
                <w:szCs w:val="20"/>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66675</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140"/>
            <w:col w:w="6020"/>
          </w:cols>
          <w:pgMar w:left="240" w:top="125" w:right="239" w:bottom="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Currencies and Jurisdictions in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CHECK BOX OF THE CURRENCIES YOUR INSTITUTION CAN FUND UNDER THIS TRANSACTION:</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o USD</w:t>
            </w:r>
          </w:p>
        </w:tc>
        <w:tc>
          <w:tcPr>
            <w:tcW w:w="3560" w:type="dxa"/>
            <w:vAlign w:val="bottom"/>
          </w:tcPr>
          <w:p>
            <w:pPr>
              <w:ind w:left="1620"/>
              <w:spacing w:after="0"/>
              <w:rPr>
                <w:sz w:val="20"/>
                <w:szCs w:val="20"/>
                <w:color w:val="auto"/>
              </w:rPr>
            </w:pPr>
            <w:r>
              <w:rPr>
                <w:rFonts w:ascii="Arial" w:cs="Arial" w:eastAsia="Arial" w:hAnsi="Arial"/>
                <w:sz w:val="18"/>
                <w:szCs w:val="18"/>
                <w:color w:val="auto"/>
              </w:rPr>
              <w:t>o</w:t>
            </w:r>
          </w:p>
        </w:tc>
        <w:tc>
          <w:tcPr>
            <w:tcW w:w="1960" w:type="dxa"/>
            <w:vAlign w:val="bottom"/>
          </w:tcPr>
          <w:p>
            <w:pPr>
              <w:ind w:left="1860"/>
              <w:spacing w:after="0"/>
              <w:rPr>
                <w:sz w:val="20"/>
                <w:szCs w:val="20"/>
                <w:color w:val="auto"/>
              </w:rPr>
            </w:pPr>
            <w:r>
              <w:rPr>
                <w:rFonts w:ascii="Arial" w:cs="Arial" w:eastAsia="Arial" w:hAnsi="Arial"/>
                <w:sz w:val="18"/>
                <w:szCs w:val="18"/>
                <w:color w:val="auto"/>
                <w:w w:val="79"/>
              </w:rPr>
              <w:t>o</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o CAD</w:t>
            </w:r>
          </w:p>
        </w:tc>
        <w:tc>
          <w:tcPr>
            <w:tcW w:w="3560" w:type="dxa"/>
            <w:vAlign w:val="bottom"/>
          </w:tcPr>
          <w:p>
            <w:pPr>
              <w:ind w:left="1620"/>
              <w:spacing w:after="0"/>
              <w:rPr>
                <w:sz w:val="20"/>
                <w:szCs w:val="20"/>
                <w:color w:val="auto"/>
              </w:rPr>
            </w:pPr>
            <w:r>
              <w:rPr>
                <w:rFonts w:ascii="Arial" w:cs="Arial" w:eastAsia="Arial" w:hAnsi="Arial"/>
                <w:sz w:val="18"/>
                <w:szCs w:val="18"/>
                <w:color w:val="auto"/>
              </w:rPr>
              <w:t>o</w:t>
            </w:r>
          </w:p>
        </w:tc>
        <w:tc>
          <w:tcPr>
            <w:tcW w:w="1960" w:type="dxa"/>
            <w:vAlign w:val="bottom"/>
          </w:tcPr>
          <w:p>
            <w:pPr>
              <w:ind w:left="1860"/>
              <w:spacing w:after="0"/>
              <w:rPr>
                <w:sz w:val="20"/>
                <w:szCs w:val="20"/>
                <w:color w:val="auto"/>
              </w:rPr>
            </w:pPr>
            <w:r>
              <w:rPr>
                <w:rFonts w:ascii="Arial" w:cs="Arial" w:eastAsia="Arial" w:hAnsi="Arial"/>
                <w:sz w:val="18"/>
                <w:szCs w:val="18"/>
                <w:color w:val="auto"/>
                <w:w w:val="79"/>
              </w:rPr>
              <w:t>o</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o</w:t>
            </w:r>
          </w:p>
        </w:tc>
        <w:tc>
          <w:tcPr>
            <w:tcW w:w="3560" w:type="dxa"/>
            <w:vAlign w:val="bottom"/>
          </w:tcPr>
          <w:p>
            <w:pPr>
              <w:ind w:left="1620"/>
              <w:spacing w:after="0"/>
              <w:rPr>
                <w:sz w:val="20"/>
                <w:szCs w:val="20"/>
                <w:color w:val="auto"/>
              </w:rPr>
            </w:pPr>
            <w:r>
              <w:rPr>
                <w:rFonts w:ascii="Arial" w:cs="Arial" w:eastAsia="Arial" w:hAnsi="Arial"/>
                <w:sz w:val="18"/>
                <w:szCs w:val="18"/>
                <w:color w:val="auto"/>
              </w:rPr>
              <w:t>o</w:t>
            </w:r>
          </w:p>
        </w:tc>
        <w:tc>
          <w:tcPr>
            <w:tcW w:w="1960" w:type="dxa"/>
            <w:vAlign w:val="bottom"/>
          </w:tcPr>
          <w:p>
            <w:pPr>
              <w:ind w:left="1860"/>
              <w:spacing w:after="0"/>
              <w:rPr>
                <w:sz w:val="20"/>
                <w:szCs w:val="20"/>
                <w:color w:val="auto"/>
              </w:rPr>
            </w:pPr>
            <w:r>
              <w:rPr>
                <w:rFonts w:ascii="Arial" w:cs="Arial" w:eastAsia="Arial" w:hAnsi="Arial"/>
                <w:sz w:val="18"/>
                <w:szCs w:val="18"/>
                <w:color w:val="auto"/>
                <w:w w:val="79"/>
              </w:rPr>
              <w:t>o</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o</w:t>
            </w:r>
          </w:p>
        </w:tc>
        <w:tc>
          <w:tcPr>
            <w:tcW w:w="3560" w:type="dxa"/>
            <w:vAlign w:val="bottom"/>
          </w:tcPr>
          <w:p>
            <w:pPr>
              <w:ind w:left="1620"/>
              <w:spacing w:after="0"/>
              <w:rPr>
                <w:sz w:val="20"/>
                <w:szCs w:val="20"/>
                <w:color w:val="auto"/>
              </w:rPr>
            </w:pPr>
            <w:r>
              <w:rPr>
                <w:rFonts w:ascii="Arial" w:cs="Arial" w:eastAsia="Arial" w:hAnsi="Arial"/>
                <w:sz w:val="18"/>
                <w:szCs w:val="18"/>
                <w:color w:val="auto"/>
              </w:rPr>
              <w:t>o</w:t>
            </w:r>
          </w:p>
        </w:tc>
        <w:tc>
          <w:tcPr>
            <w:tcW w:w="1960" w:type="dxa"/>
            <w:vAlign w:val="bottom"/>
          </w:tcPr>
          <w:p>
            <w:pPr>
              <w:ind w:left="1860"/>
              <w:spacing w:after="0"/>
              <w:rPr>
                <w:sz w:val="20"/>
                <w:szCs w:val="20"/>
                <w:color w:val="auto"/>
              </w:rPr>
            </w:pPr>
            <w:r>
              <w:rPr>
                <w:rFonts w:ascii="Arial" w:cs="Arial" w:eastAsia="Arial" w:hAnsi="Arial"/>
                <w:sz w:val="18"/>
                <w:szCs w:val="18"/>
                <w:color w:val="auto"/>
                <w:w w:val="79"/>
              </w:rPr>
              <w:t>o</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CHECK BOX IF YOUR INSTITUTION CAN FUND UNDER THE FOLLOWING JURISDICTIONS: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o United States</w:t>
            </w:r>
          </w:p>
        </w:tc>
        <w:tc>
          <w:tcPr>
            <w:tcW w:w="3280" w:type="dxa"/>
            <w:vAlign w:val="bottom"/>
          </w:tcPr>
          <w:p>
            <w:pPr>
              <w:ind w:left="1340"/>
              <w:spacing w:after="0"/>
              <w:rPr>
                <w:sz w:val="20"/>
                <w:szCs w:val="20"/>
                <w:color w:val="auto"/>
              </w:rPr>
            </w:pPr>
            <w:r>
              <w:rPr>
                <w:rFonts w:ascii="Arial" w:cs="Arial" w:eastAsia="Arial" w:hAnsi="Arial"/>
                <w:sz w:val="18"/>
                <w:szCs w:val="18"/>
                <w:color w:val="auto"/>
              </w:rPr>
              <w:t>o</w:t>
            </w:r>
          </w:p>
        </w:tc>
        <w:tc>
          <w:tcPr>
            <w:tcW w:w="1960" w:type="dxa"/>
            <w:vAlign w:val="bottom"/>
          </w:tcPr>
          <w:p>
            <w:pPr>
              <w:ind w:left="1860"/>
              <w:spacing w:after="0"/>
              <w:rPr>
                <w:sz w:val="20"/>
                <w:szCs w:val="20"/>
                <w:color w:val="auto"/>
              </w:rPr>
            </w:pPr>
            <w:r>
              <w:rPr>
                <w:rFonts w:ascii="Arial" w:cs="Arial" w:eastAsia="Arial" w:hAnsi="Arial"/>
                <w:sz w:val="18"/>
                <w:szCs w:val="18"/>
                <w:color w:val="auto"/>
                <w:w w:val="79"/>
              </w:rPr>
              <w:t>o</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o Canada</w:t>
            </w:r>
          </w:p>
        </w:tc>
        <w:tc>
          <w:tcPr>
            <w:tcW w:w="3280" w:type="dxa"/>
            <w:vAlign w:val="bottom"/>
          </w:tcPr>
          <w:p>
            <w:pPr>
              <w:ind w:left="1340"/>
              <w:spacing w:after="0"/>
              <w:rPr>
                <w:sz w:val="20"/>
                <w:szCs w:val="20"/>
                <w:color w:val="auto"/>
              </w:rPr>
            </w:pPr>
            <w:r>
              <w:rPr>
                <w:rFonts w:ascii="Arial" w:cs="Arial" w:eastAsia="Arial" w:hAnsi="Arial"/>
                <w:sz w:val="18"/>
                <w:szCs w:val="18"/>
                <w:color w:val="auto"/>
              </w:rPr>
              <w:t>o</w:t>
            </w:r>
          </w:p>
        </w:tc>
        <w:tc>
          <w:tcPr>
            <w:tcW w:w="1960" w:type="dxa"/>
            <w:vAlign w:val="bottom"/>
          </w:tcPr>
          <w:p>
            <w:pPr>
              <w:ind w:left="1860"/>
              <w:spacing w:after="0"/>
              <w:rPr>
                <w:sz w:val="20"/>
                <w:szCs w:val="20"/>
                <w:color w:val="auto"/>
              </w:rPr>
            </w:pPr>
            <w:r>
              <w:rPr>
                <w:rFonts w:ascii="Arial" w:cs="Arial" w:eastAsia="Arial" w:hAnsi="Arial"/>
                <w:sz w:val="18"/>
                <w:szCs w:val="18"/>
                <w:color w:val="auto"/>
                <w:w w:val="79"/>
              </w:rPr>
              <w:t>o</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o</w:t>
            </w:r>
          </w:p>
        </w:tc>
        <w:tc>
          <w:tcPr>
            <w:tcW w:w="3280" w:type="dxa"/>
            <w:vAlign w:val="bottom"/>
          </w:tcPr>
          <w:p>
            <w:pPr>
              <w:ind w:left="1340"/>
              <w:spacing w:after="0"/>
              <w:rPr>
                <w:sz w:val="20"/>
                <w:szCs w:val="20"/>
                <w:color w:val="auto"/>
              </w:rPr>
            </w:pPr>
            <w:r>
              <w:rPr>
                <w:rFonts w:ascii="Arial" w:cs="Arial" w:eastAsia="Arial" w:hAnsi="Arial"/>
                <w:sz w:val="18"/>
                <w:szCs w:val="18"/>
                <w:color w:val="auto"/>
              </w:rPr>
              <w:t>o</w:t>
            </w:r>
          </w:p>
        </w:tc>
        <w:tc>
          <w:tcPr>
            <w:tcW w:w="1960" w:type="dxa"/>
            <w:vAlign w:val="bottom"/>
          </w:tcPr>
          <w:p>
            <w:pPr>
              <w:ind w:left="1860"/>
              <w:spacing w:after="0"/>
              <w:rPr>
                <w:sz w:val="20"/>
                <w:szCs w:val="20"/>
                <w:color w:val="auto"/>
              </w:rPr>
            </w:pPr>
            <w:r>
              <w:rPr>
                <w:rFonts w:ascii="Arial" w:cs="Arial" w:eastAsia="Arial" w:hAnsi="Arial"/>
                <w:sz w:val="18"/>
                <w:szCs w:val="18"/>
                <w:color w:val="auto"/>
                <w:w w:val="79"/>
              </w:rPr>
              <w:t>o</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o</w:t>
            </w:r>
          </w:p>
        </w:tc>
        <w:tc>
          <w:tcPr>
            <w:tcW w:w="3280" w:type="dxa"/>
            <w:vAlign w:val="bottom"/>
          </w:tcPr>
          <w:p>
            <w:pPr>
              <w:ind w:left="1340"/>
              <w:spacing w:after="0"/>
              <w:rPr>
                <w:sz w:val="20"/>
                <w:szCs w:val="20"/>
                <w:color w:val="auto"/>
              </w:rPr>
            </w:pPr>
            <w:r>
              <w:rPr>
                <w:rFonts w:ascii="Arial" w:cs="Arial" w:eastAsia="Arial" w:hAnsi="Arial"/>
                <w:sz w:val="18"/>
                <w:szCs w:val="18"/>
                <w:color w:val="auto"/>
              </w:rPr>
              <w:t>o</w:t>
            </w:r>
          </w:p>
        </w:tc>
        <w:tc>
          <w:tcPr>
            <w:tcW w:w="1960" w:type="dxa"/>
            <w:vAlign w:val="bottom"/>
          </w:tcPr>
          <w:p>
            <w:pPr>
              <w:ind w:left="1860"/>
              <w:spacing w:after="0"/>
              <w:rPr>
                <w:sz w:val="20"/>
                <w:szCs w:val="20"/>
                <w:color w:val="auto"/>
              </w:rPr>
            </w:pPr>
            <w:r>
              <w:rPr>
                <w:rFonts w:ascii="Arial" w:cs="Arial" w:eastAsia="Arial" w:hAnsi="Arial"/>
                <w:sz w:val="18"/>
                <w:szCs w:val="18"/>
                <w:color w:val="auto"/>
                <w:w w:val="79"/>
              </w:rPr>
              <w:t>o</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Lender’s Payment Instructions: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Please input payment instructions for each respective currency referenced within Section 6 above in fields below. If your respective institution is unable to fund any of the above currencies, please inform e-mail recipient identified in Section 1 of this Administrative Questionnaire Form immediately. If submitting payment instructions under separate cover, please indentify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Are Lender Payment Instructions attached separately?  </w:t>
      </w:r>
      <w:r>
        <w:rPr>
          <w:rFonts w:ascii="Arial" w:cs="Arial" w:eastAsia="Arial" w:hAnsi="Arial"/>
          <w:sz w:val="18"/>
          <w:szCs w:val="18"/>
          <w:b w:val="1"/>
          <w:bCs w:val="1"/>
          <w:color w:val="auto"/>
        </w:rPr>
        <w:t>YES o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t>
      </w:r>
    </w:p>
    <w:p>
      <w:pPr>
        <w:sectPr>
          <w:pgSz w:w="11900" w:h="16838" w:orient="portrait"/>
          <w:cols w:equalWidth="0" w:num="1">
            <w:col w:w="11420"/>
          </w:cols>
          <w:pgMar w:left="240" w:top="125" w:right="239" w:bottom="0" w:gutter="0" w:footer="0" w:header="0"/>
          <w:type w:val="continuous"/>
        </w:sectPr>
      </w:pPr>
    </w:p>
    <w:bookmarkStart w:id="71" w:name="page72"/>
    <w:bookmarkEnd w:id="71"/>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NO, please complete payment instructions on next page.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80" w:type="dxa"/>
            <w:vAlign w:val="bottom"/>
          </w:tcPr>
          <w:p>
            <w:pPr>
              <w:ind w:left="19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32"/>
        </w:trPr>
        <w:tc>
          <w:tcPr>
            <w:tcW w:w="8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gridSpan w:val="2"/>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77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3680" w:type="dxa"/>
            <w:vAlign w:val="bottom"/>
            <w:gridSpan w:val="4"/>
          </w:tcPr>
          <w:p>
            <w:pPr>
              <w:spacing w:after="0"/>
              <w:rPr>
                <w:sz w:val="20"/>
                <w:szCs w:val="20"/>
                <w:color w:val="auto"/>
              </w:rPr>
            </w:pPr>
            <w:r>
              <w:rPr>
                <w:rFonts w:ascii="Arial" w:cs="Arial" w:eastAsia="Arial" w:hAnsi="Arial"/>
                <w:sz w:val="18"/>
                <w:szCs w:val="18"/>
                <w:b w:val="1"/>
                <w:bCs w:val="1"/>
                <w:color w:val="auto"/>
              </w:rPr>
              <w:t>Currency: US Dollars</w:t>
            </w:r>
          </w:p>
        </w:tc>
        <w:tc>
          <w:tcPr>
            <w:tcW w:w="7780" w:type="dxa"/>
            <w:vAlign w:val="bottom"/>
          </w:tcPr>
          <w:p>
            <w:pPr>
              <w:ind w:left="2040"/>
              <w:spacing w:after="0"/>
              <w:rPr>
                <w:sz w:val="20"/>
                <w:szCs w:val="20"/>
                <w:color w:val="auto"/>
              </w:rPr>
            </w:pPr>
            <w:r>
              <w:rPr>
                <w:rFonts w:ascii="Arial" w:cs="Arial" w:eastAsia="Arial" w:hAnsi="Arial"/>
                <w:sz w:val="18"/>
                <w:szCs w:val="18"/>
                <w:b w:val="1"/>
                <w:bCs w:val="1"/>
                <w:color w:val="auto"/>
              </w:rPr>
              <w:t xml:space="preserve">Currency: </w:t>
            </w:r>
            <w:r>
              <w:rPr>
                <w:rFonts w:ascii="Arial" w:cs="Arial" w:eastAsia="Arial" w:hAnsi="Arial"/>
                <w:sz w:val="18"/>
                <w:szCs w:val="18"/>
                <w:color w:val="auto"/>
              </w:rPr>
              <w:t>CAD</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w w:val="92"/>
              </w:rPr>
              <w:t>Bank Name:</w:t>
            </w:r>
          </w:p>
        </w:tc>
        <w:tc>
          <w:tcPr>
            <w:tcW w:w="7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Bank Name:</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ABA #:</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SWIFT #:</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City:</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State:</w:t>
            </w:r>
          </w:p>
        </w:tc>
        <w:tc>
          <w:tcPr>
            <w:tcW w:w="7780" w:type="dxa"/>
            <w:vAlign w:val="bottom"/>
          </w:tcPr>
          <w:p>
            <w:pPr>
              <w:ind w:left="2040"/>
              <w:spacing w:after="0"/>
              <w:rPr>
                <w:sz w:val="20"/>
                <w:szCs w:val="20"/>
                <w:color w:val="auto"/>
              </w:rPr>
            </w:pPr>
            <w:r>
              <w:rPr>
                <w:rFonts w:ascii="Arial" w:cs="Arial" w:eastAsia="Arial" w:hAnsi="Arial"/>
                <w:sz w:val="18"/>
                <w:szCs w:val="18"/>
                <w:color w:val="auto"/>
              </w:rPr>
              <w:t>Country:</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Account #:</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Account #:</w:t>
            </w:r>
          </w:p>
        </w:tc>
        <w:tc>
          <w:tcPr>
            <w:tcW w:w="0" w:type="dxa"/>
            <w:vAlign w:val="bottom"/>
          </w:tcPr>
          <w:p>
            <w:pPr>
              <w:spacing w:after="0"/>
              <w:rPr>
                <w:sz w:val="1"/>
                <w:szCs w:val="1"/>
                <w:color w:val="auto"/>
              </w:rPr>
            </w:pPr>
          </w:p>
        </w:tc>
      </w:tr>
      <w:tr>
        <w:trPr>
          <w:trHeight w:val="216"/>
        </w:trPr>
        <w:tc>
          <w:tcPr>
            <w:tcW w:w="3680" w:type="dxa"/>
            <w:vAlign w:val="bottom"/>
            <w:gridSpan w:val="4"/>
          </w:tcPr>
          <w:p>
            <w:pPr>
              <w:spacing w:after="0"/>
              <w:rPr>
                <w:sz w:val="20"/>
                <w:szCs w:val="20"/>
                <w:color w:val="auto"/>
              </w:rPr>
            </w:pPr>
            <w:r>
              <w:rPr>
                <w:rFonts w:ascii="Arial" w:cs="Arial" w:eastAsia="Arial" w:hAnsi="Arial"/>
                <w:sz w:val="18"/>
                <w:szCs w:val="18"/>
                <w:color w:val="auto"/>
              </w:rPr>
              <w:t>Account Name:</w:t>
            </w:r>
          </w:p>
        </w:tc>
        <w:tc>
          <w:tcPr>
            <w:tcW w:w="7780" w:type="dxa"/>
            <w:vAlign w:val="bottom"/>
          </w:tcPr>
          <w:p>
            <w:pPr>
              <w:ind w:left="2040"/>
              <w:spacing w:after="0"/>
              <w:rPr>
                <w:sz w:val="20"/>
                <w:szCs w:val="20"/>
                <w:color w:val="auto"/>
              </w:rPr>
            </w:pPr>
            <w:r>
              <w:rPr>
                <w:rFonts w:ascii="Arial" w:cs="Arial" w:eastAsia="Arial" w:hAnsi="Arial"/>
                <w:sz w:val="18"/>
                <w:szCs w:val="18"/>
                <w:color w:val="auto"/>
              </w:rPr>
              <w:t>Account Name:</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FCC Account #:</w:t>
            </w:r>
          </w:p>
        </w:tc>
        <w:tc>
          <w:tcPr>
            <w:tcW w:w="0" w:type="dxa"/>
            <w:vAlign w:val="bottom"/>
          </w:tcPr>
          <w:p>
            <w:pPr>
              <w:spacing w:after="0"/>
              <w:rPr>
                <w:sz w:val="1"/>
                <w:szCs w:val="1"/>
                <w:color w:val="auto"/>
              </w:rPr>
            </w:pPr>
          </w:p>
        </w:tc>
      </w:tr>
      <w:tr>
        <w:trPr>
          <w:trHeight w:val="216"/>
        </w:trPr>
        <w:tc>
          <w:tcPr>
            <w:tcW w:w="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Currency:</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FCC Account Name:</w:t>
            </w:r>
          </w:p>
        </w:tc>
        <w:tc>
          <w:tcPr>
            <w:tcW w:w="0" w:type="dxa"/>
            <w:vAlign w:val="bottom"/>
          </w:tcPr>
          <w:p>
            <w:pPr>
              <w:spacing w:after="0"/>
              <w:rPr>
                <w:sz w:val="1"/>
                <w:szCs w:val="1"/>
                <w:color w:val="auto"/>
              </w:rPr>
            </w:pPr>
          </w:p>
        </w:tc>
      </w:tr>
      <w:tr>
        <w:trPr>
          <w:trHeight w:val="216"/>
        </w:trPr>
        <w:tc>
          <w:tcPr>
            <w:tcW w:w="94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Attention:</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w w:val="92"/>
              </w:rPr>
              <w:t>Bank Name:</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SWIFT #:</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Country:</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Bank Name:</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Account #:</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SWIFT #:</w:t>
            </w:r>
          </w:p>
        </w:tc>
        <w:tc>
          <w:tcPr>
            <w:tcW w:w="0" w:type="dxa"/>
            <w:vAlign w:val="bottom"/>
          </w:tcPr>
          <w:p>
            <w:pPr>
              <w:spacing w:after="0"/>
              <w:rPr>
                <w:sz w:val="1"/>
                <w:szCs w:val="1"/>
                <w:color w:val="auto"/>
              </w:rPr>
            </w:pPr>
          </w:p>
        </w:tc>
      </w:tr>
      <w:tr>
        <w:trPr>
          <w:trHeight w:val="216"/>
        </w:trPr>
        <w:tc>
          <w:tcPr>
            <w:tcW w:w="3680" w:type="dxa"/>
            <w:vAlign w:val="bottom"/>
            <w:gridSpan w:val="4"/>
          </w:tcPr>
          <w:p>
            <w:pPr>
              <w:spacing w:after="0"/>
              <w:rPr>
                <w:sz w:val="20"/>
                <w:szCs w:val="20"/>
                <w:color w:val="auto"/>
              </w:rPr>
            </w:pPr>
            <w:r>
              <w:rPr>
                <w:rFonts w:ascii="Arial" w:cs="Arial" w:eastAsia="Arial" w:hAnsi="Arial"/>
                <w:sz w:val="18"/>
                <w:szCs w:val="18"/>
                <w:color w:val="auto"/>
              </w:rPr>
              <w:t>Account Name:</w:t>
            </w:r>
          </w:p>
        </w:tc>
        <w:tc>
          <w:tcPr>
            <w:tcW w:w="7780" w:type="dxa"/>
            <w:vAlign w:val="bottom"/>
          </w:tcPr>
          <w:p>
            <w:pPr>
              <w:ind w:left="2040"/>
              <w:spacing w:after="0"/>
              <w:rPr>
                <w:sz w:val="20"/>
                <w:szCs w:val="20"/>
                <w:color w:val="auto"/>
              </w:rPr>
            </w:pPr>
            <w:r>
              <w:rPr>
                <w:rFonts w:ascii="Arial" w:cs="Arial" w:eastAsia="Arial" w:hAnsi="Arial"/>
                <w:sz w:val="18"/>
                <w:szCs w:val="18"/>
                <w:color w:val="auto"/>
              </w:rPr>
              <w:t>Country:</w:t>
            </w:r>
          </w:p>
        </w:tc>
        <w:tc>
          <w:tcPr>
            <w:tcW w:w="0" w:type="dxa"/>
            <w:vAlign w:val="bottom"/>
          </w:tcPr>
          <w:p>
            <w:pPr>
              <w:spacing w:after="0"/>
              <w:rPr>
                <w:sz w:val="1"/>
                <w:szCs w:val="1"/>
                <w:color w:val="auto"/>
              </w:rPr>
            </w:pPr>
          </w:p>
        </w:tc>
      </w:tr>
      <w:tr>
        <w:trPr>
          <w:trHeight w:val="216"/>
        </w:trPr>
        <w:tc>
          <w:tcPr>
            <w:tcW w:w="3680" w:type="dxa"/>
            <w:vAlign w:val="bottom"/>
            <w:gridSpan w:val="4"/>
          </w:tcPr>
          <w:p>
            <w:pPr>
              <w:spacing w:after="0"/>
              <w:rPr>
                <w:sz w:val="20"/>
                <w:szCs w:val="20"/>
                <w:color w:val="auto"/>
              </w:rPr>
            </w:pPr>
            <w:r>
              <w:rPr>
                <w:rFonts w:ascii="Arial" w:cs="Arial" w:eastAsia="Arial" w:hAnsi="Arial"/>
                <w:sz w:val="18"/>
                <w:szCs w:val="18"/>
                <w:color w:val="auto"/>
              </w:rPr>
              <w:t>FCC Account #:</w:t>
            </w:r>
          </w:p>
        </w:tc>
        <w:tc>
          <w:tcPr>
            <w:tcW w:w="7780" w:type="dxa"/>
            <w:vAlign w:val="bottom"/>
          </w:tcPr>
          <w:p>
            <w:pPr>
              <w:ind w:left="2040"/>
              <w:spacing w:after="0"/>
              <w:rPr>
                <w:sz w:val="20"/>
                <w:szCs w:val="20"/>
                <w:color w:val="auto"/>
              </w:rPr>
            </w:pPr>
            <w:r>
              <w:rPr>
                <w:rFonts w:ascii="Arial" w:cs="Arial" w:eastAsia="Arial" w:hAnsi="Arial"/>
                <w:sz w:val="18"/>
                <w:szCs w:val="18"/>
                <w:color w:val="auto"/>
              </w:rPr>
              <w:t>Account #:</w:t>
            </w:r>
          </w:p>
        </w:tc>
        <w:tc>
          <w:tcPr>
            <w:tcW w:w="0" w:type="dxa"/>
            <w:vAlign w:val="bottom"/>
          </w:tcPr>
          <w:p>
            <w:pPr>
              <w:spacing w:after="0"/>
              <w:rPr>
                <w:sz w:val="1"/>
                <w:szCs w:val="1"/>
                <w:color w:val="auto"/>
              </w:rPr>
            </w:pPr>
          </w:p>
        </w:tc>
      </w:tr>
      <w:tr>
        <w:trPr>
          <w:trHeight w:val="216"/>
        </w:trPr>
        <w:tc>
          <w:tcPr>
            <w:tcW w:w="3680" w:type="dxa"/>
            <w:vAlign w:val="bottom"/>
            <w:gridSpan w:val="4"/>
          </w:tcPr>
          <w:p>
            <w:pPr>
              <w:spacing w:after="0"/>
              <w:rPr>
                <w:sz w:val="20"/>
                <w:szCs w:val="20"/>
                <w:color w:val="auto"/>
              </w:rPr>
            </w:pPr>
            <w:r>
              <w:rPr>
                <w:rFonts w:ascii="Arial" w:cs="Arial" w:eastAsia="Arial" w:hAnsi="Arial"/>
                <w:sz w:val="18"/>
                <w:szCs w:val="18"/>
                <w:color w:val="auto"/>
              </w:rPr>
              <w:t>FCC Account Name:</w:t>
            </w:r>
          </w:p>
        </w:tc>
        <w:tc>
          <w:tcPr>
            <w:tcW w:w="7780" w:type="dxa"/>
            <w:vAlign w:val="bottom"/>
          </w:tcPr>
          <w:p>
            <w:pPr>
              <w:ind w:left="2040"/>
              <w:spacing w:after="0"/>
              <w:rPr>
                <w:sz w:val="20"/>
                <w:szCs w:val="20"/>
                <w:color w:val="auto"/>
              </w:rPr>
            </w:pPr>
            <w:r>
              <w:rPr>
                <w:rFonts w:ascii="Arial" w:cs="Arial" w:eastAsia="Arial" w:hAnsi="Arial"/>
                <w:sz w:val="18"/>
                <w:szCs w:val="18"/>
                <w:color w:val="auto"/>
              </w:rPr>
              <w:t>Account Name:</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FCC Account #:</w:t>
            </w:r>
          </w:p>
        </w:tc>
        <w:tc>
          <w:tcPr>
            <w:tcW w:w="0" w:type="dxa"/>
            <w:vAlign w:val="bottom"/>
          </w:tcPr>
          <w:p>
            <w:pPr>
              <w:spacing w:after="0"/>
              <w:rPr>
                <w:sz w:val="1"/>
                <w:szCs w:val="1"/>
                <w:color w:val="auto"/>
              </w:rPr>
            </w:pPr>
          </w:p>
        </w:tc>
      </w:tr>
      <w:tr>
        <w:trPr>
          <w:trHeight w:val="216"/>
        </w:trPr>
        <w:tc>
          <w:tcPr>
            <w:tcW w:w="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Currency:</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FCC Account Name:</w:t>
            </w:r>
          </w:p>
        </w:tc>
        <w:tc>
          <w:tcPr>
            <w:tcW w:w="0" w:type="dxa"/>
            <w:vAlign w:val="bottom"/>
          </w:tcPr>
          <w:p>
            <w:pPr>
              <w:spacing w:after="0"/>
              <w:rPr>
                <w:sz w:val="1"/>
                <w:szCs w:val="1"/>
                <w:color w:val="auto"/>
              </w:rPr>
            </w:pPr>
          </w:p>
        </w:tc>
      </w:tr>
      <w:tr>
        <w:trPr>
          <w:trHeight w:val="216"/>
        </w:trPr>
        <w:tc>
          <w:tcPr>
            <w:tcW w:w="94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Attention:</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w w:val="92"/>
              </w:rPr>
              <w:t>Bank Name:</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SWIFT #:</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Country:</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Bank Name:</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Account #:</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SWIFT #:</w:t>
            </w:r>
          </w:p>
        </w:tc>
        <w:tc>
          <w:tcPr>
            <w:tcW w:w="0" w:type="dxa"/>
            <w:vAlign w:val="bottom"/>
          </w:tcPr>
          <w:p>
            <w:pPr>
              <w:spacing w:after="0"/>
              <w:rPr>
                <w:sz w:val="1"/>
                <w:szCs w:val="1"/>
                <w:color w:val="auto"/>
              </w:rPr>
            </w:pPr>
          </w:p>
        </w:tc>
      </w:tr>
      <w:tr>
        <w:trPr>
          <w:trHeight w:val="216"/>
        </w:trPr>
        <w:tc>
          <w:tcPr>
            <w:tcW w:w="3680" w:type="dxa"/>
            <w:vAlign w:val="bottom"/>
            <w:gridSpan w:val="4"/>
          </w:tcPr>
          <w:p>
            <w:pPr>
              <w:spacing w:after="0"/>
              <w:rPr>
                <w:sz w:val="20"/>
                <w:szCs w:val="20"/>
                <w:color w:val="auto"/>
              </w:rPr>
            </w:pPr>
            <w:r>
              <w:rPr>
                <w:rFonts w:ascii="Arial" w:cs="Arial" w:eastAsia="Arial" w:hAnsi="Arial"/>
                <w:sz w:val="18"/>
                <w:szCs w:val="18"/>
                <w:color w:val="auto"/>
              </w:rPr>
              <w:t>Account Name:</w:t>
            </w:r>
          </w:p>
        </w:tc>
        <w:tc>
          <w:tcPr>
            <w:tcW w:w="7780" w:type="dxa"/>
            <w:vAlign w:val="bottom"/>
          </w:tcPr>
          <w:p>
            <w:pPr>
              <w:ind w:left="2040"/>
              <w:spacing w:after="0"/>
              <w:rPr>
                <w:sz w:val="20"/>
                <w:szCs w:val="20"/>
                <w:color w:val="auto"/>
              </w:rPr>
            </w:pPr>
            <w:r>
              <w:rPr>
                <w:rFonts w:ascii="Arial" w:cs="Arial" w:eastAsia="Arial" w:hAnsi="Arial"/>
                <w:sz w:val="18"/>
                <w:szCs w:val="18"/>
                <w:color w:val="auto"/>
              </w:rPr>
              <w:t>Country:</w:t>
            </w:r>
          </w:p>
        </w:tc>
        <w:tc>
          <w:tcPr>
            <w:tcW w:w="0" w:type="dxa"/>
            <w:vAlign w:val="bottom"/>
          </w:tcPr>
          <w:p>
            <w:pPr>
              <w:spacing w:after="0"/>
              <w:rPr>
                <w:sz w:val="1"/>
                <w:szCs w:val="1"/>
                <w:color w:val="auto"/>
              </w:rPr>
            </w:pPr>
          </w:p>
        </w:tc>
      </w:tr>
      <w:tr>
        <w:trPr>
          <w:trHeight w:val="216"/>
        </w:trPr>
        <w:tc>
          <w:tcPr>
            <w:tcW w:w="3680" w:type="dxa"/>
            <w:vAlign w:val="bottom"/>
            <w:gridSpan w:val="4"/>
          </w:tcPr>
          <w:p>
            <w:pPr>
              <w:spacing w:after="0"/>
              <w:rPr>
                <w:sz w:val="20"/>
                <w:szCs w:val="20"/>
                <w:color w:val="auto"/>
              </w:rPr>
            </w:pPr>
            <w:r>
              <w:rPr>
                <w:rFonts w:ascii="Arial" w:cs="Arial" w:eastAsia="Arial" w:hAnsi="Arial"/>
                <w:sz w:val="18"/>
                <w:szCs w:val="18"/>
                <w:color w:val="auto"/>
              </w:rPr>
              <w:t>FCC Account #:</w:t>
            </w:r>
          </w:p>
        </w:tc>
        <w:tc>
          <w:tcPr>
            <w:tcW w:w="7780" w:type="dxa"/>
            <w:vAlign w:val="bottom"/>
          </w:tcPr>
          <w:p>
            <w:pPr>
              <w:ind w:left="2040"/>
              <w:spacing w:after="0"/>
              <w:rPr>
                <w:sz w:val="20"/>
                <w:szCs w:val="20"/>
                <w:color w:val="auto"/>
              </w:rPr>
            </w:pPr>
            <w:r>
              <w:rPr>
                <w:rFonts w:ascii="Arial" w:cs="Arial" w:eastAsia="Arial" w:hAnsi="Arial"/>
                <w:sz w:val="18"/>
                <w:szCs w:val="18"/>
                <w:color w:val="auto"/>
              </w:rPr>
              <w:t>Account #:</w:t>
            </w:r>
          </w:p>
        </w:tc>
        <w:tc>
          <w:tcPr>
            <w:tcW w:w="0" w:type="dxa"/>
            <w:vAlign w:val="bottom"/>
          </w:tcPr>
          <w:p>
            <w:pPr>
              <w:spacing w:after="0"/>
              <w:rPr>
                <w:sz w:val="1"/>
                <w:szCs w:val="1"/>
                <w:color w:val="auto"/>
              </w:rPr>
            </w:pPr>
          </w:p>
        </w:tc>
      </w:tr>
      <w:tr>
        <w:trPr>
          <w:trHeight w:val="216"/>
        </w:trPr>
        <w:tc>
          <w:tcPr>
            <w:tcW w:w="3680" w:type="dxa"/>
            <w:vAlign w:val="bottom"/>
            <w:gridSpan w:val="4"/>
          </w:tcPr>
          <w:p>
            <w:pPr>
              <w:spacing w:after="0"/>
              <w:rPr>
                <w:sz w:val="20"/>
                <w:szCs w:val="20"/>
                <w:color w:val="auto"/>
              </w:rPr>
            </w:pPr>
            <w:r>
              <w:rPr>
                <w:rFonts w:ascii="Arial" w:cs="Arial" w:eastAsia="Arial" w:hAnsi="Arial"/>
                <w:sz w:val="18"/>
                <w:szCs w:val="18"/>
                <w:color w:val="auto"/>
              </w:rPr>
              <w:t>FCC Account Name:</w:t>
            </w:r>
          </w:p>
        </w:tc>
        <w:tc>
          <w:tcPr>
            <w:tcW w:w="7780" w:type="dxa"/>
            <w:vAlign w:val="bottom"/>
          </w:tcPr>
          <w:p>
            <w:pPr>
              <w:ind w:left="2040"/>
              <w:spacing w:after="0"/>
              <w:rPr>
                <w:sz w:val="20"/>
                <w:szCs w:val="20"/>
                <w:color w:val="auto"/>
              </w:rPr>
            </w:pPr>
            <w:r>
              <w:rPr>
                <w:rFonts w:ascii="Arial" w:cs="Arial" w:eastAsia="Arial" w:hAnsi="Arial"/>
                <w:sz w:val="18"/>
                <w:szCs w:val="18"/>
                <w:color w:val="auto"/>
              </w:rPr>
              <w:t>Account Name:</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FCC Account #:</w:t>
            </w:r>
          </w:p>
        </w:tc>
        <w:tc>
          <w:tcPr>
            <w:tcW w:w="0" w:type="dxa"/>
            <w:vAlign w:val="bottom"/>
          </w:tcPr>
          <w:p>
            <w:pPr>
              <w:spacing w:after="0"/>
              <w:rPr>
                <w:sz w:val="1"/>
                <w:szCs w:val="1"/>
                <w:color w:val="auto"/>
              </w:rPr>
            </w:pPr>
          </w:p>
        </w:tc>
      </w:tr>
      <w:tr>
        <w:trPr>
          <w:trHeight w:val="216"/>
        </w:trPr>
        <w:tc>
          <w:tcPr>
            <w:tcW w:w="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Currency:</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FCC Account Name:</w:t>
            </w:r>
          </w:p>
        </w:tc>
        <w:tc>
          <w:tcPr>
            <w:tcW w:w="0" w:type="dxa"/>
            <w:vAlign w:val="bottom"/>
          </w:tcPr>
          <w:p>
            <w:pPr>
              <w:spacing w:after="0"/>
              <w:rPr>
                <w:sz w:val="1"/>
                <w:szCs w:val="1"/>
                <w:color w:val="auto"/>
              </w:rPr>
            </w:pPr>
          </w:p>
        </w:tc>
      </w:tr>
      <w:tr>
        <w:trPr>
          <w:trHeight w:val="216"/>
        </w:trPr>
        <w:tc>
          <w:tcPr>
            <w:tcW w:w="94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Attention:</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w w:val="92"/>
              </w:rPr>
              <w:t>Bank Name:</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SWIFT #:</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Country:</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Bank Name:</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Account #:</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SWIFT #:</w:t>
            </w:r>
          </w:p>
        </w:tc>
        <w:tc>
          <w:tcPr>
            <w:tcW w:w="0" w:type="dxa"/>
            <w:vAlign w:val="bottom"/>
          </w:tcPr>
          <w:p>
            <w:pPr>
              <w:spacing w:after="0"/>
              <w:rPr>
                <w:sz w:val="1"/>
                <w:szCs w:val="1"/>
                <w:color w:val="auto"/>
              </w:rPr>
            </w:pPr>
          </w:p>
        </w:tc>
      </w:tr>
      <w:tr>
        <w:trPr>
          <w:trHeight w:val="216"/>
        </w:trPr>
        <w:tc>
          <w:tcPr>
            <w:tcW w:w="3680" w:type="dxa"/>
            <w:vAlign w:val="bottom"/>
            <w:gridSpan w:val="4"/>
          </w:tcPr>
          <w:p>
            <w:pPr>
              <w:spacing w:after="0"/>
              <w:rPr>
                <w:sz w:val="20"/>
                <w:szCs w:val="20"/>
                <w:color w:val="auto"/>
              </w:rPr>
            </w:pPr>
            <w:r>
              <w:rPr>
                <w:rFonts w:ascii="Arial" w:cs="Arial" w:eastAsia="Arial" w:hAnsi="Arial"/>
                <w:sz w:val="18"/>
                <w:szCs w:val="18"/>
                <w:color w:val="auto"/>
              </w:rPr>
              <w:t>Account Name:</w:t>
            </w:r>
          </w:p>
        </w:tc>
        <w:tc>
          <w:tcPr>
            <w:tcW w:w="7780" w:type="dxa"/>
            <w:vAlign w:val="bottom"/>
          </w:tcPr>
          <w:p>
            <w:pPr>
              <w:ind w:left="2040"/>
              <w:spacing w:after="0"/>
              <w:rPr>
                <w:sz w:val="20"/>
                <w:szCs w:val="20"/>
                <w:color w:val="auto"/>
              </w:rPr>
            </w:pPr>
            <w:r>
              <w:rPr>
                <w:rFonts w:ascii="Arial" w:cs="Arial" w:eastAsia="Arial" w:hAnsi="Arial"/>
                <w:sz w:val="18"/>
                <w:szCs w:val="18"/>
                <w:color w:val="auto"/>
              </w:rPr>
              <w:t>Country:</w:t>
            </w:r>
          </w:p>
        </w:tc>
        <w:tc>
          <w:tcPr>
            <w:tcW w:w="0" w:type="dxa"/>
            <w:vAlign w:val="bottom"/>
          </w:tcPr>
          <w:p>
            <w:pPr>
              <w:spacing w:after="0"/>
              <w:rPr>
                <w:sz w:val="1"/>
                <w:szCs w:val="1"/>
                <w:color w:val="auto"/>
              </w:rPr>
            </w:pPr>
          </w:p>
        </w:tc>
      </w:tr>
      <w:tr>
        <w:trPr>
          <w:trHeight w:val="216"/>
        </w:trPr>
        <w:tc>
          <w:tcPr>
            <w:tcW w:w="3680" w:type="dxa"/>
            <w:vAlign w:val="bottom"/>
            <w:gridSpan w:val="4"/>
          </w:tcPr>
          <w:p>
            <w:pPr>
              <w:spacing w:after="0"/>
              <w:rPr>
                <w:sz w:val="20"/>
                <w:szCs w:val="20"/>
                <w:color w:val="auto"/>
              </w:rPr>
            </w:pPr>
            <w:r>
              <w:rPr>
                <w:rFonts w:ascii="Arial" w:cs="Arial" w:eastAsia="Arial" w:hAnsi="Arial"/>
                <w:sz w:val="18"/>
                <w:szCs w:val="18"/>
                <w:color w:val="auto"/>
              </w:rPr>
              <w:t>FCC Account #:</w:t>
            </w:r>
          </w:p>
        </w:tc>
        <w:tc>
          <w:tcPr>
            <w:tcW w:w="7780" w:type="dxa"/>
            <w:vAlign w:val="bottom"/>
          </w:tcPr>
          <w:p>
            <w:pPr>
              <w:ind w:left="2040"/>
              <w:spacing w:after="0"/>
              <w:rPr>
                <w:sz w:val="20"/>
                <w:szCs w:val="20"/>
                <w:color w:val="auto"/>
              </w:rPr>
            </w:pPr>
            <w:r>
              <w:rPr>
                <w:rFonts w:ascii="Arial" w:cs="Arial" w:eastAsia="Arial" w:hAnsi="Arial"/>
                <w:sz w:val="18"/>
                <w:szCs w:val="18"/>
                <w:color w:val="auto"/>
              </w:rPr>
              <w:t>Account #:</w:t>
            </w:r>
          </w:p>
        </w:tc>
        <w:tc>
          <w:tcPr>
            <w:tcW w:w="0" w:type="dxa"/>
            <w:vAlign w:val="bottom"/>
          </w:tcPr>
          <w:p>
            <w:pPr>
              <w:spacing w:after="0"/>
              <w:rPr>
                <w:sz w:val="1"/>
                <w:szCs w:val="1"/>
                <w:color w:val="auto"/>
              </w:rPr>
            </w:pPr>
          </w:p>
        </w:tc>
      </w:tr>
      <w:tr>
        <w:trPr>
          <w:trHeight w:val="216"/>
        </w:trPr>
        <w:tc>
          <w:tcPr>
            <w:tcW w:w="3680" w:type="dxa"/>
            <w:vAlign w:val="bottom"/>
            <w:gridSpan w:val="4"/>
          </w:tcPr>
          <w:p>
            <w:pPr>
              <w:spacing w:after="0"/>
              <w:rPr>
                <w:sz w:val="20"/>
                <w:szCs w:val="20"/>
                <w:color w:val="auto"/>
              </w:rPr>
            </w:pPr>
            <w:r>
              <w:rPr>
                <w:rFonts w:ascii="Arial" w:cs="Arial" w:eastAsia="Arial" w:hAnsi="Arial"/>
                <w:sz w:val="18"/>
                <w:szCs w:val="18"/>
                <w:color w:val="auto"/>
              </w:rPr>
              <w:t>FCC Account Name:</w:t>
            </w:r>
          </w:p>
        </w:tc>
        <w:tc>
          <w:tcPr>
            <w:tcW w:w="7780" w:type="dxa"/>
            <w:vAlign w:val="bottom"/>
          </w:tcPr>
          <w:p>
            <w:pPr>
              <w:ind w:left="2040"/>
              <w:spacing w:after="0"/>
              <w:rPr>
                <w:sz w:val="20"/>
                <w:szCs w:val="20"/>
                <w:color w:val="auto"/>
              </w:rPr>
            </w:pPr>
            <w:r>
              <w:rPr>
                <w:rFonts w:ascii="Arial" w:cs="Arial" w:eastAsia="Arial" w:hAnsi="Arial"/>
                <w:sz w:val="18"/>
                <w:szCs w:val="18"/>
                <w:color w:val="auto"/>
              </w:rPr>
              <w:t>Account Name:</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FCC Account #:</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FCC Account Name:</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80" w:type="dxa"/>
            <w:vAlign w:val="bottom"/>
          </w:tcPr>
          <w:p>
            <w:pPr>
              <w:ind w:left="2040"/>
              <w:spacing w:after="0"/>
              <w:rPr>
                <w:sz w:val="20"/>
                <w:szCs w:val="20"/>
                <w:color w:val="auto"/>
              </w:rPr>
            </w:pPr>
            <w:r>
              <w:rPr>
                <w:rFonts w:ascii="Arial" w:cs="Arial" w:eastAsia="Arial" w:hAnsi="Arial"/>
                <w:sz w:val="18"/>
                <w:szCs w:val="18"/>
                <w:color w:val="auto"/>
              </w:rPr>
              <w:t>Attention:</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780" w:type="dxa"/>
            <w:vAlign w:val="bottom"/>
          </w:tcPr>
          <w:p>
            <w:pPr>
              <w:ind w:left="19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32"/>
        </w:trPr>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77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-6109335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-6109335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620" w:firstLine="8"/>
        <w:spacing w:after="0" w:line="503" w:lineRule="auto"/>
        <w:tabs>
          <w:tab w:leader="none" w:pos="225"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Lender’s Standby Letter of Credit, Commercial Letter of Credit, and Bankers’ Acceptance Fed Wire Payment Instructions (if applicable): Pay to</w:t>
      </w:r>
      <w:r>
        <w:rPr>
          <w:rFonts w:ascii="Arial" w:cs="Arial" w:eastAsia="Arial" w:hAnsi="Arial"/>
          <w:sz w:val="18"/>
          <w:szCs w:val="18"/>
          <w:color w:val="auto"/>
        </w:rPr>
        <w:t>:</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Bank Name:</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ind w:left="720"/>
        <w:spacing w:after="0"/>
        <w:tabs>
          <w:tab w:leader="none" w:pos="164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Account #:</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Account Name: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Attention:</w:t>
      </w:r>
    </w:p>
    <w:p>
      <w:pPr>
        <w:spacing w:after="0" w:line="20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 xml:space="preserve">Use Lender’s </w:t>
      </w:r>
      <w:r>
        <w:rPr>
          <w:rFonts w:ascii="Arial" w:cs="Arial" w:eastAsia="Arial" w:hAnsi="Arial"/>
          <w:sz w:val="18"/>
          <w:szCs w:val="18"/>
          <w:b w:val="1"/>
          <w:bCs w:val="1"/>
          <w:u w:val="single" w:color="auto"/>
          <w:color w:val="auto"/>
        </w:rPr>
        <w:t>US Dollars</w:t>
      </w:r>
      <w:r>
        <w:rPr>
          <w:rFonts w:ascii="Arial" w:cs="Arial" w:eastAsia="Arial" w:hAnsi="Arial"/>
          <w:sz w:val="18"/>
          <w:szCs w:val="18"/>
          <w:b w:val="1"/>
          <w:bCs w:val="1"/>
          <w:color w:val="auto"/>
        </w:rPr>
        <w:t xml:space="preserve"> Wire Payment Instructions in Section #8 above?  YES o  NO </w:t>
      </w:r>
      <w:r>
        <w:rPr>
          <w:rFonts w:ascii="Arial" w:cs="Arial" w:eastAsia="Arial" w:hAnsi="Arial"/>
          <w:sz w:val="18"/>
          <w:szCs w:val="18"/>
          <w:color w:val="auto"/>
        </w:rPr>
        <w: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Lender’s Organizational Structure and Tax Status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refer to the enclosed withholding tax instructions below and then complete this section accordingly:</w:t>
      </w:r>
    </w:p>
    <w:p>
      <w:pPr>
        <w:spacing w:after="0" w:line="229" w:lineRule="exact"/>
        <w:rPr>
          <w:sz w:val="20"/>
          <w:szCs w:val="20"/>
          <w:color w:val="auto"/>
        </w:rPr>
      </w:pPr>
    </w:p>
    <w:p>
      <w:pPr>
        <w:spacing w:after="0"/>
        <w:tabs>
          <w:tab w:leader="none" w:pos="3780" w:val="left"/>
        </w:tabs>
        <w:rPr>
          <w:sz w:val="20"/>
          <w:szCs w:val="20"/>
          <w:color w:val="auto"/>
        </w:rPr>
      </w:pPr>
      <w:r>
        <w:rPr>
          <w:rFonts w:ascii="Arial" w:cs="Arial" w:eastAsia="Arial" w:hAnsi="Arial"/>
          <w:sz w:val="18"/>
          <w:szCs w:val="18"/>
          <w:color w:val="auto"/>
        </w:rPr>
        <w:t>Lender Taxpayer Identification Number (TIN):</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Tax Withholding Form Delivered to Bank of America (check applicable one):</w:t>
      </w:r>
    </w:p>
    <w:p>
      <w:pPr>
        <w:spacing w:after="0" w:line="221" w:lineRule="exact"/>
        <w:rPr>
          <w:sz w:val="20"/>
          <w:szCs w:val="20"/>
          <w:color w:val="auto"/>
        </w:rPr>
      </w:pPr>
    </w:p>
    <w:p>
      <w:pPr>
        <w:spacing w:after="0"/>
        <w:tabs>
          <w:tab w:leader="none" w:pos="760" w:val="left"/>
          <w:tab w:leader="none" w:pos="1860" w:val="left"/>
          <w:tab w:leader="none" w:pos="3100" w:val="left"/>
          <w:tab w:leader="none" w:pos="4240" w:val="left"/>
          <w:tab w:leader="none" w:pos="5300" w:val="left"/>
        </w:tabs>
        <w:rPr>
          <w:sz w:val="20"/>
          <w:szCs w:val="20"/>
          <w:color w:val="auto"/>
        </w:rPr>
      </w:pPr>
      <w:r>
        <w:rPr>
          <w:rFonts w:ascii="Arial" w:cs="Arial" w:eastAsia="Arial" w:hAnsi="Arial"/>
          <w:sz w:val="18"/>
          <w:szCs w:val="18"/>
          <w:b w:val="1"/>
          <w:bCs w:val="1"/>
          <w:color w:val="auto"/>
        </w:rPr>
        <w:t>W-9 o</w:t>
        <w:tab/>
        <w:t>W-8BEN o</w:t>
        <w:tab/>
        <w:t>W-8BEN-E o</w:t>
        <w:tab/>
        <w:t>W-8ECI o</w:t>
      </w:r>
      <w:r>
        <w:rPr>
          <w:sz w:val="20"/>
          <w:szCs w:val="20"/>
          <w:color w:val="auto"/>
        </w:rPr>
        <w:tab/>
      </w:r>
      <w:r>
        <w:rPr>
          <w:rFonts w:ascii="Arial" w:cs="Arial" w:eastAsia="Arial" w:hAnsi="Arial"/>
          <w:sz w:val="18"/>
          <w:szCs w:val="18"/>
          <w:b w:val="1"/>
          <w:bCs w:val="1"/>
          <w:color w:val="auto"/>
        </w:rPr>
        <w:t>W-8EXP o</w:t>
        <w:tab/>
        <w:t>W-8IMY 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Contact:</w:t>
      </w:r>
    </w:p>
    <w:p>
      <w:pPr>
        <w:spacing w:after="0" w:line="229" w:lineRule="exact"/>
        <w:rPr>
          <w:sz w:val="20"/>
          <w:szCs w:val="20"/>
          <w:color w:val="auto"/>
        </w:rPr>
      </w:pPr>
    </w:p>
    <w:p>
      <w:pPr>
        <w:spacing w:after="0"/>
        <w:tabs>
          <w:tab w:leader="none" w:pos="860" w:val="left"/>
          <w:tab w:leader="none" w:pos="162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8"/>
          <w:szCs w:val="18"/>
          <w:color w:val="auto"/>
        </w:rPr>
        <w:t>MI:</w:t>
      </w:r>
      <w:r>
        <w:rPr>
          <w:sz w:val="20"/>
          <w:szCs w:val="20"/>
          <w:color w:val="auto"/>
        </w:rPr>
        <w:tab/>
      </w:r>
      <w:r>
        <w:rPr>
          <w:rFonts w:ascii="Arial" w:cs="Arial" w:eastAsia="Arial" w:hAnsi="Arial"/>
          <w:sz w:val="16"/>
          <w:szCs w:val="16"/>
          <w:color w:val="auto"/>
        </w:rPr>
        <w:t>Last:</w:t>
      </w:r>
    </w:p>
    <w:p>
      <w:pPr>
        <w:sectPr>
          <w:pgSz w:w="11900" w:h="16874" w:orient="portrait"/>
          <w:cols w:equalWidth="0" w:num="1">
            <w:col w:w="11460"/>
          </w:cols>
          <w:pgMar w:left="240" w:top="125" w:right="199" w:bottom="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Mail Code:</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p>
    <w:p>
      <w:pPr>
        <w:spacing w:after="0" w:line="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Postal Code:</w:t>
      </w:r>
      <w:r>
        <w:rPr>
          <w:sz w:val="20"/>
          <w:szCs w:val="20"/>
          <w:color w:val="auto"/>
        </w:rPr>
        <w:tab/>
      </w:r>
      <w:r>
        <w:rPr>
          <w:rFonts w:ascii="Arial" w:cs="Arial" w:eastAsia="Arial" w:hAnsi="Arial"/>
          <w:sz w:val="16"/>
          <w:szCs w:val="16"/>
          <w:color w:val="auto"/>
        </w:rPr>
        <w:t>Country:</w:t>
      </w:r>
    </w:p>
    <w:p>
      <w:pPr>
        <w:spacing w:after="0" w:line="9"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Facsimile: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SyndTrak E-Mail Address: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LENDER INSTITUTIONS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Corporations:</w:t>
      </w:r>
    </w:p>
    <w:p>
      <w:pPr>
        <w:spacing w:after="0" w:line="2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If your institution is organized outside of the United States, is classified as a Corporation or other non-flow through entity for U.S. federal income tax purposes, and is the beneficial owner of the interest and other income it receives, you must complete one of the following three tax forms, as applicable to your institution: a.) Form W-8BEN (Certificate of Foreign Status of Beneficial Owner for United States Tax Withholding and Reporting (and a U.S. Tax Compliance Certificate if applicable)) or Form W-8BEN-E, b.) Form W-8ECI (Certificate of Foreign Person’s Claim that Income is Effectively Connected with the Conduct of a Trade or Business in the United States), or c.) Form W-8EXP (Certificate of Foreign Government or Other Foreign Organization for United States Tax Withholding and Reporting).</w:t>
      </w:r>
    </w:p>
    <w:p>
      <w:pPr>
        <w:spacing w:after="0" w:line="1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U.S. taxpayer identification number is required for any institution submitting a Form W-8 ECI. It is also required on Form W-8BEN or Form W-8BEN for certain institutions claiming the benefits of a tax treaty with the U.S. Please refer to the instructions when completing the form applicable to your institution.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2. Flow-Through Entities</w:t>
      </w:r>
    </w:p>
    <w:p>
      <w:pPr>
        <w:spacing w:after="0" w:line="2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If your institution is organized outside the U.S., and is classified for U.S. federal income tax purposes as either a Partnership, Trust, Qualified or Non-Qualified Intermediary, or other non-U.S. flow-through entity, an original Form</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W-8IMY (Certificate of Foreign Intermediary, Foreign Flow-Through Entity, or Certain U.S. branches for United States Tax Withholding and Reporting) must be completed by the intermediary together with a withholding statement. Flow-through entities other than Qualified Intermediaries are required to include tax forms for each of the underlying beneficial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instructions when completing this form.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LENDER INSTITUTIONS: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your institution is incorporated or organized within the United States, you must complete and return Form W-9 (Request for Taxpayer Identification Number and Certification).</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Pursuant to the language contained in the tax section of the Credit Agreement, the applicable tax form for your institution must be completed and returned on or prior to the date on which your institution becomes a lender under this Credit Agreement. Failure to provide the proper tax form when requested will subject your institution to U.S. tax withholding.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 guidance and instructions as to where to submit this documentation can be found at this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951865" cy="6686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518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Bank of America’s Payment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Input or attach Bank of America’s payment instructions for each respective currency referenced within Section 7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DOLLAR ONLY Payment Instructions: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Pay to:</w:t>
      </w:r>
      <w:r>
        <w:rPr>
          <w:sz w:val="20"/>
          <w:szCs w:val="20"/>
          <w:color w:val="auto"/>
        </w:rPr>
        <w:tab/>
      </w:r>
      <w:r>
        <w:rPr>
          <w:rFonts w:ascii="Arial" w:cs="Arial" w:eastAsia="Arial" w:hAnsi="Arial"/>
          <w:sz w:val="17"/>
          <w:szCs w:val="17"/>
          <w:color w:val="auto"/>
        </w:rPr>
        <w:t>Bank of America, N.A.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ABA # </w:t>
      </w:r>
      <w:r>
        <w:rPr>
          <w:rFonts w:ascii="Arial" w:cs="Arial" w:eastAsia="Arial" w:hAnsi="Arial"/>
          <w:sz w:val="18"/>
          <w:szCs w:val="18"/>
          <w:b w:val="1"/>
          <w:bCs w:val="1"/>
          <w:color w:val="auto"/>
        </w:rPr>
        <w:t>026009593</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Account #: </w:t>
      </w:r>
      <w:r>
        <w:rPr>
          <w:rFonts w:ascii="Arial" w:cs="Arial" w:eastAsia="Arial" w:hAnsi="Arial"/>
          <w:sz w:val="18"/>
          <w:szCs w:val="18"/>
          <w:b w:val="1"/>
          <w:bCs w:val="1"/>
          <w:color w:val="auto"/>
        </w:rPr>
        <w:t>1366072250600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Attn: </w:t>
      </w:r>
      <w:r>
        <w:rPr>
          <w:rFonts w:ascii="Arial" w:cs="Arial" w:eastAsia="Arial" w:hAnsi="Arial"/>
          <w:sz w:val="18"/>
          <w:szCs w:val="18"/>
          <w:b w:val="1"/>
          <w:bCs w:val="1"/>
          <w:color w:val="auto"/>
        </w:rPr>
        <w:t>Wire Clearing Acct for Syn Loans - LIQ</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Ref: Waste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Currency Payment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89380" cy="8750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89380" cy="875030"/>
                    </a:xfrm>
                    <a:prstGeom prst="rect">
                      <a:avLst/>
                    </a:prstGeom>
                    <a:noFill/>
                  </pic:spPr>
                </pic:pic>
              </a:graphicData>
            </a:graphic>
          </wp:anchor>
        </w:drawing>
      </w:r>
    </w:p>
    <w:p>
      <w:pPr>
        <w:sectPr>
          <w:pgSz w:w="11900" w:h="16838" w:orient="portrait"/>
          <w:cols w:equalWidth="0" w:num="1">
            <w:col w:w="11340"/>
          </w:cols>
          <w:pgMar w:left="240" w:top="125"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LETTER OF CREDIT REQUEST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Amended and Restated 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June 26,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Letter of Credit Request Under §2.6.1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Commitment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Maximum Drawing Amount of Letters of Credit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 of this Request from Letter of Credit Application (attached)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U.S. Dollars</w:t>
      </w:r>
    </w:p>
    <w:p>
      <w:pPr>
        <w:spacing w:after="0" w:line="9" w:lineRule="exact"/>
        <w:rPr>
          <w:sz w:val="20"/>
          <w:szCs w:val="20"/>
          <w:color w:val="auto"/>
        </w:rPr>
      </w:pPr>
    </w:p>
    <w:p>
      <w:pPr>
        <w:ind w:right="9760" w:firstLine="180"/>
        <w:spacing w:after="0" w:line="281" w:lineRule="auto"/>
        <w:rPr>
          <w:sz w:val="20"/>
          <w:szCs w:val="20"/>
          <w:color w:val="auto"/>
        </w:rPr>
      </w:pPr>
      <w:r>
        <w:rPr>
          <w:rFonts w:ascii="Arial" w:cs="Arial" w:eastAsia="Arial" w:hAnsi="Arial"/>
          <w:sz w:val="16"/>
          <w:szCs w:val="16"/>
          <w:color w:val="auto"/>
        </w:rPr>
        <w:t>— Canadian Dollars Loans Outstanding</w:t>
      </w:r>
    </w:p>
    <w:p>
      <w:pPr>
        <w:spacing w:after="0" w:line="1" w:lineRule="exact"/>
        <w:rPr>
          <w:sz w:val="20"/>
          <w:szCs w:val="20"/>
          <w:color w:val="auto"/>
        </w:rPr>
      </w:pPr>
    </w:p>
    <w:p>
      <w:pPr>
        <w:ind w:left="180" w:right="3760" w:hanging="180"/>
        <w:spacing w:after="0" w:line="261" w:lineRule="auto"/>
        <w:rPr>
          <w:sz w:val="20"/>
          <w:szCs w:val="20"/>
          <w:color w:val="auto"/>
        </w:rPr>
      </w:pPr>
      <w:r>
        <w:rPr>
          <w:rFonts w:ascii="Arial" w:cs="Arial" w:eastAsia="Arial" w:hAnsi="Arial"/>
          <w:sz w:val="18"/>
          <w:szCs w:val="18"/>
          <w:color w:val="auto"/>
        </w:rPr>
        <w:t xml:space="preserve">Maximum Drawing Amount of all outstanding and Requested Letters of Credit (must not exceed the Total Commitment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Total of all Loans outstanding)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certify that the above is true and correct, and that all of the conditions set forth in §11 of the Credit Agreement have been satisfied as of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[APPLICABLE BORROWER]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-130810</wp:posOffset>
            </wp:positionV>
            <wp:extent cx="31470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5715</wp:posOffset>
            </wp:positionV>
            <wp:extent cx="31470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-130810</wp:posOffset>
            </wp:positionV>
            <wp:extent cx="31470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31470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G-1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U.S. TAX COMPLIANCE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Banks That Are Not Partnerships For U.S. Federal Income Tax Purposes)</w:t>
      </w:r>
    </w:p>
    <w:p>
      <w:pPr>
        <w:spacing w:after="0" w:line="225"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Reference is hereby made to that certain Fourth Amended and Restated Credit Agreement, dated as of June 26, 2018 (as amended, restated, extended,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Waste Management,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a Nova Scotia unlimited liability company (“</w:t>
      </w:r>
      <w:r>
        <w:rPr>
          <w:rFonts w:ascii="Arial" w:cs="Arial" w:eastAsia="Arial" w:hAnsi="Arial"/>
          <w:sz w:val="17"/>
          <w:szCs w:val="17"/>
          <w:u w:val="single" w:color="auto"/>
          <w:color w:val="auto"/>
        </w:rPr>
        <w:t>WMOCC</w:t>
      </w:r>
      <w:r>
        <w:rPr>
          <w:rFonts w:ascii="Arial" w:cs="Arial" w:eastAsia="Arial" w:hAnsi="Arial"/>
          <w:sz w:val="17"/>
          <w:szCs w:val="17"/>
          <w:color w:val="auto"/>
        </w:rPr>
        <w:t>”), and WM Quebec Inc., a corporation incorporated under the laws of Canada (“</w:t>
      </w:r>
      <w:r>
        <w:rPr>
          <w:rFonts w:ascii="Arial" w:cs="Arial" w:eastAsia="Arial" w:hAnsi="Arial"/>
          <w:sz w:val="17"/>
          <w:szCs w:val="17"/>
          <w:u w:val="single" w:color="auto"/>
          <w:color w:val="auto"/>
        </w:rPr>
        <w:t>WMQ</w:t>
      </w:r>
      <w:r>
        <w:rPr>
          <w:rFonts w:ascii="Arial" w:cs="Arial" w:eastAsia="Arial" w:hAnsi="Arial"/>
          <w:sz w:val="17"/>
          <w:szCs w:val="17"/>
          <w:color w:val="auto"/>
        </w:rPr>
        <w:t>”, and together with WMOCC and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Company, as Guarantor, and Bank of America, N.A., as Administrative Agent, an Issuing Bank and Swing Line Bank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78"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71" w:lineRule="exact"/>
        <w:rPr>
          <w:sz w:val="20"/>
          <w:szCs w:val="20"/>
          <w:color w:val="auto"/>
        </w:rPr>
      </w:pPr>
    </w:p>
    <w:p>
      <w:pPr>
        <w:jc w:val="both"/>
        <w:ind w:right="80" w:firstLine="1297"/>
        <w:spacing w:after="0" w:line="257" w:lineRule="auto"/>
        <w:rPr>
          <w:sz w:val="20"/>
          <w:szCs w:val="20"/>
          <w:color w:val="auto"/>
        </w:rPr>
      </w:pPr>
      <w:r>
        <w:rPr>
          <w:rFonts w:ascii="Arial" w:cs="Arial" w:eastAsia="Arial" w:hAnsi="Arial"/>
          <w:sz w:val="18"/>
          <w:szCs w:val="18"/>
          <w:color w:val="auto"/>
        </w:rPr>
        <w:t>The undersigned has furnished the Administrative Agent and the Company with a certificate of its non-U.S. Person status on IRS Form W-8BENE (or W-8BEN, as applicable).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BANK]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33274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5715</wp:posOffset>
            </wp:positionV>
            <wp:extent cx="28555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-130810</wp:posOffset>
            </wp:positionV>
            <wp:extent cx="28555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r>
        <w:rPr>
          <w:rFonts w:ascii="Arial" w:cs="Arial" w:eastAsia="Arial" w:hAnsi="Arial"/>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G-2</w:t>
      </w:r>
    </w:p>
    <w:p>
      <w:pPr>
        <w:sectPr>
          <w:pgSz w:w="11900" w:h="16838" w:orient="portrait"/>
          <w:cols w:equalWidth="0" w:num="1">
            <w:col w:w="11420"/>
          </w:cols>
          <w:pgMar w:left="240" w:top="580" w:right="239" w:bottom="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u w:val="single" w:color="auto"/>
          <w:color w:val="auto"/>
        </w:rPr>
        <w:t>FORM OF U.S. TAX COMPLIANCE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25"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Reference is hereby made to that certain Fourth Amended and Restated Credit Agreement, dated as of June 26, 2018 (as amended, restated, extended,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Waste Management,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a Nova Scotia unlimited liability company (“</w:t>
      </w:r>
      <w:r>
        <w:rPr>
          <w:rFonts w:ascii="Arial" w:cs="Arial" w:eastAsia="Arial" w:hAnsi="Arial"/>
          <w:sz w:val="17"/>
          <w:szCs w:val="17"/>
          <w:u w:val="single" w:color="auto"/>
          <w:color w:val="auto"/>
        </w:rPr>
        <w:t>WMOCC</w:t>
      </w:r>
      <w:r>
        <w:rPr>
          <w:rFonts w:ascii="Arial" w:cs="Arial" w:eastAsia="Arial" w:hAnsi="Arial"/>
          <w:sz w:val="17"/>
          <w:szCs w:val="17"/>
          <w:color w:val="auto"/>
        </w:rPr>
        <w:t>”), and WM Quebec Inc., a corporation incorporated under the laws of Canada (“</w:t>
      </w:r>
      <w:r>
        <w:rPr>
          <w:rFonts w:ascii="Arial" w:cs="Arial" w:eastAsia="Arial" w:hAnsi="Arial"/>
          <w:sz w:val="17"/>
          <w:szCs w:val="17"/>
          <w:u w:val="single" w:color="auto"/>
          <w:color w:val="auto"/>
        </w:rPr>
        <w:t>WMQ</w:t>
      </w:r>
      <w:r>
        <w:rPr>
          <w:rFonts w:ascii="Arial" w:cs="Arial" w:eastAsia="Arial" w:hAnsi="Arial"/>
          <w:sz w:val="17"/>
          <w:szCs w:val="17"/>
          <w:color w:val="auto"/>
        </w:rPr>
        <w:t>”, and together with WMOCC and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Company, as Guarantor, the Banks from time to time party thereto, and Bank of America, N.A., as Administrative Agent, an Issuing Bank and Swing Line Bank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7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§3.1.5</w:t>
      </w:r>
      <w:r>
        <w:rPr>
          <w:rFonts w:ascii="Arial" w:cs="Arial" w:eastAsia="Arial" w:hAnsi="Arial"/>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87"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The undersigned has furnished its participating Bank with a certificate of its non-U.S. Person status on IRS Form W-8BENE (or W-8BEN, as applicable). By executing this certificate, the undersigned agrees that (1) if the information provided on this certificate changes, the undersigned shall promptly so inform such Bank in writing, and (2) the undersigned shall have at all times furnished such Bank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PARTICIPANT]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33274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5715</wp:posOffset>
            </wp:positionV>
            <wp:extent cx="28555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-130810</wp:posOffset>
            </wp:positionV>
            <wp:extent cx="28555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r>
        <w:rPr>
          <w:rFonts w:ascii="Arial" w:cs="Arial" w:eastAsia="Arial" w:hAnsi="Arial"/>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G-3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U.S. TAX COMPLIANCE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25"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Reference is hereby made to that certain Fourth Amended and Restated Credit Agreement, dated as of June 26, 2018 (as amended, restated, extended,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Waste Management,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a Nova Scotia unlimited liability company (“</w:t>
      </w:r>
      <w:r>
        <w:rPr>
          <w:rFonts w:ascii="Arial" w:cs="Arial" w:eastAsia="Arial" w:hAnsi="Arial"/>
          <w:sz w:val="17"/>
          <w:szCs w:val="17"/>
          <w:u w:val="single" w:color="auto"/>
          <w:color w:val="auto"/>
        </w:rPr>
        <w:t>WMOCC</w:t>
      </w:r>
      <w:r>
        <w:rPr>
          <w:rFonts w:ascii="Arial" w:cs="Arial" w:eastAsia="Arial" w:hAnsi="Arial"/>
          <w:sz w:val="17"/>
          <w:szCs w:val="17"/>
          <w:color w:val="auto"/>
        </w:rPr>
        <w:t>”), and WM Quebec Inc., a corporation incorporated under the laws of Canada (“</w:t>
      </w:r>
      <w:r>
        <w:rPr>
          <w:rFonts w:ascii="Arial" w:cs="Arial" w:eastAsia="Arial" w:hAnsi="Arial"/>
          <w:sz w:val="17"/>
          <w:szCs w:val="17"/>
          <w:u w:val="single" w:color="auto"/>
          <w:color w:val="auto"/>
        </w:rPr>
        <w:t>WMQ</w:t>
      </w:r>
      <w:r>
        <w:rPr>
          <w:rFonts w:ascii="Arial" w:cs="Arial" w:eastAsia="Arial" w:hAnsi="Arial"/>
          <w:sz w:val="17"/>
          <w:szCs w:val="17"/>
          <w:color w:val="auto"/>
        </w:rPr>
        <w:t>”, and together with WMOCC and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Company, as Guarantor, the Banks from time to time party thereto, and Bank of America, N.A., as Administrative Agent, an Issuing Bank and Swing Line Bank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78" w:lineRule="exact"/>
        <w:rPr>
          <w:sz w:val="20"/>
          <w:szCs w:val="20"/>
          <w:color w:val="auto"/>
        </w:rPr>
      </w:pPr>
    </w:p>
    <w:p>
      <w:pPr>
        <w:ind w:right="100" w:firstLine="1297"/>
        <w:spacing w:after="0" w:line="291"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w:t>
      </w:r>
    </w:p>
    <w:p>
      <w:pPr>
        <w:ind w:left="320" w:hanging="312"/>
        <w:spacing w:after="0"/>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with respect such participation, neither the undersigned nor any of its direct or indirect partners/members is a bank extending credit pursuant to a loan</w:t>
      </w:r>
    </w:p>
    <w:p>
      <w:pPr>
        <w:spacing w:after="0" w:line="32"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7"/>
          <w:szCs w:val="17"/>
          <w:color w:val="auto"/>
        </w:rPr>
        <w:t>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73"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color w:val="auto"/>
        </w:rPr>
        <w:t>The undersigned has furnished its participating Bank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such Bank and (2) the undersigned shall have at all times furnished such Bank with a properly completed and currently effective certificate in either the calendar year in which each payment is to be made to the undersigned, or in either of the two calendar years preceding such payments.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PARTICIPANT]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33274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5715</wp:posOffset>
            </wp:positionV>
            <wp:extent cx="28555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-130810</wp:posOffset>
            </wp:positionV>
            <wp:extent cx="28555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r>
        <w:rPr>
          <w:rFonts w:ascii="Arial" w:cs="Arial" w:eastAsia="Arial" w:hAnsi="Arial"/>
          <w:sz w:val="18"/>
          <w:szCs w:val="18"/>
          <w:b w:val="1"/>
          <w:bCs w:val="1"/>
          <w:color w:val="auto"/>
        </w:rPr>
        <w:t>[ ]</w:t>
      </w:r>
    </w:p>
    <w:p>
      <w:pPr>
        <w:sectPr>
          <w:pgSz w:w="11900" w:h="16838" w:orient="portrait"/>
          <w:cols w:equalWidth="0" w:num="1">
            <w:col w:w="11420"/>
          </w:cols>
          <w:pgMar w:left="240" w:top="121" w:right="239" w:bottom="0" w:gutter="0" w:footer="0" w:header="0"/>
        </w:sectPr>
      </w:pPr>
    </w:p>
    <w:bookmarkStart w:id="75" w:name="page76"/>
    <w:bookmarkEnd w:id="75"/>
    <w:p>
      <w:pPr>
        <w:ind w:left="10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G-4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 OF U.S. TAX COMPLIANCE CERTIFICATE</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Foreign Banks That Are Partnerships For U.S. Federal Income Tax Purposes)</w:t>
      </w:r>
    </w:p>
    <w:p>
      <w:pPr>
        <w:spacing w:after="0" w:line="225" w:lineRule="exact"/>
        <w:rPr>
          <w:sz w:val="20"/>
          <w:szCs w:val="20"/>
          <w:color w:val="auto"/>
        </w:rPr>
      </w:pPr>
    </w:p>
    <w:p>
      <w:pPr>
        <w:ind w:right="120" w:firstLine="1297"/>
        <w:spacing w:after="0" w:line="273" w:lineRule="auto"/>
        <w:rPr>
          <w:sz w:val="20"/>
          <w:szCs w:val="20"/>
          <w:color w:val="auto"/>
        </w:rPr>
      </w:pPr>
      <w:r>
        <w:rPr>
          <w:rFonts w:ascii="Arial" w:cs="Arial" w:eastAsia="Arial" w:hAnsi="Arial"/>
          <w:sz w:val="17"/>
          <w:szCs w:val="17"/>
          <w:color w:val="auto"/>
        </w:rPr>
        <w:t>Reference is hereby made to that certain Fourth Amended and Restated Credit Agreement, dated as of June 26, 2018 (as amended, restated, extended,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Waste Management,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a Nova Scotia unlimited liability company (“</w:t>
      </w:r>
      <w:r>
        <w:rPr>
          <w:rFonts w:ascii="Arial" w:cs="Arial" w:eastAsia="Arial" w:hAnsi="Arial"/>
          <w:sz w:val="17"/>
          <w:szCs w:val="17"/>
          <w:u w:val="single" w:color="auto"/>
          <w:color w:val="auto"/>
        </w:rPr>
        <w:t>WMOCC</w:t>
      </w:r>
      <w:r>
        <w:rPr>
          <w:rFonts w:ascii="Arial" w:cs="Arial" w:eastAsia="Arial" w:hAnsi="Arial"/>
          <w:sz w:val="17"/>
          <w:szCs w:val="17"/>
          <w:color w:val="auto"/>
        </w:rPr>
        <w:t>”), and WM Quebec Inc., a corporation incorporated under the laws of Canada (“</w:t>
      </w:r>
      <w:r>
        <w:rPr>
          <w:rFonts w:ascii="Arial" w:cs="Arial" w:eastAsia="Arial" w:hAnsi="Arial"/>
          <w:sz w:val="17"/>
          <w:szCs w:val="17"/>
          <w:u w:val="single" w:color="auto"/>
          <w:color w:val="auto"/>
        </w:rPr>
        <w:t>WMQ</w:t>
      </w:r>
      <w:r>
        <w:rPr>
          <w:rFonts w:ascii="Arial" w:cs="Arial" w:eastAsia="Arial" w:hAnsi="Arial"/>
          <w:sz w:val="17"/>
          <w:szCs w:val="17"/>
          <w:color w:val="auto"/>
        </w:rPr>
        <w:t>”, and together with WMOCC and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Company, as Guarantor, the Banks from time to time party thereto, and Bank of America, N.A., as Administrative Agent, an Issuing Bank and Swing Line Bank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78" w:lineRule="exact"/>
        <w:rPr>
          <w:sz w:val="20"/>
          <w:szCs w:val="20"/>
          <w:color w:val="auto"/>
        </w:rPr>
      </w:pPr>
    </w:p>
    <w:p>
      <w:pPr>
        <w:ind w:right="140" w:firstLine="1297"/>
        <w:spacing w:after="0" w:line="291"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67" w:lineRule="exact"/>
        <w:rPr>
          <w:sz w:val="20"/>
          <w:szCs w:val="20"/>
          <w:color w:val="auto"/>
        </w:rPr>
      </w:pPr>
    </w:p>
    <w:p>
      <w:pPr>
        <w:ind w:right="80" w:firstLine="1297"/>
        <w:spacing w:after="0" w:line="272" w:lineRule="auto"/>
        <w:rPr>
          <w:sz w:val="20"/>
          <w:szCs w:val="20"/>
          <w:color w:val="auto"/>
        </w:rPr>
      </w:pPr>
      <w:r>
        <w:rPr>
          <w:rFonts w:ascii="Arial" w:cs="Arial" w:eastAsia="Arial" w:hAnsi="Arial"/>
          <w:sz w:val="17"/>
          <w:szCs w:val="17"/>
          <w:color w:val="auto"/>
        </w:rPr>
        <w:t>The undersigned has furnished the Administrative Agent and the Company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BANK]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33274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5715</wp:posOffset>
            </wp:positionV>
            <wp:extent cx="285559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-130810</wp:posOffset>
            </wp:positionV>
            <wp:extent cx="285559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r>
        <w:rPr>
          <w:rFonts w:ascii="Arial" w:cs="Arial" w:eastAsia="Arial" w:hAnsi="Arial"/>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4"/>
          </w:tcPr>
          <w:p>
            <w:pPr>
              <w:ind w:left="1100"/>
              <w:spacing w:after="0"/>
              <w:rPr>
                <w:sz w:val="20"/>
                <w:szCs w:val="20"/>
                <w:color w:val="auto"/>
              </w:rPr>
            </w:pPr>
            <w:r>
              <w:rPr>
                <w:rFonts w:ascii="Arial" w:cs="Arial" w:eastAsia="Arial" w:hAnsi="Arial"/>
                <w:sz w:val="18"/>
                <w:szCs w:val="18"/>
                <w:b w:val="1"/>
                <w:bCs w:val="1"/>
                <w:color w:val="auto"/>
                <w:w w:val="99"/>
              </w:rPr>
              <w:t>SCHEDULE 1</w:t>
            </w:r>
          </w:p>
        </w:tc>
      </w:tr>
      <w:tr>
        <w:trPr>
          <w:trHeight w:val="392"/>
        </w:trPr>
        <w:tc>
          <w:tcPr>
            <w:tcW w:w="3860" w:type="dxa"/>
            <w:vAlign w:val="bottom"/>
          </w:tcPr>
          <w:p>
            <w:pPr>
              <w:spacing w:after="0"/>
              <w:rPr>
                <w:sz w:val="24"/>
                <w:szCs w:val="24"/>
                <w:color w:val="auto"/>
              </w:rPr>
            </w:pPr>
          </w:p>
        </w:tc>
        <w:tc>
          <w:tcPr>
            <w:tcW w:w="338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BANKS; COMMITMENTS</w:t>
            </w: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3860" w:type="dxa"/>
            <w:vAlign w:val="bottom"/>
          </w:tcPr>
          <w:p>
            <w:pPr>
              <w:spacing w:after="0"/>
              <w:rPr>
                <w:sz w:val="20"/>
                <w:szCs w:val="20"/>
                <w:color w:val="auto"/>
              </w:rPr>
            </w:pPr>
            <w:r>
              <w:rPr>
                <w:rFonts w:ascii="Arial" w:cs="Arial" w:eastAsia="Arial" w:hAnsi="Arial"/>
                <w:sz w:val="14"/>
                <w:szCs w:val="14"/>
                <w:b w:val="1"/>
                <w:bCs w:val="1"/>
                <w:color w:val="auto"/>
              </w:rPr>
              <w:t>Bank</w:t>
            </w:r>
          </w:p>
        </w:tc>
        <w:tc>
          <w:tcPr>
            <w:tcW w:w="78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Commitment</w:t>
            </w:r>
          </w:p>
        </w:tc>
        <w:tc>
          <w:tcPr>
            <w:tcW w:w="2260" w:type="dxa"/>
            <w:vAlign w:val="bottom"/>
            <w:gridSpan w:val="4"/>
          </w:tcPr>
          <w:p>
            <w:pPr>
              <w:ind w:left="400"/>
              <w:spacing w:after="0"/>
              <w:rPr>
                <w:sz w:val="20"/>
                <w:szCs w:val="20"/>
                <w:color w:val="auto"/>
              </w:rPr>
            </w:pPr>
            <w:r>
              <w:rPr>
                <w:rFonts w:ascii="Arial" w:cs="Arial" w:eastAsia="Arial" w:hAnsi="Arial"/>
                <w:sz w:val="14"/>
                <w:szCs w:val="14"/>
                <w:b w:val="1"/>
                <w:bCs w:val="1"/>
                <w:color w:val="auto"/>
              </w:rPr>
              <w:t>Pro Rata Percentage</w:t>
            </w:r>
          </w:p>
        </w:tc>
      </w:tr>
      <w:tr>
        <w:trPr>
          <w:trHeight w:val="210"/>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78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220,000,000.00</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8.000000000%</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JPMorgan Chase Bank, N.A.</w:t>
            </w:r>
          </w:p>
        </w:tc>
        <w:tc>
          <w:tcPr>
            <w:tcW w:w="338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220,000,000.00</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8.000000000%</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338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220,000,000.00</w:t>
            </w:r>
          </w:p>
        </w:tc>
        <w:tc>
          <w:tcPr>
            <w:tcW w:w="2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8.000000000%</w:t>
            </w:r>
          </w:p>
        </w:tc>
        <w:tc>
          <w:tcPr>
            <w:tcW w:w="4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Mizuho Bank, Ltd.</w:t>
            </w:r>
          </w:p>
        </w:tc>
        <w:tc>
          <w:tcPr>
            <w:tcW w:w="338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220,000,000.00</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8.000000000%</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The Bank of Nova Scotia</w:t>
            </w:r>
          </w:p>
        </w:tc>
        <w:tc>
          <w:tcPr>
            <w:tcW w:w="338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220,000,000.00</w:t>
            </w:r>
          </w:p>
        </w:tc>
        <w:tc>
          <w:tcPr>
            <w:tcW w:w="2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8.000000000%</w:t>
            </w:r>
          </w:p>
        </w:tc>
        <w:tc>
          <w:tcPr>
            <w:tcW w:w="4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BNP Paribas</w:t>
            </w:r>
          </w:p>
        </w:tc>
        <w:tc>
          <w:tcPr>
            <w:tcW w:w="338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165,000,000.00</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6.000000000%</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Citibank, N.A.</w:t>
            </w:r>
          </w:p>
        </w:tc>
        <w:tc>
          <w:tcPr>
            <w:tcW w:w="338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165,000,000.00</w:t>
            </w:r>
          </w:p>
        </w:tc>
        <w:tc>
          <w:tcPr>
            <w:tcW w:w="2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6.000000000%</w:t>
            </w:r>
          </w:p>
        </w:tc>
        <w:tc>
          <w:tcPr>
            <w:tcW w:w="4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Deutsche Bank AG New York Branch</w:t>
            </w:r>
          </w:p>
        </w:tc>
        <w:tc>
          <w:tcPr>
            <w:tcW w:w="338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165,000,000.00</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6.000000000%</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MUFG Bank, Ltd.</w:t>
            </w:r>
          </w:p>
        </w:tc>
        <w:tc>
          <w:tcPr>
            <w:tcW w:w="338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165,000,000.00</w:t>
            </w:r>
          </w:p>
        </w:tc>
        <w:tc>
          <w:tcPr>
            <w:tcW w:w="2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6.000000000%</w:t>
            </w:r>
          </w:p>
        </w:tc>
        <w:tc>
          <w:tcPr>
            <w:tcW w:w="4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338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165,000,000.00</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6.000000000%</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338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165,000,000.00</w:t>
            </w:r>
          </w:p>
        </w:tc>
        <w:tc>
          <w:tcPr>
            <w:tcW w:w="2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6.000000000%</w:t>
            </w:r>
          </w:p>
        </w:tc>
        <w:tc>
          <w:tcPr>
            <w:tcW w:w="4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338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165,000,000.00</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6.000000000%</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338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165,000,000.00</w:t>
            </w:r>
          </w:p>
        </w:tc>
        <w:tc>
          <w:tcPr>
            <w:tcW w:w="2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6.000000000%</w:t>
            </w:r>
          </w:p>
        </w:tc>
        <w:tc>
          <w:tcPr>
            <w:tcW w:w="4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Credit Suisse AG, Cayman Islands Branch</w:t>
            </w:r>
          </w:p>
        </w:tc>
        <w:tc>
          <w:tcPr>
            <w:tcW w:w="338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115,000,000.00</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4.181818182%</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338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115,000,000.00</w:t>
            </w:r>
          </w:p>
        </w:tc>
        <w:tc>
          <w:tcPr>
            <w:tcW w:w="2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4.181818182%</w:t>
            </w:r>
          </w:p>
        </w:tc>
        <w:tc>
          <w:tcPr>
            <w:tcW w:w="4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Comerica Bank</w:t>
            </w:r>
          </w:p>
        </w:tc>
        <w:tc>
          <w:tcPr>
            <w:tcW w:w="338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50,000,000.00</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1.818181818%</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The Bank of New York Mellon</w:t>
            </w:r>
          </w:p>
        </w:tc>
        <w:tc>
          <w:tcPr>
            <w:tcW w:w="338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50,000,000.00</w:t>
            </w:r>
          </w:p>
        </w:tc>
        <w:tc>
          <w:tcPr>
            <w:tcW w:w="2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1.818181818%</w:t>
            </w:r>
          </w:p>
        </w:tc>
        <w:tc>
          <w:tcPr>
            <w:tcW w:w="40" w:type="dxa"/>
            <w:vAlign w:val="bottom"/>
          </w:tcPr>
          <w:p>
            <w:pPr>
              <w:spacing w:after="0"/>
              <w:rPr>
                <w:sz w:val="18"/>
                <w:szCs w:val="18"/>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2,750,000,000.00</w:t>
            </w:r>
          </w:p>
        </w:tc>
        <w:tc>
          <w:tcPr>
            <w:tcW w:w="280" w:type="dxa"/>
            <w:vAlign w:val="bottom"/>
          </w:tcPr>
          <w:p>
            <w:pPr>
              <w:spacing w:after="0"/>
              <w:rPr>
                <w:sz w:val="18"/>
                <w:szCs w:val="18"/>
                <w:color w:val="auto"/>
              </w:rPr>
            </w:pP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100.000000000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r>
      <w:tr>
        <w:trPr>
          <w:trHeight w:val="341"/>
        </w:trPr>
        <w:tc>
          <w:tcPr>
            <w:tcW w:w="38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60" w:type="dxa"/>
            <w:vAlign w:val="bottom"/>
            <w:tcBorders>
              <w:top w:val="single" w:sz="8" w:color="auto"/>
              <w:bottom w:val="single" w:sz="8" w:color="808080"/>
            </w:tcBorders>
          </w:tcPr>
          <w:p>
            <w:pPr>
              <w:spacing w:after="0"/>
              <w:rPr>
                <w:sz w:val="24"/>
                <w:szCs w:val="24"/>
                <w:color w:val="auto"/>
              </w:rPr>
            </w:pPr>
          </w:p>
        </w:tc>
        <w:tc>
          <w:tcPr>
            <w:tcW w:w="1680" w:type="dxa"/>
            <w:vAlign w:val="bottom"/>
            <w:tcBorders>
              <w:top w:val="single" w:sz="8" w:color="auto"/>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60" w:type="dxa"/>
            <w:vAlign w:val="bottom"/>
            <w:tcBorders>
              <w:top w:val="single" w:sz="8" w:color="auto"/>
              <w:bottom w:val="single" w:sz="8" w:color="808080"/>
            </w:tcBorders>
          </w:tcPr>
          <w:p>
            <w:pPr>
              <w:spacing w:after="0"/>
              <w:rPr>
                <w:sz w:val="24"/>
                <w:szCs w:val="24"/>
                <w:color w:val="auto"/>
              </w:rPr>
            </w:pPr>
          </w:p>
        </w:tc>
        <w:tc>
          <w:tcPr>
            <w:tcW w:w="20" w:type="dxa"/>
            <w:vAlign w:val="bottom"/>
            <w:tcBorders>
              <w:top w:val="single" w:sz="8" w:color="auto"/>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0160"/>
        <w:spacing w:after="0"/>
        <w:rPr>
          <w:sz w:val="20"/>
          <w:szCs w:val="20"/>
          <w:color w:val="auto"/>
        </w:rPr>
      </w:pPr>
      <w:r>
        <w:rPr>
          <w:rFonts w:ascii="Arial" w:cs="Arial" w:eastAsia="Arial" w:hAnsi="Arial"/>
          <w:sz w:val="18"/>
          <w:szCs w:val="18"/>
          <w:b w:val="1"/>
          <w:bCs w:val="1"/>
          <w:color w:val="auto"/>
        </w:rPr>
        <w:t>SCHEDULE 1.1</w:t>
      </w:r>
    </w:p>
    <w:p>
      <w:pPr>
        <w:sectPr>
          <w:pgSz w:w="11900" w:h="16838" w:orient="portrait"/>
          <w:cols w:equalWidth="0" w:num="1">
            <w:col w:w="11460"/>
          </w:cols>
          <w:pgMar w:left="240" w:top="729" w:right="199" w:bottom="0" w:gutter="0" w:footer="0" w:header="0"/>
        </w:sectPr>
      </w:pPr>
    </w:p>
    <w:bookmarkStart w:id="76" w:name="page77"/>
    <w:bookmarkEnd w:id="76"/>
    <w:p>
      <w:pPr>
        <w:jc w:val="center"/>
        <w:ind w:right="40"/>
        <w:spacing w:after="0"/>
        <w:rPr>
          <w:sz w:val="20"/>
          <w:szCs w:val="20"/>
          <w:color w:val="auto"/>
        </w:rPr>
      </w:pPr>
      <w:r>
        <w:rPr>
          <w:rFonts w:ascii="Arial" w:cs="Arial" w:eastAsia="Arial" w:hAnsi="Arial"/>
          <w:sz w:val="18"/>
          <w:szCs w:val="18"/>
          <w:b w:val="1"/>
          <w:bCs w:val="1"/>
          <w:u w:val="single" w:color="auto"/>
          <w:color w:val="auto"/>
        </w:rPr>
        <w:t>EXISTING LIENS</w:t>
      </w:r>
    </w:p>
    <w:p>
      <w:pPr>
        <w:spacing w:after="0" w:line="229" w:lineRule="exact"/>
        <w:rPr>
          <w:sz w:val="20"/>
          <w:szCs w:val="20"/>
          <w:color w:val="auto"/>
        </w:rPr>
      </w:pPr>
    </w:p>
    <w:p>
      <w:pPr>
        <w:ind w:left="340" w:right="720" w:hanging="332"/>
        <w:spacing w:after="0" w:line="277"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Various capital leases and similar purchase-money financings entered into by Subsidiaries of the Company in the ordinary course of business for operating equipment and facilities.</w:t>
      </w:r>
    </w:p>
    <w:p>
      <w:pPr>
        <w:spacing w:after="0" w:line="170" w:lineRule="exact"/>
        <w:rPr>
          <w:rFonts w:ascii="Arial" w:cs="Arial" w:eastAsia="Arial" w:hAnsi="Arial"/>
          <w:sz w:val="18"/>
          <w:szCs w:val="18"/>
          <w:color w:val="auto"/>
        </w:rPr>
      </w:pPr>
    </w:p>
    <w:p>
      <w:pPr>
        <w:jc w:val="both"/>
        <w:ind w:left="340" w:right="120" w:hanging="332"/>
        <w:spacing w:after="0" w:line="259"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note payable associated with the investment in federal low-income housing tax credits as described in Note 8, Income Taxes, and Note 18, Variable Interest Entities, to the Company’s consolidated financial statements within its Annual Report on Form 10-K for the year ended December 31, 2017 and Note 5, Income Taxes, and Note 13, Variable Interest Entities, to the Company’s condensed consolidated financial statements within its Quarterly Report on Form 10-Q for the fiscal quarter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b w:val="1"/>
                <w:bCs w:val="1"/>
                <w:color w:val="auto"/>
                <w:w w:val="98"/>
              </w:rPr>
              <w:t>SCHEDULE 2.6.1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560" w:type="dxa"/>
            <w:vAlign w:val="bottom"/>
            <w:gridSpan w:val="2"/>
          </w:tcPr>
          <w:p>
            <w:pPr>
              <w:jc w:val="right"/>
              <w:ind w:right="1420"/>
              <w:spacing w:after="0"/>
              <w:rPr>
                <w:sz w:val="20"/>
                <w:szCs w:val="20"/>
                <w:color w:val="auto"/>
              </w:rPr>
            </w:pPr>
            <w:r>
              <w:rPr>
                <w:rFonts w:ascii="Arial" w:cs="Arial" w:eastAsia="Arial" w:hAnsi="Arial"/>
                <w:sz w:val="18"/>
                <w:szCs w:val="18"/>
                <w:b w:val="1"/>
                <w:bCs w:val="1"/>
                <w:color w:val="auto"/>
              </w:rPr>
              <w:t>ISSUING BANKS AND LETTER OF CREDIT COMMITMENTS</w:t>
            </w: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120" w:type="dxa"/>
            <w:vAlign w:val="bottom"/>
          </w:tcPr>
          <w:p>
            <w:pPr>
              <w:spacing w:after="0"/>
              <w:rPr>
                <w:sz w:val="20"/>
                <w:szCs w:val="20"/>
                <w:color w:val="auto"/>
              </w:rPr>
            </w:pPr>
          </w:p>
        </w:tc>
        <w:tc>
          <w:tcPr>
            <w:tcW w:w="5140" w:type="dxa"/>
            <w:vAlign w:val="bottom"/>
            <w:tcBorders>
              <w:top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6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JPMorgan Chase Bank, N.A.</w:t>
            </w:r>
          </w:p>
        </w:tc>
        <w:tc>
          <w:tcPr>
            <w:tcW w:w="6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6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w w:val="98"/>
              </w:rPr>
              <w:t>Wells Fargo Bank, National Association</w:t>
            </w:r>
          </w:p>
        </w:tc>
        <w:tc>
          <w:tcPr>
            <w:tcW w:w="6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6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The Bank of Nova Scotia</w:t>
            </w:r>
          </w:p>
        </w:tc>
        <w:tc>
          <w:tcPr>
            <w:tcW w:w="6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Mizuho Bank, Ltd.</w:t>
            </w:r>
          </w:p>
        </w:tc>
        <w:tc>
          <w:tcPr>
            <w:tcW w:w="6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6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75,000,000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2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SCHEDULE 2.6.1(a)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 OF INCREASE/DECREASE LETTER</w:t>
      </w:r>
    </w:p>
    <w:p>
      <w:pPr>
        <w:spacing w:after="0" w:line="22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Reference is made to the FOURTH AMENDED AND RESTATED REVOLVING CREDIT AGREEMENT dated as of June [ ], 2018 (as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amended and in effect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capitalized terms used and not otherwise defined herein shall have the meanings assigned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thereto in the Credit Agreement), by and among WASTE MANAGEMENT,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CANADA CORPORATION, a Nova Scotia unlimited company (“</w:t>
      </w:r>
      <w:r>
        <w:rPr>
          <w:rFonts w:ascii="Arial" w:cs="Arial" w:eastAsia="Arial" w:hAnsi="Arial"/>
          <w:sz w:val="17"/>
          <w:szCs w:val="17"/>
          <w:u w:val="single" w:color="auto"/>
          <w:color w:val="auto"/>
        </w:rPr>
        <w:t>WMOCC</w:t>
      </w:r>
      <w:r>
        <w:rPr>
          <w:rFonts w:ascii="Arial" w:cs="Arial" w:eastAsia="Arial" w:hAnsi="Arial"/>
          <w:sz w:val="17"/>
          <w:szCs w:val="17"/>
          <w:color w:val="auto"/>
        </w:rPr>
        <w:t>”), WM QUEBEC INC., a corporation incorporated under the laws of Canada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WMQ</w:t>
      </w:r>
      <w:r>
        <w:rPr>
          <w:rFonts w:ascii="Arial" w:cs="Arial" w:eastAsia="Arial" w:hAnsi="Arial"/>
          <w:sz w:val="18"/>
          <w:szCs w:val="18"/>
          <w:color w:val="auto"/>
        </w:rPr>
        <w:t>”, and together with the Company and WMOCC,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WASTE MANAGEMENT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HOLDINGS, INC., a wholly-owned Subsidiary of the Borrower (the “</w:t>
      </w:r>
      <w:r>
        <w:rPr>
          <w:rFonts w:ascii="Arial" w:cs="Arial" w:eastAsia="Arial" w:hAnsi="Arial"/>
          <w:sz w:val="17"/>
          <w:szCs w:val="17"/>
          <w:u w:val="single" w:color="auto"/>
          <w:color w:val="auto"/>
        </w:rPr>
        <w:t>Guarantor</w:t>
      </w:r>
      <w:r>
        <w:rPr>
          <w:rFonts w:ascii="Arial" w:cs="Arial" w:eastAsia="Arial" w:hAnsi="Arial"/>
          <w:sz w:val="17"/>
          <w:szCs w:val="17"/>
          <w:color w:val="auto"/>
        </w:rPr>
        <w:t>”), certain Banks from time to time party thereto and BANK OF AMERICA,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and specifically to </w:t>
      </w:r>
      <w:r>
        <w:rPr>
          <w:rFonts w:ascii="Arial" w:cs="Arial" w:eastAsia="Arial" w:hAnsi="Arial"/>
          <w:sz w:val="18"/>
          <w:szCs w:val="18"/>
          <w:u w:val="single" w:color="auto"/>
          <w:color w:val="auto"/>
        </w:rPr>
        <w:t>Schedule 2.6.1</w:t>
      </w:r>
      <w:r>
        <w:rPr>
          <w:rFonts w:ascii="Arial" w:cs="Arial" w:eastAsia="Arial" w:hAnsi="Arial"/>
          <w:sz w:val="18"/>
          <w:szCs w:val="18"/>
          <w:color w:val="auto"/>
        </w:rPr>
        <w:t xml:space="preserve"> attached thereto.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The undersigned, being an Issuing Bank, hereby agrees pursuant to </w:t>
      </w:r>
      <w:r>
        <w:rPr>
          <w:rFonts w:ascii="Arial" w:cs="Arial" w:eastAsia="Arial" w:hAnsi="Arial"/>
          <w:sz w:val="17"/>
          <w:szCs w:val="17"/>
          <w:u w:val="single" w:color="auto"/>
          <w:color w:val="auto"/>
        </w:rPr>
        <w:t>§2.6.1</w:t>
      </w:r>
      <w:r>
        <w:rPr>
          <w:rFonts w:ascii="Arial" w:cs="Arial" w:eastAsia="Arial" w:hAnsi="Arial"/>
          <w:sz w:val="17"/>
          <w:szCs w:val="17"/>
          <w:color w:val="auto"/>
        </w:rPr>
        <w:t xml:space="preserve"> of the Credit Agreement that the limit set forth in said</w:t>
      </w:r>
    </w:p>
    <w:p>
      <w:pPr>
        <w:spacing w:after="0" w:line="35" w:lineRule="exact"/>
        <w:rPr>
          <w:sz w:val="20"/>
          <w:szCs w:val="20"/>
          <w:color w:val="auto"/>
        </w:rPr>
      </w:pPr>
    </w:p>
    <w:p>
      <w:pPr>
        <w:spacing w:after="0"/>
        <w:tabs>
          <w:tab w:leader="none" w:pos="7560" w:val="left"/>
        </w:tabs>
        <w:rPr>
          <w:sz w:val="20"/>
          <w:szCs w:val="20"/>
          <w:color w:val="auto"/>
        </w:rPr>
      </w:pPr>
      <w:r>
        <w:rPr>
          <w:rFonts w:ascii="Arial" w:cs="Arial" w:eastAsia="Arial" w:hAnsi="Arial"/>
          <w:sz w:val="17"/>
          <w:szCs w:val="17"/>
          <w:u w:val="single" w:color="auto"/>
          <w:color w:val="auto"/>
        </w:rPr>
        <w:t>Schedule 2.6.1</w:t>
      </w:r>
      <w:r>
        <w:rPr>
          <w:rFonts w:ascii="Arial" w:cs="Arial" w:eastAsia="Arial" w:hAnsi="Arial"/>
          <w:sz w:val="17"/>
          <w:szCs w:val="17"/>
          <w:color w:val="auto"/>
        </w:rPr>
        <w:t xml:space="preserve"> with respect to the undersigned shall, effective on the date hereof, be changed to $</w:t>
      </w:r>
      <w:r>
        <w:rPr>
          <w:sz w:val="20"/>
          <w:szCs w:val="20"/>
          <w:color w:val="auto"/>
        </w:rPr>
        <w:tab/>
      </w:r>
      <w:r>
        <w:rPr>
          <w:rFonts w:ascii="Arial" w:cs="Arial" w:eastAsia="Arial" w:hAnsi="Arial"/>
          <w:sz w:val="14"/>
          <w:szCs w:val="14"/>
          <w:color w:val="auto"/>
        </w:rPr>
        <w:t>.</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Borrowers, the Guarantor and the Administrative Agent acknowledge the foregoing.</w:t>
      </w:r>
    </w:p>
    <w:p>
      <w:pPr>
        <w:spacing w:after="0" w:line="22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This letter agreement may be executed in any number of counterparts, and shall be governed by and construed in accordance with the law of the State of New York.</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[Name of Issuing Bank]</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-130810</wp:posOffset>
            </wp:positionV>
            <wp:extent cx="30613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jc w:val="center"/>
        <w:ind w:left="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5715</wp:posOffset>
            </wp:positionV>
            <wp:extent cx="30613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061335"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-130810</wp:posOffset>
            </wp:positionV>
            <wp:extent cx="30613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-130810</wp:posOffset>
            </wp:positionV>
            <wp:extent cx="30702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jc w:val="center"/>
        <w:ind w:left="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5715</wp:posOffset>
            </wp:positionV>
            <wp:extent cx="30702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070225"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-130810</wp:posOffset>
            </wp:positionV>
            <wp:extent cx="30702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0702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WASTE MANAGEMENT OF CANADA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5715</wp:posOffset>
            </wp:positionV>
            <wp:extent cx="313880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77" w:name="page78"/>
    <w:bookmarkEnd w:id="77"/>
    <w:p>
      <w:pPr>
        <w:ind w:left="5720"/>
        <w:spacing w:after="0"/>
        <w:rPr>
          <w:sz w:val="20"/>
          <w:szCs w:val="20"/>
          <w:color w:val="auto"/>
        </w:rPr>
      </w:pPr>
      <w:r>
        <w:rPr>
          <w:rFonts w:ascii="Arial" w:cs="Arial" w:eastAsia="Arial" w:hAnsi="Arial"/>
          <w:sz w:val="18"/>
          <w:szCs w:val="18"/>
          <w:b w:val="1"/>
          <w:bCs w:val="1"/>
          <w:color w:val="auto"/>
        </w:rPr>
        <w:t>WM QUEBEC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5715</wp:posOffset>
            </wp:positionV>
            <wp:extent cx="31388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WASTE MANAGEMENT HOLDINGS,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5715</wp:posOffset>
            </wp:positionV>
            <wp:extent cx="31388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BANK OF AMERICA, N.A., as Administrative Agent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5715</wp:posOffset>
            </wp:positionV>
            <wp:extent cx="31388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6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SCHEDULE 2.6.1(f)</w:t>
            </w:r>
          </w:p>
        </w:tc>
        <w:tc>
          <w:tcPr>
            <w:tcW w:w="0" w:type="dxa"/>
            <w:vAlign w:val="bottom"/>
          </w:tcPr>
          <w:p>
            <w:pPr>
              <w:spacing w:after="0"/>
              <w:rPr>
                <w:sz w:val="1"/>
                <w:szCs w:val="1"/>
                <w:color w:val="auto"/>
              </w:rPr>
            </w:pPr>
          </w:p>
        </w:tc>
      </w:tr>
      <w:tr>
        <w:trPr>
          <w:trHeight w:val="392"/>
        </w:trPr>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7"/>
          </w:tcPr>
          <w:p>
            <w:pPr>
              <w:ind w:left="200"/>
              <w:spacing w:after="0"/>
              <w:rPr>
                <w:sz w:val="20"/>
                <w:szCs w:val="20"/>
                <w:color w:val="auto"/>
              </w:rPr>
            </w:pPr>
            <w:r>
              <w:rPr>
                <w:rFonts w:ascii="Arial" w:cs="Arial" w:eastAsia="Arial" w:hAnsi="Arial"/>
                <w:sz w:val="18"/>
                <w:szCs w:val="18"/>
                <w:b w:val="1"/>
                <w:bCs w:val="1"/>
                <w:color w:val="auto"/>
              </w:rPr>
              <w:t>EXISTING LETTERS OF CREDIT</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180" w:type="dxa"/>
            <w:vAlign w:val="bottom"/>
            <w:gridSpan w:val="2"/>
          </w:tcPr>
          <w:p>
            <w:pPr>
              <w:spacing w:after="0"/>
              <w:rPr>
                <w:sz w:val="20"/>
                <w:szCs w:val="20"/>
                <w:color w:val="auto"/>
              </w:rPr>
            </w:pPr>
            <w:r>
              <w:rPr>
                <w:rFonts w:ascii="Arial" w:cs="Arial" w:eastAsia="Arial" w:hAnsi="Arial"/>
                <w:sz w:val="18"/>
                <w:szCs w:val="18"/>
                <w:color w:val="auto"/>
              </w:rPr>
              <w:t>Waste Management, Inc.</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Issuing Bank</w:t>
            </w:r>
          </w:p>
        </w:tc>
        <w:tc>
          <w:tcPr>
            <w:tcW w:w="1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Letter of Credit No.</w:t>
            </w:r>
          </w:p>
        </w:tc>
        <w:tc>
          <w:tcPr>
            <w:tcW w:w="200" w:type="dxa"/>
            <w:vAlign w:val="bottom"/>
          </w:tcPr>
          <w:p>
            <w:pPr>
              <w:spacing w:after="0"/>
              <w:rPr>
                <w:sz w:val="24"/>
                <w:szCs w:val="24"/>
                <w:color w:val="auto"/>
              </w:rPr>
            </w:pPr>
          </w:p>
        </w:tc>
        <w:tc>
          <w:tcPr>
            <w:tcW w:w="16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Beneficiary Name</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Currency</w:t>
            </w:r>
          </w:p>
        </w:tc>
        <w:tc>
          <w:tcPr>
            <w:tcW w:w="860" w:type="dxa"/>
            <w:vAlign w:val="bottom"/>
          </w:tcPr>
          <w:p>
            <w:pPr>
              <w:ind w:left="300"/>
              <w:spacing w:after="0"/>
              <w:rPr>
                <w:sz w:val="20"/>
                <w:szCs w:val="20"/>
                <w:color w:val="auto"/>
              </w:rPr>
            </w:pPr>
            <w:r>
              <w:rPr>
                <w:rFonts w:ascii="Arial" w:cs="Arial" w:eastAsia="Arial" w:hAnsi="Arial"/>
                <w:sz w:val="14"/>
                <w:szCs w:val="14"/>
                <w:b w:val="1"/>
                <w:bCs w:val="1"/>
                <w:color w:val="auto"/>
                <w:w w:val="90"/>
              </w:rPr>
              <w:t>Issuance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Expiry Date</w:t>
            </w:r>
          </w:p>
        </w:tc>
        <w:tc>
          <w:tcPr>
            <w:tcW w:w="0" w:type="dxa"/>
            <w:vAlign w:val="bottom"/>
          </w:tcPr>
          <w:p>
            <w:pPr>
              <w:spacing w:after="0"/>
              <w:rPr>
                <w:sz w:val="1"/>
                <w:szCs w:val="1"/>
                <w:color w:val="auto"/>
              </w:rPr>
            </w:pPr>
          </w:p>
        </w:tc>
      </w:tr>
      <w:tr>
        <w:trPr>
          <w:trHeight w:val="171"/>
        </w:trPr>
        <w:tc>
          <w:tcPr>
            <w:tcW w:w="218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tcPr>
          <w:p>
            <w:pPr>
              <w:ind w:left="420"/>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Bank of America</w:t>
            </w:r>
          </w:p>
        </w:tc>
        <w:tc>
          <w:tcPr>
            <w:tcW w:w="1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ind w:left="340"/>
              <w:spacing w:after="0" w:line="195" w:lineRule="exact"/>
              <w:rPr>
                <w:sz w:val="20"/>
                <w:szCs w:val="20"/>
                <w:color w:val="auto"/>
              </w:rPr>
            </w:pPr>
            <w:r>
              <w:rPr>
                <w:rFonts w:ascii="Arial" w:cs="Arial" w:eastAsia="Arial" w:hAnsi="Arial"/>
                <w:sz w:val="18"/>
                <w:szCs w:val="18"/>
                <w:color w:val="auto"/>
                <w:w w:val="89"/>
              </w:rPr>
              <w:t>T00000000213002</w:t>
            </w:r>
          </w:p>
        </w:tc>
        <w:tc>
          <w:tcPr>
            <w:tcW w:w="22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NATIONAL UNION</w:t>
            </w:r>
          </w:p>
        </w:tc>
        <w:tc>
          <w:tcPr>
            <w:tcW w:w="1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9,467,000.00</w:t>
            </w: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500"/>
              <w:spacing w:after="0" w:line="195" w:lineRule="exact"/>
              <w:rPr>
                <w:sz w:val="20"/>
                <w:szCs w:val="20"/>
                <w:color w:val="auto"/>
              </w:rPr>
            </w:pPr>
            <w:r>
              <w:rPr>
                <w:rFonts w:ascii="Arial" w:cs="Arial" w:eastAsia="Arial" w:hAnsi="Arial"/>
                <w:sz w:val="18"/>
                <w:szCs w:val="18"/>
                <w:color w:val="auto"/>
                <w:w w:val="89"/>
              </w:rPr>
              <w:t>USD</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7/2/1996</w:t>
            </w:r>
          </w:p>
        </w:tc>
        <w:tc>
          <w:tcPr>
            <w:tcW w:w="2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right w:val="single" w:sz="8" w:color="CCEEFF"/>
            </w:tcBorders>
            <w:shd w:val="clear" w:color="auto" w:fill="CCEEFF"/>
          </w:tcPr>
          <w:p>
            <w:pPr>
              <w:jc w:val="right"/>
              <w:ind w:right="459"/>
              <w:spacing w:after="0" w:line="195" w:lineRule="exact"/>
              <w:rPr>
                <w:sz w:val="20"/>
                <w:szCs w:val="20"/>
                <w:color w:val="auto"/>
              </w:rPr>
            </w:pPr>
            <w:r>
              <w:rPr>
                <w:rFonts w:ascii="Arial" w:cs="Arial" w:eastAsia="Arial" w:hAnsi="Arial"/>
                <w:sz w:val="18"/>
                <w:szCs w:val="18"/>
                <w:color w:val="auto"/>
                <w:w w:val="88"/>
              </w:rPr>
              <w:t>4/1/2019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FIRE</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T00000001251000</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THE BANK OF NEW</w:t>
            </w:r>
          </w:p>
        </w:tc>
        <w:tc>
          <w:tcPr>
            <w:tcW w:w="500" w:type="dxa"/>
            <w:vAlign w:val="bottom"/>
            <w:gridSpan w:val="2"/>
          </w:tcPr>
          <w:p>
            <w:pPr>
              <w:jc w:val="right"/>
              <w:ind w:right="165"/>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15,236,713.00</w:t>
            </w:r>
          </w:p>
        </w:tc>
        <w:tc>
          <w:tcPr>
            <w:tcW w:w="102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USD</w:t>
            </w:r>
          </w:p>
        </w:tc>
        <w:tc>
          <w:tcPr>
            <w:tcW w:w="860" w:type="dxa"/>
            <w:vAlign w:val="bottom"/>
          </w:tcPr>
          <w:p>
            <w:pPr>
              <w:spacing w:after="0" w:line="201" w:lineRule="exact"/>
              <w:rPr>
                <w:sz w:val="20"/>
                <w:szCs w:val="20"/>
                <w:color w:val="auto"/>
              </w:rPr>
            </w:pPr>
            <w:r>
              <w:rPr>
                <w:rFonts w:ascii="Arial" w:cs="Arial" w:eastAsia="Arial" w:hAnsi="Arial"/>
                <w:sz w:val="18"/>
                <w:szCs w:val="18"/>
                <w:color w:val="auto"/>
              </w:rPr>
              <w:t>4/1/2005</w:t>
            </w:r>
          </w:p>
        </w:tc>
        <w:tc>
          <w:tcPr>
            <w:tcW w:w="162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7/1/2019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YORK</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T00000001257761</w:t>
            </w: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BANK OF NEW</w:t>
            </w:r>
          </w:p>
        </w:tc>
        <w:tc>
          <w:tcPr>
            <w:tcW w:w="500" w:type="dxa"/>
            <w:vAlign w:val="bottom"/>
            <w:gridSpan w:val="2"/>
            <w:shd w:val="clear" w:color="auto" w:fill="CCEEFF"/>
          </w:tcPr>
          <w:p>
            <w:pPr>
              <w:jc w:val="right"/>
              <w:ind w:right="165"/>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22,368,877.00</w:t>
            </w:r>
          </w:p>
        </w:tc>
        <w:tc>
          <w:tcPr>
            <w:tcW w:w="102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rPr>
              <w:t>USD</w:t>
            </w:r>
          </w:p>
        </w:tc>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4/1/2005</w:t>
            </w:r>
          </w:p>
        </w:tc>
        <w:tc>
          <w:tcPr>
            <w:tcW w:w="1620" w:type="dxa"/>
            <w:vAlign w:val="bottom"/>
            <w:tcBorders>
              <w:right w:val="single" w:sz="8" w:color="CCEEFF"/>
            </w:tcBorders>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2/1/2019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YORK</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T00000001282117</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CALIFORNIA</w:t>
            </w:r>
          </w:p>
        </w:tc>
        <w:tc>
          <w:tcPr>
            <w:tcW w:w="500" w:type="dxa"/>
            <w:vAlign w:val="bottom"/>
            <w:gridSpan w:val="2"/>
          </w:tcPr>
          <w:p>
            <w:pPr>
              <w:jc w:val="right"/>
              <w:ind w:right="165"/>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200,000.00</w:t>
            </w:r>
          </w:p>
        </w:tc>
        <w:tc>
          <w:tcPr>
            <w:tcW w:w="102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USD</w:t>
            </w:r>
          </w:p>
        </w:tc>
        <w:tc>
          <w:tcPr>
            <w:tcW w:w="860" w:type="dxa"/>
            <w:vAlign w:val="bottom"/>
          </w:tcPr>
          <w:p>
            <w:pPr>
              <w:spacing w:after="0" w:line="201" w:lineRule="exact"/>
              <w:rPr>
                <w:sz w:val="20"/>
                <w:szCs w:val="20"/>
                <w:color w:val="auto"/>
              </w:rPr>
            </w:pPr>
            <w:r>
              <w:rPr>
                <w:rFonts w:ascii="Arial" w:cs="Arial" w:eastAsia="Arial" w:hAnsi="Arial"/>
                <w:sz w:val="18"/>
                <w:szCs w:val="18"/>
                <w:color w:val="auto"/>
              </w:rPr>
              <w:t>4/1/2005</w:t>
            </w:r>
          </w:p>
        </w:tc>
        <w:tc>
          <w:tcPr>
            <w:tcW w:w="162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8/1/2018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INTEGRATE</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T00000001302974</w:t>
            </w: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PENNSYLVANIA</w:t>
            </w:r>
          </w:p>
        </w:tc>
        <w:tc>
          <w:tcPr>
            <w:tcW w:w="500" w:type="dxa"/>
            <w:vAlign w:val="bottom"/>
            <w:gridSpan w:val="2"/>
            <w:shd w:val="clear" w:color="auto" w:fill="CCEEFF"/>
          </w:tcPr>
          <w:p>
            <w:pPr>
              <w:jc w:val="right"/>
              <w:ind w:right="165"/>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18,284,965.00</w:t>
            </w:r>
          </w:p>
        </w:tc>
        <w:tc>
          <w:tcPr>
            <w:tcW w:w="102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rPr>
              <w:t>USD</w:t>
            </w:r>
          </w:p>
        </w:tc>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12/13/2004</w:t>
            </w:r>
          </w:p>
        </w:tc>
        <w:tc>
          <w:tcPr>
            <w:tcW w:w="1620" w:type="dxa"/>
            <w:vAlign w:val="bottom"/>
            <w:tcBorders>
              <w:right w:val="single" w:sz="8" w:color="CCEEFF"/>
            </w:tcBorders>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12/12/2018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DEPT OF</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T00000001323375</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RELIANCE</w:t>
            </w:r>
          </w:p>
        </w:tc>
        <w:tc>
          <w:tcPr>
            <w:tcW w:w="500" w:type="dxa"/>
            <w:vAlign w:val="bottom"/>
            <w:gridSpan w:val="2"/>
          </w:tcPr>
          <w:p>
            <w:pPr>
              <w:jc w:val="right"/>
              <w:ind w:right="165"/>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1,309,721.00</w:t>
            </w:r>
          </w:p>
        </w:tc>
        <w:tc>
          <w:tcPr>
            <w:tcW w:w="102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USD</w:t>
            </w:r>
          </w:p>
        </w:tc>
        <w:tc>
          <w:tcPr>
            <w:tcW w:w="860" w:type="dxa"/>
            <w:vAlign w:val="bottom"/>
          </w:tcPr>
          <w:p>
            <w:pPr>
              <w:spacing w:after="0" w:line="201" w:lineRule="exact"/>
              <w:rPr>
                <w:sz w:val="20"/>
                <w:szCs w:val="20"/>
                <w:color w:val="auto"/>
              </w:rPr>
            </w:pPr>
            <w:r>
              <w:rPr>
                <w:rFonts w:ascii="Arial" w:cs="Arial" w:eastAsia="Arial" w:hAnsi="Arial"/>
                <w:sz w:val="18"/>
                <w:szCs w:val="18"/>
                <w:color w:val="auto"/>
              </w:rPr>
              <w:t>4/1/2005</w:t>
            </w:r>
          </w:p>
        </w:tc>
        <w:tc>
          <w:tcPr>
            <w:tcW w:w="162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4/15/2019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INSURANCE C</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T00000001335064</w:t>
            </w: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CITY OF CHICAGO,</w:t>
            </w:r>
          </w:p>
        </w:tc>
        <w:tc>
          <w:tcPr>
            <w:tcW w:w="500" w:type="dxa"/>
            <w:vAlign w:val="bottom"/>
            <w:gridSpan w:val="2"/>
            <w:shd w:val="clear" w:color="auto" w:fill="CCEEFF"/>
          </w:tcPr>
          <w:p>
            <w:pPr>
              <w:jc w:val="right"/>
              <w:ind w:right="165"/>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250,000.00</w:t>
            </w:r>
          </w:p>
        </w:tc>
        <w:tc>
          <w:tcPr>
            <w:tcW w:w="102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rPr>
              <w:t>USD</w:t>
            </w:r>
          </w:p>
        </w:tc>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4/1/2005</w:t>
            </w:r>
          </w:p>
        </w:tc>
        <w:tc>
          <w:tcPr>
            <w:tcW w:w="1620" w:type="dxa"/>
            <w:vAlign w:val="bottom"/>
            <w:tcBorders>
              <w:right w:val="single" w:sz="8" w:color="CCEEFF"/>
            </w:tcBorders>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5/16/2019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T00000001409712</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THE BANK OF NEW</w:t>
            </w:r>
          </w:p>
        </w:tc>
        <w:tc>
          <w:tcPr>
            <w:tcW w:w="500" w:type="dxa"/>
            <w:vAlign w:val="bottom"/>
            <w:gridSpan w:val="2"/>
          </w:tcPr>
          <w:p>
            <w:pPr>
              <w:jc w:val="right"/>
              <w:ind w:right="165"/>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15,140,035.00</w:t>
            </w:r>
          </w:p>
        </w:tc>
        <w:tc>
          <w:tcPr>
            <w:tcW w:w="102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USD</w:t>
            </w:r>
          </w:p>
        </w:tc>
        <w:tc>
          <w:tcPr>
            <w:tcW w:w="860" w:type="dxa"/>
            <w:vAlign w:val="bottom"/>
          </w:tcPr>
          <w:p>
            <w:pPr>
              <w:spacing w:after="0" w:line="201" w:lineRule="exact"/>
              <w:rPr>
                <w:sz w:val="20"/>
                <w:szCs w:val="20"/>
                <w:color w:val="auto"/>
              </w:rPr>
            </w:pPr>
            <w:r>
              <w:rPr>
                <w:rFonts w:ascii="Arial" w:cs="Arial" w:eastAsia="Arial" w:hAnsi="Arial"/>
                <w:sz w:val="18"/>
                <w:szCs w:val="18"/>
                <w:color w:val="auto"/>
              </w:rPr>
              <w:t>4/1/2005</w:t>
            </w:r>
          </w:p>
        </w:tc>
        <w:tc>
          <w:tcPr>
            <w:tcW w:w="162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6/1/2019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YORK</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T00000001411998</w:t>
            </w: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BANK OF NEW</w:t>
            </w:r>
          </w:p>
        </w:tc>
        <w:tc>
          <w:tcPr>
            <w:tcW w:w="500" w:type="dxa"/>
            <w:vAlign w:val="bottom"/>
            <w:gridSpan w:val="2"/>
            <w:shd w:val="clear" w:color="auto" w:fill="CCEEFF"/>
          </w:tcPr>
          <w:p>
            <w:pPr>
              <w:jc w:val="right"/>
              <w:ind w:right="165"/>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10,157,809.00</w:t>
            </w:r>
          </w:p>
        </w:tc>
        <w:tc>
          <w:tcPr>
            <w:tcW w:w="102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rPr>
              <w:t>USD</w:t>
            </w:r>
          </w:p>
        </w:tc>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4/1/2005</w:t>
            </w:r>
          </w:p>
        </w:tc>
        <w:tc>
          <w:tcPr>
            <w:tcW w:w="1620" w:type="dxa"/>
            <w:vAlign w:val="bottom"/>
            <w:tcBorders>
              <w:right w:val="single" w:sz="8" w:color="CCEEFF"/>
            </w:tcBorders>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7/1/2019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YORK</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T00000007270224</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COMMONWEALTH</w:t>
            </w:r>
          </w:p>
        </w:tc>
        <w:tc>
          <w:tcPr>
            <w:tcW w:w="500" w:type="dxa"/>
            <w:vAlign w:val="bottom"/>
            <w:gridSpan w:val="2"/>
          </w:tcPr>
          <w:p>
            <w:pPr>
              <w:jc w:val="right"/>
              <w:ind w:right="165"/>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225,326.00</w:t>
            </w:r>
          </w:p>
        </w:tc>
        <w:tc>
          <w:tcPr>
            <w:tcW w:w="102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USD</w:t>
            </w:r>
          </w:p>
        </w:tc>
        <w:tc>
          <w:tcPr>
            <w:tcW w:w="860" w:type="dxa"/>
            <w:vAlign w:val="bottom"/>
          </w:tcPr>
          <w:p>
            <w:pPr>
              <w:spacing w:after="0" w:line="201" w:lineRule="exact"/>
              <w:rPr>
                <w:sz w:val="20"/>
                <w:szCs w:val="20"/>
                <w:color w:val="auto"/>
              </w:rPr>
            </w:pPr>
            <w:r>
              <w:rPr>
                <w:rFonts w:ascii="Arial" w:cs="Arial" w:eastAsia="Arial" w:hAnsi="Arial"/>
                <w:sz w:val="18"/>
                <w:szCs w:val="18"/>
                <w:color w:val="auto"/>
              </w:rPr>
              <w:t>9/2/1998</w:t>
            </w:r>
          </w:p>
        </w:tc>
        <w:tc>
          <w:tcPr>
            <w:tcW w:w="162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8/31/2018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OF PENN</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T00000007270536</w:t>
            </w: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JEFFERSON COUNTY</w:t>
            </w:r>
          </w:p>
        </w:tc>
        <w:tc>
          <w:tcPr>
            <w:tcW w:w="500" w:type="dxa"/>
            <w:vAlign w:val="bottom"/>
            <w:gridSpan w:val="2"/>
            <w:shd w:val="clear" w:color="auto" w:fill="CCEEFF"/>
          </w:tcPr>
          <w:p>
            <w:pPr>
              <w:jc w:val="right"/>
              <w:ind w:right="165"/>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2,702,500.00</w:t>
            </w:r>
          </w:p>
        </w:tc>
        <w:tc>
          <w:tcPr>
            <w:tcW w:w="102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rPr>
              <w:t>USD</w:t>
            </w:r>
          </w:p>
        </w:tc>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7/21/1998</w:t>
            </w:r>
          </w:p>
        </w:tc>
        <w:tc>
          <w:tcPr>
            <w:tcW w:w="1620" w:type="dxa"/>
            <w:vAlign w:val="bottom"/>
            <w:tcBorders>
              <w:right w:val="single" w:sz="8" w:color="CCEEFF"/>
            </w:tcBorders>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8/31/2018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T00000007310687</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WEST VIRGINIA</w:t>
            </w:r>
          </w:p>
        </w:tc>
        <w:tc>
          <w:tcPr>
            <w:tcW w:w="500" w:type="dxa"/>
            <w:vAlign w:val="bottom"/>
            <w:gridSpan w:val="2"/>
          </w:tcPr>
          <w:p>
            <w:pPr>
              <w:jc w:val="right"/>
              <w:ind w:right="165"/>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32,000.00</w:t>
            </w:r>
          </w:p>
        </w:tc>
        <w:tc>
          <w:tcPr>
            <w:tcW w:w="102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USD</w:t>
            </w:r>
          </w:p>
        </w:tc>
        <w:tc>
          <w:tcPr>
            <w:tcW w:w="860" w:type="dxa"/>
            <w:vAlign w:val="bottom"/>
          </w:tcPr>
          <w:p>
            <w:pPr>
              <w:spacing w:after="0" w:line="201" w:lineRule="exact"/>
              <w:rPr>
                <w:sz w:val="20"/>
                <w:szCs w:val="20"/>
                <w:color w:val="auto"/>
              </w:rPr>
            </w:pPr>
            <w:r>
              <w:rPr>
                <w:rFonts w:ascii="Arial" w:cs="Arial" w:eastAsia="Arial" w:hAnsi="Arial"/>
                <w:sz w:val="18"/>
                <w:szCs w:val="18"/>
                <w:color w:val="auto"/>
              </w:rPr>
              <w:t>7/23/1998</w:t>
            </w:r>
          </w:p>
        </w:tc>
        <w:tc>
          <w:tcPr>
            <w:tcW w:w="162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12/31/2018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DEPART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T00000007319982</w:t>
            </w: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MUNISING LANDFILL</w:t>
            </w:r>
          </w:p>
        </w:tc>
        <w:tc>
          <w:tcPr>
            <w:tcW w:w="500" w:type="dxa"/>
            <w:vAlign w:val="bottom"/>
            <w:gridSpan w:val="2"/>
            <w:shd w:val="clear" w:color="auto" w:fill="CCEEFF"/>
          </w:tcPr>
          <w:p>
            <w:pPr>
              <w:jc w:val="right"/>
              <w:ind w:right="165"/>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313,237.00</w:t>
            </w:r>
          </w:p>
        </w:tc>
        <w:tc>
          <w:tcPr>
            <w:tcW w:w="102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rPr>
              <w:t>USD</w:t>
            </w:r>
          </w:p>
        </w:tc>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8/21/1998</w:t>
            </w:r>
          </w:p>
        </w:tc>
        <w:tc>
          <w:tcPr>
            <w:tcW w:w="1620" w:type="dxa"/>
            <w:vAlign w:val="bottom"/>
            <w:tcBorders>
              <w:right w:val="single" w:sz="8" w:color="CCEEFF"/>
            </w:tcBorders>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12/31/2018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T00000007400118</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LUMBERMENS</w:t>
            </w:r>
          </w:p>
        </w:tc>
        <w:tc>
          <w:tcPr>
            <w:tcW w:w="500" w:type="dxa"/>
            <w:vAlign w:val="bottom"/>
            <w:gridSpan w:val="2"/>
          </w:tcPr>
          <w:p>
            <w:pPr>
              <w:jc w:val="right"/>
              <w:ind w:right="165"/>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20,000.00</w:t>
            </w:r>
          </w:p>
        </w:tc>
        <w:tc>
          <w:tcPr>
            <w:tcW w:w="102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USD</w:t>
            </w:r>
          </w:p>
        </w:tc>
        <w:tc>
          <w:tcPr>
            <w:tcW w:w="860" w:type="dxa"/>
            <w:vAlign w:val="bottom"/>
          </w:tcPr>
          <w:p>
            <w:pPr>
              <w:spacing w:after="0" w:line="201" w:lineRule="exact"/>
              <w:rPr>
                <w:sz w:val="20"/>
                <w:szCs w:val="20"/>
                <w:color w:val="auto"/>
              </w:rPr>
            </w:pPr>
            <w:r>
              <w:rPr>
                <w:rFonts w:ascii="Arial" w:cs="Arial" w:eastAsia="Arial" w:hAnsi="Arial"/>
                <w:sz w:val="18"/>
                <w:szCs w:val="18"/>
                <w:color w:val="auto"/>
              </w:rPr>
              <w:t>9/3/1998</w:t>
            </w:r>
          </w:p>
        </w:tc>
        <w:tc>
          <w:tcPr>
            <w:tcW w:w="162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9/30/2018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MUTUAL CA</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T00000007400153</w:t>
            </w: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CHIEF ACCOUNTANT</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510,000.00</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USD</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9/7/1998</w:t>
            </w:r>
          </w:p>
        </w:tc>
        <w:tc>
          <w:tcPr>
            <w:tcW w:w="1620" w:type="dxa"/>
            <w:vAlign w:val="bottom"/>
            <w:tcBorders>
              <w:righ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9/30/2018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shd w:val="clear" w:color="auto" w:fill="CCEEFF"/>
          </w:tcPr>
          <w:p>
            <w:pPr>
              <w:ind w:left="2520"/>
              <w:spacing w:after="0"/>
              <w:rPr>
                <w:sz w:val="20"/>
                <w:szCs w:val="20"/>
                <w:color w:val="auto"/>
              </w:rPr>
            </w:pPr>
            <w:r>
              <w:rPr>
                <w:rFonts w:ascii="Arial" w:cs="Arial" w:eastAsia="Arial" w:hAnsi="Arial"/>
                <w:sz w:val="18"/>
                <w:szCs w:val="18"/>
                <w:color w:val="auto"/>
                <w:w w:val="97"/>
              </w:rPr>
              <w:t>T00000007400154</w:t>
            </w: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LUMBERMEN’S</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100,000.00</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9/7/1998</w:t>
            </w:r>
          </w:p>
        </w:tc>
        <w:tc>
          <w:tcPr>
            <w:tcW w:w="1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9/30/2018</w:t>
            </w:r>
          </w:p>
        </w:tc>
      </w:tr>
      <w:tr>
        <w:trPr>
          <w:trHeight w:val="230"/>
        </w:trPr>
        <w:tc>
          <w:tcPr>
            <w:tcW w:w="4020" w:type="dxa"/>
            <w:vAlign w:val="bottom"/>
            <w:shd w:val="clear" w:color="auto" w:fill="CCEEFF"/>
          </w:tcPr>
          <w:p>
            <w:pPr>
              <w:spacing w:after="0"/>
              <w:rPr>
                <w:sz w:val="20"/>
                <w:szCs w:val="20"/>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UNDERWR</w:t>
            </w:r>
          </w:p>
        </w:tc>
        <w:tc>
          <w:tcPr>
            <w:tcW w:w="5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02"/>
        </w:trPr>
        <w:tc>
          <w:tcPr>
            <w:tcW w:w="4020" w:type="dxa"/>
            <w:vAlign w:val="bottom"/>
          </w:tcPr>
          <w:p>
            <w:pPr>
              <w:ind w:left="2520"/>
              <w:spacing w:after="0" w:line="201" w:lineRule="exact"/>
              <w:rPr>
                <w:sz w:val="20"/>
                <w:szCs w:val="20"/>
                <w:color w:val="auto"/>
              </w:rPr>
            </w:pPr>
            <w:r>
              <w:rPr>
                <w:rFonts w:ascii="Arial" w:cs="Arial" w:eastAsia="Arial" w:hAnsi="Arial"/>
                <w:sz w:val="18"/>
                <w:szCs w:val="18"/>
                <w:color w:val="auto"/>
                <w:w w:val="97"/>
              </w:rPr>
              <w:t>T00000007402063</w:t>
            </w:r>
          </w:p>
        </w:tc>
        <w:tc>
          <w:tcPr>
            <w:tcW w:w="2020" w:type="dxa"/>
            <w:vAlign w:val="bottom"/>
          </w:tcPr>
          <w:p>
            <w:pPr>
              <w:ind w:left="100"/>
              <w:spacing w:after="0" w:line="201" w:lineRule="exact"/>
              <w:rPr>
                <w:sz w:val="20"/>
                <w:szCs w:val="20"/>
                <w:color w:val="auto"/>
              </w:rPr>
            </w:pPr>
            <w:r>
              <w:rPr>
                <w:rFonts w:ascii="Arial" w:cs="Arial" w:eastAsia="Arial" w:hAnsi="Arial"/>
                <w:sz w:val="18"/>
                <w:szCs w:val="18"/>
                <w:color w:val="auto"/>
              </w:rPr>
              <w:t>CAPE MAY COUNTY</w:t>
            </w:r>
          </w:p>
        </w:tc>
        <w:tc>
          <w:tcPr>
            <w:tcW w:w="54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200,000.00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tcPr>
          <w:p>
            <w:pPr>
              <w:ind w:left="80"/>
              <w:spacing w:after="0" w:line="201" w:lineRule="exact"/>
              <w:rPr>
                <w:sz w:val="20"/>
                <w:szCs w:val="20"/>
                <w:color w:val="auto"/>
              </w:rPr>
            </w:pPr>
            <w:r>
              <w:rPr>
                <w:rFonts w:ascii="Arial" w:cs="Arial" w:eastAsia="Arial" w:hAnsi="Arial"/>
                <w:sz w:val="18"/>
                <w:szCs w:val="18"/>
                <w:color w:val="auto"/>
              </w:rPr>
              <w:t>6/11/1999</w:t>
            </w:r>
          </w:p>
        </w:tc>
        <w:tc>
          <w:tcPr>
            <w:tcW w:w="1420" w:type="dxa"/>
            <w:vAlign w:val="bottom"/>
          </w:tcPr>
          <w:p>
            <w:pPr>
              <w:ind w:left="240"/>
              <w:spacing w:after="0" w:line="201" w:lineRule="exact"/>
              <w:rPr>
                <w:sz w:val="20"/>
                <w:szCs w:val="20"/>
                <w:color w:val="auto"/>
              </w:rPr>
            </w:pPr>
            <w:r>
              <w:rPr>
                <w:rFonts w:ascii="Arial" w:cs="Arial" w:eastAsia="Arial" w:hAnsi="Arial"/>
                <w:sz w:val="18"/>
                <w:szCs w:val="18"/>
                <w:color w:val="auto"/>
              </w:rPr>
              <w:t>7/1/2018</w:t>
            </w:r>
          </w:p>
        </w:tc>
      </w:tr>
      <w:tr>
        <w:trPr>
          <w:trHeight w:val="230"/>
        </w:trPr>
        <w:tc>
          <w:tcPr>
            <w:tcW w:w="402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MUNI</w:t>
            </w:r>
          </w:p>
        </w:tc>
        <w:tc>
          <w:tcPr>
            <w:tcW w:w="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4020" w:type="dxa"/>
            <w:vAlign w:val="bottom"/>
            <w:shd w:val="clear" w:color="auto" w:fill="CCEEFF"/>
          </w:tcPr>
          <w:p>
            <w:pPr>
              <w:ind w:left="2520"/>
              <w:spacing w:after="0"/>
              <w:rPr>
                <w:sz w:val="20"/>
                <w:szCs w:val="20"/>
                <w:color w:val="auto"/>
              </w:rPr>
            </w:pPr>
            <w:r>
              <w:rPr>
                <w:rFonts w:ascii="Arial" w:cs="Arial" w:eastAsia="Arial" w:hAnsi="Arial"/>
                <w:sz w:val="18"/>
                <w:szCs w:val="18"/>
                <w:color w:val="auto"/>
                <w:w w:val="97"/>
              </w:rPr>
              <w:t>T00000007403099</w:t>
            </w: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OF NEVADA</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70,000.00</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12/27/1999</w:t>
            </w:r>
          </w:p>
        </w:tc>
        <w:tc>
          <w:tcPr>
            <w:tcW w:w="1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12/31/2018</w:t>
            </w:r>
          </w:p>
        </w:tc>
      </w:tr>
      <w:tr>
        <w:trPr>
          <w:trHeight w:val="202"/>
        </w:trPr>
        <w:tc>
          <w:tcPr>
            <w:tcW w:w="4020" w:type="dxa"/>
            <w:vAlign w:val="bottom"/>
          </w:tcPr>
          <w:p>
            <w:pPr>
              <w:ind w:left="2540"/>
              <w:spacing w:after="0" w:line="201" w:lineRule="exact"/>
              <w:rPr>
                <w:sz w:val="20"/>
                <w:szCs w:val="20"/>
                <w:color w:val="auto"/>
              </w:rPr>
            </w:pPr>
            <w:r>
              <w:rPr>
                <w:rFonts w:ascii="Arial" w:cs="Arial" w:eastAsia="Arial" w:hAnsi="Arial"/>
                <w:sz w:val="18"/>
                <w:szCs w:val="18"/>
                <w:color w:val="auto"/>
                <w:w w:val="96"/>
              </w:rPr>
              <w:t>T00000007404115</w:t>
            </w:r>
          </w:p>
        </w:tc>
        <w:tc>
          <w:tcPr>
            <w:tcW w:w="2020" w:type="dxa"/>
            <w:vAlign w:val="bottom"/>
          </w:tcPr>
          <w:p>
            <w:pPr>
              <w:ind w:left="100"/>
              <w:spacing w:after="0" w:line="201" w:lineRule="exact"/>
              <w:rPr>
                <w:sz w:val="20"/>
                <w:szCs w:val="20"/>
                <w:color w:val="auto"/>
              </w:rPr>
            </w:pPr>
            <w:r>
              <w:rPr>
                <w:rFonts w:ascii="Arial" w:cs="Arial" w:eastAsia="Arial" w:hAnsi="Arial"/>
                <w:sz w:val="18"/>
                <w:szCs w:val="18"/>
                <w:color w:val="auto"/>
              </w:rPr>
              <w:t>CITY OF DIAMOND</w:t>
            </w:r>
          </w:p>
        </w:tc>
        <w:tc>
          <w:tcPr>
            <w:tcW w:w="54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125,000.00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tcPr>
          <w:p>
            <w:pPr>
              <w:ind w:left="80"/>
              <w:spacing w:after="0" w:line="201" w:lineRule="exact"/>
              <w:rPr>
                <w:sz w:val="20"/>
                <w:szCs w:val="20"/>
                <w:color w:val="auto"/>
              </w:rPr>
            </w:pPr>
            <w:r>
              <w:rPr>
                <w:rFonts w:ascii="Arial" w:cs="Arial" w:eastAsia="Arial" w:hAnsi="Arial"/>
                <w:sz w:val="18"/>
                <w:szCs w:val="18"/>
                <w:color w:val="auto"/>
              </w:rPr>
              <w:t>9/1/2000</w:t>
            </w:r>
          </w:p>
        </w:tc>
        <w:tc>
          <w:tcPr>
            <w:tcW w:w="1420" w:type="dxa"/>
            <w:vAlign w:val="bottom"/>
          </w:tcPr>
          <w:p>
            <w:pPr>
              <w:ind w:left="240"/>
              <w:spacing w:after="0" w:line="201" w:lineRule="exact"/>
              <w:rPr>
                <w:sz w:val="20"/>
                <w:szCs w:val="20"/>
                <w:color w:val="auto"/>
              </w:rPr>
            </w:pPr>
            <w:r>
              <w:rPr>
                <w:rFonts w:ascii="Arial" w:cs="Arial" w:eastAsia="Arial" w:hAnsi="Arial"/>
                <w:sz w:val="18"/>
                <w:szCs w:val="18"/>
                <w:color w:val="auto"/>
              </w:rPr>
              <w:t>8/31/2018</w:t>
            </w:r>
          </w:p>
        </w:tc>
      </w:tr>
      <w:tr>
        <w:trPr>
          <w:trHeight w:val="230"/>
        </w:trPr>
        <w:tc>
          <w:tcPr>
            <w:tcW w:w="402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BAR</w:t>
            </w:r>
          </w:p>
        </w:tc>
        <w:tc>
          <w:tcPr>
            <w:tcW w:w="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02"/>
        </w:trPr>
        <w:tc>
          <w:tcPr>
            <w:tcW w:w="4020" w:type="dxa"/>
            <w:vAlign w:val="bottom"/>
            <w:shd w:val="clear" w:color="auto" w:fill="CCEEFF"/>
          </w:tcPr>
          <w:p>
            <w:pPr>
              <w:ind w:left="2520"/>
              <w:spacing w:after="0" w:line="201" w:lineRule="exact"/>
              <w:rPr>
                <w:sz w:val="20"/>
                <w:szCs w:val="20"/>
                <w:color w:val="auto"/>
              </w:rPr>
            </w:pPr>
            <w:r>
              <w:rPr>
                <w:rFonts w:ascii="Arial" w:cs="Arial" w:eastAsia="Arial" w:hAnsi="Arial"/>
                <w:sz w:val="18"/>
                <w:szCs w:val="18"/>
                <w:color w:val="auto"/>
                <w:w w:val="97"/>
              </w:rPr>
              <w:t>T00000007404298</w:t>
            </w:r>
          </w:p>
        </w:tc>
        <w:tc>
          <w:tcPr>
            <w:tcW w:w="20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CHARTER TOWNSHIP</w:t>
            </w:r>
          </w:p>
        </w:tc>
        <w:tc>
          <w:tcPr>
            <w:tcW w:w="540" w:type="dxa"/>
            <w:vAlign w:val="bottom"/>
            <w:shd w:val="clear" w:color="auto" w:fill="CCEEFF"/>
          </w:tcPr>
          <w:p>
            <w:pPr>
              <w:jc w:val="right"/>
              <w:ind w:right="270"/>
              <w:spacing w:after="0" w:line="201"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100,000.00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10/16/2000</w:t>
            </w:r>
          </w:p>
        </w:tc>
        <w:tc>
          <w:tcPr>
            <w:tcW w:w="1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10/31/2018</w:t>
            </w:r>
          </w:p>
        </w:tc>
      </w:tr>
      <w:tr>
        <w:trPr>
          <w:trHeight w:val="230"/>
        </w:trPr>
        <w:tc>
          <w:tcPr>
            <w:tcW w:w="4020" w:type="dxa"/>
            <w:vAlign w:val="bottom"/>
            <w:shd w:val="clear" w:color="auto" w:fill="CCEEFF"/>
          </w:tcPr>
          <w:p>
            <w:pPr>
              <w:spacing w:after="0"/>
              <w:rPr>
                <w:sz w:val="20"/>
                <w:szCs w:val="20"/>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w:t>
            </w:r>
          </w:p>
        </w:tc>
        <w:tc>
          <w:tcPr>
            <w:tcW w:w="5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16"/>
        </w:trPr>
        <w:tc>
          <w:tcPr>
            <w:tcW w:w="4020" w:type="dxa"/>
            <w:vAlign w:val="bottom"/>
          </w:tcPr>
          <w:p>
            <w:pPr>
              <w:ind w:left="2520"/>
              <w:spacing w:after="0"/>
              <w:rPr>
                <w:sz w:val="20"/>
                <w:szCs w:val="20"/>
                <w:color w:val="auto"/>
              </w:rPr>
            </w:pPr>
            <w:r>
              <w:rPr>
                <w:rFonts w:ascii="Arial" w:cs="Arial" w:eastAsia="Arial" w:hAnsi="Arial"/>
                <w:sz w:val="18"/>
                <w:szCs w:val="18"/>
                <w:color w:val="auto"/>
                <w:w w:val="97"/>
              </w:rPr>
              <w:t>T00000007404522</w:t>
            </w:r>
          </w:p>
        </w:tc>
        <w:tc>
          <w:tcPr>
            <w:tcW w:w="2020" w:type="dxa"/>
            <w:vAlign w:val="bottom"/>
          </w:tcPr>
          <w:p>
            <w:pPr>
              <w:ind w:left="100"/>
              <w:spacing w:after="0"/>
              <w:rPr>
                <w:sz w:val="20"/>
                <w:szCs w:val="20"/>
                <w:color w:val="auto"/>
              </w:rPr>
            </w:pPr>
            <w:r>
              <w:rPr>
                <w:rFonts w:ascii="Arial" w:cs="Arial" w:eastAsia="Arial" w:hAnsi="Arial"/>
                <w:sz w:val="18"/>
                <w:szCs w:val="18"/>
                <w:color w:val="auto"/>
              </w:rPr>
              <w:t>CITY OF CHICAGO</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5,000.00</w:t>
            </w:r>
          </w:p>
        </w:tc>
        <w:tc>
          <w:tcPr>
            <w:tcW w:w="780" w:type="dxa"/>
            <w:vAlign w:val="bottom"/>
          </w:tcPr>
          <w:p>
            <w:pPr>
              <w:ind w:left="340"/>
              <w:spacing w:after="0"/>
              <w:rPr>
                <w:sz w:val="20"/>
                <w:szCs w:val="20"/>
                <w:color w:val="auto"/>
              </w:rPr>
            </w:pPr>
            <w:r>
              <w:rPr>
                <w:rFonts w:ascii="Arial" w:cs="Arial" w:eastAsia="Arial" w:hAnsi="Arial"/>
                <w:sz w:val="18"/>
                <w:szCs w:val="18"/>
                <w:color w:val="auto"/>
              </w:rPr>
              <w:t>USD</w:t>
            </w:r>
          </w:p>
        </w:tc>
        <w:tc>
          <w:tcPr>
            <w:tcW w:w="1140" w:type="dxa"/>
            <w:vAlign w:val="bottom"/>
          </w:tcPr>
          <w:p>
            <w:pPr>
              <w:ind w:left="80"/>
              <w:spacing w:after="0"/>
              <w:rPr>
                <w:sz w:val="20"/>
                <w:szCs w:val="20"/>
                <w:color w:val="auto"/>
              </w:rPr>
            </w:pPr>
            <w:r>
              <w:rPr>
                <w:rFonts w:ascii="Arial" w:cs="Arial" w:eastAsia="Arial" w:hAnsi="Arial"/>
                <w:sz w:val="18"/>
                <w:szCs w:val="18"/>
                <w:color w:val="auto"/>
              </w:rPr>
              <w:t>12/11/2000</w:t>
            </w:r>
          </w:p>
        </w:tc>
        <w:tc>
          <w:tcPr>
            <w:tcW w:w="1420" w:type="dxa"/>
            <w:vAlign w:val="bottom"/>
          </w:tcPr>
          <w:p>
            <w:pPr>
              <w:ind w:left="240"/>
              <w:spacing w:after="0"/>
              <w:rPr>
                <w:sz w:val="20"/>
                <w:szCs w:val="20"/>
                <w:color w:val="auto"/>
              </w:rPr>
            </w:pPr>
            <w:r>
              <w:rPr>
                <w:rFonts w:ascii="Arial" w:cs="Arial" w:eastAsia="Arial" w:hAnsi="Arial"/>
                <w:sz w:val="18"/>
                <w:szCs w:val="18"/>
                <w:color w:val="auto"/>
              </w:rPr>
              <w:t>12/1/2018</w:t>
            </w:r>
          </w:p>
        </w:tc>
      </w:tr>
      <w:tr>
        <w:trPr>
          <w:trHeight w:val="216"/>
        </w:trPr>
        <w:tc>
          <w:tcPr>
            <w:tcW w:w="4020" w:type="dxa"/>
            <w:vAlign w:val="bottom"/>
            <w:shd w:val="clear" w:color="auto" w:fill="CCEEFF"/>
          </w:tcPr>
          <w:p>
            <w:pPr>
              <w:ind w:left="2520"/>
              <w:spacing w:after="0"/>
              <w:rPr>
                <w:sz w:val="20"/>
                <w:szCs w:val="20"/>
                <w:color w:val="auto"/>
              </w:rPr>
            </w:pPr>
            <w:r>
              <w:rPr>
                <w:rFonts w:ascii="Arial" w:cs="Arial" w:eastAsia="Arial" w:hAnsi="Arial"/>
                <w:sz w:val="18"/>
                <w:szCs w:val="18"/>
                <w:color w:val="auto"/>
                <w:w w:val="97"/>
              </w:rPr>
              <w:t>T00000007404577</w:t>
            </w: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CITY OF CHICAGO</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5,000.00</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12/19/2000</w:t>
            </w:r>
          </w:p>
        </w:tc>
        <w:tc>
          <w:tcPr>
            <w:tcW w:w="1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12/31/2018</w:t>
            </w:r>
          </w:p>
        </w:tc>
      </w:tr>
    </w:tbl>
    <w:p>
      <w:pPr>
        <w:sectPr>
          <w:pgSz w:w="11900" w:h="16838" w:orient="portrait"/>
          <w:cols w:equalWidth="0" w:num="1">
            <w:col w:w="11460"/>
          </w:cols>
          <w:pgMar w:left="240" w:top="337" w:right="199" w:bottom="0" w:gutter="0" w:footer="0" w:header="0"/>
        </w:sectPr>
      </w:pPr>
    </w:p>
    <w:bookmarkStart w:id="78" w:name="page79"/>
    <w:bookmarkEnd w:id="7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ind w:left="2520"/>
              <w:spacing w:after="0"/>
              <w:rPr>
                <w:sz w:val="20"/>
                <w:szCs w:val="20"/>
                <w:color w:val="auto"/>
              </w:rPr>
            </w:pPr>
            <w:r>
              <w:rPr>
                <w:rFonts w:ascii="Arial" w:cs="Arial" w:eastAsia="Arial" w:hAnsi="Arial"/>
                <w:sz w:val="18"/>
                <w:szCs w:val="18"/>
                <w:color w:val="auto"/>
                <w:w w:val="97"/>
              </w:rPr>
              <w:t>T00000007405890</w:t>
            </w:r>
          </w:p>
        </w:tc>
        <w:tc>
          <w:tcPr>
            <w:tcW w:w="1940" w:type="dxa"/>
            <w:vAlign w:val="bottom"/>
          </w:tcPr>
          <w:p>
            <w:pPr>
              <w:ind w:left="100"/>
              <w:spacing w:after="0"/>
              <w:rPr>
                <w:sz w:val="20"/>
                <w:szCs w:val="20"/>
                <w:color w:val="auto"/>
              </w:rPr>
            </w:pPr>
            <w:r>
              <w:rPr>
                <w:rFonts w:ascii="Arial" w:cs="Arial" w:eastAsia="Arial" w:hAnsi="Arial"/>
                <w:sz w:val="18"/>
                <w:szCs w:val="18"/>
                <w:color w:val="auto"/>
              </w:rPr>
              <w:t>NATIONAL UNION</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244,145.00</w:t>
            </w:r>
          </w:p>
        </w:tc>
        <w:tc>
          <w:tcPr>
            <w:tcW w:w="780" w:type="dxa"/>
            <w:vAlign w:val="bottom"/>
          </w:tcPr>
          <w:p>
            <w:pPr>
              <w:ind w:left="340"/>
              <w:spacing w:after="0"/>
              <w:rPr>
                <w:sz w:val="20"/>
                <w:szCs w:val="20"/>
                <w:color w:val="auto"/>
              </w:rPr>
            </w:pPr>
            <w:r>
              <w:rPr>
                <w:rFonts w:ascii="Arial" w:cs="Arial" w:eastAsia="Arial" w:hAnsi="Arial"/>
                <w:sz w:val="18"/>
                <w:szCs w:val="18"/>
                <w:color w:val="auto"/>
              </w:rPr>
              <w:t>USD</w:t>
            </w:r>
          </w:p>
        </w:tc>
        <w:tc>
          <w:tcPr>
            <w:tcW w:w="1120" w:type="dxa"/>
            <w:vAlign w:val="bottom"/>
          </w:tcPr>
          <w:p>
            <w:pPr>
              <w:ind w:left="80"/>
              <w:spacing w:after="0"/>
              <w:rPr>
                <w:sz w:val="20"/>
                <w:szCs w:val="20"/>
                <w:color w:val="auto"/>
              </w:rPr>
            </w:pPr>
            <w:r>
              <w:rPr>
                <w:rFonts w:ascii="Arial" w:cs="Arial" w:eastAsia="Arial" w:hAnsi="Arial"/>
                <w:sz w:val="18"/>
                <w:szCs w:val="18"/>
                <w:color w:val="auto"/>
              </w:rPr>
              <w:t>10/4/2001</w:t>
            </w:r>
          </w:p>
        </w:tc>
        <w:tc>
          <w:tcPr>
            <w:tcW w:w="1440" w:type="dxa"/>
            <w:vAlign w:val="bottom"/>
          </w:tcPr>
          <w:p>
            <w:pPr>
              <w:ind w:left="260"/>
              <w:spacing w:after="0"/>
              <w:rPr>
                <w:sz w:val="20"/>
                <w:szCs w:val="20"/>
                <w:color w:val="auto"/>
              </w:rPr>
            </w:pPr>
            <w:r>
              <w:rPr>
                <w:rFonts w:ascii="Arial" w:cs="Arial" w:eastAsia="Arial" w:hAnsi="Arial"/>
                <w:sz w:val="18"/>
                <w:szCs w:val="18"/>
                <w:color w:val="auto"/>
              </w:rPr>
              <w:t>10/3/2018</w:t>
            </w:r>
          </w:p>
        </w:tc>
        <w:tc>
          <w:tcPr>
            <w:tcW w:w="40" w:type="dxa"/>
            <w:vAlign w:val="bottom"/>
          </w:tcPr>
          <w:p>
            <w:pPr>
              <w:spacing w:after="0"/>
              <w:rPr>
                <w:sz w:val="18"/>
                <w:szCs w:val="18"/>
                <w:color w:val="auto"/>
              </w:rPr>
            </w:pPr>
          </w:p>
        </w:tc>
      </w:tr>
      <w:tr>
        <w:trPr>
          <w:trHeight w:val="230"/>
        </w:trPr>
        <w:tc>
          <w:tcPr>
            <w:tcW w:w="4020" w:type="dxa"/>
            <w:vAlign w:val="bottom"/>
          </w:tcPr>
          <w:p>
            <w:pPr>
              <w:spacing w:after="0"/>
              <w:rPr>
                <w:sz w:val="20"/>
                <w:szCs w:val="20"/>
                <w:color w:val="auto"/>
              </w:rPr>
            </w:pPr>
          </w:p>
        </w:tc>
        <w:tc>
          <w:tcPr>
            <w:tcW w:w="1940" w:type="dxa"/>
            <w:vAlign w:val="bottom"/>
          </w:tcPr>
          <w:p>
            <w:pPr>
              <w:ind w:left="100"/>
              <w:spacing w:after="0"/>
              <w:rPr>
                <w:sz w:val="20"/>
                <w:szCs w:val="20"/>
                <w:color w:val="auto"/>
              </w:rPr>
            </w:pPr>
            <w:r>
              <w:rPr>
                <w:rFonts w:ascii="Arial" w:cs="Arial" w:eastAsia="Arial" w:hAnsi="Arial"/>
                <w:sz w:val="18"/>
                <w:szCs w:val="18"/>
                <w:color w:val="auto"/>
              </w:rPr>
              <w:t>FIRE</w:t>
            </w: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shd w:val="clear" w:color="auto" w:fill="CCEEFF"/>
          </w:tcPr>
          <w:p>
            <w:pPr>
              <w:ind w:left="2520"/>
              <w:spacing w:after="0" w:line="201" w:lineRule="exact"/>
              <w:rPr>
                <w:sz w:val="20"/>
                <w:szCs w:val="20"/>
                <w:color w:val="auto"/>
              </w:rPr>
            </w:pPr>
            <w:r>
              <w:rPr>
                <w:rFonts w:ascii="Arial" w:cs="Arial" w:eastAsia="Arial" w:hAnsi="Arial"/>
                <w:sz w:val="18"/>
                <w:szCs w:val="18"/>
                <w:color w:val="auto"/>
                <w:w w:val="97"/>
              </w:rPr>
              <w:t>T00000007410766</w:t>
            </w:r>
          </w:p>
        </w:tc>
        <w:tc>
          <w:tcPr>
            <w:tcW w:w="1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VILLAGE OF</w:t>
            </w:r>
          </w:p>
        </w:tc>
        <w:tc>
          <w:tcPr>
            <w:tcW w:w="52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700,000.00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1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12/3/2002</w:t>
            </w:r>
          </w:p>
        </w:tc>
        <w:tc>
          <w:tcPr>
            <w:tcW w:w="14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4/30/2019</w:t>
            </w:r>
          </w:p>
        </w:tc>
        <w:tc>
          <w:tcPr>
            <w:tcW w:w="40" w:type="dxa"/>
            <w:vAlign w:val="bottom"/>
          </w:tcPr>
          <w:p>
            <w:pPr>
              <w:spacing w:after="0"/>
              <w:rPr>
                <w:sz w:val="17"/>
                <w:szCs w:val="17"/>
                <w:color w:val="auto"/>
              </w:rPr>
            </w:pPr>
          </w:p>
        </w:tc>
      </w:tr>
      <w:tr>
        <w:trPr>
          <w:trHeight w:val="230"/>
        </w:trPr>
        <w:tc>
          <w:tcPr>
            <w:tcW w:w="4020" w:type="dxa"/>
            <w:vAlign w:val="bottom"/>
            <w:shd w:val="clear" w:color="auto" w:fill="CCEEFF"/>
          </w:tcPr>
          <w:p>
            <w:pPr>
              <w:spacing w:after="0"/>
              <w:rPr>
                <w:sz w:val="20"/>
                <w:szCs w:val="20"/>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WESTMONT</w:t>
            </w:r>
          </w:p>
        </w:tc>
        <w:tc>
          <w:tcPr>
            <w:tcW w:w="5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tcPr>
          <w:p>
            <w:pPr>
              <w:ind w:left="2520"/>
              <w:spacing w:after="0" w:line="201" w:lineRule="exact"/>
              <w:rPr>
                <w:sz w:val="20"/>
                <w:szCs w:val="20"/>
                <w:color w:val="auto"/>
              </w:rPr>
            </w:pPr>
            <w:r>
              <w:rPr>
                <w:rFonts w:ascii="Arial" w:cs="Arial" w:eastAsia="Arial" w:hAnsi="Arial"/>
                <w:sz w:val="18"/>
                <w:szCs w:val="18"/>
                <w:color w:val="auto"/>
                <w:w w:val="97"/>
              </w:rPr>
              <w:t>T00000007412800</w:t>
            </w:r>
          </w:p>
        </w:tc>
        <w:tc>
          <w:tcPr>
            <w:tcW w:w="1940" w:type="dxa"/>
            <w:vAlign w:val="bottom"/>
          </w:tcPr>
          <w:p>
            <w:pPr>
              <w:ind w:left="100"/>
              <w:spacing w:after="0" w:line="201" w:lineRule="exact"/>
              <w:rPr>
                <w:sz w:val="20"/>
                <w:szCs w:val="20"/>
                <w:color w:val="auto"/>
              </w:rPr>
            </w:pPr>
            <w:r>
              <w:rPr>
                <w:rFonts w:ascii="Arial" w:cs="Arial" w:eastAsia="Arial" w:hAnsi="Arial"/>
                <w:sz w:val="18"/>
                <w:szCs w:val="18"/>
                <w:color w:val="auto"/>
              </w:rPr>
              <w:t>DEUTSCHE BANK</w:t>
            </w:r>
          </w:p>
        </w:tc>
        <w:tc>
          <w:tcPr>
            <w:tcW w:w="52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10,118,357.00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20" w:type="dxa"/>
            <w:vAlign w:val="bottom"/>
          </w:tcPr>
          <w:p>
            <w:pPr>
              <w:ind w:left="80"/>
              <w:spacing w:after="0" w:line="201" w:lineRule="exact"/>
              <w:rPr>
                <w:sz w:val="20"/>
                <w:szCs w:val="20"/>
                <w:color w:val="auto"/>
              </w:rPr>
            </w:pPr>
            <w:r>
              <w:rPr>
                <w:rFonts w:ascii="Arial" w:cs="Arial" w:eastAsia="Arial" w:hAnsi="Arial"/>
                <w:sz w:val="18"/>
                <w:szCs w:val="18"/>
                <w:color w:val="auto"/>
              </w:rPr>
              <w:t>11/20/2003</w:t>
            </w:r>
          </w:p>
        </w:tc>
        <w:tc>
          <w:tcPr>
            <w:tcW w:w="1440" w:type="dxa"/>
            <w:vAlign w:val="bottom"/>
          </w:tcPr>
          <w:p>
            <w:pPr>
              <w:ind w:left="260"/>
              <w:spacing w:after="0" w:line="201" w:lineRule="exact"/>
              <w:rPr>
                <w:sz w:val="20"/>
                <w:szCs w:val="20"/>
                <w:color w:val="auto"/>
              </w:rPr>
            </w:pPr>
            <w:r>
              <w:rPr>
                <w:rFonts w:ascii="Arial" w:cs="Arial" w:eastAsia="Arial" w:hAnsi="Arial"/>
                <w:sz w:val="18"/>
                <w:szCs w:val="18"/>
                <w:color w:val="auto"/>
              </w:rPr>
              <w:t>11/1/2018</w:t>
            </w:r>
          </w:p>
        </w:tc>
        <w:tc>
          <w:tcPr>
            <w:tcW w:w="4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p>
        </w:tc>
        <w:tc>
          <w:tcPr>
            <w:tcW w:w="1940" w:type="dxa"/>
            <w:vAlign w:val="bottom"/>
          </w:tcPr>
          <w:p>
            <w:pPr>
              <w:ind w:left="100"/>
              <w:spacing w:after="0"/>
              <w:rPr>
                <w:sz w:val="20"/>
                <w:szCs w:val="20"/>
                <w:color w:val="auto"/>
              </w:rPr>
            </w:pPr>
            <w:r>
              <w:rPr>
                <w:rFonts w:ascii="Arial" w:cs="Arial" w:eastAsia="Arial" w:hAnsi="Arial"/>
                <w:sz w:val="18"/>
                <w:szCs w:val="18"/>
                <w:color w:val="auto"/>
              </w:rPr>
              <w:t>NATION</w:t>
            </w: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shd w:val="clear" w:color="auto" w:fill="CCEEFF"/>
          </w:tcPr>
          <w:p>
            <w:pPr>
              <w:ind w:left="2520"/>
              <w:spacing w:after="0" w:line="201" w:lineRule="exact"/>
              <w:rPr>
                <w:sz w:val="20"/>
                <w:szCs w:val="20"/>
                <w:color w:val="auto"/>
              </w:rPr>
            </w:pPr>
            <w:r>
              <w:rPr>
                <w:rFonts w:ascii="Arial" w:cs="Arial" w:eastAsia="Arial" w:hAnsi="Arial"/>
                <w:sz w:val="18"/>
                <w:szCs w:val="18"/>
                <w:color w:val="auto"/>
                <w:w w:val="97"/>
              </w:rPr>
              <w:t>T00000050060807</w:t>
            </w:r>
          </w:p>
        </w:tc>
        <w:tc>
          <w:tcPr>
            <w:tcW w:w="1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RELIANCE</w:t>
            </w:r>
          </w:p>
        </w:tc>
        <w:tc>
          <w:tcPr>
            <w:tcW w:w="52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1,373,000.00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1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4/3/2005</w:t>
            </w:r>
          </w:p>
        </w:tc>
        <w:tc>
          <w:tcPr>
            <w:tcW w:w="14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1/1/2019</w:t>
            </w:r>
          </w:p>
        </w:tc>
        <w:tc>
          <w:tcPr>
            <w:tcW w:w="40" w:type="dxa"/>
            <w:vAlign w:val="bottom"/>
          </w:tcPr>
          <w:p>
            <w:pPr>
              <w:spacing w:after="0"/>
              <w:rPr>
                <w:sz w:val="17"/>
                <w:szCs w:val="17"/>
                <w:color w:val="auto"/>
              </w:rPr>
            </w:pPr>
          </w:p>
        </w:tc>
      </w:tr>
      <w:tr>
        <w:trPr>
          <w:trHeight w:val="230"/>
        </w:trPr>
        <w:tc>
          <w:tcPr>
            <w:tcW w:w="4020" w:type="dxa"/>
            <w:vAlign w:val="bottom"/>
            <w:shd w:val="clear" w:color="auto" w:fill="CCEEFF"/>
          </w:tcPr>
          <w:p>
            <w:pPr>
              <w:spacing w:after="0"/>
              <w:rPr>
                <w:sz w:val="20"/>
                <w:szCs w:val="20"/>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INSURANCE C</w:t>
            </w:r>
          </w:p>
        </w:tc>
        <w:tc>
          <w:tcPr>
            <w:tcW w:w="5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tcPr>
          <w:p>
            <w:pPr>
              <w:ind w:left="2520"/>
              <w:spacing w:after="0" w:line="201" w:lineRule="exact"/>
              <w:rPr>
                <w:sz w:val="20"/>
                <w:szCs w:val="20"/>
                <w:color w:val="auto"/>
              </w:rPr>
            </w:pPr>
            <w:r>
              <w:rPr>
                <w:rFonts w:ascii="Arial" w:cs="Arial" w:eastAsia="Arial" w:hAnsi="Arial"/>
                <w:sz w:val="18"/>
                <w:szCs w:val="18"/>
                <w:color w:val="auto"/>
                <w:w w:val="97"/>
              </w:rPr>
              <w:t>T00000050061032</w:t>
            </w:r>
          </w:p>
        </w:tc>
        <w:tc>
          <w:tcPr>
            <w:tcW w:w="1940" w:type="dxa"/>
            <w:vAlign w:val="bottom"/>
          </w:tcPr>
          <w:p>
            <w:pPr>
              <w:ind w:left="100"/>
              <w:spacing w:after="0" w:line="201" w:lineRule="exact"/>
              <w:rPr>
                <w:sz w:val="20"/>
                <w:szCs w:val="20"/>
                <w:color w:val="auto"/>
              </w:rPr>
            </w:pPr>
            <w:r>
              <w:rPr>
                <w:rFonts w:ascii="Arial" w:cs="Arial" w:eastAsia="Arial" w:hAnsi="Arial"/>
                <w:sz w:val="18"/>
                <w:szCs w:val="18"/>
                <w:color w:val="auto"/>
              </w:rPr>
              <w:t>PENNSYLVANIA</w:t>
            </w:r>
          </w:p>
        </w:tc>
        <w:tc>
          <w:tcPr>
            <w:tcW w:w="52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800,000.00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20" w:type="dxa"/>
            <w:vAlign w:val="bottom"/>
          </w:tcPr>
          <w:p>
            <w:pPr>
              <w:ind w:left="80"/>
              <w:spacing w:after="0" w:line="201" w:lineRule="exact"/>
              <w:rPr>
                <w:sz w:val="20"/>
                <w:szCs w:val="20"/>
                <w:color w:val="auto"/>
              </w:rPr>
            </w:pPr>
            <w:r>
              <w:rPr>
                <w:rFonts w:ascii="Arial" w:cs="Arial" w:eastAsia="Arial" w:hAnsi="Arial"/>
                <w:sz w:val="18"/>
                <w:szCs w:val="18"/>
                <w:color w:val="auto"/>
              </w:rPr>
              <w:t>4/3/2005</w:t>
            </w:r>
          </w:p>
        </w:tc>
        <w:tc>
          <w:tcPr>
            <w:tcW w:w="1440" w:type="dxa"/>
            <w:vAlign w:val="bottom"/>
          </w:tcPr>
          <w:p>
            <w:pPr>
              <w:ind w:left="260"/>
              <w:spacing w:after="0" w:line="201" w:lineRule="exact"/>
              <w:rPr>
                <w:sz w:val="20"/>
                <w:szCs w:val="20"/>
                <w:color w:val="auto"/>
              </w:rPr>
            </w:pPr>
            <w:r>
              <w:rPr>
                <w:rFonts w:ascii="Arial" w:cs="Arial" w:eastAsia="Arial" w:hAnsi="Arial"/>
                <w:sz w:val="18"/>
                <w:szCs w:val="18"/>
                <w:color w:val="auto"/>
              </w:rPr>
              <w:t>7/21/2018</w:t>
            </w:r>
          </w:p>
        </w:tc>
        <w:tc>
          <w:tcPr>
            <w:tcW w:w="4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p>
        </w:tc>
        <w:tc>
          <w:tcPr>
            <w:tcW w:w="1940" w:type="dxa"/>
            <w:vAlign w:val="bottom"/>
          </w:tcPr>
          <w:p>
            <w:pPr>
              <w:ind w:left="100"/>
              <w:spacing w:after="0"/>
              <w:rPr>
                <w:sz w:val="20"/>
                <w:szCs w:val="20"/>
                <w:color w:val="auto"/>
              </w:rPr>
            </w:pPr>
            <w:r>
              <w:rPr>
                <w:rFonts w:ascii="Arial" w:cs="Arial" w:eastAsia="Arial" w:hAnsi="Arial"/>
                <w:sz w:val="18"/>
                <w:szCs w:val="18"/>
                <w:color w:val="auto"/>
              </w:rPr>
              <w:t>MANUFAC</w:t>
            </w: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shd w:val="clear" w:color="auto" w:fill="CCEEFF"/>
          </w:tcPr>
          <w:p>
            <w:pPr>
              <w:ind w:left="2520"/>
              <w:spacing w:after="0" w:line="201" w:lineRule="exact"/>
              <w:rPr>
                <w:sz w:val="20"/>
                <w:szCs w:val="20"/>
                <w:color w:val="auto"/>
              </w:rPr>
            </w:pPr>
            <w:r>
              <w:rPr>
                <w:rFonts w:ascii="Arial" w:cs="Arial" w:eastAsia="Arial" w:hAnsi="Arial"/>
                <w:sz w:val="18"/>
                <w:szCs w:val="18"/>
                <w:color w:val="auto"/>
                <w:w w:val="97"/>
              </w:rPr>
              <w:t>T00000050061263</w:t>
            </w:r>
          </w:p>
        </w:tc>
        <w:tc>
          <w:tcPr>
            <w:tcW w:w="1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STATE OF FLORIDA,</w:t>
            </w:r>
          </w:p>
        </w:tc>
        <w:tc>
          <w:tcPr>
            <w:tcW w:w="52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100,000.00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1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4/3/2005</w:t>
            </w:r>
          </w:p>
        </w:tc>
        <w:tc>
          <w:tcPr>
            <w:tcW w:w="14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7/16/2018</w:t>
            </w:r>
          </w:p>
        </w:tc>
        <w:tc>
          <w:tcPr>
            <w:tcW w:w="40" w:type="dxa"/>
            <w:vAlign w:val="bottom"/>
          </w:tcPr>
          <w:p>
            <w:pPr>
              <w:spacing w:after="0"/>
              <w:rPr>
                <w:sz w:val="17"/>
                <w:szCs w:val="17"/>
                <w:color w:val="auto"/>
              </w:rPr>
            </w:pPr>
          </w:p>
        </w:tc>
      </w:tr>
      <w:tr>
        <w:trPr>
          <w:trHeight w:val="230"/>
        </w:trPr>
        <w:tc>
          <w:tcPr>
            <w:tcW w:w="4020" w:type="dxa"/>
            <w:vAlign w:val="bottom"/>
            <w:shd w:val="clear" w:color="auto" w:fill="CCEEFF"/>
          </w:tcPr>
          <w:p>
            <w:pPr>
              <w:spacing w:after="0"/>
              <w:rPr>
                <w:sz w:val="20"/>
                <w:szCs w:val="20"/>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w:t>
            </w:r>
          </w:p>
        </w:tc>
        <w:tc>
          <w:tcPr>
            <w:tcW w:w="5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020" w:type="dxa"/>
            <w:vAlign w:val="bottom"/>
          </w:tcPr>
          <w:p>
            <w:pPr>
              <w:ind w:left="2520"/>
              <w:spacing w:after="0"/>
              <w:rPr>
                <w:sz w:val="20"/>
                <w:szCs w:val="20"/>
                <w:color w:val="auto"/>
              </w:rPr>
            </w:pPr>
            <w:r>
              <w:rPr>
                <w:rFonts w:ascii="Arial" w:cs="Arial" w:eastAsia="Arial" w:hAnsi="Arial"/>
                <w:sz w:val="18"/>
                <w:szCs w:val="18"/>
                <w:color w:val="auto"/>
                <w:w w:val="97"/>
              </w:rPr>
              <w:t>T00000050061572</w:t>
            </w:r>
          </w:p>
        </w:tc>
        <w:tc>
          <w:tcPr>
            <w:tcW w:w="1940" w:type="dxa"/>
            <w:vAlign w:val="bottom"/>
          </w:tcPr>
          <w:p>
            <w:pPr>
              <w:ind w:left="100"/>
              <w:spacing w:after="0"/>
              <w:rPr>
                <w:sz w:val="20"/>
                <w:szCs w:val="20"/>
                <w:color w:val="auto"/>
              </w:rPr>
            </w:pPr>
            <w:r>
              <w:rPr>
                <w:rFonts w:ascii="Arial" w:cs="Arial" w:eastAsia="Arial" w:hAnsi="Arial"/>
                <w:sz w:val="18"/>
                <w:szCs w:val="18"/>
                <w:color w:val="auto"/>
              </w:rPr>
              <w:t>SHADE TOWNSHIP</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1,748,866.00</w:t>
            </w:r>
          </w:p>
        </w:tc>
        <w:tc>
          <w:tcPr>
            <w:tcW w:w="780" w:type="dxa"/>
            <w:vAlign w:val="bottom"/>
          </w:tcPr>
          <w:p>
            <w:pPr>
              <w:ind w:left="340"/>
              <w:spacing w:after="0"/>
              <w:rPr>
                <w:sz w:val="20"/>
                <w:szCs w:val="20"/>
                <w:color w:val="auto"/>
              </w:rPr>
            </w:pPr>
            <w:r>
              <w:rPr>
                <w:rFonts w:ascii="Arial" w:cs="Arial" w:eastAsia="Arial" w:hAnsi="Arial"/>
                <w:sz w:val="18"/>
                <w:szCs w:val="18"/>
                <w:color w:val="auto"/>
              </w:rPr>
              <w:t>USD</w:t>
            </w:r>
          </w:p>
        </w:tc>
        <w:tc>
          <w:tcPr>
            <w:tcW w:w="1120" w:type="dxa"/>
            <w:vAlign w:val="bottom"/>
          </w:tcPr>
          <w:p>
            <w:pPr>
              <w:ind w:left="80"/>
              <w:spacing w:after="0"/>
              <w:rPr>
                <w:sz w:val="20"/>
                <w:szCs w:val="20"/>
                <w:color w:val="auto"/>
              </w:rPr>
            </w:pPr>
            <w:r>
              <w:rPr>
                <w:rFonts w:ascii="Arial" w:cs="Arial" w:eastAsia="Arial" w:hAnsi="Arial"/>
                <w:sz w:val="18"/>
                <w:szCs w:val="18"/>
                <w:color w:val="auto"/>
              </w:rPr>
              <w:t>4/3/2005</w:t>
            </w:r>
          </w:p>
        </w:tc>
        <w:tc>
          <w:tcPr>
            <w:tcW w:w="1440" w:type="dxa"/>
            <w:vAlign w:val="bottom"/>
          </w:tcPr>
          <w:p>
            <w:pPr>
              <w:ind w:left="260"/>
              <w:spacing w:after="0"/>
              <w:rPr>
                <w:sz w:val="20"/>
                <w:szCs w:val="20"/>
                <w:color w:val="auto"/>
              </w:rPr>
            </w:pPr>
            <w:r>
              <w:rPr>
                <w:rFonts w:ascii="Arial" w:cs="Arial" w:eastAsia="Arial" w:hAnsi="Arial"/>
                <w:sz w:val="18"/>
                <w:szCs w:val="18"/>
                <w:color w:val="auto"/>
              </w:rPr>
              <w:t>9/1/2018</w:t>
            </w:r>
          </w:p>
        </w:tc>
        <w:tc>
          <w:tcPr>
            <w:tcW w:w="40" w:type="dxa"/>
            <w:vAlign w:val="bottom"/>
          </w:tcPr>
          <w:p>
            <w:pPr>
              <w:spacing w:after="0"/>
              <w:rPr>
                <w:sz w:val="18"/>
                <w:szCs w:val="18"/>
                <w:color w:val="auto"/>
              </w:rPr>
            </w:pPr>
          </w:p>
        </w:tc>
      </w:tr>
      <w:tr>
        <w:trPr>
          <w:trHeight w:val="202"/>
        </w:trPr>
        <w:tc>
          <w:tcPr>
            <w:tcW w:w="4020" w:type="dxa"/>
            <w:vAlign w:val="bottom"/>
            <w:shd w:val="clear" w:color="auto" w:fill="CCEEFF"/>
          </w:tcPr>
          <w:p>
            <w:pPr>
              <w:ind w:left="2520"/>
              <w:spacing w:after="0" w:line="201" w:lineRule="exact"/>
              <w:rPr>
                <w:sz w:val="20"/>
                <w:szCs w:val="20"/>
                <w:color w:val="auto"/>
              </w:rPr>
            </w:pPr>
            <w:r>
              <w:rPr>
                <w:rFonts w:ascii="Arial" w:cs="Arial" w:eastAsia="Arial" w:hAnsi="Arial"/>
                <w:sz w:val="18"/>
                <w:szCs w:val="18"/>
                <w:color w:val="auto"/>
                <w:w w:val="97"/>
              </w:rPr>
              <w:t>T00000050061680</w:t>
            </w:r>
          </w:p>
        </w:tc>
        <w:tc>
          <w:tcPr>
            <w:tcW w:w="1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WEST VIRGINIA</w:t>
            </w:r>
          </w:p>
        </w:tc>
        <w:tc>
          <w:tcPr>
            <w:tcW w:w="52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32,000.00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1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4/3/2005</w:t>
            </w:r>
          </w:p>
        </w:tc>
        <w:tc>
          <w:tcPr>
            <w:tcW w:w="14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3/31/2019</w:t>
            </w:r>
          </w:p>
        </w:tc>
        <w:tc>
          <w:tcPr>
            <w:tcW w:w="40" w:type="dxa"/>
            <w:vAlign w:val="bottom"/>
          </w:tcPr>
          <w:p>
            <w:pPr>
              <w:spacing w:after="0"/>
              <w:rPr>
                <w:sz w:val="17"/>
                <w:szCs w:val="17"/>
                <w:color w:val="auto"/>
              </w:rPr>
            </w:pPr>
          </w:p>
        </w:tc>
      </w:tr>
      <w:tr>
        <w:trPr>
          <w:trHeight w:val="230"/>
        </w:trPr>
        <w:tc>
          <w:tcPr>
            <w:tcW w:w="4020" w:type="dxa"/>
            <w:vAlign w:val="bottom"/>
            <w:shd w:val="clear" w:color="auto" w:fill="CCEEFF"/>
          </w:tcPr>
          <w:p>
            <w:pPr>
              <w:spacing w:after="0"/>
              <w:rPr>
                <w:sz w:val="20"/>
                <w:szCs w:val="20"/>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DIVISI</w:t>
            </w:r>
          </w:p>
        </w:tc>
        <w:tc>
          <w:tcPr>
            <w:tcW w:w="5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tcPr>
          <w:p>
            <w:pPr>
              <w:ind w:left="2520"/>
              <w:spacing w:after="0" w:line="201" w:lineRule="exact"/>
              <w:rPr>
                <w:sz w:val="20"/>
                <w:szCs w:val="20"/>
                <w:color w:val="auto"/>
              </w:rPr>
            </w:pPr>
            <w:r>
              <w:rPr>
                <w:rFonts w:ascii="Arial" w:cs="Arial" w:eastAsia="Arial" w:hAnsi="Arial"/>
                <w:sz w:val="18"/>
                <w:szCs w:val="18"/>
                <w:color w:val="auto"/>
                <w:w w:val="97"/>
              </w:rPr>
              <w:t>T00000050061694</w:t>
            </w:r>
          </w:p>
        </w:tc>
        <w:tc>
          <w:tcPr>
            <w:tcW w:w="1940" w:type="dxa"/>
            <w:vAlign w:val="bottom"/>
          </w:tcPr>
          <w:p>
            <w:pPr>
              <w:ind w:left="100"/>
              <w:spacing w:after="0" w:line="201" w:lineRule="exact"/>
              <w:rPr>
                <w:sz w:val="20"/>
                <w:szCs w:val="20"/>
                <w:color w:val="auto"/>
              </w:rPr>
            </w:pPr>
            <w:r>
              <w:rPr>
                <w:rFonts w:ascii="Arial" w:cs="Arial" w:eastAsia="Arial" w:hAnsi="Arial"/>
                <w:sz w:val="18"/>
                <w:szCs w:val="18"/>
                <w:color w:val="auto"/>
              </w:rPr>
              <w:t>VILLAGE OF</w:t>
            </w:r>
          </w:p>
        </w:tc>
        <w:tc>
          <w:tcPr>
            <w:tcW w:w="52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50,000.00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20" w:type="dxa"/>
            <w:vAlign w:val="bottom"/>
          </w:tcPr>
          <w:p>
            <w:pPr>
              <w:ind w:left="80"/>
              <w:spacing w:after="0" w:line="201" w:lineRule="exact"/>
              <w:rPr>
                <w:sz w:val="20"/>
                <w:szCs w:val="20"/>
                <w:color w:val="auto"/>
              </w:rPr>
            </w:pPr>
            <w:r>
              <w:rPr>
                <w:rFonts w:ascii="Arial" w:cs="Arial" w:eastAsia="Arial" w:hAnsi="Arial"/>
                <w:sz w:val="18"/>
                <w:szCs w:val="18"/>
                <w:color w:val="auto"/>
              </w:rPr>
              <w:t>4/3/2005</w:t>
            </w:r>
          </w:p>
        </w:tc>
        <w:tc>
          <w:tcPr>
            <w:tcW w:w="1440" w:type="dxa"/>
            <w:vAlign w:val="bottom"/>
          </w:tcPr>
          <w:p>
            <w:pPr>
              <w:ind w:left="260"/>
              <w:spacing w:after="0" w:line="201" w:lineRule="exact"/>
              <w:rPr>
                <w:sz w:val="20"/>
                <w:szCs w:val="20"/>
                <w:color w:val="auto"/>
              </w:rPr>
            </w:pPr>
            <w:r>
              <w:rPr>
                <w:rFonts w:ascii="Arial" w:cs="Arial" w:eastAsia="Arial" w:hAnsi="Arial"/>
                <w:sz w:val="18"/>
                <w:szCs w:val="18"/>
                <w:color w:val="auto"/>
              </w:rPr>
              <w:t>11/30/2018</w:t>
            </w:r>
          </w:p>
        </w:tc>
        <w:tc>
          <w:tcPr>
            <w:tcW w:w="4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p>
        </w:tc>
        <w:tc>
          <w:tcPr>
            <w:tcW w:w="1940" w:type="dxa"/>
            <w:vAlign w:val="bottom"/>
          </w:tcPr>
          <w:p>
            <w:pPr>
              <w:ind w:left="100"/>
              <w:spacing w:after="0"/>
              <w:rPr>
                <w:sz w:val="20"/>
                <w:szCs w:val="20"/>
                <w:color w:val="auto"/>
              </w:rPr>
            </w:pPr>
            <w:r>
              <w:rPr>
                <w:rFonts w:ascii="Arial" w:cs="Arial" w:eastAsia="Arial" w:hAnsi="Arial"/>
                <w:sz w:val="18"/>
                <w:szCs w:val="18"/>
                <w:color w:val="auto"/>
              </w:rPr>
              <w:t>HAWTHORN</w:t>
            </w: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shd w:val="clear" w:color="auto" w:fill="CCEEFF"/>
          </w:tcPr>
          <w:p>
            <w:pPr>
              <w:ind w:left="2520"/>
              <w:spacing w:after="0" w:line="201" w:lineRule="exact"/>
              <w:rPr>
                <w:sz w:val="20"/>
                <w:szCs w:val="20"/>
                <w:color w:val="auto"/>
              </w:rPr>
            </w:pPr>
            <w:r>
              <w:rPr>
                <w:rFonts w:ascii="Arial" w:cs="Arial" w:eastAsia="Arial" w:hAnsi="Arial"/>
                <w:sz w:val="18"/>
                <w:szCs w:val="18"/>
                <w:color w:val="auto"/>
                <w:w w:val="97"/>
              </w:rPr>
              <w:t>T00000050061801</w:t>
            </w:r>
          </w:p>
        </w:tc>
        <w:tc>
          <w:tcPr>
            <w:tcW w:w="1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NATIONAL UNION</w:t>
            </w:r>
          </w:p>
        </w:tc>
        <w:tc>
          <w:tcPr>
            <w:tcW w:w="52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10,863,137.00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1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4/3/2005</w:t>
            </w:r>
          </w:p>
        </w:tc>
        <w:tc>
          <w:tcPr>
            <w:tcW w:w="14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1/1/2019</w:t>
            </w:r>
          </w:p>
        </w:tc>
        <w:tc>
          <w:tcPr>
            <w:tcW w:w="40" w:type="dxa"/>
            <w:vAlign w:val="bottom"/>
          </w:tcPr>
          <w:p>
            <w:pPr>
              <w:spacing w:after="0"/>
              <w:rPr>
                <w:sz w:val="17"/>
                <w:szCs w:val="17"/>
                <w:color w:val="auto"/>
              </w:rPr>
            </w:pPr>
          </w:p>
        </w:tc>
      </w:tr>
      <w:tr>
        <w:trPr>
          <w:trHeight w:val="230"/>
        </w:trPr>
        <w:tc>
          <w:tcPr>
            <w:tcW w:w="4020" w:type="dxa"/>
            <w:vAlign w:val="bottom"/>
            <w:shd w:val="clear" w:color="auto" w:fill="CCEEFF"/>
          </w:tcPr>
          <w:p>
            <w:pPr>
              <w:spacing w:after="0"/>
              <w:rPr>
                <w:sz w:val="20"/>
                <w:szCs w:val="20"/>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FIRE</w:t>
            </w:r>
          </w:p>
        </w:tc>
        <w:tc>
          <w:tcPr>
            <w:tcW w:w="5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tcPr>
          <w:p>
            <w:pPr>
              <w:ind w:left="2520"/>
              <w:spacing w:after="0" w:line="201" w:lineRule="exact"/>
              <w:rPr>
                <w:sz w:val="20"/>
                <w:szCs w:val="20"/>
                <w:color w:val="auto"/>
              </w:rPr>
            </w:pPr>
            <w:r>
              <w:rPr>
                <w:rFonts w:ascii="Arial" w:cs="Arial" w:eastAsia="Arial" w:hAnsi="Arial"/>
                <w:sz w:val="18"/>
                <w:szCs w:val="18"/>
                <w:color w:val="auto"/>
                <w:w w:val="97"/>
              </w:rPr>
              <w:t>T00000050061869</w:t>
            </w:r>
          </w:p>
        </w:tc>
        <w:tc>
          <w:tcPr>
            <w:tcW w:w="1940" w:type="dxa"/>
            <w:vAlign w:val="bottom"/>
          </w:tcPr>
          <w:p>
            <w:pPr>
              <w:ind w:left="100"/>
              <w:spacing w:after="0" w:line="201" w:lineRule="exact"/>
              <w:rPr>
                <w:sz w:val="20"/>
                <w:szCs w:val="20"/>
                <w:color w:val="auto"/>
              </w:rPr>
            </w:pPr>
            <w:r>
              <w:rPr>
                <w:rFonts w:ascii="Arial" w:cs="Arial" w:eastAsia="Arial" w:hAnsi="Arial"/>
                <w:sz w:val="18"/>
                <w:szCs w:val="18"/>
                <w:color w:val="auto"/>
              </w:rPr>
              <w:t>VILLAGE OF</w:t>
            </w:r>
          </w:p>
        </w:tc>
        <w:tc>
          <w:tcPr>
            <w:tcW w:w="52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10,000.00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20" w:type="dxa"/>
            <w:vAlign w:val="bottom"/>
          </w:tcPr>
          <w:p>
            <w:pPr>
              <w:ind w:left="80"/>
              <w:spacing w:after="0" w:line="201" w:lineRule="exact"/>
              <w:rPr>
                <w:sz w:val="20"/>
                <w:szCs w:val="20"/>
                <w:color w:val="auto"/>
              </w:rPr>
            </w:pPr>
            <w:r>
              <w:rPr>
                <w:rFonts w:ascii="Arial" w:cs="Arial" w:eastAsia="Arial" w:hAnsi="Arial"/>
                <w:sz w:val="18"/>
                <w:szCs w:val="18"/>
                <w:color w:val="auto"/>
              </w:rPr>
              <w:t>4/3/2005</w:t>
            </w:r>
          </w:p>
        </w:tc>
        <w:tc>
          <w:tcPr>
            <w:tcW w:w="1440" w:type="dxa"/>
            <w:vAlign w:val="bottom"/>
          </w:tcPr>
          <w:p>
            <w:pPr>
              <w:ind w:left="260"/>
              <w:spacing w:after="0" w:line="201" w:lineRule="exact"/>
              <w:rPr>
                <w:sz w:val="20"/>
                <w:szCs w:val="20"/>
                <w:color w:val="auto"/>
              </w:rPr>
            </w:pPr>
            <w:r>
              <w:rPr>
                <w:rFonts w:ascii="Arial" w:cs="Arial" w:eastAsia="Arial" w:hAnsi="Arial"/>
                <w:sz w:val="18"/>
                <w:szCs w:val="18"/>
                <w:color w:val="auto"/>
              </w:rPr>
              <w:t>8/1/2018</w:t>
            </w:r>
          </w:p>
        </w:tc>
        <w:tc>
          <w:tcPr>
            <w:tcW w:w="4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p>
        </w:tc>
        <w:tc>
          <w:tcPr>
            <w:tcW w:w="1940" w:type="dxa"/>
            <w:vAlign w:val="bottom"/>
          </w:tcPr>
          <w:p>
            <w:pPr>
              <w:ind w:left="100"/>
              <w:spacing w:after="0"/>
              <w:rPr>
                <w:sz w:val="20"/>
                <w:szCs w:val="20"/>
                <w:color w:val="auto"/>
              </w:rPr>
            </w:pPr>
            <w:r>
              <w:rPr>
                <w:rFonts w:ascii="Arial" w:cs="Arial" w:eastAsia="Arial" w:hAnsi="Arial"/>
                <w:sz w:val="18"/>
                <w:szCs w:val="18"/>
                <w:color w:val="auto"/>
              </w:rPr>
              <w:t>HOLIDAY H</w:t>
            </w: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shd w:val="clear" w:color="auto" w:fill="CCEEFF"/>
          </w:tcPr>
          <w:p>
            <w:pPr>
              <w:ind w:left="2520"/>
              <w:spacing w:after="0" w:line="201" w:lineRule="exact"/>
              <w:rPr>
                <w:sz w:val="20"/>
                <w:szCs w:val="20"/>
                <w:color w:val="auto"/>
              </w:rPr>
            </w:pPr>
            <w:r>
              <w:rPr>
                <w:rFonts w:ascii="Arial" w:cs="Arial" w:eastAsia="Arial" w:hAnsi="Arial"/>
                <w:sz w:val="18"/>
                <w:szCs w:val="18"/>
                <w:color w:val="auto"/>
                <w:w w:val="97"/>
              </w:rPr>
              <w:t>T00000050061886</w:t>
            </w:r>
          </w:p>
        </w:tc>
        <w:tc>
          <w:tcPr>
            <w:tcW w:w="1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PENNSYLVANIA</w:t>
            </w:r>
          </w:p>
        </w:tc>
        <w:tc>
          <w:tcPr>
            <w:tcW w:w="52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14,384,305.00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1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4/5/2005</w:t>
            </w:r>
          </w:p>
        </w:tc>
        <w:tc>
          <w:tcPr>
            <w:tcW w:w="14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9/30/2018</w:t>
            </w:r>
          </w:p>
        </w:tc>
        <w:tc>
          <w:tcPr>
            <w:tcW w:w="40" w:type="dxa"/>
            <w:vAlign w:val="bottom"/>
          </w:tcPr>
          <w:p>
            <w:pPr>
              <w:spacing w:after="0"/>
              <w:rPr>
                <w:sz w:val="17"/>
                <w:szCs w:val="17"/>
                <w:color w:val="auto"/>
              </w:rPr>
            </w:pPr>
          </w:p>
        </w:tc>
      </w:tr>
      <w:tr>
        <w:trPr>
          <w:trHeight w:val="230"/>
        </w:trPr>
        <w:tc>
          <w:tcPr>
            <w:tcW w:w="4020" w:type="dxa"/>
            <w:vAlign w:val="bottom"/>
            <w:shd w:val="clear" w:color="auto" w:fill="CCEEFF"/>
          </w:tcPr>
          <w:p>
            <w:pPr>
              <w:spacing w:after="0"/>
              <w:rPr>
                <w:sz w:val="20"/>
                <w:szCs w:val="20"/>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DEPARTM</w:t>
            </w:r>
          </w:p>
        </w:tc>
        <w:tc>
          <w:tcPr>
            <w:tcW w:w="5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40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shd w:val="clear" w:color="auto" w:fill="CCEEFF"/>
          </w:tcPr>
          <w:p>
            <w:pPr>
              <w:ind w:left="2520"/>
              <w:spacing w:after="0"/>
              <w:rPr>
                <w:sz w:val="20"/>
                <w:szCs w:val="20"/>
                <w:color w:val="auto"/>
              </w:rPr>
            </w:pPr>
            <w:r>
              <w:rPr>
                <w:rFonts w:ascii="Arial" w:cs="Arial" w:eastAsia="Arial" w:hAnsi="Arial"/>
                <w:sz w:val="18"/>
                <w:szCs w:val="18"/>
                <w:color w:val="auto"/>
                <w:w w:val="97"/>
              </w:rPr>
              <w:t>T00000050061897</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COUNTY</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185,000.00</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4/5/2005</w:t>
            </w:r>
          </w:p>
        </w:tc>
        <w:tc>
          <w:tcPr>
            <w:tcW w:w="1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9/30/2018</w:t>
            </w:r>
          </w:p>
        </w:tc>
        <w:tc>
          <w:tcPr>
            <w:tcW w:w="40" w:type="dxa"/>
            <w:vAlign w:val="bottom"/>
          </w:tcPr>
          <w:p>
            <w:pPr>
              <w:spacing w:after="0"/>
              <w:rPr>
                <w:sz w:val="17"/>
                <w:szCs w:val="17"/>
                <w:color w:val="auto"/>
              </w:rPr>
            </w:pPr>
          </w:p>
        </w:tc>
      </w:tr>
      <w:tr>
        <w:trPr>
          <w:trHeight w:val="230"/>
        </w:trPr>
        <w:tc>
          <w:tcPr>
            <w:tcW w:w="4020" w:type="dxa"/>
            <w:vAlign w:val="bottom"/>
            <w:shd w:val="clear" w:color="auto" w:fill="CCEEFF"/>
          </w:tcPr>
          <w:p>
            <w:pPr>
              <w:spacing w:after="0"/>
              <w:rPr>
                <w:sz w:val="20"/>
                <w:szCs w:val="20"/>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ADMINISTRATOR</w:t>
            </w:r>
          </w:p>
        </w:tc>
        <w:tc>
          <w:tcPr>
            <w:tcW w:w="5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tcPr>
          <w:p>
            <w:pPr>
              <w:ind w:left="2520"/>
              <w:spacing w:after="0" w:line="201" w:lineRule="exact"/>
              <w:rPr>
                <w:sz w:val="20"/>
                <w:szCs w:val="20"/>
                <w:color w:val="auto"/>
              </w:rPr>
            </w:pPr>
            <w:r>
              <w:rPr>
                <w:rFonts w:ascii="Arial" w:cs="Arial" w:eastAsia="Arial" w:hAnsi="Arial"/>
                <w:sz w:val="18"/>
                <w:szCs w:val="18"/>
                <w:color w:val="auto"/>
                <w:w w:val="97"/>
              </w:rPr>
              <w:t>T00000050061910</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w w:val="98"/>
              </w:rPr>
              <w:t>CONSUMERS POWER</w:t>
            </w:r>
          </w:p>
        </w:tc>
        <w:tc>
          <w:tcPr>
            <w:tcW w:w="50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188,737.00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tcPr>
          <w:p>
            <w:pPr>
              <w:ind w:left="80"/>
              <w:spacing w:after="0" w:line="201" w:lineRule="exact"/>
              <w:rPr>
                <w:sz w:val="20"/>
                <w:szCs w:val="20"/>
                <w:color w:val="auto"/>
              </w:rPr>
            </w:pPr>
            <w:r>
              <w:rPr>
                <w:rFonts w:ascii="Arial" w:cs="Arial" w:eastAsia="Arial" w:hAnsi="Arial"/>
                <w:sz w:val="18"/>
                <w:szCs w:val="18"/>
                <w:color w:val="auto"/>
              </w:rPr>
              <w:t>4/3/2005</w:t>
            </w:r>
          </w:p>
        </w:tc>
        <w:tc>
          <w:tcPr>
            <w:tcW w:w="1420" w:type="dxa"/>
            <w:vAlign w:val="bottom"/>
          </w:tcPr>
          <w:p>
            <w:pPr>
              <w:ind w:left="240"/>
              <w:spacing w:after="0" w:line="201" w:lineRule="exact"/>
              <w:rPr>
                <w:sz w:val="20"/>
                <w:szCs w:val="20"/>
                <w:color w:val="auto"/>
              </w:rPr>
            </w:pPr>
            <w:r>
              <w:rPr>
                <w:rFonts w:ascii="Arial" w:cs="Arial" w:eastAsia="Arial" w:hAnsi="Arial"/>
                <w:sz w:val="18"/>
                <w:szCs w:val="18"/>
                <w:color w:val="auto"/>
              </w:rPr>
              <w:t>5/4/2019</w:t>
            </w:r>
          </w:p>
        </w:tc>
        <w:tc>
          <w:tcPr>
            <w:tcW w:w="4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COMP</w:t>
            </w: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shd w:val="clear" w:color="auto" w:fill="CCEEFF"/>
          </w:tcPr>
          <w:p>
            <w:pPr>
              <w:ind w:left="2520"/>
              <w:spacing w:after="0" w:line="201" w:lineRule="exact"/>
              <w:rPr>
                <w:sz w:val="20"/>
                <w:szCs w:val="20"/>
                <w:color w:val="auto"/>
              </w:rPr>
            </w:pPr>
            <w:r>
              <w:rPr>
                <w:rFonts w:ascii="Arial" w:cs="Arial" w:eastAsia="Arial" w:hAnsi="Arial"/>
                <w:sz w:val="18"/>
                <w:szCs w:val="18"/>
                <w:color w:val="auto"/>
                <w:w w:val="97"/>
              </w:rPr>
              <w:t>T00000050061917</w:t>
            </w:r>
          </w:p>
        </w:tc>
        <w:tc>
          <w:tcPr>
            <w:tcW w:w="2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AMERICAN HOME</w:t>
            </w:r>
          </w:p>
        </w:tc>
        <w:tc>
          <w:tcPr>
            <w:tcW w:w="50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345,000.00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4/3/2005</w:t>
            </w:r>
          </w:p>
        </w:tc>
        <w:tc>
          <w:tcPr>
            <w:tcW w:w="1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3/30/2019</w:t>
            </w:r>
          </w:p>
        </w:tc>
        <w:tc>
          <w:tcPr>
            <w:tcW w:w="40" w:type="dxa"/>
            <w:vAlign w:val="bottom"/>
          </w:tcPr>
          <w:p>
            <w:pPr>
              <w:spacing w:after="0"/>
              <w:rPr>
                <w:sz w:val="17"/>
                <w:szCs w:val="17"/>
                <w:color w:val="auto"/>
              </w:rPr>
            </w:pPr>
          </w:p>
        </w:tc>
      </w:tr>
      <w:tr>
        <w:trPr>
          <w:trHeight w:val="230"/>
        </w:trPr>
        <w:tc>
          <w:tcPr>
            <w:tcW w:w="4020" w:type="dxa"/>
            <w:vAlign w:val="bottom"/>
            <w:shd w:val="clear" w:color="auto" w:fill="CCEEFF"/>
          </w:tcPr>
          <w:p>
            <w:pPr>
              <w:spacing w:after="0"/>
              <w:rPr>
                <w:sz w:val="20"/>
                <w:szCs w:val="20"/>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ASSURA</w:t>
            </w:r>
          </w:p>
        </w:tc>
        <w:tc>
          <w:tcPr>
            <w:tcW w:w="5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020" w:type="dxa"/>
            <w:vAlign w:val="bottom"/>
          </w:tcPr>
          <w:p>
            <w:pPr>
              <w:ind w:left="2520"/>
              <w:spacing w:after="0"/>
              <w:rPr>
                <w:sz w:val="20"/>
                <w:szCs w:val="20"/>
                <w:color w:val="auto"/>
              </w:rPr>
            </w:pPr>
            <w:r>
              <w:rPr>
                <w:rFonts w:ascii="Arial" w:cs="Arial" w:eastAsia="Arial" w:hAnsi="Arial"/>
                <w:sz w:val="18"/>
                <w:szCs w:val="18"/>
                <w:color w:val="auto"/>
                <w:w w:val="97"/>
              </w:rPr>
              <w:t>T00000050061925</w:t>
            </w:r>
          </w:p>
        </w:tc>
        <w:tc>
          <w:tcPr>
            <w:tcW w:w="2000" w:type="dxa"/>
            <w:vAlign w:val="bottom"/>
          </w:tcPr>
          <w:p>
            <w:pPr>
              <w:ind w:left="100"/>
              <w:spacing w:after="0"/>
              <w:rPr>
                <w:sz w:val="20"/>
                <w:szCs w:val="20"/>
                <w:color w:val="auto"/>
              </w:rPr>
            </w:pPr>
            <w:r>
              <w:rPr>
                <w:rFonts w:ascii="Arial" w:cs="Arial" w:eastAsia="Arial" w:hAnsi="Arial"/>
                <w:sz w:val="18"/>
                <w:szCs w:val="18"/>
                <w:color w:val="auto"/>
              </w:rPr>
              <w:t>ANTRIM TOWNSHIP</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1,380,000.00</w:t>
            </w:r>
          </w:p>
        </w:tc>
        <w:tc>
          <w:tcPr>
            <w:tcW w:w="780" w:type="dxa"/>
            <w:vAlign w:val="bottom"/>
          </w:tcPr>
          <w:p>
            <w:pPr>
              <w:ind w:left="340"/>
              <w:spacing w:after="0"/>
              <w:rPr>
                <w:sz w:val="20"/>
                <w:szCs w:val="20"/>
                <w:color w:val="auto"/>
              </w:rPr>
            </w:pPr>
            <w:r>
              <w:rPr>
                <w:rFonts w:ascii="Arial" w:cs="Arial" w:eastAsia="Arial" w:hAnsi="Arial"/>
                <w:sz w:val="18"/>
                <w:szCs w:val="18"/>
                <w:color w:val="auto"/>
              </w:rPr>
              <w:t>USD</w:t>
            </w:r>
          </w:p>
        </w:tc>
        <w:tc>
          <w:tcPr>
            <w:tcW w:w="1140" w:type="dxa"/>
            <w:vAlign w:val="bottom"/>
          </w:tcPr>
          <w:p>
            <w:pPr>
              <w:ind w:left="80"/>
              <w:spacing w:after="0"/>
              <w:rPr>
                <w:sz w:val="20"/>
                <w:szCs w:val="20"/>
                <w:color w:val="auto"/>
              </w:rPr>
            </w:pPr>
            <w:r>
              <w:rPr>
                <w:rFonts w:ascii="Arial" w:cs="Arial" w:eastAsia="Arial" w:hAnsi="Arial"/>
                <w:sz w:val="18"/>
                <w:szCs w:val="18"/>
                <w:color w:val="auto"/>
              </w:rPr>
              <w:t>4/3/2005</w:t>
            </w:r>
          </w:p>
        </w:tc>
        <w:tc>
          <w:tcPr>
            <w:tcW w:w="1420" w:type="dxa"/>
            <w:vAlign w:val="bottom"/>
          </w:tcPr>
          <w:p>
            <w:pPr>
              <w:ind w:left="240"/>
              <w:spacing w:after="0"/>
              <w:rPr>
                <w:sz w:val="20"/>
                <w:szCs w:val="20"/>
                <w:color w:val="auto"/>
              </w:rPr>
            </w:pPr>
            <w:r>
              <w:rPr>
                <w:rFonts w:ascii="Arial" w:cs="Arial" w:eastAsia="Arial" w:hAnsi="Arial"/>
                <w:sz w:val="18"/>
                <w:szCs w:val="18"/>
                <w:color w:val="auto"/>
              </w:rPr>
              <w:t>6/16/2019</w:t>
            </w:r>
          </w:p>
        </w:tc>
        <w:tc>
          <w:tcPr>
            <w:tcW w:w="40" w:type="dxa"/>
            <w:vAlign w:val="bottom"/>
          </w:tcPr>
          <w:p>
            <w:pPr>
              <w:spacing w:after="0"/>
              <w:rPr>
                <w:sz w:val="18"/>
                <w:szCs w:val="18"/>
                <w:color w:val="auto"/>
              </w:rPr>
            </w:pPr>
          </w:p>
        </w:tc>
      </w:tr>
      <w:tr>
        <w:trPr>
          <w:trHeight w:val="202"/>
        </w:trPr>
        <w:tc>
          <w:tcPr>
            <w:tcW w:w="4020" w:type="dxa"/>
            <w:vAlign w:val="bottom"/>
            <w:shd w:val="clear" w:color="auto" w:fill="CCEEFF"/>
          </w:tcPr>
          <w:p>
            <w:pPr>
              <w:ind w:left="2520"/>
              <w:spacing w:after="0" w:line="201" w:lineRule="exact"/>
              <w:rPr>
                <w:sz w:val="20"/>
                <w:szCs w:val="20"/>
                <w:color w:val="auto"/>
              </w:rPr>
            </w:pPr>
            <w:r>
              <w:rPr>
                <w:rFonts w:ascii="Arial" w:cs="Arial" w:eastAsia="Arial" w:hAnsi="Arial"/>
                <w:sz w:val="18"/>
                <w:szCs w:val="18"/>
                <w:color w:val="auto"/>
                <w:w w:val="97"/>
              </w:rPr>
              <w:t>T00000050061985</w:t>
            </w:r>
          </w:p>
        </w:tc>
        <w:tc>
          <w:tcPr>
            <w:tcW w:w="2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AMERICAN</w:t>
            </w:r>
          </w:p>
        </w:tc>
        <w:tc>
          <w:tcPr>
            <w:tcW w:w="50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260,000.00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4/3/2005</w:t>
            </w:r>
          </w:p>
        </w:tc>
        <w:tc>
          <w:tcPr>
            <w:tcW w:w="1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3/31/2019</w:t>
            </w:r>
          </w:p>
        </w:tc>
        <w:tc>
          <w:tcPr>
            <w:tcW w:w="40" w:type="dxa"/>
            <w:vAlign w:val="bottom"/>
          </w:tcPr>
          <w:p>
            <w:pPr>
              <w:spacing w:after="0"/>
              <w:rPr>
                <w:sz w:val="17"/>
                <w:szCs w:val="17"/>
                <w:color w:val="auto"/>
              </w:rPr>
            </w:pPr>
          </w:p>
        </w:tc>
      </w:tr>
      <w:tr>
        <w:trPr>
          <w:trHeight w:val="230"/>
        </w:trPr>
        <w:tc>
          <w:tcPr>
            <w:tcW w:w="4020" w:type="dxa"/>
            <w:vAlign w:val="bottom"/>
            <w:shd w:val="clear" w:color="auto" w:fill="CCEEFF"/>
          </w:tcPr>
          <w:p>
            <w:pPr>
              <w:spacing w:after="0"/>
              <w:rPr>
                <w:sz w:val="20"/>
                <w:szCs w:val="20"/>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INTERNATION</w:t>
            </w:r>
          </w:p>
        </w:tc>
        <w:tc>
          <w:tcPr>
            <w:tcW w:w="5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tcPr>
          <w:p>
            <w:pPr>
              <w:ind w:left="2520"/>
              <w:spacing w:after="0" w:line="201" w:lineRule="exact"/>
              <w:rPr>
                <w:sz w:val="20"/>
                <w:szCs w:val="20"/>
                <w:color w:val="auto"/>
              </w:rPr>
            </w:pPr>
            <w:r>
              <w:rPr>
                <w:rFonts w:ascii="Arial" w:cs="Arial" w:eastAsia="Arial" w:hAnsi="Arial"/>
                <w:sz w:val="18"/>
                <w:szCs w:val="18"/>
                <w:color w:val="auto"/>
                <w:w w:val="97"/>
              </w:rPr>
              <w:t>T00000050061986</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AMERICAN</w:t>
            </w:r>
          </w:p>
        </w:tc>
        <w:tc>
          <w:tcPr>
            <w:tcW w:w="50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250,000.00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tcPr>
          <w:p>
            <w:pPr>
              <w:ind w:left="80"/>
              <w:spacing w:after="0" w:line="201" w:lineRule="exact"/>
              <w:rPr>
                <w:sz w:val="20"/>
                <w:szCs w:val="20"/>
                <w:color w:val="auto"/>
              </w:rPr>
            </w:pPr>
            <w:r>
              <w:rPr>
                <w:rFonts w:ascii="Arial" w:cs="Arial" w:eastAsia="Arial" w:hAnsi="Arial"/>
                <w:sz w:val="18"/>
                <w:szCs w:val="18"/>
                <w:color w:val="auto"/>
              </w:rPr>
              <w:t>4/3/2005</w:t>
            </w:r>
          </w:p>
        </w:tc>
        <w:tc>
          <w:tcPr>
            <w:tcW w:w="1420" w:type="dxa"/>
            <w:vAlign w:val="bottom"/>
          </w:tcPr>
          <w:p>
            <w:pPr>
              <w:ind w:left="240"/>
              <w:spacing w:after="0" w:line="201" w:lineRule="exact"/>
              <w:rPr>
                <w:sz w:val="20"/>
                <w:szCs w:val="20"/>
                <w:color w:val="auto"/>
              </w:rPr>
            </w:pPr>
            <w:r>
              <w:rPr>
                <w:rFonts w:ascii="Arial" w:cs="Arial" w:eastAsia="Arial" w:hAnsi="Arial"/>
                <w:sz w:val="18"/>
                <w:szCs w:val="18"/>
                <w:color w:val="auto"/>
              </w:rPr>
              <w:t>3/31/2019</w:t>
            </w:r>
          </w:p>
        </w:tc>
        <w:tc>
          <w:tcPr>
            <w:tcW w:w="4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INTERNATION</w:t>
            </w: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shd w:val="clear" w:color="auto" w:fill="CCEEFF"/>
          </w:tcPr>
          <w:p>
            <w:pPr>
              <w:ind w:left="2520"/>
              <w:spacing w:after="0" w:line="201" w:lineRule="exact"/>
              <w:rPr>
                <w:sz w:val="20"/>
                <w:szCs w:val="20"/>
                <w:color w:val="auto"/>
              </w:rPr>
            </w:pPr>
            <w:r>
              <w:rPr>
                <w:rFonts w:ascii="Arial" w:cs="Arial" w:eastAsia="Arial" w:hAnsi="Arial"/>
                <w:sz w:val="18"/>
                <w:szCs w:val="18"/>
                <w:color w:val="auto"/>
                <w:w w:val="97"/>
              </w:rPr>
              <w:t>T00000050062000</w:t>
            </w:r>
          </w:p>
        </w:tc>
        <w:tc>
          <w:tcPr>
            <w:tcW w:w="2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VILLAGE OF THIRD</w:t>
            </w:r>
          </w:p>
        </w:tc>
        <w:tc>
          <w:tcPr>
            <w:tcW w:w="50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75,000.00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4/3/2005</w:t>
            </w:r>
          </w:p>
        </w:tc>
        <w:tc>
          <w:tcPr>
            <w:tcW w:w="1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11/30/2018</w:t>
            </w:r>
          </w:p>
        </w:tc>
        <w:tc>
          <w:tcPr>
            <w:tcW w:w="40" w:type="dxa"/>
            <w:vAlign w:val="bottom"/>
          </w:tcPr>
          <w:p>
            <w:pPr>
              <w:spacing w:after="0"/>
              <w:rPr>
                <w:sz w:val="17"/>
                <w:szCs w:val="17"/>
                <w:color w:val="auto"/>
              </w:rPr>
            </w:pPr>
          </w:p>
        </w:tc>
      </w:tr>
      <w:tr>
        <w:trPr>
          <w:trHeight w:val="230"/>
        </w:trPr>
        <w:tc>
          <w:tcPr>
            <w:tcW w:w="4020" w:type="dxa"/>
            <w:vAlign w:val="bottom"/>
            <w:shd w:val="clear" w:color="auto" w:fill="CCEEFF"/>
          </w:tcPr>
          <w:p>
            <w:pPr>
              <w:spacing w:after="0"/>
              <w:rPr>
                <w:sz w:val="20"/>
                <w:szCs w:val="20"/>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LAK</w:t>
            </w:r>
          </w:p>
        </w:tc>
        <w:tc>
          <w:tcPr>
            <w:tcW w:w="5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tcPr>
          <w:p>
            <w:pPr>
              <w:ind w:left="2520"/>
              <w:spacing w:after="0" w:line="201" w:lineRule="exact"/>
              <w:rPr>
                <w:sz w:val="20"/>
                <w:szCs w:val="20"/>
                <w:color w:val="auto"/>
              </w:rPr>
            </w:pPr>
            <w:r>
              <w:rPr>
                <w:rFonts w:ascii="Arial" w:cs="Arial" w:eastAsia="Arial" w:hAnsi="Arial"/>
                <w:sz w:val="18"/>
                <w:szCs w:val="18"/>
                <w:color w:val="auto"/>
                <w:w w:val="97"/>
              </w:rPr>
              <w:t>T00000050062044</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CONTINENTAL</w:t>
            </w:r>
          </w:p>
        </w:tc>
        <w:tc>
          <w:tcPr>
            <w:tcW w:w="50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5,099,000.00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tcPr>
          <w:p>
            <w:pPr>
              <w:ind w:left="80"/>
              <w:spacing w:after="0" w:line="201" w:lineRule="exact"/>
              <w:rPr>
                <w:sz w:val="20"/>
                <w:szCs w:val="20"/>
                <w:color w:val="auto"/>
              </w:rPr>
            </w:pPr>
            <w:r>
              <w:rPr>
                <w:rFonts w:ascii="Arial" w:cs="Arial" w:eastAsia="Arial" w:hAnsi="Arial"/>
                <w:sz w:val="18"/>
                <w:szCs w:val="18"/>
                <w:color w:val="auto"/>
              </w:rPr>
              <w:t>4/3/2005</w:t>
            </w:r>
          </w:p>
        </w:tc>
        <w:tc>
          <w:tcPr>
            <w:tcW w:w="1420" w:type="dxa"/>
            <w:vAlign w:val="bottom"/>
          </w:tcPr>
          <w:p>
            <w:pPr>
              <w:ind w:left="240"/>
              <w:spacing w:after="0" w:line="201" w:lineRule="exact"/>
              <w:rPr>
                <w:sz w:val="20"/>
                <w:szCs w:val="20"/>
                <w:color w:val="auto"/>
              </w:rPr>
            </w:pPr>
            <w:r>
              <w:rPr>
                <w:rFonts w:ascii="Arial" w:cs="Arial" w:eastAsia="Arial" w:hAnsi="Arial"/>
                <w:sz w:val="18"/>
                <w:szCs w:val="18"/>
                <w:color w:val="auto"/>
              </w:rPr>
              <w:t>6/30/2018</w:t>
            </w:r>
          </w:p>
        </w:tc>
        <w:tc>
          <w:tcPr>
            <w:tcW w:w="4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CASUALTY</w:t>
            </w: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020" w:type="dxa"/>
            <w:vAlign w:val="bottom"/>
            <w:shd w:val="clear" w:color="auto" w:fill="CCEEFF"/>
          </w:tcPr>
          <w:p>
            <w:pPr>
              <w:ind w:left="2520"/>
              <w:spacing w:after="0"/>
              <w:rPr>
                <w:sz w:val="20"/>
                <w:szCs w:val="20"/>
                <w:color w:val="auto"/>
              </w:rPr>
            </w:pPr>
            <w:r>
              <w:rPr>
                <w:rFonts w:ascii="Arial" w:cs="Arial" w:eastAsia="Arial" w:hAnsi="Arial"/>
                <w:sz w:val="18"/>
                <w:szCs w:val="18"/>
                <w:color w:val="auto"/>
                <w:w w:val="97"/>
              </w:rPr>
              <w:t>T00000050062053</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CITY OF CHICAGO</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100,000.00</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4/3/2005</w:t>
            </w:r>
          </w:p>
        </w:tc>
        <w:tc>
          <w:tcPr>
            <w:tcW w:w="1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12/31/2018</w:t>
            </w:r>
          </w:p>
        </w:tc>
        <w:tc>
          <w:tcPr>
            <w:tcW w:w="40" w:type="dxa"/>
            <w:vAlign w:val="bottom"/>
          </w:tcPr>
          <w:p>
            <w:pPr>
              <w:spacing w:after="0"/>
              <w:rPr>
                <w:sz w:val="18"/>
                <w:szCs w:val="18"/>
                <w:color w:val="auto"/>
              </w:rPr>
            </w:pPr>
          </w:p>
        </w:tc>
      </w:tr>
      <w:tr>
        <w:trPr>
          <w:trHeight w:val="202"/>
        </w:trPr>
        <w:tc>
          <w:tcPr>
            <w:tcW w:w="4020" w:type="dxa"/>
            <w:vAlign w:val="bottom"/>
          </w:tcPr>
          <w:p>
            <w:pPr>
              <w:ind w:left="2520"/>
              <w:spacing w:after="0" w:line="201" w:lineRule="exact"/>
              <w:rPr>
                <w:sz w:val="20"/>
                <w:szCs w:val="20"/>
                <w:color w:val="auto"/>
              </w:rPr>
            </w:pPr>
            <w:r>
              <w:rPr>
                <w:rFonts w:ascii="Arial" w:cs="Arial" w:eastAsia="Arial" w:hAnsi="Arial"/>
                <w:sz w:val="18"/>
                <w:szCs w:val="18"/>
                <w:color w:val="auto"/>
                <w:w w:val="97"/>
              </w:rPr>
              <w:t>T00000050062099</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COMMISSIONER,</w:t>
            </w:r>
          </w:p>
        </w:tc>
        <w:tc>
          <w:tcPr>
            <w:tcW w:w="50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239,610.00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tcPr>
          <w:p>
            <w:pPr>
              <w:ind w:left="80"/>
              <w:spacing w:after="0" w:line="201" w:lineRule="exact"/>
              <w:rPr>
                <w:sz w:val="20"/>
                <w:szCs w:val="20"/>
                <w:color w:val="auto"/>
              </w:rPr>
            </w:pPr>
            <w:r>
              <w:rPr>
                <w:rFonts w:ascii="Arial" w:cs="Arial" w:eastAsia="Arial" w:hAnsi="Arial"/>
                <w:sz w:val="18"/>
                <w:szCs w:val="18"/>
                <w:color w:val="auto"/>
              </w:rPr>
              <w:t>4/3/2005</w:t>
            </w:r>
          </w:p>
        </w:tc>
        <w:tc>
          <w:tcPr>
            <w:tcW w:w="1420" w:type="dxa"/>
            <w:vAlign w:val="bottom"/>
          </w:tcPr>
          <w:p>
            <w:pPr>
              <w:ind w:left="240"/>
              <w:spacing w:after="0" w:line="201" w:lineRule="exact"/>
              <w:rPr>
                <w:sz w:val="20"/>
                <w:szCs w:val="20"/>
                <w:color w:val="auto"/>
              </w:rPr>
            </w:pPr>
            <w:r>
              <w:rPr>
                <w:rFonts w:ascii="Arial" w:cs="Arial" w:eastAsia="Arial" w:hAnsi="Arial"/>
                <w:sz w:val="18"/>
                <w:szCs w:val="18"/>
                <w:color w:val="auto"/>
              </w:rPr>
              <w:t>12/8/2018</w:t>
            </w:r>
          </w:p>
        </w:tc>
        <w:tc>
          <w:tcPr>
            <w:tcW w:w="4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NEW JE</w:t>
            </w: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shd w:val="clear" w:color="auto" w:fill="CCEEFF"/>
          </w:tcPr>
          <w:p>
            <w:pPr>
              <w:ind w:left="2540"/>
              <w:spacing w:after="0" w:line="201" w:lineRule="exact"/>
              <w:rPr>
                <w:sz w:val="20"/>
                <w:szCs w:val="20"/>
                <w:color w:val="auto"/>
              </w:rPr>
            </w:pPr>
            <w:r>
              <w:rPr>
                <w:rFonts w:ascii="Arial" w:cs="Arial" w:eastAsia="Arial" w:hAnsi="Arial"/>
                <w:sz w:val="18"/>
                <w:szCs w:val="18"/>
                <w:color w:val="auto"/>
                <w:w w:val="96"/>
              </w:rPr>
              <w:t>T00000050062119</w:t>
            </w:r>
          </w:p>
        </w:tc>
        <w:tc>
          <w:tcPr>
            <w:tcW w:w="2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ACE AMERICAN</w:t>
            </w:r>
          </w:p>
        </w:tc>
        <w:tc>
          <w:tcPr>
            <w:tcW w:w="50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1,740,679.00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4/3/2005</w:t>
            </w:r>
          </w:p>
        </w:tc>
        <w:tc>
          <w:tcPr>
            <w:tcW w:w="1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12/1/2018</w:t>
            </w:r>
          </w:p>
        </w:tc>
        <w:tc>
          <w:tcPr>
            <w:tcW w:w="40" w:type="dxa"/>
            <w:vAlign w:val="bottom"/>
          </w:tcPr>
          <w:p>
            <w:pPr>
              <w:spacing w:after="0"/>
              <w:rPr>
                <w:sz w:val="17"/>
                <w:szCs w:val="17"/>
                <w:color w:val="auto"/>
              </w:rPr>
            </w:pPr>
          </w:p>
        </w:tc>
      </w:tr>
      <w:tr>
        <w:trPr>
          <w:trHeight w:val="230"/>
        </w:trPr>
        <w:tc>
          <w:tcPr>
            <w:tcW w:w="4020" w:type="dxa"/>
            <w:vAlign w:val="bottom"/>
            <w:shd w:val="clear" w:color="auto" w:fill="CCEEFF"/>
          </w:tcPr>
          <w:p>
            <w:pPr>
              <w:spacing w:after="0"/>
              <w:rPr>
                <w:sz w:val="20"/>
                <w:szCs w:val="20"/>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INSURAN</w:t>
            </w:r>
          </w:p>
        </w:tc>
        <w:tc>
          <w:tcPr>
            <w:tcW w:w="5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tcPr>
          <w:p>
            <w:pPr>
              <w:ind w:left="2520"/>
              <w:spacing w:after="0" w:line="201" w:lineRule="exact"/>
              <w:rPr>
                <w:sz w:val="20"/>
                <w:szCs w:val="20"/>
                <w:color w:val="auto"/>
              </w:rPr>
            </w:pPr>
            <w:r>
              <w:rPr>
                <w:rFonts w:ascii="Arial" w:cs="Arial" w:eastAsia="Arial" w:hAnsi="Arial"/>
                <w:sz w:val="18"/>
                <w:szCs w:val="18"/>
                <w:color w:val="auto"/>
                <w:w w:val="97"/>
              </w:rPr>
              <w:t>T00000050062137</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ACE-INA OVERSEAS</w:t>
            </w:r>
          </w:p>
        </w:tc>
        <w:tc>
          <w:tcPr>
            <w:tcW w:w="50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740,799.00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tcPr>
          <w:p>
            <w:pPr>
              <w:ind w:left="80"/>
              <w:spacing w:after="0" w:line="201" w:lineRule="exact"/>
              <w:rPr>
                <w:sz w:val="20"/>
                <w:szCs w:val="20"/>
                <w:color w:val="auto"/>
              </w:rPr>
            </w:pPr>
            <w:r>
              <w:rPr>
                <w:rFonts w:ascii="Arial" w:cs="Arial" w:eastAsia="Arial" w:hAnsi="Arial"/>
                <w:sz w:val="18"/>
                <w:szCs w:val="18"/>
                <w:color w:val="auto"/>
              </w:rPr>
              <w:t>4/3/2005</w:t>
            </w:r>
          </w:p>
        </w:tc>
        <w:tc>
          <w:tcPr>
            <w:tcW w:w="1420" w:type="dxa"/>
            <w:vAlign w:val="bottom"/>
          </w:tcPr>
          <w:p>
            <w:pPr>
              <w:ind w:left="240"/>
              <w:spacing w:after="0" w:line="201" w:lineRule="exact"/>
              <w:rPr>
                <w:sz w:val="20"/>
                <w:szCs w:val="20"/>
                <w:color w:val="auto"/>
              </w:rPr>
            </w:pPr>
            <w:r>
              <w:rPr>
                <w:rFonts w:ascii="Arial" w:cs="Arial" w:eastAsia="Arial" w:hAnsi="Arial"/>
                <w:sz w:val="18"/>
                <w:szCs w:val="18"/>
                <w:color w:val="auto"/>
              </w:rPr>
              <w:t>7/30/2018</w:t>
            </w:r>
          </w:p>
        </w:tc>
        <w:tc>
          <w:tcPr>
            <w:tcW w:w="4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INS</w:t>
            </w: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shd w:val="clear" w:color="auto" w:fill="CCEEFF"/>
          </w:tcPr>
          <w:p>
            <w:pPr>
              <w:ind w:left="2520"/>
              <w:spacing w:after="0" w:line="201" w:lineRule="exact"/>
              <w:rPr>
                <w:sz w:val="20"/>
                <w:szCs w:val="20"/>
                <w:color w:val="auto"/>
              </w:rPr>
            </w:pPr>
            <w:r>
              <w:rPr>
                <w:rFonts w:ascii="Arial" w:cs="Arial" w:eastAsia="Arial" w:hAnsi="Arial"/>
                <w:sz w:val="18"/>
                <w:szCs w:val="18"/>
                <w:color w:val="auto"/>
                <w:w w:val="97"/>
              </w:rPr>
              <w:t>T00000050062140</w:t>
            </w:r>
          </w:p>
        </w:tc>
        <w:tc>
          <w:tcPr>
            <w:tcW w:w="2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NATIONAL UNION</w:t>
            </w:r>
          </w:p>
        </w:tc>
        <w:tc>
          <w:tcPr>
            <w:tcW w:w="50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250,000.00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4/3/2005</w:t>
            </w:r>
          </w:p>
        </w:tc>
        <w:tc>
          <w:tcPr>
            <w:tcW w:w="1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6/30/2018</w:t>
            </w:r>
          </w:p>
        </w:tc>
        <w:tc>
          <w:tcPr>
            <w:tcW w:w="40" w:type="dxa"/>
            <w:vAlign w:val="bottom"/>
          </w:tcPr>
          <w:p>
            <w:pPr>
              <w:spacing w:after="0"/>
              <w:rPr>
                <w:sz w:val="17"/>
                <w:szCs w:val="17"/>
                <w:color w:val="auto"/>
              </w:rPr>
            </w:pPr>
          </w:p>
        </w:tc>
      </w:tr>
      <w:tr>
        <w:trPr>
          <w:trHeight w:val="230"/>
        </w:trPr>
        <w:tc>
          <w:tcPr>
            <w:tcW w:w="4020" w:type="dxa"/>
            <w:vAlign w:val="bottom"/>
            <w:shd w:val="clear" w:color="auto" w:fill="CCEEFF"/>
          </w:tcPr>
          <w:p>
            <w:pPr>
              <w:spacing w:after="0"/>
              <w:rPr>
                <w:sz w:val="20"/>
                <w:szCs w:val="20"/>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FIRE</w:t>
            </w:r>
          </w:p>
        </w:tc>
        <w:tc>
          <w:tcPr>
            <w:tcW w:w="5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tcPr>
          <w:p>
            <w:pPr>
              <w:ind w:left="2520"/>
              <w:spacing w:after="0" w:line="201" w:lineRule="exact"/>
              <w:rPr>
                <w:sz w:val="20"/>
                <w:szCs w:val="20"/>
                <w:color w:val="auto"/>
              </w:rPr>
            </w:pPr>
            <w:r>
              <w:rPr>
                <w:rFonts w:ascii="Arial" w:cs="Arial" w:eastAsia="Arial" w:hAnsi="Arial"/>
                <w:sz w:val="18"/>
                <w:szCs w:val="18"/>
                <w:color w:val="auto"/>
                <w:w w:val="97"/>
              </w:rPr>
              <w:t>T00000050062141</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NATIONAL UNION</w:t>
            </w:r>
          </w:p>
        </w:tc>
        <w:tc>
          <w:tcPr>
            <w:tcW w:w="50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3,085,000.00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tcPr>
          <w:p>
            <w:pPr>
              <w:ind w:left="80"/>
              <w:spacing w:after="0" w:line="201" w:lineRule="exact"/>
              <w:rPr>
                <w:sz w:val="20"/>
                <w:szCs w:val="20"/>
                <w:color w:val="auto"/>
              </w:rPr>
            </w:pPr>
            <w:r>
              <w:rPr>
                <w:rFonts w:ascii="Arial" w:cs="Arial" w:eastAsia="Arial" w:hAnsi="Arial"/>
                <w:sz w:val="18"/>
                <w:szCs w:val="18"/>
                <w:color w:val="auto"/>
              </w:rPr>
              <w:t>4/3/2005</w:t>
            </w:r>
          </w:p>
        </w:tc>
        <w:tc>
          <w:tcPr>
            <w:tcW w:w="1420" w:type="dxa"/>
            <w:vAlign w:val="bottom"/>
          </w:tcPr>
          <w:p>
            <w:pPr>
              <w:ind w:left="240"/>
              <w:spacing w:after="0" w:line="201" w:lineRule="exact"/>
              <w:rPr>
                <w:sz w:val="20"/>
                <w:szCs w:val="20"/>
                <w:color w:val="auto"/>
              </w:rPr>
            </w:pPr>
            <w:r>
              <w:rPr>
                <w:rFonts w:ascii="Arial" w:cs="Arial" w:eastAsia="Arial" w:hAnsi="Arial"/>
                <w:sz w:val="18"/>
                <w:szCs w:val="18"/>
                <w:color w:val="auto"/>
              </w:rPr>
              <w:t>6/30/2018</w:t>
            </w:r>
          </w:p>
        </w:tc>
        <w:tc>
          <w:tcPr>
            <w:tcW w:w="4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FIRE</w:t>
            </w: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020" w:type="dxa"/>
            <w:vAlign w:val="bottom"/>
            <w:shd w:val="clear" w:color="auto" w:fill="CCEEFF"/>
          </w:tcPr>
          <w:p>
            <w:pPr>
              <w:ind w:left="2520"/>
              <w:spacing w:after="0"/>
              <w:rPr>
                <w:sz w:val="20"/>
                <w:szCs w:val="20"/>
                <w:color w:val="auto"/>
              </w:rPr>
            </w:pPr>
            <w:r>
              <w:rPr>
                <w:rFonts w:ascii="Arial" w:cs="Arial" w:eastAsia="Arial" w:hAnsi="Arial"/>
                <w:sz w:val="18"/>
                <w:szCs w:val="18"/>
                <w:color w:val="auto"/>
                <w:w w:val="97"/>
              </w:rPr>
              <w:t>T00000064016617</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TOWN OF LANTANA</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10,000.00</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7/31/2013</w:t>
            </w:r>
          </w:p>
        </w:tc>
        <w:tc>
          <w:tcPr>
            <w:tcW w:w="1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6/30/2018</w:t>
            </w:r>
          </w:p>
        </w:tc>
        <w:tc>
          <w:tcPr>
            <w:tcW w:w="40" w:type="dxa"/>
            <w:vAlign w:val="bottom"/>
          </w:tcPr>
          <w:p>
            <w:pPr>
              <w:spacing w:after="0"/>
              <w:rPr>
                <w:sz w:val="18"/>
                <w:szCs w:val="18"/>
                <w:color w:val="auto"/>
              </w:rPr>
            </w:pPr>
          </w:p>
        </w:tc>
      </w:tr>
      <w:tr>
        <w:trPr>
          <w:trHeight w:val="202"/>
        </w:trPr>
        <w:tc>
          <w:tcPr>
            <w:tcW w:w="4020" w:type="dxa"/>
            <w:vAlign w:val="bottom"/>
          </w:tcPr>
          <w:p>
            <w:pPr>
              <w:ind w:left="2520"/>
              <w:spacing w:after="0" w:line="201" w:lineRule="exact"/>
              <w:rPr>
                <w:sz w:val="20"/>
                <w:szCs w:val="20"/>
                <w:color w:val="auto"/>
              </w:rPr>
            </w:pPr>
            <w:r>
              <w:rPr>
                <w:rFonts w:ascii="Arial" w:cs="Arial" w:eastAsia="Arial" w:hAnsi="Arial"/>
                <w:sz w:val="18"/>
                <w:szCs w:val="18"/>
                <w:color w:val="auto"/>
                <w:w w:val="97"/>
              </w:rPr>
              <w:t>T00000064016632</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COUNTY</w:t>
            </w:r>
          </w:p>
        </w:tc>
        <w:tc>
          <w:tcPr>
            <w:tcW w:w="50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350,000.00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tcPr>
          <w:p>
            <w:pPr>
              <w:ind w:left="80"/>
              <w:spacing w:after="0" w:line="201" w:lineRule="exact"/>
              <w:rPr>
                <w:sz w:val="20"/>
                <w:szCs w:val="20"/>
                <w:color w:val="auto"/>
              </w:rPr>
            </w:pPr>
            <w:r>
              <w:rPr>
                <w:rFonts w:ascii="Arial" w:cs="Arial" w:eastAsia="Arial" w:hAnsi="Arial"/>
                <w:sz w:val="18"/>
                <w:szCs w:val="18"/>
                <w:color w:val="auto"/>
              </w:rPr>
              <w:t>3/5/2014</w:t>
            </w:r>
          </w:p>
        </w:tc>
        <w:tc>
          <w:tcPr>
            <w:tcW w:w="1420" w:type="dxa"/>
            <w:vAlign w:val="bottom"/>
          </w:tcPr>
          <w:p>
            <w:pPr>
              <w:ind w:left="240"/>
              <w:spacing w:after="0" w:line="201" w:lineRule="exact"/>
              <w:rPr>
                <w:sz w:val="20"/>
                <w:szCs w:val="20"/>
                <w:color w:val="auto"/>
              </w:rPr>
            </w:pPr>
            <w:r>
              <w:rPr>
                <w:rFonts w:ascii="Arial" w:cs="Arial" w:eastAsia="Arial" w:hAnsi="Arial"/>
                <w:sz w:val="18"/>
                <w:szCs w:val="18"/>
                <w:color w:val="auto"/>
              </w:rPr>
              <w:t>2/28/2019</w:t>
            </w:r>
          </w:p>
        </w:tc>
        <w:tc>
          <w:tcPr>
            <w:tcW w:w="4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COMMISSIONERS</w:t>
            </w: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shd w:val="clear" w:color="auto" w:fill="CCEEFF"/>
          </w:tcPr>
          <w:p>
            <w:pPr>
              <w:ind w:left="2520"/>
              <w:spacing w:after="0" w:line="201" w:lineRule="exact"/>
              <w:rPr>
                <w:sz w:val="20"/>
                <w:szCs w:val="20"/>
                <w:color w:val="auto"/>
              </w:rPr>
            </w:pPr>
            <w:r>
              <w:rPr>
                <w:rFonts w:ascii="Arial" w:cs="Arial" w:eastAsia="Arial" w:hAnsi="Arial"/>
                <w:sz w:val="18"/>
                <w:szCs w:val="18"/>
                <w:color w:val="auto"/>
                <w:w w:val="97"/>
              </w:rPr>
              <w:t>T00000064016633</w:t>
            </w:r>
          </w:p>
        </w:tc>
        <w:tc>
          <w:tcPr>
            <w:tcW w:w="2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CITY OF SANTA</w:t>
            </w:r>
          </w:p>
        </w:tc>
        <w:tc>
          <w:tcPr>
            <w:tcW w:w="50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20,000.00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7/22/2014</w:t>
            </w:r>
          </w:p>
        </w:tc>
        <w:tc>
          <w:tcPr>
            <w:tcW w:w="1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12/31/2018</w:t>
            </w:r>
          </w:p>
        </w:tc>
        <w:tc>
          <w:tcPr>
            <w:tcW w:w="40" w:type="dxa"/>
            <w:vAlign w:val="bottom"/>
          </w:tcPr>
          <w:p>
            <w:pPr>
              <w:spacing w:after="0"/>
              <w:rPr>
                <w:sz w:val="17"/>
                <w:szCs w:val="17"/>
                <w:color w:val="auto"/>
              </w:rPr>
            </w:pPr>
          </w:p>
        </w:tc>
      </w:tr>
      <w:tr>
        <w:trPr>
          <w:trHeight w:val="230"/>
        </w:trPr>
        <w:tc>
          <w:tcPr>
            <w:tcW w:w="4020" w:type="dxa"/>
            <w:vAlign w:val="bottom"/>
            <w:shd w:val="clear" w:color="auto" w:fill="CCEEFF"/>
          </w:tcPr>
          <w:p>
            <w:pPr>
              <w:spacing w:after="0"/>
              <w:rPr>
                <w:sz w:val="20"/>
                <w:szCs w:val="20"/>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CLARIT</w:t>
            </w:r>
          </w:p>
        </w:tc>
        <w:tc>
          <w:tcPr>
            <w:tcW w:w="5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4020" w:type="dxa"/>
            <w:vAlign w:val="bottom"/>
          </w:tcPr>
          <w:p>
            <w:pPr>
              <w:ind w:left="2520"/>
              <w:spacing w:after="0" w:line="201" w:lineRule="exact"/>
              <w:rPr>
                <w:sz w:val="20"/>
                <w:szCs w:val="20"/>
                <w:color w:val="auto"/>
              </w:rPr>
            </w:pPr>
            <w:r>
              <w:rPr>
                <w:rFonts w:ascii="Arial" w:cs="Arial" w:eastAsia="Arial" w:hAnsi="Arial"/>
                <w:sz w:val="18"/>
                <w:szCs w:val="18"/>
                <w:color w:val="auto"/>
                <w:w w:val="97"/>
              </w:rPr>
              <w:t>T00000064016634</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NEW JERSEY</w:t>
            </w:r>
          </w:p>
        </w:tc>
        <w:tc>
          <w:tcPr>
            <w:tcW w:w="50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575,000.00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tcPr>
          <w:p>
            <w:pPr>
              <w:ind w:left="80"/>
              <w:spacing w:after="0" w:line="201" w:lineRule="exact"/>
              <w:rPr>
                <w:sz w:val="20"/>
                <w:szCs w:val="20"/>
                <w:color w:val="auto"/>
              </w:rPr>
            </w:pPr>
            <w:r>
              <w:rPr>
                <w:rFonts w:ascii="Arial" w:cs="Arial" w:eastAsia="Arial" w:hAnsi="Arial"/>
                <w:sz w:val="18"/>
                <w:szCs w:val="18"/>
                <w:color w:val="auto"/>
              </w:rPr>
              <w:t>9/25/2014</w:t>
            </w:r>
          </w:p>
        </w:tc>
        <w:tc>
          <w:tcPr>
            <w:tcW w:w="1420" w:type="dxa"/>
            <w:vAlign w:val="bottom"/>
          </w:tcPr>
          <w:p>
            <w:pPr>
              <w:ind w:left="240"/>
              <w:spacing w:after="0" w:line="201" w:lineRule="exact"/>
              <w:rPr>
                <w:sz w:val="20"/>
                <w:szCs w:val="20"/>
                <w:color w:val="auto"/>
              </w:rPr>
            </w:pPr>
            <w:r>
              <w:rPr>
                <w:rFonts w:ascii="Arial" w:cs="Arial" w:eastAsia="Arial" w:hAnsi="Arial"/>
                <w:sz w:val="18"/>
                <w:szCs w:val="18"/>
                <w:color w:val="auto"/>
              </w:rPr>
              <w:t>11/1/2018</w:t>
            </w:r>
          </w:p>
        </w:tc>
        <w:tc>
          <w:tcPr>
            <w:tcW w:w="4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DEPARTMEN</w:t>
            </w: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020" w:type="dxa"/>
            <w:vAlign w:val="bottom"/>
            <w:shd w:val="clear" w:color="auto" w:fill="CCEEFF"/>
          </w:tcPr>
          <w:p>
            <w:pPr>
              <w:ind w:left="2520"/>
              <w:spacing w:after="0"/>
              <w:rPr>
                <w:sz w:val="20"/>
                <w:szCs w:val="20"/>
                <w:color w:val="auto"/>
              </w:rPr>
            </w:pPr>
            <w:r>
              <w:rPr>
                <w:rFonts w:ascii="Arial" w:cs="Arial" w:eastAsia="Arial" w:hAnsi="Arial"/>
                <w:sz w:val="18"/>
                <w:szCs w:val="18"/>
                <w:color w:val="auto"/>
                <w:w w:val="97"/>
              </w:rPr>
              <w:t>T00000064016635</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CITY OF WINTERS</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250,000.00</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12/18/2008</w:t>
            </w:r>
          </w:p>
        </w:tc>
        <w:tc>
          <w:tcPr>
            <w:tcW w:w="1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12/11/2018</w:t>
            </w:r>
          </w:p>
        </w:tc>
        <w:tc>
          <w:tcPr>
            <w:tcW w:w="40" w:type="dxa"/>
            <w:vAlign w:val="bottom"/>
          </w:tcPr>
          <w:p>
            <w:pPr>
              <w:spacing w:after="0"/>
              <w:rPr>
                <w:sz w:val="18"/>
                <w:szCs w:val="18"/>
                <w:color w:val="auto"/>
              </w:rPr>
            </w:pPr>
          </w:p>
        </w:tc>
      </w:tr>
      <w:tr>
        <w:trPr>
          <w:trHeight w:val="348"/>
        </w:trPr>
        <w:tc>
          <w:tcPr>
            <w:tcW w:w="402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shd w:val="clear" w:color="auto" w:fill="CCEEFF"/>
          </w:tcPr>
          <w:p>
            <w:pPr>
              <w:ind w:left="2520"/>
              <w:spacing w:after="0"/>
              <w:rPr>
                <w:sz w:val="20"/>
                <w:szCs w:val="20"/>
                <w:color w:val="auto"/>
              </w:rPr>
            </w:pPr>
            <w:r>
              <w:rPr>
                <w:rFonts w:ascii="Arial" w:cs="Arial" w:eastAsia="Arial" w:hAnsi="Arial"/>
                <w:sz w:val="18"/>
                <w:szCs w:val="18"/>
                <w:color w:val="auto"/>
                <w:w w:val="97"/>
              </w:rPr>
              <w:t>T00000064016641</w:t>
            </w: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 JERSEY</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2,322,000.00</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10/28/2014</w:t>
            </w:r>
          </w:p>
        </w:tc>
        <w:tc>
          <w:tcPr>
            <w:tcW w:w="1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12/1/2018</w:t>
            </w:r>
          </w:p>
        </w:tc>
      </w:tr>
      <w:tr>
        <w:trPr>
          <w:trHeight w:val="230"/>
        </w:trPr>
        <w:tc>
          <w:tcPr>
            <w:tcW w:w="4020" w:type="dxa"/>
            <w:vAlign w:val="bottom"/>
            <w:shd w:val="clear" w:color="auto" w:fill="CCEEFF"/>
          </w:tcPr>
          <w:p>
            <w:pPr>
              <w:spacing w:after="0"/>
              <w:rPr>
                <w:sz w:val="20"/>
                <w:szCs w:val="20"/>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DEPARTMEN</w:t>
            </w: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02"/>
        </w:trPr>
        <w:tc>
          <w:tcPr>
            <w:tcW w:w="4020" w:type="dxa"/>
            <w:vAlign w:val="bottom"/>
          </w:tcPr>
          <w:p>
            <w:pPr>
              <w:ind w:left="2520"/>
              <w:spacing w:after="0" w:line="201" w:lineRule="exact"/>
              <w:rPr>
                <w:sz w:val="20"/>
                <w:szCs w:val="20"/>
                <w:color w:val="auto"/>
              </w:rPr>
            </w:pPr>
            <w:r>
              <w:rPr>
                <w:rFonts w:ascii="Arial" w:cs="Arial" w:eastAsia="Arial" w:hAnsi="Arial"/>
                <w:sz w:val="18"/>
                <w:szCs w:val="18"/>
                <w:color w:val="auto"/>
                <w:w w:val="97"/>
              </w:rPr>
              <w:t>T00000064016668</w:t>
            </w:r>
          </w:p>
        </w:tc>
        <w:tc>
          <w:tcPr>
            <w:tcW w:w="2020" w:type="dxa"/>
            <w:vAlign w:val="bottom"/>
          </w:tcPr>
          <w:p>
            <w:pPr>
              <w:ind w:left="100"/>
              <w:spacing w:after="0" w:line="201" w:lineRule="exact"/>
              <w:rPr>
                <w:sz w:val="20"/>
                <w:szCs w:val="20"/>
                <w:color w:val="auto"/>
              </w:rPr>
            </w:pPr>
            <w:r>
              <w:rPr>
                <w:rFonts w:ascii="Arial" w:cs="Arial" w:eastAsia="Arial" w:hAnsi="Arial"/>
                <w:sz w:val="18"/>
                <w:szCs w:val="18"/>
                <w:color w:val="auto"/>
              </w:rPr>
              <w:t>CITY OF SANTA</w:t>
            </w:r>
          </w:p>
        </w:tc>
        <w:tc>
          <w:tcPr>
            <w:tcW w:w="48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250,000.00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tcPr>
          <w:p>
            <w:pPr>
              <w:ind w:left="80"/>
              <w:spacing w:after="0" w:line="201" w:lineRule="exact"/>
              <w:rPr>
                <w:sz w:val="20"/>
                <w:szCs w:val="20"/>
                <w:color w:val="auto"/>
              </w:rPr>
            </w:pPr>
            <w:r>
              <w:rPr>
                <w:rFonts w:ascii="Arial" w:cs="Arial" w:eastAsia="Arial" w:hAnsi="Arial"/>
                <w:sz w:val="18"/>
                <w:szCs w:val="18"/>
                <w:color w:val="auto"/>
              </w:rPr>
              <w:t>12/23/2013</w:t>
            </w:r>
          </w:p>
        </w:tc>
        <w:tc>
          <w:tcPr>
            <w:tcW w:w="1420" w:type="dxa"/>
            <w:vAlign w:val="bottom"/>
          </w:tcPr>
          <w:p>
            <w:pPr>
              <w:ind w:left="240"/>
              <w:spacing w:after="0" w:line="201" w:lineRule="exact"/>
              <w:rPr>
                <w:sz w:val="20"/>
                <w:szCs w:val="20"/>
                <w:color w:val="auto"/>
              </w:rPr>
            </w:pPr>
            <w:r>
              <w:rPr>
                <w:rFonts w:ascii="Arial" w:cs="Arial" w:eastAsia="Arial" w:hAnsi="Arial"/>
                <w:sz w:val="18"/>
                <w:szCs w:val="18"/>
                <w:color w:val="auto"/>
              </w:rPr>
              <w:t>11/1/2018</w:t>
            </w:r>
          </w:p>
        </w:tc>
      </w:tr>
      <w:tr>
        <w:trPr>
          <w:trHeight w:val="230"/>
        </w:trPr>
        <w:tc>
          <w:tcPr>
            <w:tcW w:w="402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CLARIT</w:t>
            </w: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02"/>
        </w:trPr>
        <w:tc>
          <w:tcPr>
            <w:tcW w:w="4020" w:type="dxa"/>
            <w:vAlign w:val="bottom"/>
            <w:shd w:val="clear" w:color="auto" w:fill="CCEEFF"/>
          </w:tcPr>
          <w:p>
            <w:pPr>
              <w:ind w:left="2520"/>
              <w:spacing w:after="0" w:line="201" w:lineRule="exact"/>
              <w:rPr>
                <w:sz w:val="20"/>
                <w:szCs w:val="20"/>
                <w:color w:val="auto"/>
              </w:rPr>
            </w:pPr>
            <w:r>
              <w:rPr>
                <w:rFonts w:ascii="Arial" w:cs="Arial" w:eastAsia="Arial" w:hAnsi="Arial"/>
                <w:sz w:val="18"/>
                <w:szCs w:val="18"/>
                <w:color w:val="auto"/>
                <w:w w:val="97"/>
              </w:rPr>
              <w:t>T00000064016669</w:t>
            </w:r>
          </w:p>
        </w:tc>
        <w:tc>
          <w:tcPr>
            <w:tcW w:w="20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MIAMI-DADE</w:t>
            </w:r>
          </w:p>
        </w:tc>
        <w:tc>
          <w:tcPr>
            <w:tcW w:w="48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6,250.00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3/13/2017</w:t>
            </w:r>
          </w:p>
        </w:tc>
        <w:tc>
          <w:tcPr>
            <w:tcW w:w="1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2/28/2019</w:t>
            </w:r>
          </w:p>
        </w:tc>
      </w:tr>
      <w:tr>
        <w:trPr>
          <w:trHeight w:val="230"/>
        </w:trPr>
        <w:tc>
          <w:tcPr>
            <w:tcW w:w="4020" w:type="dxa"/>
            <w:vAlign w:val="bottom"/>
            <w:shd w:val="clear" w:color="auto" w:fill="CCEEFF"/>
          </w:tcPr>
          <w:p>
            <w:pPr>
              <w:spacing w:after="0"/>
              <w:rPr>
                <w:sz w:val="20"/>
                <w:szCs w:val="20"/>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COUNTY</w:t>
            </w: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16"/>
        </w:trPr>
        <w:tc>
          <w:tcPr>
            <w:tcW w:w="4020" w:type="dxa"/>
            <w:vAlign w:val="bottom"/>
          </w:tcPr>
          <w:p>
            <w:pPr>
              <w:ind w:left="2520"/>
              <w:spacing w:after="0"/>
              <w:rPr>
                <w:sz w:val="20"/>
                <w:szCs w:val="20"/>
                <w:color w:val="auto"/>
              </w:rPr>
            </w:pPr>
            <w:r>
              <w:rPr>
                <w:rFonts w:ascii="Arial" w:cs="Arial" w:eastAsia="Arial" w:hAnsi="Arial"/>
                <w:sz w:val="18"/>
                <w:szCs w:val="18"/>
                <w:color w:val="auto"/>
                <w:w w:val="97"/>
              </w:rPr>
              <w:t>T00000064016680</w:t>
            </w:r>
          </w:p>
        </w:tc>
        <w:tc>
          <w:tcPr>
            <w:tcW w:w="2020" w:type="dxa"/>
            <w:vAlign w:val="bottom"/>
          </w:tcPr>
          <w:p>
            <w:pPr>
              <w:ind w:left="100"/>
              <w:spacing w:after="0"/>
              <w:rPr>
                <w:sz w:val="20"/>
                <w:szCs w:val="20"/>
                <w:color w:val="auto"/>
              </w:rPr>
            </w:pPr>
            <w:r>
              <w:rPr>
                <w:rFonts w:ascii="Arial" w:cs="Arial" w:eastAsia="Arial" w:hAnsi="Arial"/>
                <w:sz w:val="18"/>
                <w:szCs w:val="18"/>
                <w:color w:val="auto"/>
              </w:rPr>
              <w:t>CITY OF PRIOR LAKE</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1,000.00</w:t>
            </w:r>
          </w:p>
        </w:tc>
        <w:tc>
          <w:tcPr>
            <w:tcW w:w="780" w:type="dxa"/>
            <w:vAlign w:val="bottom"/>
          </w:tcPr>
          <w:p>
            <w:pPr>
              <w:ind w:left="340"/>
              <w:spacing w:after="0"/>
              <w:rPr>
                <w:sz w:val="20"/>
                <w:szCs w:val="20"/>
                <w:color w:val="auto"/>
              </w:rPr>
            </w:pPr>
            <w:r>
              <w:rPr>
                <w:rFonts w:ascii="Arial" w:cs="Arial" w:eastAsia="Arial" w:hAnsi="Arial"/>
                <w:sz w:val="18"/>
                <w:szCs w:val="18"/>
                <w:color w:val="auto"/>
              </w:rPr>
              <w:t>USD</w:t>
            </w:r>
          </w:p>
        </w:tc>
        <w:tc>
          <w:tcPr>
            <w:tcW w:w="1140" w:type="dxa"/>
            <w:vAlign w:val="bottom"/>
          </w:tcPr>
          <w:p>
            <w:pPr>
              <w:ind w:left="80"/>
              <w:spacing w:after="0"/>
              <w:rPr>
                <w:sz w:val="20"/>
                <w:szCs w:val="20"/>
                <w:color w:val="auto"/>
              </w:rPr>
            </w:pPr>
            <w:r>
              <w:rPr>
                <w:rFonts w:ascii="Arial" w:cs="Arial" w:eastAsia="Arial" w:hAnsi="Arial"/>
                <w:sz w:val="18"/>
                <w:szCs w:val="18"/>
                <w:color w:val="auto"/>
              </w:rPr>
              <w:t>5/28/2010</w:t>
            </w:r>
          </w:p>
        </w:tc>
        <w:tc>
          <w:tcPr>
            <w:tcW w:w="1420" w:type="dxa"/>
            <w:vAlign w:val="bottom"/>
          </w:tcPr>
          <w:p>
            <w:pPr>
              <w:ind w:left="240"/>
              <w:spacing w:after="0"/>
              <w:rPr>
                <w:sz w:val="20"/>
                <w:szCs w:val="20"/>
                <w:color w:val="auto"/>
              </w:rPr>
            </w:pPr>
            <w:r>
              <w:rPr>
                <w:rFonts w:ascii="Arial" w:cs="Arial" w:eastAsia="Arial" w:hAnsi="Arial"/>
                <w:sz w:val="18"/>
                <w:szCs w:val="18"/>
                <w:color w:val="auto"/>
              </w:rPr>
              <w:t>4/1/2019</w:t>
            </w:r>
          </w:p>
        </w:tc>
      </w:tr>
      <w:tr>
        <w:trPr>
          <w:trHeight w:val="202"/>
        </w:trPr>
        <w:tc>
          <w:tcPr>
            <w:tcW w:w="4020" w:type="dxa"/>
            <w:vAlign w:val="bottom"/>
            <w:shd w:val="clear" w:color="auto" w:fill="CCEEFF"/>
          </w:tcPr>
          <w:p>
            <w:pPr>
              <w:ind w:left="2520"/>
              <w:spacing w:after="0" w:line="201" w:lineRule="exact"/>
              <w:rPr>
                <w:sz w:val="20"/>
                <w:szCs w:val="20"/>
                <w:color w:val="auto"/>
              </w:rPr>
            </w:pPr>
            <w:r>
              <w:rPr>
                <w:rFonts w:ascii="Arial" w:cs="Arial" w:eastAsia="Arial" w:hAnsi="Arial"/>
                <w:sz w:val="18"/>
                <w:szCs w:val="18"/>
                <w:color w:val="auto"/>
                <w:w w:val="97"/>
              </w:rPr>
              <w:t>T00000064016683</w:t>
            </w:r>
          </w:p>
        </w:tc>
        <w:tc>
          <w:tcPr>
            <w:tcW w:w="20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DUKE ENERGY</w:t>
            </w:r>
          </w:p>
        </w:tc>
        <w:tc>
          <w:tcPr>
            <w:tcW w:w="48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150,000.00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6/29/2010</w:t>
            </w:r>
          </w:p>
        </w:tc>
        <w:tc>
          <w:tcPr>
            <w:tcW w:w="1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6/22/2018</w:t>
            </w:r>
          </w:p>
        </w:tc>
      </w:tr>
      <w:tr>
        <w:trPr>
          <w:trHeight w:val="230"/>
        </w:trPr>
        <w:tc>
          <w:tcPr>
            <w:tcW w:w="4020" w:type="dxa"/>
            <w:vAlign w:val="bottom"/>
            <w:shd w:val="clear" w:color="auto" w:fill="CCEEFF"/>
          </w:tcPr>
          <w:p>
            <w:pPr>
              <w:spacing w:after="0"/>
              <w:rPr>
                <w:sz w:val="20"/>
                <w:szCs w:val="20"/>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CAROLINA</w:t>
            </w: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02"/>
        </w:trPr>
        <w:tc>
          <w:tcPr>
            <w:tcW w:w="4020" w:type="dxa"/>
            <w:vAlign w:val="bottom"/>
          </w:tcPr>
          <w:p>
            <w:pPr>
              <w:ind w:left="2520"/>
              <w:spacing w:after="0" w:line="201" w:lineRule="exact"/>
              <w:rPr>
                <w:sz w:val="20"/>
                <w:szCs w:val="20"/>
                <w:color w:val="auto"/>
              </w:rPr>
            </w:pPr>
            <w:r>
              <w:rPr>
                <w:rFonts w:ascii="Arial" w:cs="Arial" w:eastAsia="Arial" w:hAnsi="Arial"/>
                <w:sz w:val="18"/>
                <w:szCs w:val="18"/>
                <w:color w:val="auto"/>
                <w:w w:val="97"/>
              </w:rPr>
              <w:t>T00000064016688</w:t>
            </w:r>
          </w:p>
        </w:tc>
        <w:tc>
          <w:tcPr>
            <w:tcW w:w="2020" w:type="dxa"/>
            <w:vAlign w:val="bottom"/>
          </w:tcPr>
          <w:p>
            <w:pPr>
              <w:ind w:left="100"/>
              <w:spacing w:after="0" w:line="201" w:lineRule="exact"/>
              <w:rPr>
                <w:sz w:val="20"/>
                <w:szCs w:val="20"/>
                <w:color w:val="auto"/>
              </w:rPr>
            </w:pPr>
            <w:r>
              <w:rPr>
                <w:rFonts w:ascii="Arial" w:cs="Arial" w:eastAsia="Arial" w:hAnsi="Arial"/>
                <w:sz w:val="18"/>
                <w:szCs w:val="18"/>
                <w:color w:val="auto"/>
              </w:rPr>
              <w:t>WAYNE COUNTY</w:t>
            </w:r>
          </w:p>
        </w:tc>
        <w:tc>
          <w:tcPr>
            <w:tcW w:w="48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10,000.00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140" w:type="dxa"/>
            <w:vAlign w:val="bottom"/>
          </w:tcPr>
          <w:p>
            <w:pPr>
              <w:ind w:left="80"/>
              <w:spacing w:after="0" w:line="201" w:lineRule="exact"/>
              <w:rPr>
                <w:sz w:val="20"/>
                <w:szCs w:val="20"/>
                <w:color w:val="auto"/>
              </w:rPr>
            </w:pPr>
            <w:r>
              <w:rPr>
                <w:rFonts w:ascii="Arial" w:cs="Arial" w:eastAsia="Arial" w:hAnsi="Arial"/>
                <w:sz w:val="18"/>
                <w:szCs w:val="18"/>
                <w:color w:val="auto"/>
              </w:rPr>
              <w:t>10/26/2010</w:t>
            </w:r>
          </w:p>
        </w:tc>
        <w:tc>
          <w:tcPr>
            <w:tcW w:w="1420" w:type="dxa"/>
            <w:vAlign w:val="bottom"/>
          </w:tcPr>
          <w:p>
            <w:pPr>
              <w:ind w:left="240"/>
              <w:spacing w:after="0" w:line="201" w:lineRule="exact"/>
              <w:rPr>
                <w:sz w:val="20"/>
                <w:szCs w:val="20"/>
                <w:color w:val="auto"/>
              </w:rPr>
            </w:pPr>
            <w:r>
              <w:rPr>
                <w:rFonts w:ascii="Arial" w:cs="Arial" w:eastAsia="Arial" w:hAnsi="Arial"/>
                <w:sz w:val="18"/>
                <w:szCs w:val="18"/>
                <w:color w:val="auto"/>
              </w:rPr>
              <w:t>2/1/2019</w:t>
            </w:r>
          </w:p>
        </w:tc>
      </w:tr>
      <w:tr>
        <w:trPr>
          <w:trHeight w:val="230"/>
        </w:trPr>
        <w:tc>
          <w:tcPr>
            <w:tcW w:w="402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AIRPORT</w:t>
            </w:r>
          </w:p>
        </w:tc>
        <w:tc>
          <w:tcPr>
            <w:tcW w:w="48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r>
    </w:tbl>
    <w:p>
      <w:pPr>
        <w:sectPr>
          <w:pgSz w:w="11900" w:h="16900" w:orient="portrait"/>
          <w:cols w:equalWidth="0" w:num="1">
            <w:col w:w="11460"/>
          </w:cols>
          <w:pgMar w:left="240" w:top="125" w:right="199" w:bottom="0" w:gutter="0" w:footer="0" w:header="0"/>
        </w:sectPr>
      </w:pPr>
    </w:p>
    <w:bookmarkStart w:id="79" w:name="page80"/>
    <w:bookmarkEnd w:id="79"/>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1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7"/>
              </w:rPr>
              <w:t>T00000064016690</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TENNESSEE VALLEY</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360,000.00</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11/22/2010</w:t>
            </w:r>
          </w:p>
        </w:tc>
        <w:tc>
          <w:tcPr>
            <w:tcW w:w="1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11/16/2018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AUT</w:t>
            </w:r>
          </w:p>
        </w:tc>
        <w:tc>
          <w:tcPr>
            <w:tcW w:w="4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00" w:type="dxa"/>
            <w:vAlign w:val="bottom"/>
          </w:tcPr>
          <w:p>
            <w:pPr>
              <w:ind w:left="600"/>
              <w:spacing w:after="0" w:line="201" w:lineRule="exact"/>
              <w:rPr>
                <w:sz w:val="20"/>
                <w:szCs w:val="20"/>
                <w:color w:val="auto"/>
              </w:rPr>
            </w:pPr>
            <w:r>
              <w:rPr>
                <w:rFonts w:ascii="Arial" w:cs="Arial" w:eastAsia="Arial" w:hAnsi="Arial"/>
                <w:sz w:val="18"/>
                <w:szCs w:val="18"/>
                <w:color w:val="auto"/>
                <w:w w:val="97"/>
              </w:rPr>
              <w:t>T00000064551001</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CITY OF OKLAHOMA</w:t>
            </w:r>
          </w:p>
        </w:tc>
        <w:tc>
          <w:tcPr>
            <w:tcW w:w="4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2,000,000.00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300" w:type="dxa"/>
            <w:vAlign w:val="bottom"/>
          </w:tcPr>
          <w:p>
            <w:pPr>
              <w:ind w:left="80"/>
              <w:spacing w:after="0" w:line="201" w:lineRule="exact"/>
              <w:rPr>
                <w:sz w:val="20"/>
                <w:szCs w:val="20"/>
                <w:color w:val="auto"/>
              </w:rPr>
            </w:pPr>
            <w:r>
              <w:rPr>
                <w:rFonts w:ascii="Arial" w:cs="Arial" w:eastAsia="Arial" w:hAnsi="Arial"/>
                <w:sz w:val="18"/>
                <w:szCs w:val="18"/>
                <w:color w:val="auto"/>
              </w:rPr>
              <w:t>7/28/2016</w:t>
            </w:r>
          </w:p>
        </w:tc>
        <w:tc>
          <w:tcPr>
            <w:tcW w:w="1260" w:type="dxa"/>
            <w:vAlign w:val="bottom"/>
          </w:tcPr>
          <w:p>
            <w:pPr>
              <w:ind w:left="80"/>
              <w:spacing w:after="0" w:line="201" w:lineRule="exact"/>
              <w:rPr>
                <w:sz w:val="20"/>
                <w:szCs w:val="20"/>
                <w:color w:val="auto"/>
              </w:rPr>
            </w:pPr>
            <w:r>
              <w:rPr>
                <w:rFonts w:ascii="Arial" w:cs="Arial" w:eastAsia="Arial" w:hAnsi="Arial"/>
                <w:sz w:val="18"/>
                <w:szCs w:val="18"/>
                <w:color w:val="auto"/>
              </w:rPr>
              <w:t>8/31/2018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CIT</w:t>
            </w: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1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7"/>
              </w:rPr>
              <w:t>T00000064551004</w:t>
            </w:r>
          </w:p>
        </w:tc>
        <w:tc>
          <w:tcPr>
            <w:tcW w:w="2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TENNESSEE VALLEY</w:t>
            </w:r>
          </w:p>
        </w:tc>
        <w:tc>
          <w:tcPr>
            <w:tcW w:w="40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120,000.00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3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1/14/2011</w:t>
            </w:r>
          </w:p>
        </w:tc>
        <w:tc>
          <w:tcPr>
            <w:tcW w:w="12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1/13/2019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AUT</w:t>
            </w:r>
          </w:p>
        </w:tc>
        <w:tc>
          <w:tcPr>
            <w:tcW w:w="4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00" w:type="dxa"/>
            <w:vAlign w:val="bottom"/>
          </w:tcPr>
          <w:p>
            <w:pPr>
              <w:ind w:left="600"/>
              <w:spacing w:after="0" w:line="201" w:lineRule="exact"/>
              <w:rPr>
                <w:sz w:val="20"/>
                <w:szCs w:val="20"/>
                <w:color w:val="auto"/>
              </w:rPr>
            </w:pPr>
            <w:r>
              <w:rPr>
                <w:rFonts w:ascii="Arial" w:cs="Arial" w:eastAsia="Arial" w:hAnsi="Arial"/>
                <w:sz w:val="18"/>
                <w:szCs w:val="18"/>
                <w:color w:val="auto"/>
                <w:w w:val="97"/>
              </w:rPr>
              <w:t>T00000064551020</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PENNSYLVANIA</w:t>
            </w:r>
          </w:p>
        </w:tc>
        <w:tc>
          <w:tcPr>
            <w:tcW w:w="4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31,650.45</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300" w:type="dxa"/>
            <w:vAlign w:val="bottom"/>
          </w:tcPr>
          <w:p>
            <w:pPr>
              <w:ind w:left="80"/>
              <w:spacing w:after="0" w:line="201" w:lineRule="exact"/>
              <w:rPr>
                <w:sz w:val="20"/>
                <w:szCs w:val="20"/>
                <w:color w:val="auto"/>
              </w:rPr>
            </w:pPr>
            <w:r>
              <w:rPr>
                <w:rFonts w:ascii="Arial" w:cs="Arial" w:eastAsia="Arial" w:hAnsi="Arial"/>
                <w:sz w:val="18"/>
                <w:szCs w:val="18"/>
                <w:color w:val="auto"/>
              </w:rPr>
              <w:t>11/18/2011</w:t>
            </w:r>
          </w:p>
        </w:tc>
        <w:tc>
          <w:tcPr>
            <w:tcW w:w="1260" w:type="dxa"/>
            <w:vAlign w:val="bottom"/>
          </w:tcPr>
          <w:p>
            <w:pPr>
              <w:ind w:left="80"/>
              <w:spacing w:after="0" w:line="201" w:lineRule="exact"/>
              <w:rPr>
                <w:sz w:val="20"/>
                <w:szCs w:val="20"/>
                <w:color w:val="auto"/>
              </w:rPr>
            </w:pPr>
            <w:r>
              <w:rPr>
                <w:rFonts w:ascii="Arial" w:cs="Arial" w:eastAsia="Arial" w:hAnsi="Arial"/>
                <w:sz w:val="18"/>
                <w:szCs w:val="18"/>
                <w:color w:val="auto"/>
              </w:rPr>
              <w:t>11/18/2018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DEPARTM</w:t>
            </w: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1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7"/>
              </w:rPr>
              <w:t>T00000064551023</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CITY OF TACOMA</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100,000.00</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1/18/2012</w:t>
            </w:r>
          </w:p>
        </w:tc>
        <w:tc>
          <w:tcPr>
            <w:tcW w:w="1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12/31/2018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00" w:type="dxa"/>
            <w:vAlign w:val="bottom"/>
          </w:tcPr>
          <w:p>
            <w:pPr>
              <w:ind w:left="600"/>
              <w:spacing w:after="0" w:line="201" w:lineRule="exact"/>
              <w:rPr>
                <w:sz w:val="20"/>
                <w:szCs w:val="20"/>
                <w:color w:val="auto"/>
              </w:rPr>
            </w:pPr>
            <w:r>
              <w:rPr>
                <w:rFonts w:ascii="Arial" w:cs="Arial" w:eastAsia="Arial" w:hAnsi="Arial"/>
                <w:sz w:val="18"/>
                <w:szCs w:val="18"/>
                <w:color w:val="auto"/>
                <w:w w:val="97"/>
              </w:rPr>
              <w:t>T00000064551026</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LAKE COUNTY</w:t>
            </w:r>
          </w:p>
        </w:tc>
        <w:tc>
          <w:tcPr>
            <w:tcW w:w="4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169,838.00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300" w:type="dxa"/>
            <w:vAlign w:val="bottom"/>
          </w:tcPr>
          <w:p>
            <w:pPr>
              <w:ind w:left="80"/>
              <w:spacing w:after="0" w:line="201" w:lineRule="exact"/>
              <w:rPr>
                <w:sz w:val="20"/>
                <w:szCs w:val="20"/>
                <w:color w:val="auto"/>
              </w:rPr>
            </w:pPr>
            <w:r>
              <w:rPr>
                <w:rFonts w:ascii="Arial" w:cs="Arial" w:eastAsia="Arial" w:hAnsi="Arial"/>
                <w:sz w:val="18"/>
                <w:szCs w:val="18"/>
                <w:color w:val="auto"/>
              </w:rPr>
              <w:t>4/13/2012</w:t>
            </w:r>
          </w:p>
        </w:tc>
        <w:tc>
          <w:tcPr>
            <w:tcW w:w="1260" w:type="dxa"/>
            <w:vAlign w:val="bottom"/>
          </w:tcPr>
          <w:p>
            <w:pPr>
              <w:ind w:left="80"/>
              <w:spacing w:after="0" w:line="201" w:lineRule="exact"/>
              <w:rPr>
                <w:sz w:val="20"/>
                <w:szCs w:val="20"/>
                <w:color w:val="auto"/>
              </w:rPr>
            </w:pPr>
            <w:r>
              <w:rPr>
                <w:rFonts w:ascii="Arial" w:cs="Arial" w:eastAsia="Arial" w:hAnsi="Arial"/>
                <w:sz w:val="18"/>
                <w:szCs w:val="18"/>
                <w:color w:val="auto"/>
              </w:rPr>
              <w:t>4/20/2019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STORMWAT</w:t>
            </w: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1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7"/>
              </w:rPr>
              <w:t>T00000064551034</w:t>
            </w:r>
          </w:p>
        </w:tc>
        <w:tc>
          <w:tcPr>
            <w:tcW w:w="2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PENNSYLVANIA</w:t>
            </w:r>
          </w:p>
        </w:tc>
        <w:tc>
          <w:tcPr>
            <w:tcW w:w="40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26,920.00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3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12/19/2013</w:t>
            </w:r>
          </w:p>
        </w:tc>
        <w:tc>
          <w:tcPr>
            <w:tcW w:w="12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12/31/2018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DEPARTM</w:t>
            </w:r>
          </w:p>
        </w:tc>
        <w:tc>
          <w:tcPr>
            <w:tcW w:w="4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00" w:type="dxa"/>
            <w:vAlign w:val="bottom"/>
          </w:tcPr>
          <w:p>
            <w:pPr>
              <w:ind w:left="600"/>
              <w:spacing w:after="0" w:line="201" w:lineRule="exact"/>
              <w:rPr>
                <w:sz w:val="20"/>
                <w:szCs w:val="20"/>
                <w:color w:val="auto"/>
              </w:rPr>
            </w:pPr>
            <w:r>
              <w:rPr>
                <w:rFonts w:ascii="Arial" w:cs="Arial" w:eastAsia="Arial" w:hAnsi="Arial"/>
                <w:sz w:val="18"/>
                <w:szCs w:val="18"/>
                <w:color w:val="auto"/>
                <w:w w:val="97"/>
              </w:rPr>
              <w:t>T00000068012181</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CITY OF SANTA</w:t>
            </w:r>
          </w:p>
        </w:tc>
        <w:tc>
          <w:tcPr>
            <w:tcW w:w="4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250,000.00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300" w:type="dxa"/>
            <w:vAlign w:val="bottom"/>
          </w:tcPr>
          <w:p>
            <w:pPr>
              <w:ind w:left="80"/>
              <w:spacing w:after="0" w:line="201" w:lineRule="exact"/>
              <w:rPr>
                <w:sz w:val="20"/>
                <w:szCs w:val="20"/>
                <w:color w:val="auto"/>
              </w:rPr>
            </w:pPr>
            <w:r>
              <w:rPr>
                <w:rFonts w:ascii="Arial" w:cs="Arial" w:eastAsia="Arial" w:hAnsi="Arial"/>
                <w:sz w:val="18"/>
                <w:szCs w:val="18"/>
                <w:color w:val="auto"/>
              </w:rPr>
              <w:t>4/5/2006</w:t>
            </w:r>
          </w:p>
        </w:tc>
        <w:tc>
          <w:tcPr>
            <w:tcW w:w="1260" w:type="dxa"/>
            <w:vAlign w:val="bottom"/>
          </w:tcPr>
          <w:p>
            <w:pPr>
              <w:ind w:left="80"/>
              <w:spacing w:after="0" w:line="201" w:lineRule="exact"/>
              <w:rPr>
                <w:sz w:val="20"/>
                <w:szCs w:val="20"/>
                <w:color w:val="auto"/>
              </w:rPr>
            </w:pPr>
            <w:r>
              <w:rPr>
                <w:rFonts w:ascii="Arial" w:cs="Arial" w:eastAsia="Arial" w:hAnsi="Arial"/>
                <w:sz w:val="18"/>
                <w:szCs w:val="18"/>
                <w:color w:val="auto"/>
              </w:rPr>
              <w:t>4/13/2019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CLARIT</w:t>
            </w: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1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7"/>
              </w:rPr>
              <w:t>T00000068031686</w:t>
            </w:r>
          </w:p>
        </w:tc>
        <w:tc>
          <w:tcPr>
            <w:tcW w:w="2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THE BANK OF NEW</w:t>
            </w:r>
          </w:p>
        </w:tc>
        <w:tc>
          <w:tcPr>
            <w:tcW w:w="40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6,657,879.00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3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11/13/2008</w:t>
            </w:r>
          </w:p>
        </w:tc>
        <w:tc>
          <w:tcPr>
            <w:tcW w:w="12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4/1/2019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YORK</w:t>
            </w:r>
          </w:p>
        </w:tc>
        <w:tc>
          <w:tcPr>
            <w:tcW w:w="4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00" w:type="dxa"/>
            <w:vAlign w:val="bottom"/>
          </w:tcPr>
          <w:p>
            <w:pPr>
              <w:ind w:left="600"/>
              <w:spacing w:after="0" w:line="201" w:lineRule="exact"/>
              <w:rPr>
                <w:sz w:val="20"/>
                <w:szCs w:val="20"/>
                <w:color w:val="auto"/>
              </w:rPr>
            </w:pPr>
            <w:r>
              <w:rPr>
                <w:rFonts w:ascii="Arial" w:cs="Arial" w:eastAsia="Arial" w:hAnsi="Arial"/>
                <w:sz w:val="18"/>
                <w:szCs w:val="18"/>
                <w:color w:val="auto"/>
                <w:w w:val="97"/>
              </w:rPr>
              <w:t>T00000068031687</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THE BANK OF NEW</w:t>
            </w:r>
          </w:p>
        </w:tc>
        <w:tc>
          <w:tcPr>
            <w:tcW w:w="4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8,519,656.00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300" w:type="dxa"/>
            <w:vAlign w:val="bottom"/>
          </w:tcPr>
          <w:p>
            <w:pPr>
              <w:ind w:left="80"/>
              <w:spacing w:after="0" w:line="201" w:lineRule="exact"/>
              <w:rPr>
                <w:sz w:val="20"/>
                <w:szCs w:val="20"/>
                <w:color w:val="auto"/>
              </w:rPr>
            </w:pPr>
            <w:r>
              <w:rPr>
                <w:rFonts w:ascii="Arial" w:cs="Arial" w:eastAsia="Arial" w:hAnsi="Arial"/>
                <w:sz w:val="18"/>
                <w:szCs w:val="18"/>
                <w:color w:val="auto"/>
              </w:rPr>
              <w:t>11/13/2008</w:t>
            </w:r>
          </w:p>
        </w:tc>
        <w:tc>
          <w:tcPr>
            <w:tcW w:w="1260" w:type="dxa"/>
            <w:vAlign w:val="bottom"/>
          </w:tcPr>
          <w:p>
            <w:pPr>
              <w:ind w:left="80"/>
              <w:spacing w:after="0" w:line="201" w:lineRule="exact"/>
              <w:rPr>
                <w:sz w:val="20"/>
                <w:szCs w:val="20"/>
                <w:color w:val="auto"/>
              </w:rPr>
            </w:pPr>
            <w:r>
              <w:rPr>
                <w:rFonts w:ascii="Arial" w:cs="Arial" w:eastAsia="Arial" w:hAnsi="Arial"/>
                <w:sz w:val="18"/>
                <w:szCs w:val="18"/>
                <w:color w:val="auto"/>
              </w:rPr>
              <w:t>4/1/2019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YORK</w:t>
            </w: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1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7"/>
              </w:rPr>
              <w:t>T00000068052569</w:t>
            </w:r>
          </w:p>
        </w:tc>
        <w:tc>
          <w:tcPr>
            <w:tcW w:w="2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TENNESSEE VALLEY</w:t>
            </w:r>
          </w:p>
        </w:tc>
        <w:tc>
          <w:tcPr>
            <w:tcW w:w="40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500,000.00</w:t>
            </w:r>
          </w:p>
        </w:tc>
        <w:tc>
          <w:tcPr>
            <w:tcW w:w="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3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8/27/2010</w:t>
            </w:r>
          </w:p>
        </w:tc>
        <w:tc>
          <w:tcPr>
            <w:tcW w:w="12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8/20/2018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AUT</w:t>
            </w:r>
          </w:p>
        </w:tc>
        <w:tc>
          <w:tcPr>
            <w:tcW w:w="4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Bank of America Total</w:t>
            </w:r>
          </w:p>
        </w:tc>
        <w:tc>
          <w:tcPr>
            <w:tcW w:w="2100" w:type="dxa"/>
            <w:vAlign w:val="bottom"/>
          </w:tcPr>
          <w:p>
            <w:pPr>
              <w:ind w:left="260"/>
              <w:spacing w:after="0"/>
              <w:rPr>
                <w:sz w:val="20"/>
                <w:szCs w:val="20"/>
                <w:color w:val="auto"/>
              </w:rPr>
            </w:pPr>
            <w:r>
              <w:rPr>
                <w:rFonts w:ascii="Arial" w:cs="Arial" w:eastAsia="Arial" w:hAnsi="Arial"/>
                <w:sz w:val="18"/>
                <w:szCs w:val="18"/>
                <w:color w:val="auto"/>
              </w:rPr>
              <w:t>(70 LCs)</w:t>
            </w:r>
          </w:p>
        </w:tc>
        <w:tc>
          <w:tcPr>
            <w:tcW w:w="2000" w:type="dxa"/>
            <w:vAlign w:val="bottom"/>
          </w:tcPr>
          <w:p>
            <w:pPr>
              <w:spacing w:after="0"/>
              <w:rPr>
                <w:sz w:val="18"/>
                <w:szCs w:val="18"/>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173,866,011.45</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JPMorgan</w:t>
            </w:r>
          </w:p>
        </w:tc>
        <w:tc>
          <w:tcPr>
            <w:tcW w:w="2100" w:type="dxa"/>
            <w:vAlign w:val="bottom"/>
          </w:tcPr>
          <w:p>
            <w:pPr>
              <w:ind w:left="260"/>
              <w:spacing w:after="0" w:line="201" w:lineRule="exact"/>
              <w:rPr>
                <w:sz w:val="20"/>
                <w:szCs w:val="20"/>
                <w:color w:val="auto"/>
              </w:rPr>
            </w:pPr>
            <w:r>
              <w:rPr>
                <w:rFonts w:ascii="Arial" w:cs="Arial" w:eastAsia="Arial" w:hAnsi="Arial"/>
                <w:sz w:val="18"/>
                <w:szCs w:val="18"/>
                <w:color w:val="auto"/>
              </w:rPr>
              <w:t>NUSCGS002126</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DEPARTMENT OF</w:t>
            </w:r>
          </w:p>
        </w:tc>
        <w:tc>
          <w:tcPr>
            <w:tcW w:w="4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10,000,000.00</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300" w:type="dxa"/>
            <w:vAlign w:val="bottom"/>
          </w:tcPr>
          <w:p>
            <w:pPr>
              <w:ind w:left="400"/>
              <w:spacing w:after="0" w:line="201" w:lineRule="exact"/>
              <w:rPr>
                <w:sz w:val="20"/>
                <w:szCs w:val="20"/>
                <w:color w:val="auto"/>
              </w:rPr>
            </w:pPr>
            <w:r>
              <w:rPr>
                <w:rFonts w:ascii="Arial" w:cs="Arial" w:eastAsia="Arial" w:hAnsi="Arial"/>
                <w:sz w:val="18"/>
                <w:szCs w:val="18"/>
                <w:color w:val="auto"/>
                <w:w w:val="97"/>
              </w:rPr>
              <w:t>11/30/2017</w:t>
            </w:r>
          </w:p>
        </w:tc>
        <w:tc>
          <w:tcPr>
            <w:tcW w:w="1260" w:type="dxa"/>
            <w:vAlign w:val="bottom"/>
          </w:tcPr>
          <w:p>
            <w:pPr>
              <w:ind w:left="380"/>
              <w:spacing w:after="0" w:line="201" w:lineRule="exact"/>
              <w:rPr>
                <w:sz w:val="20"/>
                <w:szCs w:val="20"/>
                <w:color w:val="auto"/>
              </w:rPr>
            </w:pPr>
            <w:r>
              <w:rPr>
                <w:rFonts w:ascii="Arial" w:cs="Arial" w:eastAsia="Arial" w:hAnsi="Arial"/>
                <w:sz w:val="18"/>
                <w:szCs w:val="18"/>
                <w:color w:val="auto"/>
                <w:w w:val="95"/>
              </w:rPr>
              <w:t>07/18/2019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PUBLIC WORKS,</w:t>
            </w: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COUNTY</w:t>
            </w: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JPM TFTS-940609</w:t>
            </w: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VILLAGE OF NORTH</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500,000.00</w:t>
            </w:r>
          </w:p>
        </w:tc>
        <w:tc>
          <w:tcPr>
            <w:tcW w:w="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05/25/2011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07/19/2018</w:t>
            </w:r>
          </w:p>
        </w:tc>
        <w:tc>
          <w:tcPr>
            <w:tcW w:w="40" w:type="dxa"/>
            <w:vAlign w:val="bottom"/>
          </w:tcPr>
          <w:p>
            <w:pPr>
              <w:spacing w:after="0"/>
              <w:rPr>
                <w:sz w:val="18"/>
                <w:szCs w:val="18"/>
                <w:color w:val="auto"/>
              </w:rPr>
            </w:pPr>
          </w:p>
        </w:tc>
      </w:tr>
      <w:tr>
        <w:trPr>
          <w:trHeight w:val="230"/>
        </w:trPr>
        <w:tc>
          <w:tcPr>
            <w:tcW w:w="3860" w:type="dxa"/>
            <w:vAlign w:val="bottom"/>
            <w:shd w:val="clear" w:color="auto" w:fill="CCEEFF"/>
          </w:tcPr>
          <w:p>
            <w:pPr>
              <w:spacing w:after="0"/>
              <w:rPr>
                <w:sz w:val="20"/>
                <w:szCs w:val="20"/>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AURORA</w:t>
            </w:r>
          </w:p>
        </w:tc>
        <w:tc>
          <w:tcPr>
            <w:tcW w:w="4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tcPr>
          <w:p>
            <w:pPr>
              <w:ind w:left="2180"/>
              <w:spacing w:after="0" w:line="201" w:lineRule="exact"/>
              <w:rPr>
                <w:sz w:val="20"/>
                <w:szCs w:val="20"/>
                <w:color w:val="auto"/>
              </w:rPr>
            </w:pPr>
            <w:r>
              <w:rPr>
                <w:rFonts w:ascii="Arial" w:cs="Arial" w:eastAsia="Arial" w:hAnsi="Arial"/>
                <w:sz w:val="18"/>
                <w:szCs w:val="18"/>
                <w:color w:val="auto"/>
              </w:rPr>
              <w:t>JPM S-907859</w:t>
            </w:r>
          </w:p>
        </w:tc>
        <w:tc>
          <w:tcPr>
            <w:tcW w:w="2180" w:type="dxa"/>
            <w:vAlign w:val="bottom"/>
          </w:tcPr>
          <w:p>
            <w:pPr>
              <w:ind w:left="260"/>
              <w:spacing w:after="0" w:line="201" w:lineRule="exact"/>
              <w:rPr>
                <w:sz w:val="20"/>
                <w:szCs w:val="20"/>
                <w:color w:val="auto"/>
              </w:rPr>
            </w:pPr>
            <w:r>
              <w:rPr>
                <w:rFonts w:ascii="Arial" w:cs="Arial" w:eastAsia="Arial" w:hAnsi="Arial"/>
                <w:sz w:val="18"/>
                <w:szCs w:val="18"/>
                <w:color w:val="auto"/>
              </w:rPr>
              <w:t>COUNTY OF</w:t>
            </w:r>
          </w:p>
        </w:tc>
        <w:tc>
          <w:tcPr>
            <w:tcW w:w="44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1,000,000.00</w:t>
            </w:r>
          </w:p>
        </w:tc>
        <w:tc>
          <w:tcPr>
            <w:tcW w:w="94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02/02/2011</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02/01/2019</w:t>
            </w:r>
          </w:p>
        </w:tc>
        <w:tc>
          <w:tcPr>
            <w:tcW w:w="40" w:type="dxa"/>
            <w:vAlign w:val="bottom"/>
          </w:tcPr>
          <w:p>
            <w:pPr>
              <w:spacing w:after="0"/>
              <w:rPr>
                <w:sz w:val="17"/>
                <w:szCs w:val="17"/>
                <w:color w:val="auto"/>
              </w:rPr>
            </w:pPr>
          </w:p>
        </w:tc>
      </w:tr>
      <w:tr>
        <w:trPr>
          <w:trHeight w:val="216"/>
        </w:trPr>
        <w:tc>
          <w:tcPr>
            <w:tcW w:w="3860" w:type="dxa"/>
            <w:vAlign w:val="bottom"/>
          </w:tcPr>
          <w:p>
            <w:pPr>
              <w:spacing w:after="0"/>
              <w:rPr>
                <w:sz w:val="18"/>
                <w:szCs w:val="18"/>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VENTURA PUBLIC</w:t>
            </w: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WORKS</w:t>
            </w: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shd w:val="clear" w:color="auto" w:fill="CCEEFF"/>
          </w:tcPr>
          <w:p>
            <w:pPr>
              <w:ind w:left="2180"/>
              <w:spacing w:after="0" w:line="201" w:lineRule="exact"/>
              <w:rPr>
                <w:sz w:val="20"/>
                <w:szCs w:val="20"/>
                <w:color w:val="auto"/>
              </w:rPr>
            </w:pPr>
            <w:r>
              <w:rPr>
                <w:rFonts w:ascii="Arial" w:cs="Arial" w:eastAsia="Arial" w:hAnsi="Arial"/>
                <w:sz w:val="18"/>
                <w:szCs w:val="18"/>
                <w:color w:val="auto"/>
              </w:rPr>
              <w:t>JPM S-917985</w:t>
            </w:r>
          </w:p>
        </w:tc>
        <w:tc>
          <w:tcPr>
            <w:tcW w:w="21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COUNTY OF SANTA</w:t>
            </w:r>
          </w:p>
        </w:tc>
        <w:tc>
          <w:tcPr>
            <w:tcW w:w="44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1,032,000.00</w:t>
            </w:r>
          </w:p>
        </w:tc>
        <w:tc>
          <w:tcPr>
            <w:tcW w:w="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03/21/2011</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03/21/2019</w:t>
            </w:r>
          </w:p>
        </w:tc>
        <w:tc>
          <w:tcPr>
            <w:tcW w:w="40" w:type="dxa"/>
            <w:vAlign w:val="bottom"/>
          </w:tcPr>
          <w:p>
            <w:pPr>
              <w:spacing w:after="0"/>
              <w:rPr>
                <w:sz w:val="17"/>
                <w:szCs w:val="17"/>
                <w:color w:val="auto"/>
              </w:rPr>
            </w:pPr>
          </w:p>
        </w:tc>
      </w:tr>
      <w:tr>
        <w:trPr>
          <w:trHeight w:val="230"/>
        </w:trPr>
        <w:tc>
          <w:tcPr>
            <w:tcW w:w="3860" w:type="dxa"/>
            <w:vAlign w:val="bottom"/>
            <w:shd w:val="clear" w:color="auto" w:fill="CCEEFF"/>
          </w:tcPr>
          <w:p>
            <w:pPr>
              <w:spacing w:after="0"/>
              <w:rPr>
                <w:sz w:val="20"/>
                <w:szCs w:val="20"/>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BARBARA</w:t>
            </w:r>
          </w:p>
        </w:tc>
        <w:tc>
          <w:tcPr>
            <w:tcW w:w="4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tcPr>
          <w:p>
            <w:pPr>
              <w:ind w:left="2180"/>
              <w:spacing w:after="0" w:line="201" w:lineRule="exact"/>
              <w:rPr>
                <w:sz w:val="20"/>
                <w:szCs w:val="20"/>
                <w:color w:val="auto"/>
              </w:rPr>
            </w:pPr>
            <w:r>
              <w:rPr>
                <w:rFonts w:ascii="Arial" w:cs="Arial" w:eastAsia="Arial" w:hAnsi="Arial"/>
                <w:sz w:val="18"/>
                <w:szCs w:val="18"/>
                <w:color w:val="auto"/>
              </w:rPr>
              <w:t>JPM TFTS821440</w:t>
            </w:r>
          </w:p>
        </w:tc>
        <w:tc>
          <w:tcPr>
            <w:tcW w:w="2180" w:type="dxa"/>
            <w:vAlign w:val="bottom"/>
          </w:tcPr>
          <w:p>
            <w:pPr>
              <w:ind w:left="260"/>
              <w:spacing w:after="0" w:line="201" w:lineRule="exact"/>
              <w:rPr>
                <w:sz w:val="20"/>
                <w:szCs w:val="20"/>
                <w:color w:val="auto"/>
              </w:rPr>
            </w:pPr>
            <w:r>
              <w:rPr>
                <w:rFonts w:ascii="Arial" w:cs="Arial" w:eastAsia="Arial" w:hAnsi="Arial"/>
                <w:sz w:val="18"/>
                <w:szCs w:val="18"/>
                <w:color w:val="auto"/>
              </w:rPr>
              <w:t>NEVADA POWER</w:t>
            </w:r>
          </w:p>
        </w:tc>
        <w:tc>
          <w:tcPr>
            <w:tcW w:w="44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491,000.00</w:t>
            </w:r>
          </w:p>
        </w:tc>
        <w:tc>
          <w:tcPr>
            <w:tcW w:w="94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06/22/2010</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07/19/2019</w:t>
            </w:r>
          </w:p>
        </w:tc>
        <w:tc>
          <w:tcPr>
            <w:tcW w:w="40" w:type="dxa"/>
            <w:vAlign w:val="bottom"/>
          </w:tcPr>
          <w:p>
            <w:pPr>
              <w:spacing w:after="0"/>
              <w:rPr>
                <w:sz w:val="17"/>
                <w:szCs w:val="17"/>
                <w:color w:val="auto"/>
              </w:rPr>
            </w:pPr>
          </w:p>
        </w:tc>
      </w:tr>
      <w:tr>
        <w:trPr>
          <w:trHeight w:val="230"/>
        </w:trPr>
        <w:tc>
          <w:tcPr>
            <w:tcW w:w="3860" w:type="dxa"/>
            <w:vAlign w:val="bottom"/>
          </w:tcPr>
          <w:p>
            <w:pPr>
              <w:spacing w:after="0"/>
              <w:rPr>
                <w:sz w:val="20"/>
                <w:szCs w:val="20"/>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COMPANY</w:t>
            </w: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shd w:val="clear" w:color="auto" w:fill="CCEEFF"/>
          </w:tcPr>
          <w:p>
            <w:pPr>
              <w:ind w:left="2180"/>
              <w:spacing w:after="0" w:line="201" w:lineRule="exact"/>
              <w:rPr>
                <w:sz w:val="20"/>
                <w:szCs w:val="20"/>
                <w:color w:val="auto"/>
              </w:rPr>
            </w:pPr>
            <w:r>
              <w:rPr>
                <w:rFonts w:ascii="Arial" w:cs="Arial" w:eastAsia="Arial" w:hAnsi="Arial"/>
                <w:sz w:val="18"/>
                <w:szCs w:val="18"/>
                <w:color w:val="auto"/>
              </w:rPr>
              <w:t>JPM P230274</w:t>
            </w:r>
          </w:p>
        </w:tc>
        <w:tc>
          <w:tcPr>
            <w:tcW w:w="21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THE BANK OF NEW</w:t>
            </w:r>
          </w:p>
        </w:tc>
        <w:tc>
          <w:tcPr>
            <w:tcW w:w="44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10,118,357.00</w:t>
            </w:r>
          </w:p>
        </w:tc>
        <w:tc>
          <w:tcPr>
            <w:tcW w:w="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06/22/2010</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07/19/2018</w:t>
            </w:r>
          </w:p>
        </w:tc>
        <w:tc>
          <w:tcPr>
            <w:tcW w:w="40" w:type="dxa"/>
            <w:vAlign w:val="bottom"/>
          </w:tcPr>
          <w:p>
            <w:pPr>
              <w:spacing w:after="0"/>
              <w:rPr>
                <w:sz w:val="17"/>
                <w:szCs w:val="17"/>
                <w:color w:val="auto"/>
              </w:rPr>
            </w:pPr>
          </w:p>
        </w:tc>
      </w:tr>
      <w:tr>
        <w:trPr>
          <w:trHeight w:val="230"/>
        </w:trPr>
        <w:tc>
          <w:tcPr>
            <w:tcW w:w="3860" w:type="dxa"/>
            <w:vAlign w:val="bottom"/>
            <w:shd w:val="clear" w:color="auto" w:fill="CCEEFF"/>
          </w:tcPr>
          <w:p>
            <w:pPr>
              <w:spacing w:after="0"/>
              <w:rPr>
                <w:sz w:val="20"/>
                <w:szCs w:val="20"/>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YORK MELLON</w:t>
            </w:r>
          </w:p>
        </w:tc>
        <w:tc>
          <w:tcPr>
            <w:tcW w:w="4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tcPr>
          <w:p>
            <w:pPr>
              <w:ind w:left="2180"/>
              <w:spacing w:after="0" w:line="201" w:lineRule="exact"/>
              <w:rPr>
                <w:sz w:val="20"/>
                <w:szCs w:val="20"/>
                <w:color w:val="auto"/>
              </w:rPr>
            </w:pPr>
            <w:r>
              <w:rPr>
                <w:rFonts w:ascii="Arial" w:cs="Arial" w:eastAsia="Arial" w:hAnsi="Arial"/>
                <w:sz w:val="18"/>
                <w:szCs w:val="18"/>
                <w:color w:val="auto"/>
              </w:rPr>
              <w:t>JPM S317905</w:t>
            </w:r>
          </w:p>
        </w:tc>
        <w:tc>
          <w:tcPr>
            <w:tcW w:w="2180" w:type="dxa"/>
            <w:vAlign w:val="bottom"/>
          </w:tcPr>
          <w:p>
            <w:pPr>
              <w:ind w:left="260"/>
              <w:spacing w:after="0" w:line="201" w:lineRule="exact"/>
              <w:rPr>
                <w:sz w:val="20"/>
                <w:szCs w:val="20"/>
                <w:color w:val="auto"/>
              </w:rPr>
            </w:pPr>
            <w:r>
              <w:rPr>
                <w:rFonts w:ascii="Arial" w:cs="Arial" w:eastAsia="Arial" w:hAnsi="Arial"/>
                <w:sz w:val="18"/>
                <w:szCs w:val="18"/>
                <w:color w:val="auto"/>
              </w:rPr>
              <w:t>MIDWEST</w:t>
            </w:r>
          </w:p>
        </w:tc>
        <w:tc>
          <w:tcPr>
            <w:tcW w:w="44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50,000.00</w:t>
            </w:r>
          </w:p>
        </w:tc>
        <w:tc>
          <w:tcPr>
            <w:tcW w:w="94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12/16/2011</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07/19/2019</w:t>
            </w:r>
          </w:p>
        </w:tc>
        <w:tc>
          <w:tcPr>
            <w:tcW w:w="40" w:type="dxa"/>
            <w:vAlign w:val="bottom"/>
          </w:tcPr>
          <w:p>
            <w:pPr>
              <w:spacing w:after="0"/>
              <w:rPr>
                <w:sz w:val="17"/>
                <w:szCs w:val="17"/>
                <w:color w:val="auto"/>
              </w:rPr>
            </w:pPr>
          </w:p>
        </w:tc>
      </w:tr>
      <w:tr>
        <w:trPr>
          <w:trHeight w:val="216"/>
        </w:trPr>
        <w:tc>
          <w:tcPr>
            <w:tcW w:w="3860" w:type="dxa"/>
            <w:vAlign w:val="bottom"/>
          </w:tcPr>
          <w:p>
            <w:pPr>
              <w:spacing w:after="0"/>
              <w:rPr>
                <w:sz w:val="18"/>
                <w:szCs w:val="18"/>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INDEPENDENT</w:t>
            </w: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TRANSMISSION</w:t>
            </w: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shd w:val="clear" w:color="auto" w:fill="CCEEFF"/>
          </w:tcPr>
          <w:p>
            <w:pPr>
              <w:ind w:left="2180"/>
              <w:spacing w:after="0" w:line="201" w:lineRule="exact"/>
              <w:rPr>
                <w:sz w:val="20"/>
                <w:szCs w:val="20"/>
                <w:color w:val="auto"/>
              </w:rPr>
            </w:pPr>
            <w:r>
              <w:rPr>
                <w:rFonts w:ascii="Arial" w:cs="Arial" w:eastAsia="Arial" w:hAnsi="Arial"/>
                <w:sz w:val="18"/>
                <w:szCs w:val="18"/>
                <w:color w:val="auto"/>
              </w:rPr>
              <w:t>JPM TFTS-921354</w:t>
            </w:r>
          </w:p>
        </w:tc>
        <w:tc>
          <w:tcPr>
            <w:tcW w:w="21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COUNTY OF SANTA</w:t>
            </w:r>
          </w:p>
        </w:tc>
        <w:tc>
          <w:tcPr>
            <w:tcW w:w="44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1,206,000.00</w:t>
            </w:r>
          </w:p>
        </w:tc>
        <w:tc>
          <w:tcPr>
            <w:tcW w:w="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05/12/2011</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04/04/2019</w:t>
            </w:r>
          </w:p>
        </w:tc>
        <w:tc>
          <w:tcPr>
            <w:tcW w:w="40" w:type="dxa"/>
            <w:vAlign w:val="bottom"/>
          </w:tcPr>
          <w:p>
            <w:pPr>
              <w:spacing w:after="0"/>
              <w:rPr>
                <w:sz w:val="17"/>
                <w:szCs w:val="17"/>
                <w:color w:val="auto"/>
              </w:rPr>
            </w:pPr>
          </w:p>
        </w:tc>
      </w:tr>
      <w:tr>
        <w:trPr>
          <w:trHeight w:val="230"/>
        </w:trPr>
        <w:tc>
          <w:tcPr>
            <w:tcW w:w="3860" w:type="dxa"/>
            <w:vAlign w:val="bottom"/>
            <w:shd w:val="clear" w:color="auto" w:fill="CCEEFF"/>
          </w:tcPr>
          <w:p>
            <w:pPr>
              <w:spacing w:after="0"/>
              <w:rPr>
                <w:sz w:val="20"/>
                <w:szCs w:val="20"/>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BARBARA</w:t>
            </w:r>
          </w:p>
        </w:tc>
        <w:tc>
          <w:tcPr>
            <w:tcW w:w="4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tcPr>
          <w:p>
            <w:pPr>
              <w:ind w:left="2180"/>
              <w:spacing w:after="0" w:line="201" w:lineRule="exact"/>
              <w:rPr>
                <w:sz w:val="20"/>
                <w:szCs w:val="20"/>
                <w:color w:val="auto"/>
              </w:rPr>
            </w:pPr>
            <w:r>
              <w:rPr>
                <w:rFonts w:ascii="Arial" w:cs="Arial" w:eastAsia="Arial" w:hAnsi="Arial"/>
                <w:sz w:val="18"/>
                <w:szCs w:val="18"/>
                <w:color w:val="auto"/>
              </w:rPr>
              <w:t>JPM P010301</w:t>
            </w:r>
          </w:p>
        </w:tc>
        <w:tc>
          <w:tcPr>
            <w:tcW w:w="2180" w:type="dxa"/>
            <w:vAlign w:val="bottom"/>
          </w:tcPr>
          <w:p>
            <w:pPr>
              <w:ind w:left="260"/>
              <w:spacing w:after="0" w:line="201" w:lineRule="exact"/>
              <w:rPr>
                <w:sz w:val="20"/>
                <w:szCs w:val="20"/>
                <w:color w:val="auto"/>
              </w:rPr>
            </w:pPr>
            <w:r>
              <w:rPr>
                <w:rFonts w:ascii="Arial" w:cs="Arial" w:eastAsia="Arial" w:hAnsi="Arial"/>
                <w:sz w:val="18"/>
                <w:szCs w:val="18"/>
                <w:color w:val="auto"/>
              </w:rPr>
              <w:t>THE BANK OF NEW</w:t>
            </w:r>
          </w:p>
        </w:tc>
        <w:tc>
          <w:tcPr>
            <w:tcW w:w="44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4,414,094.00</w:t>
            </w:r>
          </w:p>
        </w:tc>
        <w:tc>
          <w:tcPr>
            <w:tcW w:w="94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06/22/2010</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07/19/2018</w:t>
            </w:r>
          </w:p>
        </w:tc>
        <w:tc>
          <w:tcPr>
            <w:tcW w:w="40" w:type="dxa"/>
            <w:vAlign w:val="bottom"/>
          </w:tcPr>
          <w:p>
            <w:pPr>
              <w:spacing w:after="0"/>
              <w:rPr>
                <w:sz w:val="17"/>
                <w:szCs w:val="17"/>
                <w:color w:val="auto"/>
              </w:rPr>
            </w:pPr>
          </w:p>
        </w:tc>
      </w:tr>
      <w:tr>
        <w:trPr>
          <w:trHeight w:val="230"/>
        </w:trPr>
        <w:tc>
          <w:tcPr>
            <w:tcW w:w="3860" w:type="dxa"/>
            <w:vAlign w:val="bottom"/>
          </w:tcPr>
          <w:p>
            <w:pPr>
              <w:spacing w:after="0"/>
              <w:rPr>
                <w:sz w:val="20"/>
                <w:szCs w:val="20"/>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YORK MELLON</w:t>
            </w: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shd w:val="clear" w:color="auto" w:fill="CCEEFF"/>
          </w:tcPr>
          <w:p>
            <w:pPr>
              <w:ind w:left="2180"/>
              <w:spacing w:after="0" w:line="201" w:lineRule="exact"/>
              <w:rPr>
                <w:sz w:val="20"/>
                <w:szCs w:val="20"/>
                <w:color w:val="auto"/>
              </w:rPr>
            </w:pPr>
            <w:r>
              <w:rPr>
                <w:rFonts w:ascii="Arial" w:cs="Arial" w:eastAsia="Arial" w:hAnsi="Arial"/>
                <w:sz w:val="18"/>
                <w:szCs w:val="18"/>
                <w:color w:val="auto"/>
              </w:rPr>
              <w:t>JPM P224680</w:t>
            </w:r>
          </w:p>
        </w:tc>
        <w:tc>
          <w:tcPr>
            <w:tcW w:w="21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NATIONAL UNION</w:t>
            </w:r>
          </w:p>
        </w:tc>
        <w:tc>
          <w:tcPr>
            <w:tcW w:w="44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900,000.00</w:t>
            </w:r>
          </w:p>
        </w:tc>
        <w:tc>
          <w:tcPr>
            <w:tcW w:w="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06/22/2010</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08/08/2018</w:t>
            </w:r>
          </w:p>
        </w:tc>
        <w:tc>
          <w:tcPr>
            <w:tcW w:w="40" w:type="dxa"/>
            <w:vAlign w:val="bottom"/>
          </w:tcPr>
          <w:p>
            <w:pPr>
              <w:spacing w:after="0"/>
              <w:rPr>
                <w:sz w:val="17"/>
                <w:szCs w:val="17"/>
                <w:color w:val="auto"/>
              </w:rPr>
            </w:pPr>
          </w:p>
        </w:tc>
      </w:tr>
      <w:tr>
        <w:trPr>
          <w:trHeight w:val="230"/>
        </w:trPr>
        <w:tc>
          <w:tcPr>
            <w:tcW w:w="3860" w:type="dxa"/>
            <w:vAlign w:val="bottom"/>
            <w:shd w:val="clear" w:color="auto" w:fill="CCEEFF"/>
          </w:tcPr>
          <w:p>
            <w:pPr>
              <w:spacing w:after="0"/>
              <w:rPr>
                <w:sz w:val="20"/>
                <w:szCs w:val="20"/>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FIRE INSURANCE</w:t>
            </w:r>
          </w:p>
        </w:tc>
        <w:tc>
          <w:tcPr>
            <w:tcW w:w="4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860" w:type="dxa"/>
            <w:vAlign w:val="bottom"/>
          </w:tcPr>
          <w:p>
            <w:pPr>
              <w:ind w:left="2180"/>
              <w:spacing w:after="0"/>
              <w:rPr>
                <w:sz w:val="20"/>
                <w:szCs w:val="20"/>
                <w:color w:val="auto"/>
              </w:rPr>
            </w:pPr>
            <w:r>
              <w:rPr>
                <w:rFonts w:ascii="Arial" w:cs="Arial" w:eastAsia="Arial" w:hAnsi="Arial"/>
                <w:sz w:val="18"/>
                <w:szCs w:val="18"/>
                <w:color w:val="auto"/>
              </w:rPr>
              <w:t>JPM S747619</w:t>
            </w:r>
          </w:p>
        </w:tc>
        <w:tc>
          <w:tcPr>
            <w:tcW w:w="2180" w:type="dxa"/>
            <w:vAlign w:val="bottom"/>
          </w:tcPr>
          <w:p>
            <w:pPr>
              <w:ind w:left="260"/>
              <w:spacing w:after="0"/>
              <w:rPr>
                <w:sz w:val="20"/>
                <w:szCs w:val="20"/>
                <w:color w:val="auto"/>
              </w:rPr>
            </w:pPr>
            <w:r>
              <w:rPr>
                <w:rFonts w:ascii="Arial" w:cs="Arial" w:eastAsia="Arial" w:hAnsi="Arial"/>
                <w:sz w:val="18"/>
                <w:szCs w:val="18"/>
                <w:color w:val="auto"/>
              </w:rPr>
              <w:t>CITY OF ANN ARBOR</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250,000.00</w:t>
            </w:r>
          </w:p>
        </w:tc>
        <w:tc>
          <w:tcPr>
            <w:tcW w:w="940" w:type="dxa"/>
            <w:vAlign w:val="bottom"/>
          </w:tcPr>
          <w:p>
            <w:pPr>
              <w:ind w:left="340"/>
              <w:spacing w:after="0"/>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06/22/2010</w:t>
            </w:r>
          </w:p>
        </w:tc>
        <w:tc>
          <w:tcPr>
            <w:tcW w:w="1120" w:type="dxa"/>
            <w:vAlign w:val="bottom"/>
          </w:tcPr>
          <w:p>
            <w:pPr>
              <w:jc w:val="right"/>
              <w:spacing w:after="0"/>
              <w:rPr>
                <w:sz w:val="20"/>
                <w:szCs w:val="20"/>
                <w:color w:val="auto"/>
              </w:rPr>
            </w:pPr>
            <w:r>
              <w:rPr>
                <w:rFonts w:ascii="Arial" w:cs="Arial" w:eastAsia="Arial" w:hAnsi="Arial"/>
                <w:sz w:val="18"/>
                <w:szCs w:val="18"/>
                <w:color w:val="auto"/>
              </w:rPr>
              <w:t>07/19/2019</w:t>
            </w:r>
          </w:p>
        </w:tc>
        <w:tc>
          <w:tcPr>
            <w:tcW w:w="40" w:type="dxa"/>
            <w:vAlign w:val="bottom"/>
          </w:tcPr>
          <w:p>
            <w:pPr>
              <w:spacing w:after="0"/>
              <w:rPr>
                <w:sz w:val="18"/>
                <w:szCs w:val="18"/>
                <w:color w:val="auto"/>
              </w:rPr>
            </w:pPr>
          </w:p>
        </w:tc>
      </w:tr>
      <w:tr>
        <w:trPr>
          <w:trHeight w:val="202"/>
        </w:trPr>
        <w:tc>
          <w:tcPr>
            <w:tcW w:w="3860" w:type="dxa"/>
            <w:vAlign w:val="bottom"/>
            <w:shd w:val="clear" w:color="auto" w:fill="CCEEFF"/>
          </w:tcPr>
          <w:p>
            <w:pPr>
              <w:ind w:left="2180"/>
              <w:spacing w:after="0" w:line="201" w:lineRule="exact"/>
              <w:rPr>
                <w:sz w:val="20"/>
                <w:szCs w:val="20"/>
                <w:color w:val="auto"/>
              </w:rPr>
            </w:pPr>
            <w:r>
              <w:rPr>
                <w:rFonts w:ascii="Arial" w:cs="Arial" w:eastAsia="Arial" w:hAnsi="Arial"/>
                <w:sz w:val="18"/>
                <w:szCs w:val="18"/>
                <w:color w:val="auto"/>
              </w:rPr>
              <w:t>JPM TFTS 867061</w:t>
            </w:r>
          </w:p>
        </w:tc>
        <w:tc>
          <w:tcPr>
            <w:tcW w:w="21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EXXON MOBIL</w:t>
            </w:r>
          </w:p>
        </w:tc>
        <w:tc>
          <w:tcPr>
            <w:tcW w:w="44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3,400,000.00</w:t>
            </w:r>
          </w:p>
        </w:tc>
        <w:tc>
          <w:tcPr>
            <w:tcW w:w="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08/23/2010</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08/26/2019</w:t>
            </w:r>
          </w:p>
        </w:tc>
        <w:tc>
          <w:tcPr>
            <w:tcW w:w="40" w:type="dxa"/>
            <w:vAlign w:val="bottom"/>
          </w:tcPr>
          <w:p>
            <w:pPr>
              <w:spacing w:after="0"/>
              <w:rPr>
                <w:sz w:val="17"/>
                <w:szCs w:val="17"/>
                <w:color w:val="auto"/>
              </w:rPr>
            </w:pPr>
          </w:p>
        </w:tc>
      </w:tr>
      <w:tr>
        <w:trPr>
          <w:trHeight w:val="230"/>
        </w:trPr>
        <w:tc>
          <w:tcPr>
            <w:tcW w:w="3860" w:type="dxa"/>
            <w:vAlign w:val="bottom"/>
            <w:shd w:val="clear" w:color="auto" w:fill="CCEEFF"/>
          </w:tcPr>
          <w:p>
            <w:pPr>
              <w:spacing w:after="0"/>
              <w:rPr>
                <w:sz w:val="20"/>
                <w:szCs w:val="20"/>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CORPORATION</w:t>
            </w:r>
          </w:p>
        </w:tc>
        <w:tc>
          <w:tcPr>
            <w:tcW w:w="4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tcPr>
          <w:p>
            <w:pPr>
              <w:ind w:left="2180"/>
              <w:spacing w:after="0" w:line="201" w:lineRule="exact"/>
              <w:rPr>
                <w:sz w:val="20"/>
                <w:szCs w:val="20"/>
                <w:color w:val="auto"/>
              </w:rPr>
            </w:pPr>
            <w:r>
              <w:rPr>
                <w:rFonts w:ascii="Arial" w:cs="Arial" w:eastAsia="Arial" w:hAnsi="Arial"/>
                <w:sz w:val="18"/>
                <w:szCs w:val="18"/>
                <w:color w:val="auto"/>
              </w:rPr>
              <w:t>JPM P-010300</w:t>
            </w:r>
          </w:p>
        </w:tc>
        <w:tc>
          <w:tcPr>
            <w:tcW w:w="2180" w:type="dxa"/>
            <w:vAlign w:val="bottom"/>
          </w:tcPr>
          <w:p>
            <w:pPr>
              <w:ind w:left="260"/>
              <w:spacing w:after="0" w:line="201" w:lineRule="exact"/>
              <w:rPr>
                <w:sz w:val="20"/>
                <w:szCs w:val="20"/>
                <w:color w:val="auto"/>
              </w:rPr>
            </w:pPr>
            <w:r>
              <w:rPr>
                <w:rFonts w:ascii="Arial" w:cs="Arial" w:eastAsia="Arial" w:hAnsi="Arial"/>
                <w:sz w:val="18"/>
                <w:szCs w:val="18"/>
                <w:color w:val="auto"/>
              </w:rPr>
              <w:t>BANK OF NEW YORK</w:t>
            </w:r>
          </w:p>
        </w:tc>
        <w:tc>
          <w:tcPr>
            <w:tcW w:w="44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5,793,498.00</w:t>
            </w:r>
          </w:p>
        </w:tc>
        <w:tc>
          <w:tcPr>
            <w:tcW w:w="94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06/22/2010</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07/19/2018</w:t>
            </w:r>
          </w:p>
        </w:tc>
        <w:tc>
          <w:tcPr>
            <w:tcW w:w="40" w:type="dxa"/>
            <w:vAlign w:val="bottom"/>
          </w:tcPr>
          <w:p>
            <w:pPr>
              <w:spacing w:after="0"/>
              <w:rPr>
                <w:sz w:val="17"/>
                <w:szCs w:val="17"/>
                <w:color w:val="auto"/>
              </w:rPr>
            </w:pPr>
          </w:p>
        </w:tc>
      </w:tr>
      <w:tr>
        <w:trPr>
          <w:trHeight w:val="230"/>
        </w:trPr>
        <w:tc>
          <w:tcPr>
            <w:tcW w:w="3860" w:type="dxa"/>
            <w:vAlign w:val="bottom"/>
          </w:tcPr>
          <w:p>
            <w:pPr>
              <w:spacing w:after="0"/>
              <w:rPr>
                <w:sz w:val="20"/>
                <w:szCs w:val="20"/>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MELLON</w:t>
            </w: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shd w:val="clear" w:color="auto" w:fill="CCEEFF"/>
          </w:tcPr>
          <w:p>
            <w:pPr>
              <w:ind w:left="2180"/>
              <w:spacing w:after="0" w:line="201" w:lineRule="exact"/>
              <w:rPr>
                <w:sz w:val="20"/>
                <w:szCs w:val="20"/>
                <w:color w:val="auto"/>
              </w:rPr>
            </w:pPr>
            <w:r>
              <w:rPr>
                <w:rFonts w:ascii="Arial" w:cs="Arial" w:eastAsia="Arial" w:hAnsi="Arial"/>
                <w:sz w:val="18"/>
                <w:szCs w:val="18"/>
                <w:color w:val="auto"/>
              </w:rPr>
              <w:t>JPM P224681</w:t>
            </w:r>
          </w:p>
        </w:tc>
        <w:tc>
          <w:tcPr>
            <w:tcW w:w="21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NATIONAL UNION</w:t>
            </w:r>
          </w:p>
        </w:tc>
        <w:tc>
          <w:tcPr>
            <w:tcW w:w="44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1,911,666.00</w:t>
            </w:r>
          </w:p>
        </w:tc>
        <w:tc>
          <w:tcPr>
            <w:tcW w:w="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06/22/2010</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01/31/2019</w:t>
            </w:r>
          </w:p>
        </w:tc>
        <w:tc>
          <w:tcPr>
            <w:tcW w:w="40" w:type="dxa"/>
            <w:vAlign w:val="bottom"/>
          </w:tcPr>
          <w:p>
            <w:pPr>
              <w:spacing w:after="0"/>
              <w:rPr>
                <w:sz w:val="17"/>
                <w:szCs w:val="17"/>
                <w:color w:val="auto"/>
              </w:rPr>
            </w:pPr>
          </w:p>
        </w:tc>
      </w:tr>
      <w:tr>
        <w:trPr>
          <w:trHeight w:val="230"/>
        </w:trPr>
        <w:tc>
          <w:tcPr>
            <w:tcW w:w="3860" w:type="dxa"/>
            <w:vAlign w:val="bottom"/>
            <w:shd w:val="clear" w:color="auto" w:fill="CCEEFF"/>
          </w:tcPr>
          <w:p>
            <w:pPr>
              <w:spacing w:after="0"/>
              <w:rPr>
                <w:sz w:val="20"/>
                <w:szCs w:val="20"/>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FIRE INSURANCE</w:t>
            </w:r>
          </w:p>
        </w:tc>
        <w:tc>
          <w:tcPr>
            <w:tcW w:w="4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tcPr>
          <w:p>
            <w:pPr>
              <w:ind w:left="2180"/>
              <w:spacing w:after="0" w:line="201" w:lineRule="exact"/>
              <w:rPr>
                <w:sz w:val="20"/>
                <w:szCs w:val="20"/>
                <w:color w:val="auto"/>
              </w:rPr>
            </w:pPr>
            <w:r>
              <w:rPr>
                <w:rFonts w:ascii="Arial" w:cs="Arial" w:eastAsia="Arial" w:hAnsi="Arial"/>
                <w:sz w:val="18"/>
                <w:szCs w:val="18"/>
                <w:color w:val="auto"/>
              </w:rPr>
              <w:t>JPM P224694</w:t>
            </w:r>
          </w:p>
        </w:tc>
        <w:tc>
          <w:tcPr>
            <w:tcW w:w="2180" w:type="dxa"/>
            <w:vAlign w:val="bottom"/>
          </w:tcPr>
          <w:p>
            <w:pPr>
              <w:ind w:left="260"/>
              <w:spacing w:after="0" w:line="201" w:lineRule="exact"/>
              <w:rPr>
                <w:sz w:val="20"/>
                <w:szCs w:val="20"/>
                <w:color w:val="auto"/>
              </w:rPr>
            </w:pPr>
            <w:r>
              <w:rPr>
                <w:rFonts w:ascii="Arial" w:cs="Arial" w:eastAsia="Arial" w:hAnsi="Arial"/>
                <w:sz w:val="18"/>
                <w:szCs w:val="18"/>
                <w:color w:val="auto"/>
              </w:rPr>
              <w:t>CALIFORNIA</w:t>
            </w:r>
          </w:p>
        </w:tc>
        <w:tc>
          <w:tcPr>
            <w:tcW w:w="44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207,671.40</w:t>
            </w:r>
          </w:p>
        </w:tc>
        <w:tc>
          <w:tcPr>
            <w:tcW w:w="94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06/22/2010</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10/30/2018</w:t>
            </w:r>
          </w:p>
        </w:tc>
        <w:tc>
          <w:tcPr>
            <w:tcW w:w="40" w:type="dxa"/>
            <w:vAlign w:val="bottom"/>
          </w:tcPr>
          <w:p>
            <w:pPr>
              <w:spacing w:after="0"/>
              <w:rPr>
                <w:sz w:val="17"/>
                <w:szCs w:val="17"/>
                <w:color w:val="auto"/>
              </w:rPr>
            </w:pPr>
          </w:p>
        </w:tc>
      </w:tr>
      <w:tr>
        <w:trPr>
          <w:trHeight w:val="216"/>
        </w:trPr>
        <w:tc>
          <w:tcPr>
            <w:tcW w:w="3860" w:type="dxa"/>
            <w:vAlign w:val="bottom"/>
          </w:tcPr>
          <w:p>
            <w:pPr>
              <w:spacing w:after="0"/>
              <w:rPr>
                <w:sz w:val="18"/>
                <w:szCs w:val="18"/>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REGIONAL WATER</w:t>
            </w: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QUALITY</w:t>
            </w: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shd w:val="clear" w:color="auto" w:fill="CCEEFF"/>
          </w:tcPr>
          <w:p>
            <w:pPr>
              <w:ind w:left="2180"/>
              <w:spacing w:after="0" w:line="201" w:lineRule="exact"/>
              <w:rPr>
                <w:sz w:val="20"/>
                <w:szCs w:val="20"/>
                <w:color w:val="auto"/>
              </w:rPr>
            </w:pPr>
            <w:r>
              <w:rPr>
                <w:rFonts w:ascii="Arial" w:cs="Arial" w:eastAsia="Arial" w:hAnsi="Arial"/>
                <w:sz w:val="18"/>
                <w:szCs w:val="18"/>
                <w:color w:val="auto"/>
              </w:rPr>
              <w:t>JPM P232178</w:t>
            </w:r>
          </w:p>
        </w:tc>
        <w:tc>
          <w:tcPr>
            <w:tcW w:w="21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THE BANK OF NEW</w:t>
            </w:r>
          </w:p>
        </w:tc>
        <w:tc>
          <w:tcPr>
            <w:tcW w:w="44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25,295,891.00</w:t>
            </w:r>
          </w:p>
        </w:tc>
        <w:tc>
          <w:tcPr>
            <w:tcW w:w="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06/22/2010</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07/19/2018</w:t>
            </w:r>
          </w:p>
        </w:tc>
        <w:tc>
          <w:tcPr>
            <w:tcW w:w="40" w:type="dxa"/>
            <w:vAlign w:val="bottom"/>
          </w:tcPr>
          <w:p>
            <w:pPr>
              <w:spacing w:after="0"/>
              <w:rPr>
                <w:sz w:val="17"/>
                <w:szCs w:val="17"/>
                <w:color w:val="auto"/>
              </w:rPr>
            </w:pPr>
          </w:p>
        </w:tc>
      </w:tr>
      <w:tr>
        <w:trPr>
          <w:trHeight w:val="230"/>
        </w:trPr>
        <w:tc>
          <w:tcPr>
            <w:tcW w:w="3860" w:type="dxa"/>
            <w:vAlign w:val="bottom"/>
            <w:shd w:val="clear" w:color="auto" w:fill="CCEEFF"/>
          </w:tcPr>
          <w:p>
            <w:pPr>
              <w:spacing w:after="0"/>
              <w:rPr>
                <w:sz w:val="20"/>
                <w:szCs w:val="20"/>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YORK MELLON</w:t>
            </w:r>
          </w:p>
        </w:tc>
        <w:tc>
          <w:tcPr>
            <w:tcW w:w="4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tcPr>
          <w:p>
            <w:pPr>
              <w:ind w:left="2180"/>
              <w:spacing w:after="0" w:line="201" w:lineRule="exact"/>
              <w:rPr>
                <w:sz w:val="20"/>
                <w:szCs w:val="20"/>
                <w:color w:val="auto"/>
              </w:rPr>
            </w:pPr>
            <w:r>
              <w:rPr>
                <w:rFonts w:ascii="Arial" w:cs="Arial" w:eastAsia="Arial" w:hAnsi="Arial"/>
                <w:sz w:val="18"/>
                <w:szCs w:val="18"/>
                <w:color w:val="auto"/>
              </w:rPr>
              <w:t>JPM P247295</w:t>
            </w:r>
          </w:p>
        </w:tc>
        <w:tc>
          <w:tcPr>
            <w:tcW w:w="2180" w:type="dxa"/>
            <w:vAlign w:val="bottom"/>
          </w:tcPr>
          <w:p>
            <w:pPr>
              <w:ind w:left="260"/>
              <w:spacing w:after="0" w:line="201" w:lineRule="exact"/>
              <w:rPr>
                <w:sz w:val="20"/>
                <w:szCs w:val="20"/>
                <w:color w:val="auto"/>
              </w:rPr>
            </w:pPr>
            <w:r>
              <w:rPr>
                <w:rFonts w:ascii="Arial" w:cs="Arial" w:eastAsia="Arial" w:hAnsi="Arial"/>
                <w:sz w:val="18"/>
                <w:szCs w:val="18"/>
                <w:color w:val="auto"/>
              </w:rPr>
              <w:t>DEUTSCHE BANK</w:t>
            </w:r>
          </w:p>
        </w:tc>
        <w:tc>
          <w:tcPr>
            <w:tcW w:w="44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35,414,247.00</w:t>
            </w:r>
          </w:p>
        </w:tc>
        <w:tc>
          <w:tcPr>
            <w:tcW w:w="94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06/22/1010</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04/01/2019</w:t>
            </w:r>
          </w:p>
        </w:tc>
        <w:tc>
          <w:tcPr>
            <w:tcW w:w="40" w:type="dxa"/>
            <w:vAlign w:val="bottom"/>
          </w:tcPr>
          <w:p>
            <w:pPr>
              <w:spacing w:after="0"/>
              <w:rPr>
                <w:sz w:val="17"/>
                <w:szCs w:val="17"/>
                <w:color w:val="auto"/>
              </w:rPr>
            </w:pPr>
          </w:p>
        </w:tc>
      </w:tr>
      <w:tr>
        <w:trPr>
          <w:trHeight w:val="230"/>
        </w:trPr>
        <w:tc>
          <w:tcPr>
            <w:tcW w:w="3860" w:type="dxa"/>
            <w:vAlign w:val="bottom"/>
          </w:tcPr>
          <w:p>
            <w:pPr>
              <w:spacing w:after="0"/>
              <w:rPr>
                <w:sz w:val="20"/>
                <w:szCs w:val="20"/>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TRUST COMPANY</w:t>
            </w: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shd w:val="clear" w:color="auto" w:fill="CCEEFF"/>
          </w:tcPr>
          <w:p>
            <w:pPr>
              <w:ind w:left="2180"/>
              <w:spacing w:after="0" w:line="201" w:lineRule="exact"/>
              <w:rPr>
                <w:sz w:val="20"/>
                <w:szCs w:val="20"/>
                <w:color w:val="auto"/>
              </w:rPr>
            </w:pPr>
            <w:r>
              <w:rPr>
                <w:rFonts w:ascii="Arial" w:cs="Arial" w:eastAsia="Arial" w:hAnsi="Arial"/>
                <w:sz w:val="18"/>
                <w:szCs w:val="18"/>
                <w:color w:val="auto"/>
              </w:rPr>
              <w:t>JPM S761990</w:t>
            </w:r>
          </w:p>
        </w:tc>
        <w:tc>
          <w:tcPr>
            <w:tcW w:w="21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SUTTON BROOK</w:t>
            </w:r>
          </w:p>
        </w:tc>
        <w:tc>
          <w:tcPr>
            <w:tcW w:w="44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217,023.00</w:t>
            </w:r>
          </w:p>
        </w:tc>
        <w:tc>
          <w:tcPr>
            <w:tcW w:w="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06/22/2010</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07/19/2019</w:t>
            </w:r>
          </w:p>
        </w:tc>
        <w:tc>
          <w:tcPr>
            <w:tcW w:w="40" w:type="dxa"/>
            <w:vAlign w:val="bottom"/>
          </w:tcPr>
          <w:p>
            <w:pPr>
              <w:spacing w:after="0"/>
              <w:rPr>
                <w:sz w:val="17"/>
                <w:szCs w:val="17"/>
                <w:color w:val="auto"/>
              </w:rPr>
            </w:pPr>
          </w:p>
        </w:tc>
      </w:tr>
      <w:tr>
        <w:trPr>
          <w:trHeight w:val="230"/>
        </w:trPr>
        <w:tc>
          <w:tcPr>
            <w:tcW w:w="3860" w:type="dxa"/>
            <w:vAlign w:val="bottom"/>
            <w:shd w:val="clear" w:color="auto" w:fill="CCEEFF"/>
          </w:tcPr>
          <w:p>
            <w:pPr>
              <w:spacing w:after="0"/>
              <w:rPr>
                <w:sz w:val="20"/>
                <w:szCs w:val="20"/>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DISPOSAL AREA</w:t>
            </w:r>
          </w:p>
        </w:tc>
        <w:tc>
          <w:tcPr>
            <w:tcW w:w="4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tcPr>
          <w:p>
            <w:pPr>
              <w:ind w:left="2180"/>
              <w:spacing w:after="0" w:line="201" w:lineRule="exact"/>
              <w:rPr>
                <w:sz w:val="20"/>
                <w:szCs w:val="20"/>
                <w:color w:val="auto"/>
              </w:rPr>
            </w:pPr>
            <w:r>
              <w:rPr>
                <w:rFonts w:ascii="Arial" w:cs="Arial" w:eastAsia="Arial" w:hAnsi="Arial"/>
                <w:sz w:val="18"/>
                <w:szCs w:val="18"/>
                <w:color w:val="auto"/>
              </w:rPr>
              <w:t>JPM P010302</w:t>
            </w:r>
          </w:p>
        </w:tc>
        <w:tc>
          <w:tcPr>
            <w:tcW w:w="2180" w:type="dxa"/>
            <w:vAlign w:val="bottom"/>
          </w:tcPr>
          <w:p>
            <w:pPr>
              <w:ind w:left="260"/>
              <w:spacing w:after="0" w:line="201" w:lineRule="exact"/>
              <w:rPr>
                <w:sz w:val="20"/>
                <w:szCs w:val="20"/>
                <w:color w:val="auto"/>
              </w:rPr>
            </w:pPr>
            <w:r>
              <w:rPr>
                <w:rFonts w:ascii="Arial" w:cs="Arial" w:eastAsia="Arial" w:hAnsi="Arial"/>
                <w:sz w:val="18"/>
                <w:szCs w:val="18"/>
                <w:color w:val="auto"/>
              </w:rPr>
              <w:t>THE BANK OF NEW</w:t>
            </w:r>
          </w:p>
        </w:tc>
        <w:tc>
          <w:tcPr>
            <w:tcW w:w="44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20,323,221.00</w:t>
            </w:r>
          </w:p>
        </w:tc>
        <w:tc>
          <w:tcPr>
            <w:tcW w:w="94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06/22/2010</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07/19/2018</w:t>
            </w:r>
          </w:p>
        </w:tc>
        <w:tc>
          <w:tcPr>
            <w:tcW w:w="40" w:type="dxa"/>
            <w:vAlign w:val="bottom"/>
          </w:tcPr>
          <w:p>
            <w:pPr>
              <w:spacing w:after="0"/>
              <w:rPr>
                <w:sz w:val="17"/>
                <w:szCs w:val="17"/>
                <w:color w:val="auto"/>
              </w:rPr>
            </w:pPr>
          </w:p>
        </w:tc>
      </w:tr>
      <w:tr>
        <w:trPr>
          <w:trHeight w:val="230"/>
        </w:trPr>
        <w:tc>
          <w:tcPr>
            <w:tcW w:w="3860" w:type="dxa"/>
            <w:vAlign w:val="bottom"/>
          </w:tcPr>
          <w:p>
            <w:pPr>
              <w:spacing w:after="0"/>
              <w:rPr>
                <w:sz w:val="20"/>
                <w:szCs w:val="20"/>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YORK MELLON</w:t>
            </w: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60" w:type="dxa"/>
            <w:vAlign w:val="bottom"/>
            <w:shd w:val="clear" w:color="auto" w:fill="CCEEFF"/>
          </w:tcPr>
          <w:p>
            <w:pPr>
              <w:ind w:left="2180"/>
              <w:spacing w:after="0" w:line="201" w:lineRule="exact"/>
              <w:rPr>
                <w:sz w:val="20"/>
                <w:szCs w:val="20"/>
                <w:color w:val="auto"/>
              </w:rPr>
            </w:pPr>
            <w:r>
              <w:rPr>
                <w:rFonts w:ascii="Arial" w:cs="Arial" w:eastAsia="Arial" w:hAnsi="Arial"/>
                <w:sz w:val="18"/>
                <w:szCs w:val="18"/>
                <w:color w:val="auto"/>
              </w:rPr>
              <w:t>JPM S275879</w:t>
            </w:r>
          </w:p>
        </w:tc>
        <w:tc>
          <w:tcPr>
            <w:tcW w:w="21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ISO NEW</w:t>
            </w:r>
          </w:p>
        </w:tc>
        <w:tc>
          <w:tcPr>
            <w:tcW w:w="44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75,000.00</w:t>
            </w:r>
          </w:p>
        </w:tc>
        <w:tc>
          <w:tcPr>
            <w:tcW w:w="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07/17/2012</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07/18/2019</w:t>
            </w:r>
          </w:p>
        </w:tc>
        <w:tc>
          <w:tcPr>
            <w:tcW w:w="40" w:type="dxa"/>
            <w:vAlign w:val="bottom"/>
          </w:tcPr>
          <w:p>
            <w:pPr>
              <w:spacing w:after="0"/>
              <w:rPr>
                <w:sz w:val="17"/>
                <w:szCs w:val="17"/>
                <w:color w:val="auto"/>
              </w:rPr>
            </w:pPr>
          </w:p>
        </w:tc>
      </w:tr>
      <w:tr>
        <w:trPr>
          <w:trHeight w:val="230"/>
        </w:trPr>
        <w:tc>
          <w:tcPr>
            <w:tcW w:w="3860" w:type="dxa"/>
            <w:vAlign w:val="bottom"/>
            <w:shd w:val="clear" w:color="auto" w:fill="CCEEFF"/>
          </w:tcPr>
          <w:p>
            <w:pPr>
              <w:spacing w:after="0"/>
              <w:rPr>
                <w:sz w:val="20"/>
                <w:szCs w:val="20"/>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ENGLAND, INC.</w:t>
            </w:r>
          </w:p>
        </w:tc>
        <w:tc>
          <w:tcPr>
            <w:tcW w:w="4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386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34" w:right="199" w:bottom="0" w:gutter="0" w:footer="0" w:header="0"/>
        </w:sect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JPM P231097</w:t>
            </w:r>
          </w:p>
        </w:tc>
        <w:tc>
          <w:tcPr>
            <w:tcW w:w="2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DEUTSCHE BANK</w:t>
            </w:r>
          </w:p>
        </w:tc>
        <w:tc>
          <w:tcPr>
            <w:tcW w:w="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4,755,628.00</w:t>
            </w:r>
          </w:p>
        </w:tc>
        <w:tc>
          <w:tcPr>
            <w:tcW w:w="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06/22/2010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07/19/2018</w:t>
            </w:r>
          </w:p>
        </w:tc>
      </w:tr>
      <w:tr>
        <w:trPr>
          <w:trHeight w:val="230"/>
        </w:trPr>
        <w:tc>
          <w:tcPr>
            <w:tcW w:w="3660" w:type="dxa"/>
            <w:vAlign w:val="bottom"/>
            <w:shd w:val="clear" w:color="auto" w:fill="CCEEFF"/>
          </w:tcPr>
          <w:p>
            <w:pPr>
              <w:spacing w:after="0"/>
              <w:rPr>
                <w:sz w:val="20"/>
                <w:szCs w:val="20"/>
                <w:color w:val="auto"/>
              </w:rPr>
            </w:pPr>
          </w:p>
        </w:tc>
        <w:tc>
          <w:tcPr>
            <w:tcW w:w="2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TRUST COMPANY</w:t>
            </w:r>
          </w:p>
        </w:tc>
        <w:tc>
          <w:tcPr>
            <w:tcW w:w="6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sectPr>
          <w:pgSz w:w="11900" w:h="16897" w:orient="portrait"/>
          <w:cols w:equalWidth="0" w:num="1">
            <w:col w:w="11460"/>
          </w:cols>
          <w:pgMar w:left="240" w:top="134" w:right="199" w:bottom="0" w:gutter="0" w:footer="0" w:header="0"/>
          <w:type w:val="continuous"/>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JPM P227887</w:t>
            </w:r>
          </w:p>
        </w:tc>
        <w:tc>
          <w:tcPr>
            <w:tcW w:w="2200" w:type="dxa"/>
            <w:vAlign w:val="bottom"/>
          </w:tcPr>
          <w:p>
            <w:pPr>
              <w:ind w:left="280"/>
              <w:spacing w:after="0"/>
              <w:rPr>
                <w:sz w:val="20"/>
                <w:szCs w:val="20"/>
                <w:color w:val="auto"/>
              </w:rPr>
            </w:pPr>
            <w:r>
              <w:rPr>
                <w:rFonts w:ascii="Arial" w:cs="Arial" w:eastAsia="Arial" w:hAnsi="Arial"/>
                <w:sz w:val="18"/>
                <w:szCs w:val="18"/>
                <w:color w:val="auto"/>
              </w:rPr>
              <w:t>THE BANK OF NEW</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20,236,713.00</w:t>
            </w:r>
          </w:p>
        </w:tc>
        <w:tc>
          <w:tcPr>
            <w:tcW w:w="940" w:type="dxa"/>
            <w:vAlign w:val="bottom"/>
          </w:tcPr>
          <w:p>
            <w:pPr>
              <w:ind w:left="340"/>
              <w:spacing w:after="0"/>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06/22/2010</w:t>
            </w:r>
          </w:p>
        </w:tc>
        <w:tc>
          <w:tcPr>
            <w:tcW w:w="1120" w:type="dxa"/>
            <w:vAlign w:val="bottom"/>
          </w:tcPr>
          <w:p>
            <w:pPr>
              <w:jc w:val="right"/>
              <w:spacing w:after="0"/>
              <w:rPr>
                <w:sz w:val="20"/>
                <w:szCs w:val="20"/>
                <w:color w:val="auto"/>
              </w:rPr>
            </w:pPr>
            <w:r>
              <w:rPr>
                <w:rFonts w:ascii="Arial" w:cs="Arial" w:eastAsia="Arial" w:hAnsi="Arial"/>
                <w:sz w:val="18"/>
                <w:szCs w:val="18"/>
                <w:color w:val="auto"/>
              </w:rPr>
              <w:t>07/19/2018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0" w:type="dxa"/>
            <w:vAlign w:val="bottom"/>
          </w:tcPr>
          <w:p>
            <w:pPr>
              <w:ind w:left="280"/>
              <w:spacing w:after="0"/>
              <w:rPr>
                <w:sz w:val="20"/>
                <w:szCs w:val="20"/>
                <w:color w:val="auto"/>
              </w:rPr>
            </w:pPr>
            <w:r>
              <w:rPr>
                <w:rFonts w:ascii="Arial" w:cs="Arial" w:eastAsia="Arial" w:hAnsi="Arial"/>
                <w:sz w:val="18"/>
                <w:szCs w:val="18"/>
                <w:color w:val="auto"/>
              </w:rPr>
              <w:t>YORK MELLON</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18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JPM P228576</w:t>
            </w:r>
          </w:p>
        </w:tc>
        <w:tc>
          <w:tcPr>
            <w:tcW w:w="22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THE BANK OF NEW</w:t>
            </w:r>
          </w:p>
        </w:tc>
        <w:tc>
          <w:tcPr>
            <w:tcW w:w="38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14,327,593.00</w:t>
            </w:r>
          </w:p>
        </w:tc>
        <w:tc>
          <w:tcPr>
            <w:tcW w:w="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06/22/2010</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07/19/2018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YORK MELLON</w:t>
            </w:r>
          </w:p>
        </w:tc>
        <w:tc>
          <w:tcPr>
            <w:tcW w:w="3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80" w:type="dxa"/>
            <w:vAlign w:val="bottom"/>
          </w:tcPr>
          <w:p>
            <w:pPr>
              <w:ind w:left="520"/>
              <w:spacing w:after="0" w:line="201" w:lineRule="exact"/>
              <w:rPr>
                <w:sz w:val="20"/>
                <w:szCs w:val="20"/>
                <w:color w:val="auto"/>
              </w:rPr>
            </w:pPr>
            <w:r>
              <w:rPr>
                <w:rFonts w:ascii="Arial" w:cs="Arial" w:eastAsia="Arial" w:hAnsi="Arial"/>
                <w:sz w:val="18"/>
                <w:szCs w:val="18"/>
                <w:color w:val="auto"/>
              </w:rPr>
              <w:t>JPM P224678</w:t>
            </w:r>
          </w:p>
        </w:tc>
        <w:tc>
          <w:tcPr>
            <w:tcW w:w="2200" w:type="dxa"/>
            <w:vAlign w:val="bottom"/>
          </w:tcPr>
          <w:p>
            <w:pPr>
              <w:ind w:left="280"/>
              <w:spacing w:after="0" w:line="201" w:lineRule="exact"/>
              <w:rPr>
                <w:sz w:val="20"/>
                <w:szCs w:val="20"/>
                <w:color w:val="auto"/>
              </w:rPr>
            </w:pPr>
            <w:r>
              <w:rPr>
                <w:rFonts w:ascii="Arial" w:cs="Arial" w:eastAsia="Arial" w:hAnsi="Arial"/>
                <w:sz w:val="18"/>
                <w:szCs w:val="18"/>
                <w:color w:val="auto"/>
              </w:rPr>
              <w:t>NATIONAL UNION</w:t>
            </w:r>
          </w:p>
        </w:tc>
        <w:tc>
          <w:tcPr>
            <w:tcW w:w="3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99,400.00</w:t>
            </w:r>
          </w:p>
        </w:tc>
        <w:tc>
          <w:tcPr>
            <w:tcW w:w="94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06/22/2010</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05/31/2019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0" w:type="dxa"/>
            <w:vAlign w:val="bottom"/>
          </w:tcPr>
          <w:p>
            <w:pPr>
              <w:ind w:left="280"/>
              <w:spacing w:after="0"/>
              <w:rPr>
                <w:sz w:val="20"/>
                <w:szCs w:val="20"/>
                <w:color w:val="auto"/>
              </w:rPr>
            </w:pPr>
            <w:r>
              <w:rPr>
                <w:rFonts w:ascii="Arial" w:cs="Arial" w:eastAsia="Arial" w:hAnsi="Arial"/>
                <w:sz w:val="18"/>
                <w:szCs w:val="18"/>
                <w:color w:val="auto"/>
              </w:rPr>
              <w:t>FIRE INSURANCE</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JPMorgan Total</w:t>
            </w:r>
          </w:p>
        </w:tc>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(24 LCs)</w:t>
            </w:r>
          </w:p>
        </w:tc>
        <w:tc>
          <w:tcPr>
            <w:tcW w:w="2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162,019,002.40</w:t>
            </w: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PNC</w:t>
            </w:r>
          </w:p>
        </w:tc>
        <w:tc>
          <w:tcPr>
            <w:tcW w:w="218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PNC 18102759</w:t>
            </w:r>
          </w:p>
        </w:tc>
        <w:tc>
          <w:tcPr>
            <w:tcW w:w="22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ACE INSURANCE</w:t>
            </w:r>
          </w:p>
        </w:tc>
        <w:tc>
          <w:tcPr>
            <w:tcW w:w="38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20,000,000.00</w:t>
            </w:r>
          </w:p>
        </w:tc>
        <w:tc>
          <w:tcPr>
            <w:tcW w:w="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2/7/2006</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12/31/2018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COMPANY</w:t>
            </w:r>
          </w:p>
        </w:tc>
        <w:tc>
          <w:tcPr>
            <w:tcW w:w="3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80" w:type="dxa"/>
            <w:vAlign w:val="bottom"/>
          </w:tcPr>
          <w:p>
            <w:pPr>
              <w:ind w:left="520"/>
              <w:spacing w:after="0" w:line="201" w:lineRule="exact"/>
              <w:rPr>
                <w:sz w:val="20"/>
                <w:szCs w:val="20"/>
                <w:color w:val="auto"/>
              </w:rPr>
            </w:pPr>
            <w:r>
              <w:rPr>
                <w:rFonts w:ascii="Arial" w:cs="Arial" w:eastAsia="Arial" w:hAnsi="Arial"/>
                <w:sz w:val="18"/>
                <w:szCs w:val="18"/>
                <w:color w:val="auto"/>
              </w:rPr>
              <w:t>PNC 18102837</w:t>
            </w:r>
          </w:p>
        </w:tc>
        <w:tc>
          <w:tcPr>
            <w:tcW w:w="2200" w:type="dxa"/>
            <w:vAlign w:val="bottom"/>
          </w:tcPr>
          <w:p>
            <w:pPr>
              <w:ind w:left="280"/>
              <w:spacing w:after="0" w:line="201" w:lineRule="exact"/>
              <w:rPr>
                <w:sz w:val="20"/>
                <w:szCs w:val="20"/>
                <w:color w:val="auto"/>
              </w:rPr>
            </w:pPr>
            <w:r>
              <w:rPr>
                <w:rFonts w:ascii="Arial" w:cs="Arial" w:eastAsia="Arial" w:hAnsi="Arial"/>
                <w:sz w:val="18"/>
                <w:szCs w:val="18"/>
                <w:color w:val="auto"/>
              </w:rPr>
              <w:t>CUMBERLAND</w:t>
            </w:r>
          </w:p>
        </w:tc>
        <w:tc>
          <w:tcPr>
            <w:tcW w:w="3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320,000.00</w:t>
            </w:r>
          </w:p>
        </w:tc>
        <w:tc>
          <w:tcPr>
            <w:tcW w:w="94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2/17/2006</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2/15/2019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0" w:type="dxa"/>
            <w:vAlign w:val="bottom"/>
          </w:tcPr>
          <w:p>
            <w:pPr>
              <w:ind w:left="280"/>
              <w:spacing w:after="0"/>
              <w:rPr>
                <w:sz w:val="20"/>
                <w:szCs w:val="20"/>
                <w:color w:val="auto"/>
              </w:rPr>
            </w:pPr>
            <w:r>
              <w:rPr>
                <w:rFonts w:ascii="Arial" w:cs="Arial" w:eastAsia="Arial" w:hAnsi="Arial"/>
                <w:sz w:val="18"/>
                <w:szCs w:val="18"/>
                <w:color w:val="auto"/>
              </w:rPr>
              <w:t>IMPROVEMENT</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18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PNC 18103294</w:t>
            </w:r>
          </w:p>
        </w:tc>
        <w:tc>
          <w:tcPr>
            <w:tcW w:w="22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LIBERTY MUTUAL</w:t>
            </w:r>
          </w:p>
        </w:tc>
        <w:tc>
          <w:tcPr>
            <w:tcW w:w="38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110,676.00</w:t>
            </w:r>
          </w:p>
        </w:tc>
        <w:tc>
          <w:tcPr>
            <w:tcW w:w="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5/25/2006</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5/21/2019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INSURANCE</w:t>
            </w:r>
          </w:p>
        </w:tc>
        <w:tc>
          <w:tcPr>
            <w:tcW w:w="3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80" w:type="dxa"/>
            <w:vAlign w:val="bottom"/>
          </w:tcPr>
          <w:p>
            <w:pPr>
              <w:ind w:left="520"/>
              <w:spacing w:after="0" w:line="201" w:lineRule="exact"/>
              <w:rPr>
                <w:sz w:val="20"/>
                <w:szCs w:val="20"/>
                <w:color w:val="auto"/>
              </w:rPr>
            </w:pPr>
            <w:r>
              <w:rPr>
                <w:rFonts w:ascii="Arial" w:cs="Arial" w:eastAsia="Arial" w:hAnsi="Arial"/>
                <w:sz w:val="18"/>
                <w:szCs w:val="18"/>
                <w:color w:val="auto"/>
              </w:rPr>
              <w:t>PNC 18110471</w:t>
            </w:r>
          </w:p>
        </w:tc>
        <w:tc>
          <w:tcPr>
            <w:tcW w:w="2200" w:type="dxa"/>
            <w:vAlign w:val="bottom"/>
          </w:tcPr>
          <w:p>
            <w:pPr>
              <w:ind w:left="280"/>
              <w:spacing w:after="0" w:line="201" w:lineRule="exact"/>
              <w:rPr>
                <w:sz w:val="20"/>
                <w:szCs w:val="20"/>
                <w:color w:val="auto"/>
              </w:rPr>
            </w:pPr>
            <w:r>
              <w:rPr>
                <w:rFonts w:ascii="Arial" w:cs="Arial" w:eastAsia="Arial" w:hAnsi="Arial"/>
                <w:sz w:val="18"/>
                <w:szCs w:val="18"/>
                <w:color w:val="auto"/>
              </w:rPr>
              <w:t>DEUTSCHE BANK</w:t>
            </w:r>
          </w:p>
        </w:tc>
        <w:tc>
          <w:tcPr>
            <w:tcW w:w="3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11,130,192.00</w:t>
            </w:r>
          </w:p>
        </w:tc>
        <w:tc>
          <w:tcPr>
            <w:tcW w:w="94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9/25/2009</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3/1/2019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0" w:type="dxa"/>
            <w:vAlign w:val="bottom"/>
          </w:tcPr>
          <w:p>
            <w:pPr>
              <w:ind w:left="280"/>
              <w:spacing w:after="0"/>
              <w:rPr>
                <w:sz w:val="20"/>
                <w:szCs w:val="20"/>
                <w:color w:val="auto"/>
              </w:rPr>
            </w:pPr>
            <w:r>
              <w:rPr>
                <w:rFonts w:ascii="Arial" w:cs="Arial" w:eastAsia="Arial" w:hAnsi="Arial"/>
                <w:sz w:val="18"/>
                <w:szCs w:val="18"/>
                <w:color w:val="auto"/>
              </w:rPr>
              <w:t>TRUST</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18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PNC 18110472</w:t>
            </w:r>
          </w:p>
        </w:tc>
        <w:tc>
          <w:tcPr>
            <w:tcW w:w="22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THE BANK OF NEW</w:t>
            </w:r>
          </w:p>
        </w:tc>
        <w:tc>
          <w:tcPr>
            <w:tcW w:w="38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25,295,891.00</w:t>
            </w:r>
          </w:p>
        </w:tc>
        <w:tc>
          <w:tcPr>
            <w:tcW w:w="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9/25/2008</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7/1/2019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YORK</w:t>
            </w:r>
          </w:p>
        </w:tc>
        <w:tc>
          <w:tcPr>
            <w:tcW w:w="3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80" w:type="dxa"/>
            <w:vAlign w:val="bottom"/>
          </w:tcPr>
          <w:p>
            <w:pPr>
              <w:ind w:left="520"/>
              <w:spacing w:after="0" w:line="201" w:lineRule="exact"/>
              <w:rPr>
                <w:sz w:val="20"/>
                <w:szCs w:val="20"/>
                <w:color w:val="auto"/>
              </w:rPr>
            </w:pPr>
            <w:r>
              <w:rPr>
                <w:rFonts w:ascii="Arial" w:cs="Arial" w:eastAsia="Arial" w:hAnsi="Arial"/>
                <w:sz w:val="18"/>
                <w:szCs w:val="18"/>
                <w:color w:val="auto"/>
              </w:rPr>
              <w:t>PNC 18110584</w:t>
            </w:r>
          </w:p>
        </w:tc>
        <w:tc>
          <w:tcPr>
            <w:tcW w:w="2200" w:type="dxa"/>
            <w:vAlign w:val="bottom"/>
          </w:tcPr>
          <w:p>
            <w:pPr>
              <w:ind w:left="280"/>
              <w:spacing w:after="0" w:line="201" w:lineRule="exact"/>
              <w:rPr>
                <w:sz w:val="20"/>
                <w:szCs w:val="20"/>
                <w:color w:val="auto"/>
              </w:rPr>
            </w:pPr>
            <w:r>
              <w:rPr>
                <w:rFonts w:ascii="Arial" w:cs="Arial" w:eastAsia="Arial" w:hAnsi="Arial"/>
                <w:sz w:val="18"/>
                <w:szCs w:val="18"/>
                <w:color w:val="auto"/>
              </w:rPr>
              <w:t>DEUTSCHE BANK</w:t>
            </w:r>
          </w:p>
        </w:tc>
        <w:tc>
          <w:tcPr>
            <w:tcW w:w="3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7,538,176.00</w:t>
            </w:r>
          </w:p>
        </w:tc>
        <w:tc>
          <w:tcPr>
            <w:tcW w:w="94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10/16/2008</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3/1/2019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0" w:type="dxa"/>
            <w:vAlign w:val="bottom"/>
          </w:tcPr>
          <w:p>
            <w:pPr>
              <w:ind w:left="280"/>
              <w:spacing w:after="0"/>
              <w:rPr>
                <w:sz w:val="20"/>
                <w:szCs w:val="20"/>
                <w:color w:val="auto"/>
              </w:rPr>
            </w:pPr>
            <w:r>
              <w:rPr>
                <w:rFonts w:ascii="Arial" w:cs="Arial" w:eastAsia="Arial" w:hAnsi="Arial"/>
                <w:sz w:val="18"/>
                <w:szCs w:val="18"/>
                <w:color w:val="auto"/>
              </w:rPr>
              <w:t>TRUST</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18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PNC 18111692</w:t>
            </w:r>
          </w:p>
        </w:tc>
        <w:tc>
          <w:tcPr>
            <w:tcW w:w="22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CITY OF SIMI</w:t>
            </w:r>
          </w:p>
        </w:tc>
        <w:tc>
          <w:tcPr>
            <w:tcW w:w="38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5,000.00</w:t>
            </w:r>
          </w:p>
        </w:tc>
        <w:tc>
          <w:tcPr>
            <w:tcW w:w="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6/30/2010</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6/30/2019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VALLEY</w:t>
            </w:r>
          </w:p>
        </w:tc>
        <w:tc>
          <w:tcPr>
            <w:tcW w:w="3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PNC 18111906</w:t>
            </w:r>
          </w:p>
        </w:tc>
        <w:tc>
          <w:tcPr>
            <w:tcW w:w="2200" w:type="dxa"/>
            <w:vAlign w:val="bottom"/>
          </w:tcPr>
          <w:p>
            <w:pPr>
              <w:ind w:left="280"/>
              <w:spacing w:after="0"/>
              <w:rPr>
                <w:sz w:val="20"/>
                <w:szCs w:val="20"/>
                <w:color w:val="auto"/>
              </w:rPr>
            </w:pPr>
            <w:r>
              <w:rPr>
                <w:rFonts w:ascii="Arial" w:cs="Arial" w:eastAsia="Arial" w:hAnsi="Arial"/>
                <w:sz w:val="18"/>
                <w:szCs w:val="18"/>
                <w:color w:val="auto"/>
              </w:rPr>
              <w:t>CITY OF MOORPARK</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20,000.00</w:t>
            </w:r>
          </w:p>
        </w:tc>
        <w:tc>
          <w:tcPr>
            <w:tcW w:w="940" w:type="dxa"/>
            <w:vAlign w:val="bottom"/>
          </w:tcPr>
          <w:p>
            <w:pPr>
              <w:ind w:left="340"/>
              <w:spacing w:after="0"/>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8/14/2009</w:t>
            </w:r>
          </w:p>
        </w:tc>
        <w:tc>
          <w:tcPr>
            <w:tcW w:w="1120" w:type="dxa"/>
            <w:vAlign w:val="bottom"/>
          </w:tcPr>
          <w:p>
            <w:pPr>
              <w:jc w:val="right"/>
              <w:spacing w:after="0"/>
              <w:rPr>
                <w:sz w:val="20"/>
                <w:szCs w:val="20"/>
                <w:color w:val="auto"/>
              </w:rPr>
            </w:pPr>
            <w:r>
              <w:rPr>
                <w:rFonts w:ascii="Arial" w:cs="Arial" w:eastAsia="Arial" w:hAnsi="Arial"/>
                <w:sz w:val="18"/>
                <w:szCs w:val="18"/>
                <w:color w:val="auto"/>
              </w:rPr>
              <w:t>6/30/2019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PNC 18114752</w:t>
            </w:r>
          </w:p>
        </w:tc>
        <w:tc>
          <w:tcPr>
            <w:tcW w:w="2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CITY OF NEW YORK</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36,180,000.00</w:t>
            </w:r>
          </w:p>
        </w:tc>
        <w:tc>
          <w:tcPr>
            <w:tcW w:w="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3/25/2011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PNC 18114753</w:t>
            </w:r>
          </w:p>
        </w:tc>
        <w:tc>
          <w:tcPr>
            <w:tcW w:w="2200" w:type="dxa"/>
            <w:vAlign w:val="bottom"/>
          </w:tcPr>
          <w:p>
            <w:pPr>
              <w:ind w:left="280"/>
              <w:spacing w:after="0"/>
              <w:rPr>
                <w:sz w:val="20"/>
                <w:szCs w:val="20"/>
                <w:color w:val="auto"/>
              </w:rPr>
            </w:pPr>
            <w:r>
              <w:rPr>
                <w:rFonts w:ascii="Arial" w:cs="Arial" w:eastAsia="Arial" w:hAnsi="Arial"/>
                <w:sz w:val="18"/>
                <w:szCs w:val="18"/>
                <w:color w:val="auto"/>
              </w:rPr>
              <w:t>CITY OF NEW YORK</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24,438,890.00</w:t>
            </w:r>
          </w:p>
        </w:tc>
        <w:tc>
          <w:tcPr>
            <w:tcW w:w="940" w:type="dxa"/>
            <w:vAlign w:val="bottom"/>
          </w:tcPr>
          <w:p>
            <w:pPr>
              <w:ind w:left="340"/>
              <w:spacing w:after="0"/>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3/25/2011</w:t>
            </w:r>
          </w:p>
        </w:tc>
        <w:tc>
          <w:tcPr>
            <w:tcW w:w="1120" w:type="dxa"/>
            <w:vAlign w:val="bottom"/>
          </w:tcPr>
          <w:p>
            <w:pPr>
              <w:jc w:val="right"/>
              <w:spacing w:after="0"/>
              <w:rPr>
                <w:sz w:val="20"/>
                <w:szCs w:val="20"/>
                <w:color w:val="auto"/>
              </w:rPr>
            </w:pPr>
            <w:r>
              <w:rPr>
                <w:rFonts w:ascii="Arial" w:cs="Arial" w:eastAsia="Arial" w:hAnsi="Arial"/>
                <w:sz w:val="18"/>
                <w:szCs w:val="18"/>
                <w:color w:val="auto"/>
              </w:rPr>
              <w:t>6/30/2019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PNC 18115509</w:t>
            </w:r>
          </w:p>
        </w:tc>
        <w:tc>
          <w:tcPr>
            <w:tcW w:w="2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CITY OF BURBANK</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2,000,000.00</w:t>
            </w:r>
          </w:p>
        </w:tc>
        <w:tc>
          <w:tcPr>
            <w:tcW w:w="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8/8/2011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80" w:type="dxa"/>
            <w:vAlign w:val="bottom"/>
          </w:tcPr>
          <w:p>
            <w:pPr>
              <w:ind w:left="520"/>
              <w:spacing w:after="0" w:line="201" w:lineRule="exact"/>
              <w:rPr>
                <w:sz w:val="20"/>
                <w:szCs w:val="20"/>
                <w:color w:val="auto"/>
              </w:rPr>
            </w:pPr>
            <w:r>
              <w:rPr>
                <w:rFonts w:ascii="Arial" w:cs="Arial" w:eastAsia="Arial" w:hAnsi="Arial"/>
                <w:sz w:val="18"/>
                <w:szCs w:val="18"/>
                <w:color w:val="auto"/>
              </w:rPr>
              <w:t>PNC 18117826</w:t>
            </w:r>
          </w:p>
        </w:tc>
        <w:tc>
          <w:tcPr>
            <w:tcW w:w="2200" w:type="dxa"/>
            <w:vAlign w:val="bottom"/>
          </w:tcPr>
          <w:p>
            <w:pPr>
              <w:ind w:left="280"/>
              <w:spacing w:after="0" w:line="201" w:lineRule="exact"/>
              <w:rPr>
                <w:sz w:val="20"/>
                <w:szCs w:val="20"/>
                <w:color w:val="auto"/>
              </w:rPr>
            </w:pPr>
            <w:r>
              <w:rPr>
                <w:rFonts w:ascii="Arial" w:cs="Arial" w:eastAsia="Arial" w:hAnsi="Arial"/>
                <w:sz w:val="18"/>
                <w:szCs w:val="18"/>
                <w:color w:val="auto"/>
              </w:rPr>
              <w:t>ARIZONA PUBLIC</w:t>
            </w:r>
          </w:p>
        </w:tc>
        <w:tc>
          <w:tcPr>
            <w:tcW w:w="3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2,159,429.00</w:t>
            </w:r>
          </w:p>
        </w:tc>
        <w:tc>
          <w:tcPr>
            <w:tcW w:w="94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8/8/2012</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8/31/2019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0" w:type="dxa"/>
            <w:vAlign w:val="bottom"/>
          </w:tcPr>
          <w:p>
            <w:pPr>
              <w:ind w:left="280"/>
              <w:spacing w:after="0"/>
              <w:rPr>
                <w:sz w:val="20"/>
                <w:szCs w:val="20"/>
                <w:color w:val="auto"/>
              </w:rPr>
            </w:pPr>
            <w:r>
              <w:rPr>
                <w:rFonts w:ascii="Arial" w:cs="Arial" w:eastAsia="Arial" w:hAnsi="Arial"/>
                <w:sz w:val="18"/>
                <w:szCs w:val="18"/>
                <w:color w:val="auto"/>
              </w:rPr>
              <w:t>SERVICE CO</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PNC Total</w:t>
            </w:r>
          </w:p>
        </w:tc>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(12 LCs)</w:t>
            </w:r>
          </w:p>
        </w:tc>
        <w:tc>
          <w:tcPr>
            <w:tcW w:w="2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129,198,254.00</w:t>
            </w: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Wells Fargo</w:t>
            </w:r>
          </w:p>
        </w:tc>
        <w:tc>
          <w:tcPr>
            <w:tcW w:w="218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WL IS0283857U</w:t>
            </w:r>
          </w:p>
        </w:tc>
        <w:tc>
          <w:tcPr>
            <w:tcW w:w="22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ACE INSURANCE</w:t>
            </w:r>
          </w:p>
        </w:tc>
        <w:tc>
          <w:tcPr>
            <w:tcW w:w="38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78,200,000.00</w:t>
            </w:r>
          </w:p>
        </w:tc>
        <w:tc>
          <w:tcPr>
            <w:tcW w:w="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2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5/21/2015</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6/1/2019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 &amp; OTHER 20</w:t>
            </w: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BENEFICIARIES</w:t>
            </w:r>
          </w:p>
        </w:tc>
        <w:tc>
          <w:tcPr>
            <w:tcW w:w="3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WL LC870123639</w:t>
            </w:r>
          </w:p>
        </w:tc>
        <w:tc>
          <w:tcPr>
            <w:tcW w:w="2200" w:type="dxa"/>
            <w:vAlign w:val="bottom"/>
          </w:tcPr>
          <w:p>
            <w:pPr>
              <w:ind w:left="280"/>
              <w:spacing w:after="0"/>
              <w:rPr>
                <w:sz w:val="20"/>
                <w:szCs w:val="20"/>
                <w:color w:val="auto"/>
              </w:rPr>
            </w:pPr>
            <w:r>
              <w:rPr>
                <w:rFonts w:ascii="Arial" w:cs="Arial" w:eastAsia="Arial" w:hAnsi="Arial"/>
                <w:sz w:val="18"/>
                <w:szCs w:val="18"/>
                <w:color w:val="auto"/>
              </w:rPr>
              <w:t>BANK OF NEW YORK</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10,173,334.00</w:t>
            </w:r>
          </w:p>
        </w:tc>
        <w:tc>
          <w:tcPr>
            <w:tcW w:w="940" w:type="dxa"/>
            <w:vAlign w:val="bottom"/>
          </w:tcPr>
          <w:p>
            <w:pPr>
              <w:ind w:left="340"/>
              <w:spacing w:after="0"/>
              <w:rPr>
                <w:sz w:val="20"/>
                <w:szCs w:val="20"/>
                <w:color w:val="auto"/>
              </w:rPr>
            </w:pPr>
            <w:r>
              <w:rPr>
                <w:rFonts w:ascii="Arial" w:cs="Arial" w:eastAsia="Arial" w:hAnsi="Arial"/>
                <w:sz w:val="18"/>
                <w:szCs w:val="18"/>
                <w:color w:val="auto"/>
              </w:rPr>
              <w:t>USD</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6/3/2002</w:t>
            </w:r>
          </w:p>
        </w:tc>
        <w:tc>
          <w:tcPr>
            <w:tcW w:w="1120" w:type="dxa"/>
            <w:vAlign w:val="bottom"/>
          </w:tcPr>
          <w:p>
            <w:pPr>
              <w:jc w:val="right"/>
              <w:spacing w:after="0"/>
              <w:rPr>
                <w:sz w:val="20"/>
                <w:szCs w:val="20"/>
                <w:color w:val="auto"/>
              </w:rPr>
            </w:pPr>
            <w:r>
              <w:rPr>
                <w:rFonts w:ascii="Arial" w:cs="Arial" w:eastAsia="Arial" w:hAnsi="Arial"/>
                <w:sz w:val="18"/>
                <w:szCs w:val="18"/>
                <w:color w:val="auto"/>
              </w:rPr>
              <w:t>10/1/2018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WL SM204054W</w:t>
            </w: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BANK OF NEW YORK</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15,177,534.25</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7/15/2003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120" w:type="dxa"/>
            <w:vAlign w:val="bottom"/>
          </w:tcPr>
          <w:p>
            <w:pPr>
              <w:ind w:left="440"/>
              <w:spacing w:after="0" w:line="201" w:lineRule="exact"/>
              <w:rPr>
                <w:sz w:val="20"/>
                <w:szCs w:val="20"/>
                <w:color w:val="auto"/>
              </w:rPr>
            </w:pPr>
            <w:r>
              <w:rPr>
                <w:rFonts w:ascii="Arial" w:cs="Arial" w:eastAsia="Arial" w:hAnsi="Arial"/>
                <w:sz w:val="18"/>
                <w:szCs w:val="18"/>
                <w:color w:val="auto"/>
              </w:rPr>
              <w:t>WL SM204597</w:t>
            </w:r>
          </w:p>
        </w:tc>
        <w:tc>
          <w:tcPr>
            <w:tcW w:w="2180" w:type="dxa"/>
            <w:vAlign w:val="bottom"/>
          </w:tcPr>
          <w:p>
            <w:pPr>
              <w:ind w:left="260"/>
              <w:spacing w:after="0" w:line="201" w:lineRule="exact"/>
              <w:rPr>
                <w:sz w:val="20"/>
                <w:szCs w:val="20"/>
                <w:color w:val="auto"/>
              </w:rPr>
            </w:pPr>
            <w:r>
              <w:rPr>
                <w:rFonts w:ascii="Arial" w:cs="Arial" w:eastAsia="Arial" w:hAnsi="Arial"/>
                <w:sz w:val="18"/>
                <w:szCs w:val="18"/>
                <w:color w:val="auto"/>
              </w:rPr>
              <w:t>DEUTSCHE BANK</w:t>
            </w:r>
          </w:p>
        </w:tc>
        <w:tc>
          <w:tcPr>
            <w:tcW w:w="3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10,121,643.84</w:t>
            </w:r>
          </w:p>
        </w:tc>
        <w:tc>
          <w:tcPr>
            <w:tcW w:w="9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30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6/22/2010</w:t>
            </w: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8/1/2018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TRUST</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12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WL SM205509W</w:t>
            </w:r>
          </w:p>
        </w:tc>
        <w:tc>
          <w:tcPr>
            <w:tcW w:w="21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DEUTSCHE BANK</w:t>
            </w:r>
          </w:p>
        </w:tc>
        <w:tc>
          <w:tcPr>
            <w:tcW w:w="38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4,224,414.00</w:t>
            </w:r>
          </w:p>
        </w:tc>
        <w:tc>
          <w:tcPr>
            <w:tcW w:w="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USD</w:t>
            </w:r>
          </w:p>
        </w:tc>
        <w:tc>
          <w:tcPr>
            <w:tcW w:w="130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10/31/03</w:t>
            </w: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10/1/2018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TRUST</w:t>
            </w:r>
          </w:p>
        </w:tc>
        <w:tc>
          <w:tcPr>
            <w:tcW w:w="3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120" w:type="dxa"/>
            <w:vAlign w:val="bottom"/>
          </w:tcPr>
          <w:p>
            <w:pPr>
              <w:ind w:left="440"/>
              <w:spacing w:after="0" w:line="201" w:lineRule="exact"/>
              <w:rPr>
                <w:sz w:val="20"/>
                <w:szCs w:val="20"/>
                <w:color w:val="auto"/>
              </w:rPr>
            </w:pPr>
            <w:r>
              <w:rPr>
                <w:rFonts w:ascii="Arial" w:cs="Arial" w:eastAsia="Arial" w:hAnsi="Arial"/>
                <w:sz w:val="18"/>
                <w:szCs w:val="18"/>
                <w:color w:val="auto"/>
              </w:rPr>
              <w:t>WL SM205510W</w:t>
            </w:r>
          </w:p>
        </w:tc>
        <w:tc>
          <w:tcPr>
            <w:tcW w:w="2180" w:type="dxa"/>
            <w:vAlign w:val="bottom"/>
          </w:tcPr>
          <w:p>
            <w:pPr>
              <w:ind w:left="260"/>
              <w:spacing w:after="0" w:line="201" w:lineRule="exact"/>
              <w:rPr>
                <w:sz w:val="20"/>
                <w:szCs w:val="20"/>
                <w:color w:val="auto"/>
              </w:rPr>
            </w:pPr>
            <w:r>
              <w:rPr>
                <w:rFonts w:ascii="Arial" w:cs="Arial" w:eastAsia="Arial" w:hAnsi="Arial"/>
                <w:sz w:val="18"/>
                <w:szCs w:val="18"/>
                <w:color w:val="auto"/>
              </w:rPr>
              <w:t>DEUTSCHE BANK</w:t>
            </w:r>
          </w:p>
        </w:tc>
        <w:tc>
          <w:tcPr>
            <w:tcW w:w="3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4,401,485.00</w:t>
            </w:r>
          </w:p>
        </w:tc>
        <w:tc>
          <w:tcPr>
            <w:tcW w:w="980" w:type="dxa"/>
            <w:vAlign w:val="bottom"/>
          </w:tcPr>
          <w:p>
            <w:pPr>
              <w:ind w:left="340"/>
              <w:spacing w:after="0" w:line="201" w:lineRule="exact"/>
              <w:rPr>
                <w:sz w:val="20"/>
                <w:szCs w:val="20"/>
                <w:color w:val="auto"/>
              </w:rPr>
            </w:pPr>
            <w:r>
              <w:rPr>
                <w:rFonts w:ascii="Arial" w:cs="Arial" w:eastAsia="Arial" w:hAnsi="Arial"/>
                <w:sz w:val="18"/>
                <w:szCs w:val="18"/>
                <w:color w:val="auto"/>
              </w:rPr>
              <w:t>USD</w:t>
            </w:r>
          </w:p>
        </w:tc>
        <w:tc>
          <w:tcPr>
            <w:tcW w:w="130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10/31/03</w:t>
            </w: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10/1/18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TRUST</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WL LC870-112455</w:t>
            </w: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BANK OF NEW YORK</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15,260,000.00</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USD</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6/5/2002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Wells Fargo Total</w:t>
            </w:r>
          </w:p>
        </w:tc>
        <w:tc>
          <w:tcPr>
            <w:tcW w:w="2120" w:type="dxa"/>
            <w:vAlign w:val="bottom"/>
          </w:tcPr>
          <w:p>
            <w:pPr>
              <w:ind w:left="440"/>
              <w:spacing w:after="0"/>
              <w:rPr>
                <w:sz w:val="20"/>
                <w:szCs w:val="20"/>
                <w:color w:val="auto"/>
              </w:rPr>
            </w:pPr>
            <w:r>
              <w:rPr>
                <w:rFonts w:ascii="Arial" w:cs="Arial" w:eastAsia="Arial" w:hAnsi="Arial"/>
                <w:sz w:val="18"/>
                <w:szCs w:val="18"/>
                <w:color w:val="auto"/>
              </w:rPr>
              <w:t>(7 LCs)</w:t>
            </w:r>
          </w:p>
        </w:tc>
        <w:tc>
          <w:tcPr>
            <w:tcW w:w="218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137,558,411.09</w:t>
            </w: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Grand Total</w:t>
            </w:r>
          </w:p>
        </w:tc>
        <w:tc>
          <w:tcPr>
            <w:tcW w:w="2120" w:type="dxa"/>
            <w:vAlign w:val="bottom"/>
          </w:tcPr>
          <w:p>
            <w:pPr>
              <w:ind w:left="440"/>
              <w:spacing w:after="0"/>
              <w:rPr>
                <w:sz w:val="20"/>
                <w:szCs w:val="20"/>
                <w:color w:val="auto"/>
              </w:rPr>
            </w:pPr>
            <w:r>
              <w:rPr>
                <w:rFonts w:ascii="Arial" w:cs="Arial" w:eastAsia="Arial" w:hAnsi="Arial"/>
                <w:sz w:val="18"/>
                <w:szCs w:val="18"/>
                <w:color w:val="auto"/>
              </w:rPr>
              <w:t>(113 LCs)</w:t>
            </w:r>
          </w:p>
        </w:tc>
        <w:tc>
          <w:tcPr>
            <w:tcW w:w="2180" w:type="dxa"/>
            <w:vAlign w:val="bottom"/>
          </w:tcPr>
          <w:p>
            <w:pPr>
              <w:spacing w:after="0"/>
              <w:rPr>
                <w:sz w:val="20"/>
                <w:szCs w:val="20"/>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602,641,678.94</w:t>
            </w: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0160"/>
        <w:spacing w:after="0"/>
        <w:rPr>
          <w:sz w:val="20"/>
          <w:szCs w:val="20"/>
          <w:color w:val="auto"/>
        </w:rPr>
      </w:pPr>
      <w:r>
        <w:rPr>
          <w:rFonts w:ascii="Arial" w:cs="Arial" w:eastAsia="Arial" w:hAnsi="Arial"/>
          <w:sz w:val="18"/>
          <w:szCs w:val="18"/>
          <w:b w:val="1"/>
          <w:bCs w:val="1"/>
          <w:color w:val="auto"/>
        </w:rPr>
        <w:t>SCHEDULE 6.7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LITIGATION</w:t>
      </w:r>
    </w:p>
    <w:p>
      <w:pPr>
        <w:spacing w:after="0" w:line="229"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 xml:space="preserve">See the disclosure provided in (1) the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Environmental Matters</w:t>
      </w:r>
      <w:r>
        <w:rPr>
          <w:rFonts w:ascii="Arial" w:cs="Arial" w:eastAsia="Arial" w:hAnsi="Arial"/>
          <w:sz w:val="17"/>
          <w:szCs w:val="17"/>
          <w:color w:val="auto"/>
        </w:rPr>
        <w:t xml:space="preserve">” sections of Note 7, Commitments and Contingencies, to the Company’s condensed consolidated financial statements included within its Quarterly Report on Form 10-Q for the fiscal quarter ended March 31, 2018 and (2) the </w:t>
      </w:r>
      <w:r>
        <w:rPr>
          <w:rFonts w:ascii="Arial" w:cs="Arial" w:eastAsia="Arial" w:hAnsi="Arial"/>
          <w:sz w:val="17"/>
          <w:szCs w:val="17"/>
          <w:i w:val="1"/>
          <w:iCs w:val="1"/>
          <w:color w:val="auto"/>
        </w:rPr>
        <w:t xml:space="preserve">“Litigation” </w:t>
      </w:r>
      <w:r>
        <w:rPr>
          <w:rFonts w:ascii="Arial" w:cs="Arial" w:eastAsia="Arial" w:hAnsi="Arial"/>
          <w:sz w:val="17"/>
          <w:szCs w:val="17"/>
          <w:color w:val="auto"/>
        </w:rPr>
        <w:t>and “</w:t>
      </w:r>
      <w:r>
        <w:rPr>
          <w:rFonts w:ascii="Arial" w:cs="Arial" w:eastAsia="Arial" w:hAnsi="Arial"/>
          <w:sz w:val="17"/>
          <w:szCs w:val="17"/>
          <w:i w:val="1"/>
          <w:iCs w:val="1"/>
          <w:color w:val="auto"/>
        </w:rPr>
        <w:t>Environmental Matters</w:t>
      </w:r>
      <w:r>
        <w:rPr>
          <w:rFonts w:ascii="Arial" w:cs="Arial" w:eastAsia="Arial" w:hAnsi="Arial"/>
          <w:sz w:val="17"/>
          <w:szCs w:val="17"/>
          <w:color w:val="auto"/>
        </w:rPr>
        <w:t>” sections of Note 10, Commitments and Contingencies, to the Company’s consolidated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within its Annual Report on Form 10-K for the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60"/>
        <w:spacing w:after="0"/>
        <w:rPr>
          <w:sz w:val="20"/>
          <w:szCs w:val="20"/>
          <w:color w:val="auto"/>
        </w:rPr>
      </w:pPr>
      <w:r>
        <w:rPr>
          <w:rFonts w:ascii="Arial" w:cs="Arial" w:eastAsia="Arial" w:hAnsi="Arial"/>
          <w:sz w:val="18"/>
          <w:szCs w:val="18"/>
          <w:b w:val="1"/>
          <w:bCs w:val="1"/>
          <w:color w:val="auto"/>
        </w:rPr>
        <w:t>SCHEDULE 6.15</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ENVIRONMENTAL COMPLIANCE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See the disclosure provided in (1) Note 2, Landfill and Environmental Remediation Liabilities and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7, Commitments and Contingencies, to the Company’s condensed consolidated financial statements included within its Quarterly Report on Form 10-Q for the fiscal quarter ended March 31, 2018 and (2) Note 4, Landfill and Environmental Remediation Liabilities, and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sections of Note 10, Commitments and Contingencies, to the Company’s consolidated financial statements included within its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2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21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81" w:name="page82"/>
    <w:bookmarkEnd w:id="8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SCHEDULE 8.1(a)</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740" w:type="dxa"/>
            <w:vAlign w:val="bottom"/>
            <w:gridSpan w:val="4"/>
          </w:tcPr>
          <w:p>
            <w:pPr>
              <w:jc w:val="right"/>
              <w:ind w:right="1330"/>
              <w:spacing w:after="0"/>
              <w:rPr>
                <w:sz w:val="20"/>
                <w:szCs w:val="20"/>
                <w:color w:val="auto"/>
              </w:rPr>
            </w:pPr>
            <w:r>
              <w:rPr>
                <w:rFonts w:ascii="Arial" w:cs="Arial" w:eastAsia="Arial" w:hAnsi="Arial"/>
                <w:sz w:val="18"/>
                <w:szCs w:val="18"/>
                <w:b w:val="1"/>
                <w:bCs w:val="1"/>
                <w:color w:val="auto"/>
                <w:w w:val="99"/>
              </w:rPr>
              <w:t>EXISTING INDEBTEDNESS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3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Principal</w:t>
            </w:r>
          </w:p>
        </w:tc>
        <w:tc>
          <w:tcPr>
            <w:tcW w:w="1520" w:type="dxa"/>
            <w:vAlign w:val="bottom"/>
            <w:gridSpan w:val="3"/>
          </w:tcPr>
          <w:p>
            <w:pPr>
              <w:ind w:left="42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Waste Management Holdings Senior Notes:</w:t>
            </w:r>
          </w:p>
        </w:tc>
        <w:tc>
          <w:tcPr>
            <w:tcW w:w="2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$450,000,000 due 8/01/26</w:t>
            </w:r>
          </w:p>
        </w:tc>
        <w:tc>
          <w:tcPr>
            <w:tcW w:w="3740" w:type="dxa"/>
            <w:vAlign w:val="bottom"/>
            <w:gridSpan w:val="4"/>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304,378,000</w:t>
            </w:r>
          </w:p>
        </w:tc>
        <w:tc>
          <w:tcPr>
            <w:tcW w:w="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8/1/2026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WM Holdings Senior Notes</w:t>
            </w:r>
          </w:p>
        </w:tc>
        <w:tc>
          <w:tcPr>
            <w:tcW w:w="2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304,378,000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Tax-Exempt Bonds:</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Amelia, Virginia due 4/1/27</w:t>
            </w:r>
          </w:p>
        </w:tc>
        <w:tc>
          <w:tcPr>
            <w:tcW w:w="3740" w:type="dxa"/>
            <w:vAlign w:val="bottom"/>
            <w:gridSpan w:val="4"/>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26,800,000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4/1/2027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Arkansas due 6/01/28</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Bucks County due 12/01/22</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25,000,000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12/1/2022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California CPCFA</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35,700,000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11/1/2038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California CPCFA 2015 A-1</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84,430,000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7/1/2025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California CPCFA 2015 A-2</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28,000,000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7/1/2027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California CPCFA 2015 A-3</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28,000,000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7/1/2040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California CPCFA due 12/01/27</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12/1/2027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California CPCFA due 7/01/31</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19,000,000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7/1/2031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California Municipal Finance Authority - 2008 Issuance</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33,900,000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2/1/2019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California Municipal Finance Authority - 2009A</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30,000,000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2/1/2039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Charles City (Virginia due 2/1/29)</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2/1/2029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Charles City (Virginia)</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10,000,000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8/1/2027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Charles City (Virginia) due 4/1/27</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4/1/2027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City of Granite City Illinois due 5/1/27</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30,320,000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5/1/2027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City of Minor Lane Heights due 3/1/21</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11,000,000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City of Mobile</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4,175,000</w:t>
            </w:r>
          </w:p>
        </w:tc>
        <w:tc>
          <w:tcPr>
            <w:tcW w:w="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10/1/2038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Cobb County Series 2004B</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4/1/2033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Colorado due 7/1/27</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14,160,000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7/1/2027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Colorado due 8/1/38</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8/1/2038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Colorado Series 2004</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10,840,000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7/1/2018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Countryside (Lake County) due 4/1/21</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5,670,000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4/1/2021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Countryside (Lake County) due 9/1/21</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4,320,000</w:t>
            </w:r>
          </w:p>
        </w:tc>
        <w:tc>
          <w:tcPr>
            <w:tcW w:w="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9/1/2021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County of Logan due 3/1/21</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7,450,000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Denton County (TX 2003B)</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10,000,000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5/1/2028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Gilliam County</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7/1/2038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Gilliam County (2007)</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25,000,000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10/1/2018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Gilliam County due 08/01/25</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15,900,000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8/1/2025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Gloucester (VA 2003A)</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10,000,000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9/1/2038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Gulf Coast Series 2004A</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35,000,000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4/1/2019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Hampton due 9/1/28</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10,000,000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9/1/2028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Harrison County (West Virginia due 4/1/24)</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8,420,000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4/1/2024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Indiana due 10/01/31</w:t>
            </w: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10,000,000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10/1/2031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King George due 6/1/23</w:t>
            </w:r>
          </w:p>
        </w:tc>
        <w:tc>
          <w:tcPr>
            <w:tcW w:w="2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20,000,000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6/1/2023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King George due 9/1/21 (Garnet)</w:t>
            </w:r>
          </w:p>
        </w:tc>
        <w:tc>
          <w:tcPr>
            <w:tcW w:w="4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19,890,000</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9/1/2021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Maricopa (Arizona) due 12/01/31</w:t>
            </w:r>
          </w:p>
        </w:tc>
        <w:tc>
          <w:tcPr>
            <w:tcW w:w="4200" w:type="dxa"/>
            <w:vAlign w:val="bottom"/>
          </w:tcPr>
          <w:p>
            <w:pPr>
              <w:jc w:val="right"/>
              <w:ind w:right="210"/>
              <w:spacing w:after="0"/>
              <w:rPr>
                <w:sz w:val="20"/>
                <w:szCs w:val="20"/>
                <w:color w:val="auto"/>
              </w:rPr>
            </w:pPr>
            <w:r>
              <w:rPr>
                <w:rFonts w:ascii="Arial" w:cs="Arial" w:eastAsia="Arial" w:hAnsi="Arial"/>
                <w:sz w:val="18"/>
                <w:szCs w:val="18"/>
                <w:color w:val="auto"/>
              </w:rPr>
              <w:t>15,580,000</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2"/>
              </w:rPr>
              <w:t>12/1/2031</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Massachusetts due 5/1/27</w:t>
            </w:r>
          </w:p>
        </w:tc>
        <w:tc>
          <w:tcPr>
            <w:tcW w:w="4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15,000,000</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5/1/2027</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Miami Dade County Series 2004A</w:t>
            </w:r>
          </w:p>
        </w:tc>
        <w:tc>
          <w:tcPr>
            <w:tcW w:w="4200" w:type="dxa"/>
            <w:vAlign w:val="bottom"/>
          </w:tcPr>
          <w:p>
            <w:pPr>
              <w:jc w:val="right"/>
              <w:ind w:right="210"/>
              <w:spacing w:after="0"/>
              <w:rPr>
                <w:sz w:val="20"/>
                <w:szCs w:val="20"/>
                <w:color w:val="auto"/>
              </w:rPr>
            </w:pPr>
            <w:r>
              <w:rPr>
                <w:rFonts w:ascii="Arial" w:cs="Arial" w:eastAsia="Arial" w:hAnsi="Arial"/>
                <w:sz w:val="18"/>
                <w:szCs w:val="18"/>
                <w:color w:val="auto"/>
              </w:rPr>
              <w:t>11,500,000</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2"/>
              </w:rPr>
              <w:t>12/1/2018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Miami Dade County Series 2004B</w:t>
            </w:r>
          </w:p>
        </w:tc>
        <w:tc>
          <w:tcPr>
            <w:tcW w:w="4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11,500,000</w:t>
            </w:r>
          </w:p>
        </w:tc>
        <w:tc>
          <w:tcPr>
            <w:tcW w:w="14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12/1/2018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Miami Dade County Series 2006</w:t>
            </w:r>
          </w:p>
        </w:tc>
        <w:tc>
          <w:tcPr>
            <w:tcW w:w="4200" w:type="dxa"/>
            <w:vAlign w:val="bottom"/>
          </w:tcPr>
          <w:p>
            <w:pPr>
              <w:jc w:val="right"/>
              <w:ind w:right="210"/>
              <w:spacing w:after="0"/>
              <w:rPr>
                <w:sz w:val="20"/>
                <w:szCs w:val="20"/>
                <w:color w:val="auto"/>
              </w:rPr>
            </w:pPr>
            <w:r>
              <w:rPr>
                <w:rFonts w:ascii="Arial" w:cs="Arial" w:eastAsia="Arial" w:hAnsi="Arial"/>
                <w:sz w:val="18"/>
                <w:szCs w:val="18"/>
                <w:color w:val="auto"/>
              </w:rPr>
              <w:t>25,000,000</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2"/>
              </w:rPr>
              <w:t>10/1/2018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Miami Dade County Series 2007</w:t>
            </w:r>
          </w:p>
        </w:tc>
        <w:tc>
          <w:tcPr>
            <w:tcW w:w="4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25,000,000</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9/1/2027</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Miami Dade County Series 2008</w:t>
            </w:r>
          </w:p>
        </w:tc>
        <w:tc>
          <w:tcPr>
            <w:tcW w:w="4200" w:type="dxa"/>
            <w:vAlign w:val="bottom"/>
          </w:tcPr>
          <w:p>
            <w:pPr>
              <w:jc w:val="right"/>
              <w:ind w:right="210"/>
              <w:spacing w:after="0"/>
              <w:rPr>
                <w:sz w:val="20"/>
                <w:szCs w:val="20"/>
                <w:color w:val="auto"/>
              </w:rPr>
            </w:pPr>
            <w:r>
              <w:rPr>
                <w:rFonts w:ascii="Arial" w:cs="Arial" w:eastAsia="Arial" w:hAnsi="Arial"/>
                <w:sz w:val="18"/>
                <w:szCs w:val="18"/>
                <w:color w:val="auto"/>
              </w:rPr>
              <w:t>25,000,000</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8/1/2023</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Miami Dade County Series 2011</w:t>
            </w:r>
          </w:p>
        </w:tc>
        <w:tc>
          <w:tcPr>
            <w:tcW w:w="4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20,000,000</w:t>
            </w:r>
          </w:p>
        </w:tc>
        <w:tc>
          <w:tcPr>
            <w:tcW w:w="14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11/1/2041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Michigan due 8/1/2027</w:t>
            </w:r>
          </w:p>
        </w:tc>
        <w:tc>
          <w:tcPr>
            <w:tcW w:w="4200" w:type="dxa"/>
            <w:vAlign w:val="bottom"/>
          </w:tcPr>
          <w:p>
            <w:pPr>
              <w:jc w:val="right"/>
              <w:ind w:right="210"/>
              <w:spacing w:after="0"/>
              <w:rPr>
                <w:sz w:val="20"/>
                <w:szCs w:val="20"/>
                <w:color w:val="auto"/>
              </w:rPr>
            </w:pPr>
            <w:r>
              <w:rPr>
                <w:rFonts w:ascii="Arial" w:cs="Arial" w:eastAsia="Arial" w:hAnsi="Arial"/>
                <w:sz w:val="18"/>
                <w:szCs w:val="18"/>
                <w:color w:val="auto"/>
              </w:rPr>
              <w:t>35,000,000</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8/1/2027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Mission, TX Series 2006</w:t>
            </w:r>
          </w:p>
        </w:tc>
        <w:tc>
          <w:tcPr>
            <w:tcW w:w="4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41,750,000</w:t>
            </w:r>
          </w:p>
        </w:tc>
        <w:tc>
          <w:tcPr>
            <w:tcW w:w="14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12/1/2018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Mississippi due 3/1/27</w:t>
            </w:r>
          </w:p>
        </w:tc>
        <w:tc>
          <w:tcPr>
            <w:tcW w:w="4200" w:type="dxa"/>
            <w:vAlign w:val="bottom"/>
          </w:tcPr>
          <w:p>
            <w:pPr>
              <w:jc w:val="right"/>
              <w:ind w:right="210"/>
              <w:spacing w:after="0"/>
              <w:rPr>
                <w:sz w:val="20"/>
                <w:szCs w:val="20"/>
                <w:color w:val="auto"/>
              </w:rPr>
            </w:pPr>
            <w:r>
              <w:rPr>
                <w:rFonts w:ascii="Arial" w:cs="Arial" w:eastAsia="Arial" w:hAnsi="Arial"/>
                <w:sz w:val="18"/>
                <w:szCs w:val="18"/>
                <w:color w:val="auto"/>
              </w:rPr>
              <w:t>10,000,000</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3/1/2027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Mississippi due 3/1/29</w:t>
            </w:r>
          </w:p>
        </w:tc>
        <w:tc>
          <w:tcPr>
            <w:tcW w:w="4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10,000,000</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3/1/2029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Mississippi due 7/1/28</w:t>
            </w:r>
          </w:p>
        </w:tc>
        <w:tc>
          <w:tcPr>
            <w:tcW w:w="4200" w:type="dxa"/>
            <w:vAlign w:val="bottom"/>
          </w:tcPr>
          <w:p>
            <w:pPr>
              <w:jc w:val="right"/>
              <w:ind w:right="210"/>
              <w:spacing w:after="0"/>
              <w:rPr>
                <w:sz w:val="20"/>
                <w:szCs w:val="20"/>
                <w:color w:val="auto"/>
              </w:rPr>
            </w:pPr>
            <w:r>
              <w:rPr>
                <w:rFonts w:ascii="Arial" w:cs="Arial" w:eastAsia="Arial" w:hAnsi="Arial"/>
                <w:sz w:val="18"/>
                <w:szCs w:val="18"/>
                <w:color w:val="auto"/>
              </w:rPr>
              <w:t>10,000,000</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7/1/2028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Nashville (Tennessee) due 8/01/31</w:t>
            </w:r>
          </w:p>
        </w:tc>
        <w:tc>
          <w:tcPr>
            <w:tcW w:w="4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10,000,000</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8/1/2031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Nebraska</w:t>
            </w:r>
          </w:p>
        </w:tc>
        <w:tc>
          <w:tcPr>
            <w:tcW w:w="4200" w:type="dxa"/>
            <w:vAlign w:val="bottom"/>
          </w:tcPr>
          <w:p>
            <w:pPr>
              <w:jc w:val="right"/>
              <w:ind w:right="210"/>
              <w:spacing w:after="0"/>
              <w:rPr>
                <w:sz w:val="20"/>
                <w:szCs w:val="20"/>
                <w:color w:val="auto"/>
              </w:rPr>
            </w:pPr>
            <w:r>
              <w:rPr>
                <w:rFonts w:ascii="Arial" w:cs="Arial" w:eastAsia="Arial" w:hAnsi="Arial"/>
                <w:sz w:val="18"/>
                <w:szCs w:val="18"/>
                <w:color w:val="auto"/>
              </w:rPr>
              <w:t>10,000,000</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2"/>
              </w:rPr>
              <w:t>11/1/2033</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New York City due 5/1/19</w:t>
            </w:r>
          </w:p>
        </w:tc>
        <w:tc>
          <w:tcPr>
            <w:tcW w:w="4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25,000,000</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5/1/2019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New York Series 2012</w:t>
            </w:r>
          </w:p>
        </w:tc>
        <w:tc>
          <w:tcPr>
            <w:tcW w:w="4200" w:type="dxa"/>
            <w:vAlign w:val="bottom"/>
          </w:tcPr>
          <w:p>
            <w:pPr>
              <w:jc w:val="right"/>
              <w:ind w:right="210"/>
              <w:spacing w:after="0"/>
              <w:rPr>
                <w:sz w:val="20"/>
                <w:szCs w:val="20"/>
                <w:color w:val="auto"/>
              </w:rPr>
            </w:pPr>
            <w:r>
              <w:rPr>
                <w:rFonts w:ascii="Arial" w:cs="Arial" w:eastAsia="Arial" w:hAnsi="Arial"/>
                <w:sz w:val="18"/>
                <w:szCs w:val="18"/>
                <w:color w:val="auto"/>
              </w:rPr>
              <w:t>25,000,000</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5/1/2030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North Sumter, AL</w:t>
            </w:r>
          </w:p>
        </w:tc>
        <w:tc>
          <w:tcPr>
            <w:tcW w:w="4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4,350,000</w:t>
            </w:r>
          </w:p>
        </w:tc>
        <w:tc>
          <w:tcPr>
            <w:tcW w:w="14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10/1/2038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Ohio WDA due 11/1/22</w:t>
            </w:r>
          </w:p>
        </w:tc>
        <w:tc>
          <w:tcPr>
            <w:tcW w:w="4200" w:type="dxa"/>
            <w:vAlign w:val="bottom"/>
          </w:tcPr>
          <w:p>
            <w:pPr>
              <w:jc w:val="right"/>
              <w:ind w:right="210"/>
              <w:spacing w:after="0"/>
              <w:rPr>
                <w:sz w:val="20"/>
                <w:szCs w:val="20"/>
                <w:color w:val="auto"/>
              </w:rPr>
            </w:pPr>
            <w:r>
              <w:rPr>
                <w:rFonts w:ascii="Arial" w:cs="Arial" w:eastAsia="Arial" w:hAnsi="Arial"/>
                <w:sz w:val="18"/>
                <w:szCs w:val="18"/>
                <w:color w:val="auto"/>
              </w:rPr>
              <w:t>45,865,000</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2"/>
              </w:rPr>
              <w:t>11/1/2022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Ohio WDA due 7/1/21 (Series 2004)</w:t>
            </w:r>
          </w:p>
        </w:tc>
        <w:tc>
          <w:tcPr>
            <w:tcW w:w="4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15,000,000</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7/1/2021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Okeechobee due 8/1/24</w:t>
            </w:r>
          </w:p>
        </w:tc>
        <w:tc>
          <w:tcPr>
            <w:tcW w:w="4200" w:type="dxa"/>
            <w:vAlign w:val="bottom"/>
          </w:tcPr>
          <w:p>
            <w:pPr>
              <w:jc w:val="right"/>
              <w:ind w:right="210"/>
              <w:spacing w:after="0"/>
              <w:rPr>
                <w:sz w:val="20"/>
                <w:szCs w:val="20"/>
                <w:color w:val="auto"/>
              </w:rPr>
            </w:pPr>
            <w:r>
              <w:rPr>
                <w:rFonts w:ascii="Arial" w:cs="Arial" w:eastAsia="Arial" w:hAnsi="Arial"/>
                <w:sz w:val="18"/>
                <w:szCs w:val="18"/>
                <w:color w:val="auto"/>
              </w:rPr>
              <w:t>15,000,000</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1"/>
              </w:rPr>
              <w:t>8/1/2024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Okeechobee Series 2004A</w:t>
            </w:r>
          </w:p>
        </w:tc>
        <w:tc>
          <w:tcPr>
            <w:tcW w:w="4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15,970,000</w:t>
            </w:r>
          </w:p>
        </w:tc>
        <w:tc>
          <w:tcPr>
            <w:tcW w:w="14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7/1/2039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Oklahoma</w:t>
            </w:r>
          </w:p>
        </w:tc>
        <w:tc>
          <w:tcPr>
            <w:tcW w:w="4200" w:type="dxa"/>
            <w:vAlign w:val="bottom"/>
          </w:tcPr>
          <w:p>
            <w:pPr>
              <w:jc w:val="right"/>
              <w:ind w:right="210"/>
              <w:spacing w:after="0"/>
              <w:rPr>
                <w:sz w:val="20"/>
                <w:szCs w:val="20"/>
                <w:color w:val="auto"/>
              </w:rPr>
            </w:pPr>
            <w:r>
              <w:rPr>
                <w:rFonts w:ascii="Arial" w:cs="Arial" w:eastAsia="Arial" w:hAnsi="Arial"/>
                <w:sz w:val="18"/>
                <w:szCs w:val="18"/>
                <w:color w:val="auto"/>
              </w:rPr>
              <w:t>10,000,000</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2"/>
              </w:rPr>
              <w:t>12/1/2021</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4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30,000,000</w:t>
            </w:r>
          </w:p>
        </w:tc>
        <w:tc>
          <w:tcPr>
            <w:tcW w:w="14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11/1/2021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Pennsylvania</w:t>
            </w:r>
          </w:p>
        </w:tc>
        <w:tc>
          <w:tcPr>
            <w:tcW w:w="4200" w:type="dxa"/>
            <w:vAlign w:val="bottom"/>
          </w:tcPr>
          <w:p>
            <w:pPr>
              <w:jc w:val="right"/>
              <w:ind w:right="210"/>
              <w:spacing w:after="0"/>
              <w:rPr>
                <w:sz w:val="20"/>
                <w:szCs w:val="20"/>
                <w:color w:val="auto"/>
              </w:rPr>
            </w:pPr>
            <w:r>
              <w:rPr>
                <w:rFonts w:ascii="Arial" w:cs="Arial" w:eastAsia="Arial" w:hAnsi="Arial"/>
                <w:sz w:val="18"/>
                <w:szCs w:val="18"/>
                <w:color w:val="auto"/>
              </w:rPr>
              <w:t>4,000,000</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2"/>
              </w:rPr>
              <w:t>11/1/2021</w:t>
            </w:r>
          </w:p>
        </w:tc>
      </w:tr>
      <w:tr>
        <w:trPr>
          <w:trHeight w:val="70"/>
        </w:trPr>
        <w:tc>
          <w:tcPr>
            <w:tcW w:w="5760" w:type="dxa"/>
            <w:vAlign w:val="bottom"/>
            <w:shd w:val="clear" w:color="auto" w:fill="CCEEFF"/>
          </w:tcPr>
          <w:p>
            <w:pPr>
              <w:spacing w:after="0"/>
              <w:rPr>
                <w:sz w:val="6"/>
                <w:szCs w:val="6"/>
                <w:color w:val="auto"/>
              </w:rPr>
            </w:pPr>
          </w:p>
        </w:tc>
        <w:tc>
          <w:tcPr>
            <w:tcW w:w="420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r>
    </w:tbl>
    <w:p>
      <w:pPr>
        <w:sectPr>
          <w:pgSz w:w="11900" w:h="16900" w:orient="portrait"/>
          <w:cols w:equalWidth="0" w:num="1">
            <w:col w:w="11460"/>
          </w:cols>
          <w:pgMar w:left="240" w:top="580" w:right="199" w:bottom="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20,000,000</w:t>
            </w:r>
          </w:p>
        </w:tc>
        <w:tc>
          <w:tcPr>
            <w:tcW w:w="17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11/1/2021</w:t>
            </w:r>
          </w:p>
        </w:tc>
        <w:tc>
          <w:tcPr>
            <w:tcW w:w="4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Pennsylvania Series 2009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100,000,000</w:t>
            </w:r>
          </w:p>
        </w:tc>
        <w:tc>
          <w:tcPr>
            <w:tcW w:w="20" w:type="dxa"/>
            <w:vAlign w:val="bottom"/>
          </w:tcPr>
          <w:p>
            <w:pPr>
              <w:spacing w:after="0"/>
              <w:rPr>
                <w:sz w:val="18"/>
                <w:szCs w:val="18"/>
                <w:color w:val="auto"/>
              </w:rPr>
            </w:pPr>
          </w:p>
        </w:tc>
        <w:tc>
          <w:tcPr>
            <w:tcW w:w="1740" w:type="dxa"/>
            <w:vAlign w:val="bottom"/>
          </w:tcPr>
          <w:p>
            <w:pPr>
              <w:jc w:val="center"/>
              <w:ind w:left="70"/>
              <w:spacing w:after="0"/>
              <w:rPr>
                <w:sz w:val="20"/>
                <w:szCs w:val="20"/>
                <w:color w:val="auto"/>
              </w:rPr>
            </w:pPr>
            <w:r>
              <w:rPr>
                <w:rFonts w:ascii="Arial" w:cs="Arial" w:eastAsia="Arial" w:hAnsi="Arial"/>
                <w:sz w:val="18"/>
                <w:szCs w:val="18"/>
                <w:color w:val="auto"/>
                <w:w w:val="92"/>
              </w:rPr>
              <w:t>12/1/2033</w:t>
            </w:r>
          </w:p>
        </w:tc>
        <w:tc>
          <w:tcPr>
            <w:tcW w:w="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Pennsylvania Series 2011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80,000,000</w:t>
            </w:r>
          </w:p>
        </w:tc>
        <w:tc>
          <w:tcPr>
            <w:tcW w:w="17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7/1/2041</w:t>
            </w:r>
          </w:p>
        </w:tc>
        <w:tc>
          <w:tcPr>
            <w:tcW w:w="4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Pennsylvania Series 2013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100,000,000</w:t>
            </w:r>
          </w:p>
        </w:tc>
        <w:tc>
          <w:tcPr>
            <w:tcW w:w="20" w:type="dxa"/>
            <w:vAlign w:val="bottom"/>
          </w:tcPr>
          <w:p>
            <w:pPr>
              <w:spacing w:after="0"/>
              <w:rPr>
                <w:sz w:val="18"/>
                <w:szCs w:val="18"/>
                <w:color w:val="auto"/>
              </w:rPr>
            </w:pP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91"/>
              </w:rPr>
              <w:t>8/1/2045</w:t>
            </w:r>
          </w:p>
        </w:tc>
        <w:tc>
          <w:tcPr>
            <w:tcW w:w="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Schuylkill/Pine Grove due 10/1/19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11,700,000</w:t>
            </w:r>
          </w:p>
        </w:tc>
        <w:tc>
          <w:tcPr>
            <w:tcW w:w="17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10/1/2019</w:t>
            </w:r>
          </w:p>
        </w:tc>
        <w:tc>
          <w:tcPr>
            <w:tcW w:w="4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South Carolina Series 2003A</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91"/>
              </w:rPr>
              <w:t>7/1/2024</w:t>
            </w:r>
          </w:p>
        </w:tc>
        <w:tc>
          <w:tcPr>
            <w:tcW w:w="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State of New Hampshire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15,000,000</w:t>
            </w:r>
          </w:p>
        </w:tc>
        <w:tc>
          <w:tcPr>
            <w:tcW w:w="17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8/1/2024</w:t>
            </w:r>
          </w:p>
        </w:tc>
        <w:tc>
          <w:tcPr>
            <w:tcW w:w="4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Sussex Co. Virginia</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10,000,000</w:t>
            </w: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91"/>
              </w:rPr>
              <w:t>9/1/2027</w:t>
            </w:r>
          </w:p>
        </w:tc>
        <w:tc>
          <w:tcPr>
            <w:tcW w:w="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Sussex County</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17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6/1/2028</w:t>
            </w:r>
          </w:p>
        </w:tc>
        <w:tc>
          <w:tcPr>
            <w:tcW w:w="4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SW Illinois due 10/1/2027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4,700,000</w:t>
            </w:r>
          </w:p>
        </w:tc>
        <w:tc>
          <w:tcPr>
            <w:tcW w:w="20" w:type="dxa"/>
            <w:vAlign w:val="bottom"/>
          </w:tcPr>
          <w:p>
            <w:pPr>
              <w:spacing w:after="0"/>
              <w:rPr>
                <w:sz w:val="18"/>
                <w:szCs w:val="18"/>
                <w:color w:val="auto"/>
              </w:rPr>
            </w:pPr>
          </w:p>
        </w:tc>
        <w:tc>
          <w:tcPr>
            <w:tcW w:w="1740" w:type="dxa"/>
            <w:vAlign w:val="bottom"/>
          </w:tcPr>
          <w:p>
            <w:pPr>
              <w:jc w:val="center"/>
              <w:ind w:left="70"/>
              <w:spacing w:after="0"/>
              <w:rPr>
                <w:sz w:val="20"/>
                <w:szCs w:val="20"/>
                <w:color w:val="auto"/>
              </w:rPr>
            </w:pPr>
            <w:r>
              <w:rPr>
                <w:rFonts w:ascii="Arial" w:cs="Arial" w:eastAsia="Arial" w:hAnsi="Arial"/>
                <w:sz w:val="18"/>
                <w:szCs w:val="18"/>
                <w:color w:val="auto"/>
                <w:w w:val="92"/>
              </w:rPr>
              <w:t>10/1/2027</w:t>
            </w:r>
          </w:p>
        </w:tc>
        <w:tc>
          <w:tcPr>
            <w:tcW w:w="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Tennessee - 2003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25,000,000</w:t>
            </w:r>
          </w:p>
        </w:tc>
        <w:tc>
          <w:tcPr>
            <w:tcW w:w="17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7/1/2033</w:t>
            </w:r>
          </w:p>
        </w:tc>
        <w:tc>
          <w:tcPr>
            <w:tcW w:w="4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Tennessee - 2012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18,000,000</w:t>
            </w: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91"/>
              </w:rPr>
              <w:t>7/2/2035</w:t>
            </w:r>
          </w:p>
        </w:tc>
        <w:tc>
          <w:tcPr>
            <w:tcW w:w="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Texas due 8/1/20 (Mission EDC)</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67,000,000</w:t>
            </w:r>
          </w:p>
        </w:tc>
        <w:tc>
          <w:tcPr>
            <w:tcW w:w="17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8/1/2020</w:t>
            </w:r>
          </w:p>
        </w:tc>
        <w:tc>
          <w:tcPr>
            <w:tcW w:w="4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Washington due 2/1/26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22,000,000</w:t>
            </w: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91"/>
              </w:rPr>
              <w:t>2/1/2026</w:t>
            </w:r>
          </w:p>
        </w:tc>
        <w:tc>
          <w:tcPr>
            <w:tcW w:w="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Washington due 6/1/20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30,000,000</w:t>
            </w:r>
          </w:p>
        </w:tc>
        <w:tc>
          <w:tcPr>
            <w:tcW w:w="17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6/1/2020</w:t>
            </w:r>
          </w:p>
        </w:tc>
        <w:tc>
          <w:tcPr>
            <w:tcW w:w="4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Washington due 7/1/30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20,000,000</w:t>
            </w: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91"/>
              </w:rPr>
              <w:t>7/1/2030</w:t>
            </w:r>
          </w:p>
        </w:tc>
        <w:tc>
          <w:tcPr>
            <w:tcW w:w="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Wood County due 4/1/24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6,580,000</w:t>
            </w:r>
          </w:p>
        </w:tc>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4/1/2024</w:t>
            </w:r>
          </w:p>
        </w:tc>
        <w:tc>
          <w:tcPr>
            <w:tcW w:w="4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Yavapai (Arizona) due 3/1/28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17,420,000</w:t>
            </w: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91"/>
              </w:rPr>
              <w:t>3/1/2028</w:t>
            </w:r>
          </w:p>
        </w:tc>
        <w:tc>
          <w:tcPr>
            <w:tcW w:w="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Yavapai (Arizona) due 6/1/27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30,000,000</w:t>
            </w:r>
          </w:p>
        </w:tc>
        <w:tc>
          <w:tcPr>
            <w:tcW w:w="17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6/1/2027</w:t>
            </w:r>
          </w:p>
        </w:tc>
        <w:tc>
          <w:tcPr>
            <w:tcW w:w="40" w:type="dxa"/>
            <w:vAlign w:val="bottom"/>
          </w:tcPr>
          <w:p>
            <w:pPr>
              <w:spacing w:after="0"/>
              <w:rPr>
                <w:sz w:val="18"/>
                <w:szCs w:val="18"/>
                <w:color w:val="auto"/>
              </w:rPr>
            </w:pPr>
          </w:p>
        </w:tc>
      </w:tr>
      <w:tr>
        <w:trPr>
          <w:trHeight w:val="210"/>
        </w:trPr>
        <w:tc>
          <w:tcPr>
            <w:tcW w:w="7960" w:type="dxa"/>
            <w:vAlign w:val="bottom"/>
          </w:tcPr>
          <w:p>
            <w:pPr>
              <w:ind w:left="180"/>
              <w:spacing w:after="0"/>
              <w:rPr>
                <w:sz w:val="20"/>
                <w:szCs w:val="20"/>
                <w:color w:val="auto"/>
              </w:rPr>
            </w:pPr>
            <w:r>
              <w:rPr>
                <w:rFonts w:ascii="Arial" w:cs="Arial" w:eastAsia="Arial" w:hAnsi="Arial"/>
                <w:sz w:val="18"/>
                <w:szCs w:val="18"/>
                <w:b w:val="1"/>
                <w:bCs w:val="1"/>
                <w:color w:val="auto"/>
              </w:rPr>
              <w:t>Tax-exempt bonds</w:t>
            </w: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1,745,890,000</w:t>
            </w:r>
          </w:p>
        </w:tc>
        <w:tc>
          <w:tcPr>
            <w:tcW w:w="20" w:type="dxa"/>
            <w:vAlign w:val="bottom"/>
            <w:tcBorders>
              <w:bottom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41"/>
        </w:trPr>
        <w:tc>
          <w:tcPr>
            <w:tcW w:w="7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Canada credit facility and term loan:</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Canada credit facility</w:t>
            </w:r>
          </w:p>
        </w:tc>
        <w:tc>
          <w:tcPr>
            <w:tcW w:w="23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right="10"/>
              <w:spacing w:after="0"/>
              <w:rPr>
                <w:sz w:val="20"/>
                <w:szCs w:val="20"/>
                <w:color w:val="auto"/>
              </w:rPr>
            </w:pPr>
            <w:r>
              <w:rPr>
                <w:rFonts w:ascii="Arial" w:cs="Arial" w:eastAsia="Arial" w:hAnsi="Arial"/>
                <w:sz w:val="18"/>
                <w:szCs w:val="18"/>
                <w:color w:val="auto"/>
                <w:w w:val="92"/>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Canada term loan (a)</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72,443,338</w:t>
            </w:r>
          </w:p>
        </w:tc>
        <w:tc>
          <w:tcPr>
            <w:tcW w:w="14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2"/>
              </w:rPr>
              <w:t>3/24/2019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Canada Credit Facility and Term Loan</w:t>
            </w:r>
          </w:p>
        </w:tc>
        <w:tc>
          <w:tcPr>
            <w:tcW w:w="19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72,443,338</w:t>
            </w:r>
          </w:p>
        </w:tc>
        <w:tc>
          <w:tcPr>
            <w:tcW w:w="2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Other debt (b):</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Corporate capital leases</w:t>
            </w:r>
          </w:p>
        </w:tc>
        <w:tc>
          <w:tcPr>
            <w:tcW w:w="23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77,511,281</w:t>
            </w:r>
          </w:p>
        </w:tc>
        <w:tc>
          <w:tcPr>
            <w:tcW w:w="14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2"/>
              </w:rPr>
              <w:t>5/31/2029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King George Landfill royalty agreement</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45,243,432</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7/1/2027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Low Income Housing Tax Credit investment obligations</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28,483,395</w:t>
            </w:r>
          </w:p>
        </w:tc>
        <w:tc>
          <w:tcPr>
            <w:tcW w:w="14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12/30/2020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Prairie View Landfill host agreement</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13,851,174</w:t>
            </w:r>
          </w:p>
        </w:tc>
        <w:tc>
          <w:tcPr>
            <w:tcW w:w="1480" w:type="dxa"/>
            <w:vAlign w:val="bottom"/>
          </w:tcPr>
          <w:p>
            <w:pPr>
              <w:jc w:val="center"/>
              <w:ind w:right="10"/>
              <w:spacing w:after="0"/>
              <w:rPr>
                <w:sz w:val="20"/>
                <w:szCs w:val="20"/>
                <w:color w:val="auto"/>
              </w:rPr>
            </w:pPr>
            <w:r>
              <w:rPr>
                <w:rFonts w:ascii="Arial" w:cs="Arial" w:eastAsia="Arial" w:hAnsi="Arial"/>
                <w:sz w:val="18"/>
                <w:szCs w:val="18"/>
                <w:color w:val="auto"/>
                <w:w w:val="90"/>
              </w:rPr>
              <w:t>12/31/2023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WM Temple capital lease</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11,816,831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83,756,541</w:t>
            </w:r>
          </w:p>
        </w:tc>
        <w:tc>
          <w:tcPr>
            <w:tcW w:w="1480" w:type="dxa"/>
            <w:vAlign w:val="bottom"/>
          </w:tcPr>
          <w:p>
            <w:pPr>
              <w:ind w:left="42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Other debt</w:t>
            </w:r>
          </w:p>
        </w:tc>
        <w:tc>
          <w:tcPr>
            <w:tcW w:w="19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260,662,656</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Existing Indebtedness (c)</w:t>
            </w:r>
          </w:p>
        </w:tc>
        <w:tc>
          <w:tcPr>
            <w:tcW w:w="23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2,383,373,994</w:t>
            </w: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Canadian dollar principal amount of $93,875,000 using conversion rate of 0.7717 at May 31, 2018.</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Excludes certain debt associated with a divested investment in June 2018.</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Excludes indebtedness incurred and scheduled payments made subsequent to May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w w:val="96"/>
              </w:rPr>
              <w:t>SCHEDULE 8.3</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760" w:type="dxa"/>
            <w:vAlign w:val="bottom"/>
            <w:gridSpan w:val="5"/>
          </w:tcPr>
          <w:p>
            <w:pPr>
              <w:jc w:val="right"/>
              <w:ind w:right="3260"/>
              <w:spacing w:after="0"/>
              <w:rPr>
                <w:sz w:val="20"/>
                <w:szCs w:val="20"/>
                <w:color w:val="auto"/>
              </w:rPr>
            </w:pPr>
            <w:r>
              <w:rPr>
                <w:rFonts w:ascii="Arial" w:cs="Arial" w:eastAsia="Arial" w:hAnsi="Arial"/>
                <w:sz w:val="18"/>
                <w:szCs w:val="18"/>
                <w:b w:val="1"/>
                <w:bCs w:val="1"/>
                <w:color w:val="auto"/>
              </w:rPr>
              <w:t>EXISTING INVESTMENTS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method investments</w:t>
            </w:r>
          </w:p>
        </w:tc>
        <w:tc>
          <w:tcPr>
            <w:tcW w:w="57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119,205,596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Investments without readily determinable fair values</w:t>
            </w:r>
          </w:p>
        </w:tc>
        <w:tc>
          <w:tcPr>
            <w:tcW w:w="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85,783,173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Redeemable preferred stock</w:t>
            </w:r>
          </w:p>
        </w:tc>
        <w:tc>
          <w:tcPr>
            <w:tcW w:w="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55,507,509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Fixed-income securities (a)</w:t>
            </w:r>
          </w:p>
        </w:tc>
        <w:tc>
          <w:tcPr>
            <w:tcW w:w="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47,000,817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receivable</w:t>
            </w:r>
          </w:p>
        </w:tc>
        <w:tc>
          <w:tcPr>
            <w:tcW w:w="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22,006,766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 (b)</w:t>
            </w:r>
          </w:p>
        </w:tc>
        <w:tc>
          <w:tcPr>
            <w:tcW w:w="57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329,503,861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Fixed-income securities balance as of March 31, 2018 due to the timing of readily available statements.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Balances are as of May 31, 2018, except where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200"/>
        <w:spacing w:after="0"/>
        <w:rPr>
          <w:sz w:val="20"/>
          <w:szCs w:val="20"/>
          <w:color w:val="auto"/>
        </w:rPr>
      </w:pPr>
      <w:r>
        <w:rPr>
          <w:rFonts w:ascii="Arial" w:cs="Arial" w:eastAsia="Arial" w:hAnsi="Arial"/>
          <w:sz w:val="18"/>
          <w:szCs w:val="18"/>
          <w:b w:val="1"/>
          <w:bCs w:val="1"/>
          <w:color w:val="auto"/>
        </w:rPr>
        <w:t>SCHEDULE 22</w:t>
      </w:r>
    </w:p>
    <w:p>
      <w:pPr>
        <w:sectPr>
          <w:pgSz w:w="11900" w:h="16838" w:orient="portrait"/>
          <w:cols w:equalWidth="0" w:num="1">
            <w:col w:w="11460"/>
          </w:cols>
          <w:pgMar w:left="240" w:top="140" w:right="199" w:bottom="0" w:gutter="0" w:footer="0" w:header="0"/>
        </w:sectPr>
      </w:pPr>
    </w:p>
    <w:bookmarkStart w:id="83" w:name="page84"/>
    <w:bookmarkEnd w:id="83"/>
    <w:p>
      <w:pPr>
        <w:jc w:val="right"/>
        <w:ind w:right="2879"/>
        <w:spacing w:after="0"/>
        <w:rPr>
          <w:sz w:val="20"/>
          <w:szCs w:val="20"/>
          <w:color w:val="auto"/>
        </w:rPr>
      </w:pPr>
      <w:r>
        <w:rPr>
          <w:rFonts w:ascii="Arial" w:cs="Arial" w:eastAsia="Arial" w:hAnsi="Arial"/>
          <w:sz w:val="18"/>
          <w:szCs w:val="18"/>
          <w:b w:val="1"/>
          <w:bCs w:val="1"/>
          <w:color w:val="auto"/>
        </w:rPr>
        <w:t>ADMINISTRATIVE AGENT’S OFFICE;</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7"/>
          <w:szCs w:val="17"/>
          <w:b w:val="1"/>
          <w:bCs w:val="1"/>
          <w:u w:val="single" w:color="auto"/>
          <w:color w:val="auto"/>
        </w:rPr>
        <w:t>CERTAIN ADDRESSES FOR NOTICES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AGENT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Agent’s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advances, payments and Requests for Credit Extensions):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TX2-984-03-23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Nora Taylor</w:t>
      </w:r>
    </w:p>
    <w:p>
      <w:pPr>
        <w:spacing w:after="0" w:line="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469-201-9149</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8"/>
          <w:szCs w:val="18"/>
          <w:color w:val="auto"/>
        </w:rPr>
        <w:t>214-290-9673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nora.j.taylor@baml.com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Remittance Instructions - USD</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No: 026009593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No.: 1366072250600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Name: Wire Clearing Acct for Syn Loans - LIQ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 Waste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Remittance Instructions — CAD</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SWIFT: BOFACATT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No.: 90083255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Code 0241 Transit #56792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 Waste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Notices as Administrative Agent</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Agency Management</w:t>
      </w:r>
    </w:p>
    <w:p>
      <w:pPr>
        <w:spacing w:after="0" w:line="205" w:lineRule="auto"/>
        <w:rPr>
          <w:sz w:val="20"/>
          <w:szCs w:val="20"/>
          <w:color w:val="auto"/>
        </w:rPr>
      </w:pPr>
      <w:r>
        <w:rPr>
          <w:rFonts w:ascii="Arial" w:cs="Arial" w:eastAsia="Arial" w:hAnsi="Arial"/>
          <w:sz w:val="18"/>
          <w:szCs w:val="18"/>
          <w:color w:val="auto"/>
        </w:rPr>
        <w:t>900 W. Trade Street,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Mail Code: NC1-026-06-03</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28255</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Attention:</w:t>
            </w:r>
          </w:p>
        </w:tc>
        <w:tc>
          <w:tcPr>
            <w:tcW w:w="1360" w:type="dxa"/>
            <w:vAlign w:val="bottom"/>
          </w:tcPr>
          <w:p>
            <w:pPr>
              <w:jc w:val="right"/>
              <w:spacing w:after="0"/>
              <w:rPr>
                <w:sz w:val="20"/>
                <w:szCs w:val="20"/>
                <w:color w:val="auto"/>
              </w:rPr>
            </w:pPr>
            <w:r>
              <w:rPr>
                <w:rFonts w:ascii="Arial" w:cs="Arial" w:eastAsia="Arial" w:hAnsi="Arial"/>
                <w:sz w:val="18"/>
                <w:szCs w:val="18"/>
                <w:color w:val="auto"/>
              </w:rPr>
              <w:t>Melissa Mullis</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1360" w:type="dxa"/>
            <w:vAlign w:val="bottom"/>
          </w:tcPr>
          <w:p>
            <w:pPr>
              <w:jc w:val="right"/>
              <w:spacing w:after="0"/>
              <w:rPr>
                <w:sz w:val="20"/>
                <w:szCs w:val="20"/>
                <w:color w:val="auto"/>
              </w:rPr>
            </w:pPr>
            <w:r>
              <w:rPr>
                <w:rFonts w:ascii="Arial" w:cs="Arial" w:eastAsia="Arial" w:hAnsi="Arial"/>
                <w:sz w:val="18"/>
                <w:szCs w:val="18"/>
                <w:color w:val="auto"/>
              </w:rPr>
              <w:t>980-386-9372</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Telecopier:</w:t>
            </w:r>
          </w:p>
        </w:tc>
        <w:tc>
          <w:tcPr>
            <w:tcW w:w="1360" w:type="dxa"/>
            <w:vAlign w:val="bottom"/>
          </w:tcPr>
          <w:p>
            <w:pPr>
              <w:jc w:val="right"/>
              <w:spacing w:after="0"/>
              <w:rPr>
                <w:sz w:val="20"/>
                <w:szCs w:val="20"/>
                <w:color w:val="auto"/>
              </w:rPr>
            </w:pPr>
            <w:r>
              <w:rPr>
                <w:rFonts w:ascii="Arial" w:cs="Arial" w:eastAsia="Arial" w:hAnsi="Arial"/>
                <w:sz w:val="18"/>
                <w:szCs w:val="18"/>
                <w:color w:val="auto"/>
              </w:rPr>
              <w:t>704-409-0617</w:t>
            </w:r>
          </w:p>
        </w:tc>
      </w:tr>
    </w:tbl>
    <w:p>
      <w:pPr>
        <w:spacing w:after="0"/>
        <w:rPr>
          <w:sz w:val="20"/>
          <w:szCs w:val="20"/>
          <w:color w:val="auto"/>
        </w:rPr>
      </w:pPr>
      <w:r>
        <w:rPr>
          <w:rFonts w:ascii="Arial" w:cs="Arial" w:eastAsia="Arial" w:hAnsi="Arial"/>
          <w:sz w:val="18"/>
          <w:szCs w:val="18"/>
          <w:color w:val="auto"/>
        </w:rPr>
        <w:t>Electronic Mail: melissa.mullis@baml.com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With copy to</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540 W. Madison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IL4-540-22-23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Contreras</w:t>
      </w:r>
    </w:p>
    <w:p>
      <w:pPr>
        <w:spacing w:after="0" w:line="2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312-992-3882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michael.contreras@baml.com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L/C ISSUER</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Fleet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PA6-580-02-30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Scranton, PA 18507</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Attention:</w:t>
            </w:r>
          </w:p>
        </w:tc>
        <w:tc>
          <w:tcPr>
            <w:tcW w:w="1500" w:type="dxa"/>
            <w:vAlign w:val="bottom"/>
          </w:tcPr>
          <w:p>
            <w:pPr>
              <w:ind w:left="260"/>
              <w:spacing w:after="0"/>
              <w:rPr>
                <w:sz w:val="20"/>
                <w:szCs w:val="20"/>
                <w:color w:val="auto"/>
              </w:rPr>
            </w:pPr>
            <w:r>
              <w:rPr>
                <w:rFonts w:ascii="Arial" w:cs="Arial" w:eastAsia="Arial" w:hAnsi="Arial"/>
                <w:sz w:val="18"/>
                <w:szCs w:val="18"/>
                <w:color w:val="auto"/>
                <w:w w:val="87"/>
              </w:rPr>
              <w:t>Trade Operations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Telephone:</w:t>
            </w:r>
          </w:p>
        </w:tc>
        <w:tc>
          <w:tcPr>
            <w:tcW w:w="1500" w:type="dxa"/>
            <w:vAlign w:val="bottom"/>
          </w:tcPr>
          <w:p>
            <w:pPr>
              <w:ind w:left="240"/>
              <w:spacing w:after="0"/>
              <w:rPr>
                <w:sz w:val="20"/>
                <w:szCs w:val="20"/>
                <w:color w:val="auto"/>
              </w:rPr>
            </w:pPr>
            <w:r>
              <w:rPr>
                <w:rFonts w:ascii="Arial" w:cs="Arial" w:eastAsia="Arial" w:hAnsi="Arial"/>
                <w:sz w:val="18"/>
                <w:szCs w:val="18"/>
                <w:color w:val="auto"/>
              </w:rPr>
              <w:t>570-496-9619</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Telecopier:</w:t>
            </w:r>
          </w:p>
        </w:tc>
        <w:tc>
          <w:tcPr>
            <w:tcW w:w="1500" w:type="dxa"/>
            <w:vAlign w:val="bottom"/>
          </w:tcPr>
          <w:p>
            <w:pPr>
              <w:ind w:left="260"/>
              <w:spacing w:after="0"/>
              <w:rPr>
                <w:sz w:val="20"/>
                <w:szCs w:val="20"/>
                <w:color w:val="auto"/>
              </w:rPr>
            </w:pPr>
            <w:r>
              <w:rPr>
                <w:rFonts w:ascii="Arial" w:cs="Arial" w:eastAsia="Arial" w:hAnsi="Arial"/>
                <w:sz w:val="18"/>
                <w:szCs w:val="18"/>
                <w:color w:val="auto"/>
              </w:rPr>
              <w:t>800-755-8740</w:t>
            </w:r>
          </w:p>
        </w:tc>
      </w:tr>
    </w:tbl>
    <w:p>
      <w:pPr>
        <w:spacing w:after="0"/>
        <w:rPr>
          <w:sz w:val="20"/>
          <w:szCs w:val="20"/>
          <w:color w:val="auto"/>
        </w:rPr>
      </w:pPr>
      <w:r>
        <w:rPr>
          <w:rFonts w:ascii="Arial" w:cs="Arial" w:eastAsia="Arial" w:hAnsi="Arial"/>
          <w:sz w:val="18"/>
          <w:szCs w:val="18"/>
          <w:color w:val="auto"/>
        </w:rPr>
        <w:t>Electronic Mail: tradeclientserviceteamus@baml.com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Remittance Instructions</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ectPr>
          <w:pgSz w:w="11900" w:h="16838" w:orient="portrait"/>
          <w:cols w:equalWidth="0" w:num="1">
            <w:col w:w="10219"/>
          </w:cols>
          <w:pgMar w:left="240" w:top="121" w:right="1440" w:bottom="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 No: 026009593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No: 04535-883980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Scranton Standby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Reference: Waste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7398C89"/>
    <w:multiLevelType w:val="hybridMultilevel"/>
    <w:lvl w:ilvl="0">
      <w:lvlJc w:val="left"/>
      <w:lvlText w:val="%1."/>
      <w:numFmt w:val="upperLetter"/>
      <w:start w:val="1"/>
    </w:lvl>
  </w:abstractNum>
  <w:abstractNum w:abstractNumId="1">
    <w:nsid w:val="354FE9F9"/>
    <w:multiLevelType w:val="hybridMultilevel"/>
    <w:lvl w:ilvl="0">
      <w:lvlJc w:val="left"/>
      <w:lvlText w:val="%1."/>
      <w:numFmt w:val="upperLetter"/>
      <w:start w:val="2"/>
    </w:lvl>
  </w:abstractNum>
  <w:abstractNum w:abstractNumId="2">
    <w:nsid w:val="15B5AF5C"/>
    <w:multiLevelType w:val="hybridMultilevel"/>
    <w:lvl w:ilvl="0">
      <w:lvlJc w:val="left"/>
      <w:lvlText w:val="(%1)"/>
      <w:numFmt w:val="lowerRoman"/>
      <w:start w:val="1"/>
    </w:lvl>
  </w:abstractNum>
  <w:abstractNum w:abstractNumId="3">
    <w:nsid w:val="741226BB"/>
    <w:multiLevelType w:val="hybridMultilevel"/>
    <w:lvl w:ilvl="0">
      <w:lvlJc w:val="left"/>
      <w:lvlText w:val="%1"/>
      <w:numFmt w:val="upperLetter"/>
      <w:start w:val="1"/>
    </w:lvl>
    <w:lvl w:ilvl="1">
      <w:lvlJc w:val="left"/>
      <w:lvlText w:val="(%2)"/>
      <w:numFmt w:val="lowerRoman"/>
      <w:start w:val="2"/>
    </w:lvl>
  </w:abstractNum>
  <w:abstractNum w:abstractNumId="4">
    <w:nsid w:val="D34B6A8"/>
    <w:multiLevelType w:val="hybridMultilevel"/>
    <w:lvl w:ilvl="0">
      <w:lvlJc w:val="left"/>
      <w:lvlText w:val="(%1)"/>
      <w:numFmt w:val="upperLetter"/>
      <w:start w:val="3"/>
    </w:lvl>
    <w:lvl w:ilvl="1">
      <w:lvlJc w:val="left"/>
      <w:lvlText w:val="%2"/>
      <w:numFmt w:val="lowerRoman"/>
      <w:start w:val="1"/>
    </w:lvl>
  </w:abstractNum>
  <w:abstractNum w:abstractNumId="5">
    <w:nsid w:val="10233C99"/>
    <w:multiLevelType w:val="hybridMultilevel"/>
    <w:lvl w:ilvl="0">
      <w:lvlJc w:val="left"/>
      <w:lvlText w:val="(%1)"/>
      <w:numFmt w:val="lowerLetter"/>
      <w:start w:val="1"/>
    </w:lvl>
    <w:lvl w:ilvl="1">
      <w:lvlJc w:val="left"/>
      <w:lvlText w:val="(%2)"/>
      <w:numFmt w:val="lowerRoman"/>
      <w:start w:val="1"/>
    </w:lvl>
  </w:abstractNum>
  <w:abstractNum w:abstractNumId="6">
    <w:nsid w:val="3F6AB60F"/>
    <w:multiLevelType w:val="hybridMultilevel"/>
    <w:lvl w:ilvl="0">
      <w:lvlJc w:val="left"/>
      <w:lvlText w:val="(%1)"/>
      <w:numFmt w:val="decimal"/>
      <w:start w:val="4"/>
    </w:lvl>
  </w:abstractNum>
  <w:abstractNum w:abstractNumId="7">
    <w:nsid w:val="61574095"/>
    <w:multiLevelType w:val="hybridMultilevel"/>
    <w:lvl w:ilvl="0">
      <w:lvlJc w:val="left"/>
      <w:lvlText w:val="(%1)"/>
      <w:numFmt w:val="lowerLetter"/>
      <w:start w:val="1"/>
    </w:lvl>
  </w:abstractNum>
  <w:abstractNum w:abstractNumId="8">
    <w:nsid w:val="7E0C57B1"/>
    <w:multiLevelType w:val="hybridMultilevel"/>
    <w:lvl w:ilvl="0">
      <w:lvlJc w:val="left"/>
      <w:lvlText w:val="(%1)"/>
      <w:numFmt w:val="lowerLetter"/>
      <w:start w:val="2"/>
    </w:lvl>
  </w:abstractNum>
  <w:abstractNum w:abstractNumId="9">
    <w:nsid w:val="77AE35EB"/>
    <w:multiLevelType w:val="hybridMultilevel"/>
    <w:lvl w:ilvl="0">
      <w:lvlJc w:val="left"/>
      <w:lvlText w:val="(%1)"/>
      <w:numFmt w:val="lowerLetter"/>
      <w:start w:val="1"/>
    </w:lvl>
  </w:abstractNum>
  <w:abstractNum w:abstractNumId="10">
    <w:nsid w:val="579BE4F1"/>
    <w:multiLevelType w:val="hybridMultilevel"/>
    <w:lvl w:ilvl="0">
      <w:lvlJc w:val="left"/>
      <w:lvlText w:val="(%1)"/>
      <w:numFmt w:val="lowerLetter"/>
      <w:start w:val="1"/>
    </w:lvl>
  </w:abstractNum>
  <w:abstractNum w:abstractNumId="11">
    <w:nsid w:val="310C50B3"/>
    <w:multiLevelType w:val="hybridMultilevel"/>
    <w:lvl w:ilvl="0">
      <w:lvlJc w:val="left"/>
      <w:lvlText w:val="(%1)"/>
      <w:numFmt w:val="lowerRoman"/>
      <w:start w:val="1"/>
    </w:lvl>
  </w:abstractNum>
  <w:abstractNum w:abstractNumId="12">
    <w:nsid w:val="5FF87E05"/>
    <w:multiLevelType w:val="hybridMultilevel"/>
    <w:lvl w:ilvl="0">
      <w:lvlJc w:val="left"/>
      <w:lvlText w:val="(%1)"/>
      <w:numFmt w:val="lowerRoman"/>
      <w:start w:val="2"/>
    </w:lvl>
  </w:abstractNum>
  <w:abstractNum w:abstractNumId="13">
    <w:nsid w:val="2F305DEF"/>
    <w:multiLevelType w:val="hybridMultilevel"/>
    <w:lvl w:ilvl="0">
      <w:lvlJc w:val="left"/>
      <w:lvlText w:val="(%1)"/>
      <w:numFmt w:val="lowerLetter"/>
      <w:start w:val="2"/>
    </w:lvl>
  </w:abstractNum>
  <w:abstractNum w:abstractNumId="14">
    <w:nsid w:val="25A70BF7"/>
    <w:multiLevelType w:val="hybridMultilevel"/>
    <w:lvl w:ilvl="0">
      <w:lvlJc w:val="left"/>
      <w:lvlText w:val="(%1)"/>
      <w:numFmt w:val="lowerLetter"/>
      <w:start w:val="1"/>
    </w:lvl>
  </w:abstractNum>
  <w:abstractNum w:abstractNumId="15">
    <w:nsid w:val="1DBABF00"/>
    <w:multiLevelType w:val="hybridMultilevel"/>
    <w:lvl w:ilvl="0">
      <w:lvlJc w:val="left"/>
      <w:lvlText w:val="(%1)"/>
      <w:numFmt w:val="lowerLetter"/>
      <w:start w:val="2"/>
    </w:lvl>
  </w:abstractNum>
  <w:abstractNum w:abstractNumId="16">
    <w:nsid w:val="4AD084E9"/>
    <w:multiLevelType w:val="hybridMultilevel"/>
    <w:lvl w:ilvl="0">
      <w:lvlJc w:val="left"/>
      <w:lvlText w:val="(%1)"/>
      <w:numFmt w:val="lowerLetter"/>
      <w:start w:val="1"/>
    </w:lvl>
  </w:abstractNum>
  <w:abstractNum w:abstractNumId="17">
    <w:nsid w:val="1F48EAA1"/>
    <w:multiLevelType w:val="hybridMultilevel"/>
    <w:lvl w:ilvl="0">
      <w:lvlJc w:val="left"/>
      <w:lvlText w:val="(%1)"/>
      <w:numFmt w:val="lowerLetter"/>
      <w:start w:val="3"/>
    </w:lvl>
  </w:abstractNum>
  <w:abstractNum w:abstractNumId="18">
    <w:nsid w:val="1381823A"/>
    <w:multiLevelType w:val="hybridMultilevel"/>
    <w:lvl w:ilvl="0">
      <w:lvlJc w:val="left"/>
      <w:lvlText w:val="(%1)"/>
      <w:numFmt w:val="lowerLetter"/>
      <w:start w:val="12"/>
    </w:lvl>
  </w:abstractNum>
  <w:abstractNum w:abstractNumId="19">
    <w:nsid w:val="5DB70AE5"/>
    <w:multiLevelType w:val="hybridMultilevel"/>
    <w:lvl w:ilvl="0">
      <w:lvlJc w:val="left"/>
      <w:lvlText w:val="1"/>
      <w:numFmt w:val="bullet"/>
      <w:start w:val="1"/>
    </w:lvl>
  </w:abstractNum>
  <w:abstractNum w:abstractNumId="20">
    <w:nsid w:val="100F8FCA"/>
    <w:multiLevelType w:val="hybridMultilevel"/>
    <w:lvl w:ilvl="0">
      <w:lvlJc w:val="left"/>
      <w:lvlText w:val="2"/>
      <w:numFmt w:val="bullet"/>
      <w:start w:val="1"/>
    </w:lvl>
  </w:abstractNum>
  <w:abstractNum w:abstractNumId="21">
    <w:nsid w:val="6590700B"/>
    <w:multiLevelType w:val="hybridMultilevel"/>
    <w:lvl w:ilvl="0">
      <w:lvlJc w:val="left"/>
      <w:lvlText w:val="4"/>
      <w:numFmt w:val="bullet"/>
      <w:start w:val="1"/>
    </w:lvl>
  </w:abstractNum>
  <w:abstractNum w:abstractNumId="22">
    <w:nsid w:val="15014ACB"/>
    <w:multiLevelType w:val="hybridMultilevel"/>
    <w:lvl w:ilvl="0">
      <w:lvlJc w:val="left"/>
      <w:lvlText w:val="(%1)"/>
      <w:numFmt w:val="lowerLetter"/>
      <w:start w:val="1"/>
    </w:lvl>
  </w:abstractNum>
  <w:abstractNum w:abstractNumId="23">
    <w:nsid w:val="5F5E7FD0"/>
    <w:multiLevelType w:val="hybridMultilevel"/>
    <w:lvl w:ilvl="0">
      <w:lvlJc w:val="left"/>
      <w:lvlText w:val="(%1)"/>
      <w:numFmt w:val="lowerLetter"/>
      <w:start w:val="1"/>
    </w:lvl>
  </w:abstractNum>
  <w:abstractNum w:abstractNumId="24">
    <w:nsid w:val="98A3148"/>
    <w:multiLevelType w:val="hybridMultilevel"/>
    <w:lvl w:ilvl="0">
      <w:lvlJc w:val="left"/>
      <w:lvlText w:val="(%1)"/>
      <w:numFmt w:val="lowerLetter"/>
      <w:start w:val="7"/>
    </w:lvl>
  </w:abstractNum>
  <w:abstractNum w:abstractNumId="25">
    <w:nsid w:val="799D0247"/>
    <w:multiLevelType w:val="hybridMultilevel"/>
    <w:lvl w:ilvl="0">
      <w:lvlJc w:val="left"/>
      <w:lvlText w:val="(%1)"/>
      <w:numFmt w:val="lowerLetter"/>
      <w:start w:val="1"/>
    </w:lvl>
  </w:abstractNum>
  <w:abstractNum w:abstractNumId="26">
    <w:nsid w:val="6B94764"/>
    <w:multiLevelType w:val="hybridMultilevel"/>
    <w:lvl w:ilvl="0">
      <w:lvlJc w:val="left"/>
      <w:lvlText w:val="(%1)"/>
      <w:numFmt w:val="lowerLetter"/>
      <w:start w:val="3"/>
    </w:lvl>
  </w:abstractNum>
  <w:abstractNum w:abstractNumId="27">
    <w:nsid w:val="42C296BD"/>
    <w:multiLevelType w:val="hybridMultilevel"/>
    <w:lvl w:ilvl="0">
      <w:lvlJc w:val="left"/>
      <w:lvlText w:val="(%1)"/>
      <w:numFmt w:val="lowerLetter"/>
      <w:start w:val="1"/>
    </w:lvl>
  </w:abstractNum>
  <w:abstractNum w:abstractNumId="28">
    <w:nsid w:val="168E121F"/>
    <w:multiLevelType w:val="hybridMultilevel"/>
    <w:lvl w:ilvl="0">
      <w:lvlJc w:val="left"/>
      <w:lvlText w:val="%1"/>
      <w:numFmt w:val="upperLetter"/>
      <w:start w:val="1"/>
    </w:lvl>
    <w:lvl w:ilvl="1">
      <w:lvlJc w:val="left"/>
      <w:lvlText w:val="(%2)"/>
      <w:numFmt w:val="lowerLetter"/>
      <w:start w:val="4"/>
    </w:lvl>
  </w:abstractNum>
  <w:abstractNum w:abstractNumId="29">
    <w:nsid w:val="1EBA5D23"/>
    <w:multiLevelType w:val="hybridMultilevel"/>
    <w:lvl w:ilvl="0">
      <w:lvlJc w:val="left"/>
      <w:lvlText w:val="(%1)"/>
      <w:numFmt w:val="upperLetter"/>
      <w:start w:val="2"/>
    </w:lvl>
    <w:lvl w:ilvl="1">
      <w:lvlJc w:val="left"/>
      <w:lvlText w:val="%2"/>
      <w:numFmt w:val="lowerLetter"/>
      <w:start w:val="1"/>
    </w:lvl>
  </w:abstractNum>
  <w:abstractNum w:abstractNumId="30">
    <w:nsid w:val="661E3F1E"/>
    <w:multiLevelType w:val="hybridMultilevel"/>
    <w:lvl w:ilvl="0">
      <w:lvlJc w:val="left"/>
      <w:lvlText w:val="(%1)"/>
      <w:numFmt w:val="lowerLetter"/>
      <w:start w:val="1"/>
    </w:lvl>
  </w:abstractNum>
  <w:abstractNum w:abstractNumId="31">
    <w:nsid w:val="5DC79EA8"/>
    <w:multiLevelType w:val="hybridMultilevel"/>
    <w:lvl w:ilvl="0">
      <w:lvlJc w:val="left"/>
      <w:lvlText w:val="(%1)"/>
      <w:numFmt w:val="lowerLetter"/>
      <w:start w:val="1"/>
    </w:lvl>
  </w:abstractNum>
  <w:abstractNum w:abstractNumId="32">
    <w:nsid w:val="540A471C"/>
    <w:multiLevelType w:val="hybridMultilevel"/>
    <w:lvl w:ilvl="0">
      <w:lvlJc w:val="left"/>
      <w:lvlText w:val="(%1)"/>
      <w:numFmt w:val="upperLetter"/>
      <w:start w:val="2"/>
    </w:lvl>
    <w:lvl w:ilvl="1">
      <w:lvlJc w:val="left"/>
      <w:lvlText w:val="(%2)"/>
      <w:numFmt w:val="lowerLetter"/>
      <w:start w:val="2"/>
    </w:lvl>
  </w:abstractNum>
  <w:abstractNum w:abstractNumId="33">
    <w:nsid w:val="7BD3EE7B"/>
    <w:multiLevelType w:val="hybridMultilevel"/>
    <w:lvl w:ilvl="0">
      <w:lvlJc w:val="left"/>
      <w:lvlText w:val="(%1)"/>
      <w:numFmt w:val="lowerLetter"/>
      <w:start w:val="4"/>
    </w:lvl>
  </w:abstractNum>
  <w:abstractNum w:abstractNumId="34">
    <w:nsid w:val="51D9C564"/>
    <w:multiLevelType w:val="hybridMultilevel"/>
    <w:lvl w:ilvl="0">
      <w:lvlJc w:val="left"/>
      <w:lvlText w:val="(%1)"/>
      <w:numFmt w:val="lowerLetter"/>
      <w:start w:val="5"/>
    </w:lvl>
    <w:lvl w:ilvl="1">
      <w:lvlJc w:val="left"/>
      <w:lvlText w:val="(%2)"/>
      <w:numFmt w:val="lowerRoman"/>
      <w:start w:val="2"/>
    </w:lvl>
  </w:abstractNum>
  <w:abstractNum w:abstractNumId="35">
    <w:nsid w:val="613EFDC5"/>
    <w:multiLevelType w:val="hybridMultilevel"/>
    <w:lvl w:ilvl="0">
      <w:lvlJc w:val="left"/>
      <w:lvlText w:val="(%1)"/>
      <w:numFmt w:val="lowerLetter"/>
      <w:start w:val="8"/>
    </w:lvl>
  </w:abstractNum>
  <w:abstractNum w:abstractNumId="36">
    <w:nsid w:val="BF72B14"/>
    <w:multiLevelType w:val="hybridMultilevel"/>
    <w:lvl w:ilvl="0">
      <w:lvlJc w:val="left"/>
      <w:lvlText w:val="(%1)"/>
      <w:numFmt w:val="lowerLetter"/>
      <w:start w:val="1"/>
    </w:lvl>
  </w:abstractNum>
  <w:abstractNum w:abstractNumId="37">
    <w:nsid w:val="11447B73"/>
    <w:multiLevelType w:val="hybridMultilevel"/>
    <w:lvl w:ilvl="0">
      <w:lvlJc w:val="left"/>
      <w:lvlText w:val="(%1)"/>
      <w:numFmt w:val="lowerLetter"/>
      <w:start w:val="2"/>
    </w:lvl>
  </w:abstractNum>
  <w:abstractNum w:abstractNumId="38">
    <w:nsid w:val="42963E5A"/>
    <w:multiLevelType w:val="hybridMultilevel"/>
    <w:lvl w:ilvl="0">
      <w:lvlJc w:val="left"/>
      <w:lvlText w:val="(%1)"/>
      <w:numFmt w:val="lowerRoman"/>
      <w:start w:val="3"/>
    </w:lvl>
  </w:abstractNum>
  <w:abstractNum w:abstractNumId="39">
    <w:nsid w:val="A0382C5"/>
    <w:multiLevelType w:val="hybridMultilevel"/>
    <w:lvl w:ilvl="0">
      <w:lvlJc w:val="left"/>
      <w:lvlText w:val="(%1)"/>
      <w:numFmt w:val="lowerLetter"/>
      <w:start w:val="2"/>
    </w:lvl>
  </w:abstractNum>
  <w:abstractNum w:abstractNumId="40">
    <w:nsid w:val="8F2B15E"/>
    <w:multiLevelType w:val="hybridMultilevel"/>
    <w:lvl w:ilvl="0">
      <w:lvlJc w:val="left"/>
      <w:lvlText w:val="%1"/>
      <w:numFmt w:val="lowerLetter"/>
      <w:start w:val="1"/>
    </w:lvl>
    <w:lvl w:ilvl="1">
      <w:lvlJc w:val="left"/>
      <w:lvlText w:val="(%2)"/>
      <w:numFmt w:val="lowerLetter"/>
      <w:start w:val="1"/>
    </w:lvl>
  </w:abstractNum>
  <w:abstractNum w:abstractNumId="41">
    <w:nsid w:val="1A32234B"/>
    <w:multiLevelType w:val="hybridMultilevel"/>
    <w:lvl w:ilvl="0">
      <w:lvlJc w:val="left"/>
      <w:lvlText w:val="(%1)"/>
      <w:numFmt w:val="lowerLetter"/>
      <w:start w:val="25"/>
    </w:lvl>
    <w:lvl w:ilvl="1">
      <w:lvlJc w:val="left"/>
      <w:lvlText w:val="%2"/>
      <w:numFmt w:val="lowerLetter"/>
      <w:start w:val="1"/>
    </w:lvl>
  </w:abstractNum>
  <w:abstractNum w:abstractNumId="42">
    <w:nsid w:val="3B0FD379"/>
    <w:multiLevelType w:val="hybridMultilevel"/>
    <w:lvl w:ilvl="0">
      <w:lvlJc w:val="left"/>
      <w:lvlText w:val="%1"/>
      <w:numFmt w:val="lowerLetter"/>
      <w:start w:val="1"/>
    </w:lvl>
    <w:lvl w:ilvl="1">
      <w:lvlJc w:val="left"/>
      <w:lvlText w:val="(%2)"/>
      <w:numFmt w:val="lowerLetter"/>
      <w:start w:val="1"/>
    </w:lvl>
  </w:abstractNum>
  <w:abstractNum w:abstractNumId="43">
    <w:nsid w:val="68EB2F63"/>
    <w:multiLevelType w:val="hybridMultilevel"/>
    <w:lvl w:ilvl="0">
      <w:lvlJc w:val="left"/>
      <w:lvlText w:val="(%1)"/>
      <w:numFmt w:val="lowerLetter"/>
      <w:start w:val="24"/>
    </w:lvl>
    <w:lvl w:ilvl="1">
      <w:lvlJc w:val="left"/>
      <w:lvlText w:val="%2"/>
      <w:numFmt w:val="lowerLetter"/>
      <w:start w:val="1"/>
    </w:lvl>
  </w:abstractNum>
  <w:abstractNum w:abstractNumId="44">
    <w:nsid w:val="4962813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45">
    <w:nsid w:val="60B6DF70"/>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46">
    <w:nsid w:val="6A5EE64"/>
    <w:multiLevelType w:val="hybridMultilevel"/>
    <w:lvl w:ilvl="0">
      <w:lvlJc w:val="left"/>
      <w:lvlText w:val="(%1)"/>
      <w:numFmt w:val="lowerLetter"/>
      <w:start w:val="1"/>
    </w:lvl>
  </w:abstractNum>
  <w:abstractNum w:abstractNumId="47">
    <w:nsid w:val="14330624"/>
    <w:multiLevelType w:val="hybridMultilevel"/>
    <w:lvl w:ilvl="0">
      <w:lvlJc w:val="left"/>
      <w:lvlText w:val="(%1)"/>
      <w:numFmt w:val="lowerLetter"/>
      <w:start w:val="3"/>
    </w:lvl>
  </w:abstractNum>
  <w:abstractNum w:abstractNumId="48">
    <w:nsid w:val="7FFFCA11"/>
    <w:multiLevelType w:val="hybridMultilevel"/>
    <w:lvl w:ilvl="0">
      <w:lvlJc w:val="left"/>
      <w:lvlText w:val="(%1)"/>
      <w:numFmt w:val="lowerLetter"/>
      <w:start w:val="4"/>
    </w:lvl>
  </w:abstractNum>
  <w:abstractNum w:abstractNumId="49">
    <w:nsid w:val="1A27709E"/>
    <w:multiLevelType w:val="hybridMultilevel"/>
    <w:lvl w:ilvl="0">
      <w:lvlJc w:val="left"/>
      <w:lvlText w:val="(%1)"/>
      <w:numFmt w:val="lowerLetter"/>
      <w:start w:val="2"/>
    </w:lvl>
  </w:abstractNum>
  <w:abstractNum w:abstractNumId="50">
    <w:nsid w:val="71EA1109"/>
    <w:multiLevelType w:val="hybridMultilevel"/>
    <w:lvl w:ilvl="0">
      <w:lvlJc w:val="left"/>
      <w:lvlText w:val="(%1)"/>
      <w:numFmt w:val="lowerLetter"/>
      <w:start w:val="3"/>
    </w:lvl>
  </w:abstractNum>
  <w:abstractNum w:abstractNumId="51">
    <w:nsid w:val="100F59DC"/>
    <w:multiLevelType w:val="hybridMultilevel"/>
    <w:lvl w:ilvl="0">
      <w:lvlJc w:val="left"/>
      <w:lvlText w:val="(%1)"/>
      <w:numFmt w:val="lowerLetter"/>
      <w:start w:val="2"/>
    </w:lvl>
  </w:abstractNum>
  <w:abstractNum w:abstractNumId="52">
    <w:nsid w:val="7FB7E0AA"/>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53">
    <w:nsid w:val="6EB5BD4"/>
    <w:multiLevelType w:val="hybridMultilevel"/>
    <w:lvl w:ilvl="0">
      <w:lvlJc w:val="left"/>
      <w:lvlText w:val="%1."/>
      <w:numFmt w:val="lowerLetter"/>
      <w:start w:val="2"/>
    </w:lvl>
  </w:abstractNum>
  <w:abstractNum w:abstractNumId="54">
    <w:nsid w:val="6F6DD9AC"/>
    <w:multiLevelType w:val="hybridMultilevel"/>
    <w:lvl w:ilvl="0">
      <w:lvlJc w:val="left"/>
      <w:lvlText w:val="(%1)"/>
      <w:numFmt w:val="lowerRoman"/>
      <w:start w:val="3"/>
    </w:lvl>
  </w:abstractNum>
  <w:abstractNum w:abstractNumId="55">
    <w:nsid w:val="94211F2"/>
    <w:multiLevelType w:val="hybridMultilevel"/>
    <w:lvl w:ilvl="0">
      <w:lvlJc w:val="left"/>
      <w:lvlText w:val="(%1)"/>
      <w:numFmt w:val="lowerLetter"/>
      <w:start w:val="3"/>
    </w:lvl>
  </w:abstractNum>
  <w:abstractNum w:abstractNumId="56">
    <w:nsid w:val="885E1B"/>
    <w:multiLevelType w:val="hybridMultilevel"/>
    <w:lvl w:ilvl="0">
      <w:lvlJc w:val="left"/>
      <w:lvlText w:val="%1"/>
      <w:numFmt w:val="decimal"/>
      <w:start w:val="1"/>
    </w:lvl>
    <w:lvl w:ilvl="1">
      <w:lvlJc w:val="left"/>
      <w:lvlText w:val="(%2)"/>
      <w:numFmt w:val="lowerLetter"/>
      <w:start w:val="1"/>
    </w:lvl>
  </w:abstractNum>
  <w:abstractNum w:abstractNumId="57">
    <w:nsid w:val="76272110"/>
    <w:multiLevelType w:val="hybridMultilevel"/>
    <w:lvl w:ilvl="0">
      <w:lvlJc w:val="left"/>
      <w:lvlText w:val="(%1)"/>
      <w:numFmt w:val="decimal"/>
      <w:start w:val="1"/>
    </w:lvl>
    <w:lvl w:ilvl="1">
      <w:lvlJc w:val="left"/>
      <w:lvlText w:val="%2"/>
      <w:numFmt w:val="lowerLetter"/>
      <w:start w:val="1"/>
    </w:lvl>
  </w:abstractNum>
  <w:abstractNum w:abstractNumId="58">
    <w:nsid w:val="4C04A8AF"/>
    <w:multiLevelType w:val="hybridMultilevel"/>
    <w:lvl w:ilvl="0">
      <w:lvlJc w:val="left"/>
      <w:lvlText w:val="(%1)"/>
      <w:numFmt w:val="lowerLetter"/>
      <w:start w:val="1"/>
    </w:lvl>
    <w:lvl w:ilvl="1">
      <w:lvlJc w:val="left"/>
      <w:lvlText w:val="(%2)"/>
      <w:numFmt w:val="lowerRoman"/>
      <w:start w:val="1"/>
    </w:lvl>
  </w:abstractNum>
  <w:abstractNum w:abstractNumId="59">
    <w:nsid w:val="1716703B"/>
    <w:multiLevelType w:val="hybridMultilevel"/>
    <w:lvl w:ilvl="0">
      <w:lvlJc w:val="left"/>
      <w:lvlText w:val="(%1)"/>
      <w:numFmt w:val="lowerLetter"/>
      <w:start w:val="2"/>
    </w:lvl>
  </w:abstractNum>
  <w:abstractNum w:abstractNumId="60">
    <w:nsid w:val="14E17E33"/>
    <w:multiLevelType w:val="hybridMultilevel"/>
    <w:lvl w:ilvl="0">
      <w:lvlJc w:val="left"/>
      <w:lvlText w:val="(%1)"/>
      <w:numFmt w:val="lowerLetter"/>
      <w:start w:val="1"/>
    </w:lvl>
  </w:abstractNum>
  <w:abstractNum w:abstractNumId="61">
    <w:nsid w:val="3222E7CD"/>
    <w:multiLevelType w:val="hybridMultilevel"/>
    <w:lvl w:ilvl="0">
      <w:lvlJc w:val="left"/>
      <w:lvlText w:val="(%1)"/>
      <w:numFmt w:val="lowerLetter"/>
      <w:start w:val="1"/>
    </w:lvl>
  </w:abstractNum>
  <w:abstractNum w:abstractNumId="62">
    <w:nsid w:val="74DE0EE3"/>
    <w:multiLevelType w:val="hybridMultilevel"/>
    <w:lvl w:ilvl="0">
      <w:lvlJc w:val="left"/>
      <w:lvlText w:val="(%1)"/>
      <w:numFmt w:val="lowerLetter"/>
      <w:start w:val="1"/>
    </w:lvl>
  </w:abstractNum>
  <w:abstractNum w:abstractNumId="63">
    <w:nsid w:val="68EBC550"/>
    <w:multiLevelType w:val="hybridMultilevel"/>
    <w:lvl w:ilvl="0">
      <w:lvlJc w:val="left"/>
      <w:lvlText w:val="(%1)"/>
      <w:numFmt w:val="lowerLetter"/>
      <w:start w:val="2"/>
    </w:lvl>
  </w:abstractNum>
  <w:abstractNum w:abstractNumId="64">
    <w:nsid w:val="2DF6D648"/>
    <w:multiLevelType w:val="hybridMultilevel"/>
    <w:lvl w:ilvl="0">
      <w:lvlJc w:val="left"/>
      <w:lvlText w:val="(%1)"/>
      <w:numFmt w:val="lowerRoman"/>
      <w:start w:val="1"/>
    </w:lvl>
  </w:abstractNum>
  <w:abstractNum w:abstractNumId="65">
    <w:nsid w:val="46B7D447"/>
    <w:multiLevelType w:val="hybridMultilevel"/>
    <w:lvl w:ilvl="0">
      <w:lvlJc w:val="left"/>
      <w:lvlText w:val="(%1)"/>
      <w:numFmt w:val="lowerLetter"/>
      <w:start w:val="3"/>
    </w:lvl>
  </w:abstractNum>
  <w:abstractNum w:abstractNumId="66">
    <w:nsid w:val="4A2AC315"/>
    <w:multiLevelType w:val="hybridMultilevel"/>
    <w:lvl w:ilvl="0">
      <w:lvlJc w:val="left"/>
      <w:lvlText w:val="(%1)"/>
      <w:numFmt w:val="lowerLetter"/>
      <w:start w:val="61"/>
    </w:lvl>
  </w:abstractNum>
  <w:abstractNum w:abstractNumId="67">
    <w:nsid w:val="39EE015C"/>
    <w:multiLevelType w:val="hybridMultilevel"/>
    <w:lvl w:ilvl="0">
      <w:lvlJc w:val="left"/>
      <w:lvlText w:val="(%1)"/>
      <w:numFmt w:val="lowerLetter"/>
      <w:start w:val="1"/>
    </w:lvl>
  </w:abstractNum>
  <w:abstractNum w:abstractNumId="68">
    <w:nsid w:val="57FC4FBB"/>
    <w:multiLevelType w:val="hybridMultilevel"/>
    <w:lvl w:ilvl="0">
      <w:lvlJc w:val="left"/>
      <w:lvlText w:val="(%1)"/>
      <w:numFmt w:val="lowerLetter"/>
      <w:start w:val="1"/>
    </w:lvl>
  </w:abstractNum>
  <w:abstractNum w:abstractNumId="69">
    <w:nsid w:val="CC1016F"/>
    <w:multiLevelType w:val="hybridMultilevel"/>
    <w:lvl w:ilvl="0">
      <w:lvlJc w:val="left"/>
      <w:lvlText w:val="(%1)"/>
      <w:numFmt w:val="lowerLetter"/>
      <w:start w:val="3"/>
    </w:lvl>
  </w:abstractNum>
  <w:abstractNum w:abstractNumId="70">
    <w:nsid w:val="43F18422"/>
    <w:multiLevelType w:val="hybridMultilevel"/>
    <w:lvl w:ilvl="0">
      <w:lvlJc w:val="left"/>
      <w:lvlText w:val="(%1)"/>
      <w:numFmt w:val="lowerRoman"/>
      <w:start w:val="3"/>
    </w:lvl>
  </w:abstractNum>
  <w:abstractNum w:abstractNumId="71">
    <w:nsid w:val="60EF0119"/>
    <w:multiLevelType w:val="hybridMultilevel"/>
    <w:lvl w:ilvl="0">
      <w:lvlJc w:val="left"/>
      <w:lvlText w:val="%1"/>
      <w:numFmt w:val="lowerRoman"/>
      <w:start w:val="1"/>
    </w:lvl>
    <w:lvl w:ilvl="1">
      <w:lvlJc w:val="left"/>
      <w:lvlText w:val="(%2)"/>
      <w:numFmt w:val="lowerRoman"/>
      <w:start w:val="1"/>
    </w:lvl>
  </w:abstractNum>
  <w:abstractNum w:abstractNumId="72">
    <w:nsid w:val="26F324BA"/>
    <w:multiLevelType w:val="hybridMultilevel"/>
    <w:lvl w:ilvl="0">
      <w:lvlJc w:val="left"/>
      <w:lvlText w:val="(%1)"/>
      <w:numFmt w:val="lowerRoman"/>
      <w:start w:val="5"/>
    </w:lvl>
    <w:lvl w:ilvl="1">
      <w:lvlJc w:val="left"/>
      <w:lvlText w:val="%2"/>
      <w:numFmt w:val="lowerRoman"/>
      <w:start w:val="1"/>
    </w:lvl>
  </w:abstractNum>
  <w:abstractNum w:abstractNumId="73">
    <w:nsid w:val="7F01579B"/>
    <w:multiLevelType w:val="hybridMultilevel"/>
    <w:lvl w:ilvl="0">
      <w:lvlJc w:val="left"/>
      <w:lvlText w:val="(%1)"/>
      <w:numFmt w:val="lowerLetter"/>
      <w:start w:val="1"/>
    </w:lvl>
  </w:abstractNum>
  <w:abstractNum w:abstractNumId="74">
    <w:nsid w:val="49DA307D"/>
    <w:multiLevelType w:val="hybridMultilevel"/>
    <w:lvl w:ilvl="0">
      <w:lvlJc w:val="left"/>
      <w:lvlText w:val="(%1)"/>
      <w:numFmt w:val="lowerLetter"/>
      <w:start w:val="1"/>
    </w:lvl>
  </w:abstractNum>
  <w:abstractNum w:abstractNumId="75">
    <w:nsid w:val="7055A5F5"/>
    <w:multiLevelType w:val="hybridMultilevel"/>
    <w:lvl w:ilvl="0">
      <w:lvlJc w:val="left"/>
      <w:lvlText w:val="(%1)"/>
      <w:numFmt w:val="lowerLetter"/>
      <w:start w:val="2"/>
    </w:lvl>
  </w:abstractNum>
  <w:abstractNum w:abstractNumId="76">
    <w:nsid w:val="5FB8370B"/>
    <w:multiLevelType w:val="hybridMultilevel"/>
    <w:lvl w:ilvl="0">
      <w:lvlJc w:val="left"/>
      <w:lvlText w:val="(%1)"/>
      <w:numFmt w:val="lowerLetter"/>
      <w:start w:val="1"/>
    </w:lvl>
  </w:abstractNum>
  <w:abstractNum w:abstractNumId="77">
    <w:nsid w:val="50801EE1"/>
    <w:multiLevelType w:val="hybridMultilevel"/>
    <w:lvl w:ilvl="0">
      <w:lvlJc w:val="left"/>
      <w:lvlText w:val="%1"/>
      <w:numFmt w:val="lowerLetter"/>
      <w:start w:val="1"/>
    </w:lvl>
    <w:lvl w:ilvl="1">
      <w:lvlJc w:val="left"/>
      <w:lvlText w:val="(%2)"/>
      <w:numFmt w:val="lowerLetter"/>
      <w:start w:val="1"/>
    </w:lvl>
  </w:abstractNum>
  <w:abstractNum w:abstractNumId="78">
    <w:nsid w:val="488AC1A"/>
    <w:multiLevelType w:val="hybridMultilevel"/>
    <w:lvl w:ilvl="0">
      <w:lvlJc w:val="left"/>
      <w:lvlText w:val="(%1)"/>
      <w:numFmt w:val="lowerLetter"/>
      <w:start w:val="1"/>
    </w:lvl>
    <w:lvl w:ilvl="1">
      <w:lvlJc w:val="left"/>
      <w:lvlText w:val="(%2)"/>
      <w:numFmt w:val="lowerLetter"/>
      <w:start w:val="3"/>
    </w:lvl>
  </w:abstractNum>
  <w:abstractNum w:abstractNumId="79">
    <w:nsid w:val="5FB8011C"/>
    <w:multiLevelType w:val="hybridMultilevel"/>
    <w:lvl w:ilvl="0">
      <w:lvlJc w:val="left"/>
      <w:lvlText w:val="(%1)"/>
      <w:numFmt w:val="lowerLetter"/>
      <w:start w:val="8"/>
    </w:lvl>
  </w:abstractNum>
  <w:abstractNum w:abstractNumId="80">
    <w:nsid w:val="6AA78F7F"/>
    <w:multiLevelType w:val="hybridMultilevel"/>
    <w:lvl w:ilvl="0">
      <w:lvlJc w:val="left"/>
      <w:lvlText w:val="(%1)"/>
      <w:numFmt w:val="lowerLetter"/>
      <w:start w:val="9"/>
    </w:lvl>
  </w:abstractNum>
  <w:abstractNum w:abstractNumId="81">
    <w:nsid w:val="7672BD23"/>
    <w:multiLevelType w:val="hybridMultilevel"/>
    <w:lvl w:ilvl="0">
      <w:lvlJc w:val="left"/>
      <w:lvlText w:val="(%1)"/>
      <w:numFmt w:val="lowerRoman"/>
      <w:start w:val="2"/>
    </w:lvl>
  </w:abstractNum>
  <w:abstractNum w:abstractNumId="82">
    <w:nsid w:val="6FC75AF8"/>
    <w:multiLevelType w:val="hybridMultilevel"/>
    <w:lvl w:ilvl="0">
      <w:lvlJc w:val="left"/>
      <w:lvlText w:val="(%1)"/>
      <w:numFmt w:val="lowerRoman"/>
      <w:start w:val="6"/>
    </w:lvl>
  </w:abstractNum>
  <w:abstractNum w:abstractNumId="83">
    <w:nsid w:val="6A5F7029"/>
    <w:multiLevelType w:val="hybridMultilevel"/>
    <w:lvl w:ilvl="0">
      <w:lvlJc w:val="left"/>
      <w:lvlText w:val="(%1)"/>
      <w:numFmt w:val="lowerLetter"/>
      <w:start w:val="2"/>
    </w:lvl>
  </w:abstractNum>
  <w:abstractNum w:abstractNumId="84">
    <w:nsid w:val="7D5E18F8"/>
    <w:multiLevelType w:val="hybridMultilevel"/>
    <w:lvl w:ilvl="0">
      <w:lvlJc w:val="left"/>
      <w:lvlText w:val="%1"/>
      <w:numFmt w:val="lowerLetter"/>
      <w:start w:val="1"/>
    </w:lvl>
    <w:lvl w:ilvl="1">
      <w:lvlJc w:val="left"/>
      <w:lvlText w:val="(%2)"/>
      <w:numFmt w:val="lowerLetter"/>
      <w:start w:val="1"/>
    </w:lvl>
  </w:abstractNum>
  <w:abstractNum w:abstractNumId="85">
    <w:nsid w:val="5F3534A4"/>
    <w:multiLevelType w:val="hybridMultilevel"/>
    <w:lvl w:ilvl="0">
      <w:lvlJc w:val="left"/>
      <w:lvlText w:val="(%1)"/>
      <w:numFmt w:val="lowerLetter"/>
      <w:start w:val="7"/>
    </w:lvl>
    <w:lvl w:ilvl="1">
      <w:lvlJc w:val="left"/>
      <w:lvlText w:val="(%2)"/>
      <w:numFmt w:val="lowerLetter"/>
      <w:start w:val="4"/>
    </w:lvl>
  </w:abstractNum>
  <w:abstractNum w:abstractNumId="86">
    <w:nsid w:val="73A1821B"/>
    <w:multiLevelType w:val="hybridMultilevel"/>
    <w:lvl w:ilvl="0">
      <w:lvlJc w:val="left"/>
      <w:lvlText w:val="(%1)"/>
      <w:numFmt w:val="lowerLetter"/>
      <w:start w:val="1"/>
    </w:lvl>
  </w:abstractNum>
  <w:abstractNum w:abstractNumId="87">
    <w:nsid w:val="7DE67713"/>
    <w:multiLevelType w:val="hybridMultilevel"/>
    <w:lvl w:ilvl="0">
      <w:lvlJc w:val="left"/>
      <w:lvlText w:val="(%1)"/>
      <w:numFmt w:val="lowerLetter"/>
      <w:start w:val="1"/>
    </w:lvl>
    <w:lvl w:ilvl="1">
      <w:lvlJc w:val="left"/>
      <w:lvlText w:val="(%2)"/>
      <w:numFmt w:val="lowerLetter"/>
      <w:start w:val="9"/>
    </w:lvl>
  </w:abstractNum>
  <w:abstractNum w:abstractNumId="88">
    <w:nsid w:val="555C55B5"/>
    <w:multiLevelType w:val="hybridMultilevel"/>
    <w:lvl w:ilvl="0">
      <w:lvlJc w:val="left"/>
      <w:lvlText w:val="(%1)"/>
      <w:numFmt w:val="lowerRoman"/>
      <w:start w:val="2"/>
    </w:lvl>
  </w:abstractNum>
  <w:abstractNum w:abstractNumId="89">
    <w:nsid w:val="3FA62ACA"/>
    <w:multiLevelType w:val="hybridMultilevel"/>
    <w:lvl w:ilvl="0">
      <w:lvlJc w:val="left"/>
      <w:lvlText w:val="(%1)"/>
      <w:numFmt w:val="lowerLetter"/>
      <w:start w:val="2"/>
    </w:lvl>
  </w:abstractNum>
  <w:abstractNum w:abstractNumId="90">
    <w:nsid w:val="14FCE74E"/>
    <w:multiLevelType w:val="hybridMultilevel"/>
    <w:lvl w:ilvl="0">
      <w:lvlJc w:val="left"/>
      <w:lvlText w:val="(%1)"/>
      <w:numFmt w:val="lowerLetter"/>
      <w:start w:val="35"/>
    </w:lvl>
    <w:lvl w:ilvl="1">
      <w:lvlJc w:val="left"/>
      <w:lvlText w:val="(%2)"/>
      <w:numFmt w:val="lowerLetter"/>
      <w:start w:val="3"/>
    </w:lvl>
  </w:abstractNum>
  <w:abstractNum w:abstractNumId="91">
    <w:nsid w:val="6A3DD3E8"/>
    <w:multiLevelType w:val="hybridMultilevel"/>
    <w:lvl w:ilvl="0">
      <w:lvlJc w:val="left"/>
      <w:lvlText w:val="(%1)"/>
      <w:numFmt w:val="lowerLetter"/>
      <w:start w:val="5"/>
    </w:lvl>
  </w:abstractNum>
  <w:abstractNum w:abstractNumId="92">
    <w:nsid w:val="71C91298"/>
    <w:multiLevelType w:val="hybridMultilevel"/>
    <w:lvl w:ilvl="0">
      <w:lvlJc w:val="left"/>
      <w:lvlText w:val="(%1)"/>
      <w:numFmt w:val="lowerLetter"/>
      <w:start w:val="1"/>
    </w:lvl>
  </w:abstractNum>
  <w:abstractNum w:abstractNumId="93">
    <w:nsid w:val="9DAF632"/>
    <w:multiLevelType w:val="hybridMultilevel"/>
    <w:lvl w:ilvl="0">
      <w:lvlJc w:val="left"/>
      <w:lvlText w:val="(%1)"/>
      <w:numFmt w:val="lowerLetter"/>
      <w:start w:val="1"/>
    </w:lvl>
  </w:abstractNum>
  <w:abstractNum w:abstractNumId="94">
    <w:nsid w:val="53299938"/>
    <w:multiLevelType w:val="hybridMultilevel"/>
    <w:lvl w:ilvl="0">
      <w:lvlJc w:val="left"/>
      <w:lvlText w:val="(%1)"/>
      <w:numFmt w:val="lowerLetter"/>
      <w:start w:val="2"/>
    </w:lvl>
  </w:abstractNum>
  <w:abstractNum w:abstractNumId="95">
    <w:nsid w:val="1FBFE8E0"/>
    <w:multiLevelType w:val="hybridMultilevel"/>
    <w:lvl w:ilvl="0">
      <w:lvlJc w:val="left"/>
      <w:lvlText w:val="(%1)"/>
      <w:numFmt w:val="lowerLetter"/>
      <w:start w:val="6"/>
    </w:lvl>
  </w:abstractNum>
  <w:abstractNum w:abstractNumId="96">
    <w:nsid w:val="5092CA79"/>
    <w:multiLevelType w:val="hybridMultilevel"/>
    <w:lvl w:ilvl="0">
      <w:lvlJc w:val="left"/>
      <w:lvlText w:val="(%1)"/>
      <w:numFmt w:val="lowerLetter"/>
      <w:start w:val="1"/>
    </w:lvl>
  </w:abstractNum>
  <w:abstractNum w:abstractNumId="97">
    <w:nsid w:val="1D545C4D"/>
    <w:multiLevelType w:val="hybridMultilevel"/>
    <w:lvl w:ilvl="0">
      <w:lvlJc w:val="left"/>
      <w:lvlText w:val="(%1)"/>
      <w:numFmt w:val="lowerLetter"/>
      <w:start w:val="2"/>
    </w:lvl>
  </w:abstractNum>
  <w:abstractNum w:abstractNumId="98">
    <w:nsid w:val="59ADEA3D"/>
    <w:multiLevelType w:val="hybridMultilevel"/>
    <w:lvl w:ilvl="0">
      <w:lvlJc w:val="left"/>
      <w:lvlText w:val="%1."/>
      <w:numFmt w:val="decimal"/>
      <w:start w:val="4"/>
    </w:lvl>
  </w:abstractNum>
  <w:abstractNum w:abstractNumId="99">
    <w:nsid w:val="288F1A34"/>
    <w:multiLevelType w:val="hybridMultilevel"/>
    <w:lvl w:ilvl="0">
      <w:lvlJc w:val="left"/>
      <w:lvlText w:val="(%1)"/>
      <w:numFmt w:val="decimal"/>
      <w:start w:val="1"/>
    </w:lvl>
  </w:abstractNum>
  <w:abstractNum w:abstractNumId="100">
    <w:nsid w:val="2A155DBC"/>
    <w:multiLevelType w:val="hybridMultilevel"/>
    <w:lvl w:ilvl="0">
      <w:lvlJc w:val="left"/>
      <w:lvlText w:val="%1."/>
      <w:numFmt w:val="decimal"/>
      <w:start w:val="1"/>
    </w:lvl>
  </w:abstractNum>
  <w:abstractNum w:abstractNumId="101">
    <w:nsid w:val="1D9F6E5F"/>
    <w:multiLevelType w:val="hybridMultilevel"/>
    <w:lvl w:ilvl="0">
      <w:lvlJc w:val="left"/>
      <w:lvlText w:val="%1."/>
      <w:numFmt w:val="decimal"/>
      <w:start w:val="4"/>
    </w:lvl>
  </w:abstractNum>
  <w:abstractNum w:abstractNumId="102">
    <w:nsid w:val="97E1B4E"/>
    <w:multiLevelType w:val="hybridMultilevel"/>
    <w:lvl w:ilvl="0">
      <w:lvlJc w:val="left"/>
      <w:lvlText w:val="%1."/>
      <w:numFmt w:val="decimal"/>
      <w:start w:val="6"/>
    </w:lvl>
  </w:abstractNum>
  <w:abstractNum w:abstractNumId="103">
    <w:nsid w:val="51088277"/>
    <w:multiLevelType w:val="hybridMultilevel"/>
    <w:lvl w:ilvl="0">
      <w:lvlJc w:val="left"/>
      <w:lvlText w:val="(%1)"/>
      <w:numFmt w:val="decimal"/>
      <w:start w:val="2"/>
    </w:lvl>
  </w:abstractNum>
  <w:abstractNum w:abstractNumId="104">
    <w:nsid w:val="1CA0C5FA"/>
    <w:multiLevelType w:val="hybridMultilevel"/>
    <w:lvl w:ilvl="0">
      <w:lvlJc w:val="left"/>
      <w:lvlText w:val="%1."/>
      <w:numFmt w:val="decimal"/>
      <w:start w:val="1"/>
    </w:lvl>
  </w:abstractNum>
  <w:abstractNum w:abstractNumId="105">
    <w:nsid w:val="53584BCB"/>
    <w:multiLevelType w:val="hybridMultilevel"/>
    <w:lvl w:ilvl="0">
      <w:lvlJc w:val="left"/>
      <w:lvlText w:val="(%1)"/>
      <w:numFmt w:val="lowerLetter"/>
      <w:start w:val="2"/>
    </w:lvl>
  </w:abstractNum>
  <w:abstractNum w:abstractNumId="106">
    <w:nsid w:val="415E286C"/>
    <w:multiLevelType w:val="hybridMultilevel"/>
    <w:lvl w:ilvl="0">
      <w:lvlJc w:val="left"/>
      <w:lvlText w:val="(%1)"/>
      <w:numFmt w:val="lowerRoman"/>
      <w:start w:val="2"/>
    </w:lvl>
  </w:abstractNum>
  <w:abstractNum w:abstractNumId="107">
    <w:nsid w:val="7C58FD05"/>
    <w:multiLevelType w:val="hybridMultilevel"/>
    <w:lvl w:ilvl="0">
      <w:lvlJc w:val="left"/>
      <w:lvlText w:val="(%1)"/>
      <w:numFmt w:val="lowerLetter"/>
      <w:start w:val="2"/>
    </w:lvl>
    <w:lvl w:ilvl="1">
      <w:lvlJc w:val="left"/>
      <w:lvlText w:val="%2."/>
      <w:numFmt w:val="decimal"/>
      <w:start w:val="2"/>
    </w:lvl>
  </w:abstractNum>
  <w:abstractNum w:abstractNumId="108">
    <w:nsid w:val="23D86AAC"/>
    <w:multiLevelType w:val="hybridMultilevel"/>
    <w:lvl w:ilvl="0">
      <w:lvlJc w:val="left"/>
      <w:lvlText w:val="%1."/>
      <w:numFmt w:val="decimal"/>
      <w:start w:val="3"/>
    </w:lvl>
  </w:abstractNum>
  <w:abstractNum w:abstractNumId="109">
    <w:nsid w:val="45E6D486"/>
    <w:multiLevelType w:val="hybridMultilevel"/>
    <w:lvl w:ilvl="0">
      <w:lvlJc w:val="left"/>
      <w:lvlText w:val="%1."/>
      <w:numFmt w:val="decimal"/>
      <w:start w:val="1"/>
    </w:lvl>
  </w:abstractNum>
  <w:abstractNum w:abstractNumId="110">
    <w:nsid w:val="5C10FE21"/>
    <w:multiLevelType w:val="hybridMultilevel"/>
    <w:lvl w:ilvl="0">
      <w:lvlJc w:val="left"/>
      <w:lvlText w:val="%1."/>
      <w:numFmt w:val="decimal"/>
      <w:start w:val="9"/>
    </w:lvl>
  </w:abstractNum>
  <w:abstractNum w:abstractNumId="111">
    <w:nsid w:val="E7FFA2B"/>
    <w:multiLevelType w:val="hybridMultilevel"/>
    <w:lvl w:ilvl="0">
      <w:lvlJc w:val="left"/>
      <w:lvlText w:val="\emdash "/>
      <w:numFmt w:val="bullet"/>
      <w:start w:val="1"/>
    </w:lvl>
  </w:abstractNum>
  <w:abstractNum w:abstractNumId="112">
    <w:nsid w:val="3C5991AA"/>
    <w:multiLevelType w:val="hybridMultilevel"/>
    <w:lvl w:ilvl="0">
      <w:lvlJc w:val="left"/>
      <w:lvlText w:val="(%1)"/>
      <w:numFmt w:val="lowerRoman"/>
      <w:start w:val="3"/>
    </w:lvl>
  </w:abstractNum>
  <w:abstractNum w:abstractNumId="113">
    <w:nsid w:val="4BD8591A"/>
    <w:multiLevelType w:val="hybridMultilevel"/>
    <w:lvl w:ilvl="0">
      <w:lvlJc w:val="left"/>
      <w:lvlText w:val="%1."/>
      <w:numFmt w:val="decimal"/>
      <w:start w:val="1"/>
    </w:lvl>
  </w:abstractNum>
  <w:abstractNum w:abstractNumId="114">
    <w:nsid w:val="78DF6A55"/>
    <w:multiLevelType w:val="hybridMultilevel"/>
    <w:lvl w:ilvl="0">
      <w:lvlJc w:val="left"/>
      <w:lvlText w:val="(%1)"/>
      <w:numFmt w:val="lowerLetter"/>
      <w:start w:val="1"/>
    </w:lvl>
  </w:abstractNum>
  <w:abstractNum w:abstractNumId="115">
    <w:nsid w:val="39B7AAA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2019-12-28T21:28:58Z</dcterms:created>
  <dcterms:modified xsi:type="dcterms:W3CDTF">2019-12-28T21:28:58Z</dcterms:modified>
</cp:coreProperties>
</file>