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00"/>
        <w:spacing w:after="0"/>
        <w:rPr>
          <w:sz w:val="20"/>
          <w:szCs w:val="20"/>
          <w:color w:val="auto"/>
        </w:rPr>
      </w:pPr>
      <w:r>
        <w:rPr>
          <w:rFonts w:ascii="Courier New" w:cs="Courier New" w:eastAsia="Courier New" w:hAnsi="Courier New"/>
          <w:sz w:val="16"/>
          <w:szCs w:val="16"/>
          <w:color w:val="auto"/>
        </w:rPr>
        <w:t>1</w:t>
      </w:r>
    </w:p>
    <w:p>
      <w:pPr>
        <w:spacing w:after="0" w:line="8" w:lineRule="exact"/>
        <w:rPr>
          <w:sz w:val="24"/>
          <w:szCs w:val="24"/>
          <w:color w:val="auto"/>
        </w:rPr>
      </w:pPr>
    </w:p>
    <w:p>
      <w:pPr>
        <w:ind w:left="5320" w:right="2339" w:hanging="5027"/>
        <w:spacing w:after="0" w:line="251" w:lineRule="auto"/>
        <w:rPr>
          <w:sz w:val="20"/>
          <w:szCs w:val="20"/>
          <w:color w:val="auto"/>
        </w:rPr>
      </w:pPr>
      <w:r>
        <w:rPr>
          <w:rFonts w:ascii="Courier New" w:cs="Courier New" w:eastAsia="Courier New" w:hAnsi="Courier New"/>
          <w:sz w:val="16"/>
          <w:szCs w:val="16"/>
          <w:color w:val="auto"/>
        </w:rPr>
        <w:t>As filed with the Securities and Exchange Commission on September 7, 1995 Registration No. 33-72436</w:t>
      </w:r>
    </w:p>
    <w:p>
      <w:pPr>
        <w:jc w:val="center"/>
        <w:ind w:right="2339"/>
        <w:spacing w:after="0"/>
        <w:rPr>
          <w:sz w:val="20"/>
          <w:szCs w:val="20"/>
          <w:color w:val="auto"/>
        </w:rPr>
      </w:pPr>
      <w:r>
        <w:rPr>
          <w:rFonts w:ascii="Courier New" w:cs="Courier New" w:eastAsia="Courier New" w:hAnsi="Courier New"/>
          <w:sz w:val="16"/>
          <w:szCs w:val="16"/>
          <w:color w:val="auto"/>
        </w:rPr>
        <w:t>================================================================================</w:t>
      </w:r>
    </w:p>
    <w:p>
      <w:pPr>
        <w:spacing w:after="0" w:line="198" w:lineRule="exact"/>
        <w:rPr>
          <w:sz w:val="24"/>
          <w:szCs w:val="24"/>
          <w:color w:val="auto"/>
        </w:rPr>
      </w:pPr>
    </w:p>
    <w:p>
      <w:pPr>
        <w:ind w:left="2260"/>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8" w:lineRule="exact"/>
        <w:rPr>
          <w:sz w:val="24"/>
          <w:szCs w:val="24"/>
          <w:color w:val="auto"/>
        </w:rPr>
      </w:pPr>
    </w:p>
    <w:p>
      <w:pPr>
        <w:ind w:left="2760"/>
        <w:spacing w:after="0"/>
        <w:tabs>
          <w:tab w:leader="none" w:pos="4520" w:val="left"/>
        </w:tabs>
        <w:rPr>
          <w:sz w:val="20"/>
          <w:szCs w:val="20"/>
          <w:color w:val="auto"/>
        </w:rPr>
      </w:pPr>
      <w:r>
        <w:rPr>
          <w:rFonts w:ascii="Courier New" w:cs="Courier New" w:eastAsia="Courier New" w:hAnsi="Courier New"/>
          <w:sz w:val="16"/>
          <w:szCs w:val="16"/>
          <w:color w:val="auto"/>
        </w:rPr>
        <w:t>WASHINGTON, D.C.</w:t>
        <w:tab/>
        <w:t>20549</w:t>
      </w:r>
    </w:p>
    <w:p>
      <w:pPr>
        <w:spacing w:after="0" w:line="8" w:lineRule="exact"/>
        <w:rPr>
          <w:sz w:val="24"/>
          <w:szCs w:val="24"/>
          <w:color w:val="auto"/>
        </w:rPr>
      </w:pPr>
    </w:p>
    <w:p>
      <w:pPr>
        <w:ind w:left="2960"/>
        <w:spacing w:after="0"/>
        <w:rPr>
          <w:sz w:val="20"/>
          <w:szCs w:val="20"/>
          <w:color w:val="auto"/>
        </w:rPr>
      </w:pPr>
      <w:r>
        <w:rPr>
          <w:rFonts w:ascii="Courier New" w:cs="Courier New" w:eastAsia="Courier New" w:hAnsi="Courier New"/>
          <w:sz w:val="16"/>
          <w:szCs w:val="16"/>
          <w:color w:val="auto"/>
        </w:rPr>
        <w:t>___________________</w:t>
      </w:r>
    </w:p>
    <w:p>
      <w:pPr>
        <w:spacing w:after="0" w:line="198" w:lineRule="exact"/>
        <w:rPr>
          <w:sz w:val="24"/>
          <w:szCs w:val="24"/>
          <w:color w:val="auto"/>
        </w:rPr>
      </w:pPr>
    </w:p>
    <w:p>
      <w:pPr>
        <w:jc w:val="center"/>
        <w:ind w:right="2339"/>
        <w:spacing w:after="0"/>
        <w:rPr>
          <w:sz w:val="20"/>
          <w:szCs w:val="20"/>
          <w:color w:val="auto"/>
        </w:rPr>
      </w:pPr>
      <w:r>
        <w:rPr>
          <w:rFonts w:ascii="Courier New" w:cs="Courier New" w:eastAsia="Courier New" w:hAnsi="Courier New"/>
          <w:sz w:val="16"/>
          <w:szCs w:val="16"/>
          <w:color w:val="auto"/>
        </w:rPr>
        <w:t>POST-EFFECTIVE AMENDMENT NO. 2</w:t>
      </w:r>
    </w:p>
    <w:p>
      <w:pPr>
        <w:spacing w:after="0" w:line="198" w:lineRule="exact"/>
        <w:rPr>
          <w:sz w:val="24"/>
          <w:szCs w:val="24"/>
          <w:color w:val="auto"/>
        </w:rPr>
      </w:pPr>
    </w:p>
    <w:p>
      <w:pPr>
        <w:jc w:val="center"/>
        <w:ind w:right="2339"/>
        <w:spacing w:after="0"/>
        <w:rPr>
          <w:sz w:val="20"/>
          <w:szCs w:val="20"/>
          <w:color w:val="auto"/>
        </w:rPr>
      </w:pPr>
      <w:r>
        <w:rPr>
          <w:rFonts w:ascii="Courier New" w:cs="Courier New" w:eastAsia="Courier New" w:hAnsi="Courier New"/>
          <w:sz w:val="16"/>
          <w:szCs w:val="16"/>
          <w:color w:val="auto"/>
        </w:rPr>
        <w:t>TO</w:t>
      </w:r>
    </w:p>
    <w:p>
      <w:pPr>
        <w:spacing w:after="0" w:line="198" w:lineRule="exact"/>
        <w:rPr>
          <w:sz w:val="24"/>
          <w:szCs w:val="24"/>
          <w:color w:val="auto"/>
        </w:rPr>
      </w:pPr>
    </w:p>
    <w:p>
      <w:pPr>
        <w:jc w:val="center"/>
        <w:ind w:right="2339"/>
        <w:spacing w:after="0"/>
        <w:rPr>
          <w:sz w:val="20"/>
          <w:szCs w:val="20"/>
          <w:color w:val="auto"/>
        </w:rPr>
      </w:pPr>
      <w:r>
        <w:rPr>
          <w:rFonts w:ascii="Courier New" w:cs="Courier New" w:eastAsia="Courier New" w:hAnsi="Courier New"/>
          <w:sz w:val="16"/>
          <w:szCs w:val="16"/>
          <w:color w:val="auto"/>
        </w:rPr>
        <w:t>FORM S-8</w:t>
      </w:r>
    </w:p>
    <w:p>
      <w:pPr>
        <w:spacing w:after="0" w:line="198" w:lineRule="exact"/>
        <w:rPr>
          <w:sz w:val="24"/>
          <w:szCs w:val="24"/>
          <w:color w:val="auto"/>
        </w:rPr>
      </w:pPr>
    </w:p>
    <w:p>
      <w:pPr>
        <w:jc w:val="center"/>
        <w:ind w:right="2339"/>
        <w:spacing w:after="0"/>
        <w:rPr>
          <w:sz w:val="20"/>
          <w:szCs w:val="20"/>
          <w:color w:val="auto"/>
        </w:rPr>
      </w:pPr>
      <w:r>
        <w:rPr>
          <w:rFonts w:ascii="Courier New" w:cs="Courier New" w:eastAsia="Courier New" w:hAnsi="Courier New"/>
          <w:sz w:val="16"/>
          <w:szCs w:val="16"/>
          <w:color w:val="auto"/>
        </w:rPr>
        <w:t>REGISTRATION STATEMENT UNDER</w:t>
      </w:r>
    </w:p>
    <w:p>
      <w:pPr>
        <w:spacing w:after="0" w:line="8" w:lineRule="exact"/>
        <w:rPr>
          <w:sz w:val="24"/>
          <w:szCs w:val="24"/>
          <w:color w:val="auto"/>
        </w:rPr>
      </w:pPr>
    </w:p>
    <w:p>
      <w:pPr>
        <w:jc w:val="center"/>
        <w:ind w:right="2339"/>
        <w:spacing w:after="0"/>
        <w:rPr>
          <w:sz w:val="20"/>
          <w:szCs w:val="20"/>
          <w:color w:val="auto"/>
        </w:rPr>
      </w:pPr>
      <w:r>
        <w:rPr>
          <w:rFonts w:ascii="Courier New" w:cs="Courier New" w:eastAsia="Courier New" w:hAnsi="Courier New"/>
          <w:sz w:val="16"/>
          <w:szCs w:val="16"/>
          <w:color w:val="auto"/>
        </w:rPr>
        <w:t>THE SECURITIES ACT OF 1933</w:t>
      </w:r>
    </w:p>
    <w:p>
      <w:pPr>
        <w:spacing w:after="0" w:line="8" w:lineRule="exact"/>
        <w:rPr>
          <w:sz w:val="24"/>
          <w:szCs w:val="24"/>
          <w:color w:val="auto"/>
        </w:rPr>
      </w:pPr>
    </w:p>
    <w:p>
      <w:pPr>
        <w:ind w:left="2960"/>
        <w:spacing w:after="0"/>
        <w:rPr>
          <w:sz w:val="20"/>
          <w:szCs w:val="20"/>
          <w:color w:val="auto"/>
        </w:rPr>
      </w:pPr>
      <w:r>
        <w:rPr>
          <w:rFonts w:ascii="Courier New" w:cs="Courier New" w:eastAsia="Courier New" w:hAnsi="Courier New"/>
          <w:sz w:val="16"/>
          <w:szCs w:val="16"/>
          <w:color w:val="auto"/>
        </w:rPr>
        <w:t>___________________</w:t>
      </w:r>
    </w:p>
    <w:p>
      <w:pPr>
        <w:spacing w:after="0" w:line="198" w:lineRule="exact"/>
        <w:rPr>
          <w:sz w:val="24"/>
          <w:szCs w:val="24"/>
          <w:color w:val="auto"/>
        </w:rPr>
      </w:pPr>
    </w:p>
    <w:tbl>
      <w:tblPr>
        <w:tblLayout w:type="fixed"/>
        <w:tblInd w:w="600" w:type="dxa"/>
        <w:tblCellMar>
          <w:top w:w="0" w:type="dxa"/>
          <w:left w:w="0" w:type="dxa"/>
          <w:bottom w:w="0" w:type="dxa"/>
          <w:right w:w="0" w:type="dxa"/>
        </w:tblCellMar>
      </w:tblPr>
      <w:tr>
        <w:trPr>
          <w:trHeight w:val="185"/>
        </w:trPr>
        <w:tc>
          <w:tcPr>
            <w:tcW w:w="3100" w:type="dxa"/>
            <w:vAlign w:val="bottom"/>
          </w:tcPr>
          <w:p>
            <w:pPr>
              <w:jc w:val="right"/>
              <w:spacing w:after="0"/>
              <w:rPr>
                <w:sz w:val="20"/>
                <w:szCs w:val="20"/>
                <w:color w:val="auto"/>
              </w:rPr>
            </w:pPr>
            <w:r>
              <w:rPr>
                <w:rFonts w:ascii="Courier New" w:cs="Courier New" w:eastAsia="Courier New" w:hAnsi="Courier New"/>
                <w:sz w:val="16"/>
                <w:szCs w:val="16"/>
                <w:color w:val="auto"/>
              </w:rPr>
              <w:t>USA WASTE</w:t>
            </w:r>
          </w:p>
        </w:tc>
        <w:tc>
          <w:tcPr>
            <w:tcW w:w="360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SERVICES, INC.</w:t>
            </w:r>
          </w:p>
        </w:tc>
      </w:tr>
      <w:tr>
        <w:trPr>
          <w:trHeight w:val="190"/>
        </w:trPr>
        <w:tc>
          <w:tcPr>
            <w:tcW w:w="6700" w:type="dxa"/>
            <w:vAlign w:val="bottom"/>
            <w:gridSpan w:val="3"/>
          </w:tcPr>
          <w:p>
            <w:pPr>
              <w:jc w:val="center"/>
              <w:spacing w:after="0"/>
              <w:rPr>
                <w:sz w:val="20"/>
                <w:szCs w:val="20"/>
                <w:color w:val="auto"/>
              </w:rPr>
            </w:pPr>
            <w:r>
              <w:rPr>
                <w:rFonts w:ascii="Courier New" w:cs="Courier New" w:eastAsia="Courier New" w:hAnsi="Courier New"/>
                <w:sz w:val="16"/>
                <w:szCs w:val="16"/>
                <w:color w:val="auto"/>
              </w:rPr>
              <w:t>(Exact name of registrant as specified in its charter)</w:t>
            </w:r>
          </w:p>
        </w:tc>
      </w:tr>
      <w:tr>
        <w:trPr>
          <w:trHeight w:val="379"/>
        </w:trPr>
        <w:tc>
          <w:tcPr>
            <w:tcW w:w="3100" w:type="dxa"/>
            <w:vAlign w:val="bottom"/>
          </w:tcPr>
          <w:p>
            <w:pPr>
              <w:jc w:val="right"/>
              <w:ind w:right="1638"/>
              <w:spacing w:after="0"/>
              <w:rPr>
                <w:sz w:val="20"/>
                <w:szCs w:val="20"/>
                <w:color w:val="auto"/>
              </w:rPr>
            </w:pPr>
            <w:r>
              <w:rPr>
                <w:rFonts w:ascii="Courier New" w:cs="Courier New" w:eastAsia="Courier New" w:hAnsi="Courier New"/>
                <w:sz w:val="16"/>
                <w:szCs w:val="16"/>
                <w:color w:val="auto"/>
              </w:rPr>
              <w:t>DELAWARE</w:t>
            </w:r>
          </w:p>
        </w:tc>
        <w:tc>
          <w:tcPr>
            <w:tcW w:w="740" w:type="dxa"/>
            <w:vAlign w:val="bottom"/>
          </w:tcPr>
          <w:p>
            <w:pPr>
              <w:spacing w:after="0"/>
              <w:rPr>
                <w:sz w:val="24"/>
                <w:szCs w:val="24"/>
                <w:color w:val="auto"/>
              </w:rPr>
            </w:pPr>
          </w:p>
        </w:tc>
        <w:tc>
          <w:tcPr>
            <w:tcW w:w="2860" w:type="dxa"/>
            <w:vAlign w:val="bottom"/>
          </w:tcPr>
          <w:p>
            <w:pPr>
              <w:ind w:left="1380"/>
              <w:spacing w:after="0"/>
              <w:rPr>
                <w:sz w:val="20"/>
                <w:szCs w:val="20"/>
                <w:color w:val="auto"/>
              </w:rPr>
            </w:pPr>
            <w:r>
              <w:rPr>
                <w:rFonts w:ascii="Courier New" w:cs="Courier New" w:eastAsia="Courier New" w:hAnsi="Courier New"/>
                <w:sz w:val="16"/>
                <w:szCs w:val="16"/>
                <w:color w:val="auto"/>
              </w:rPr>
              <w:t>73-1309529</w:t>
            </w:r>
          </w:p>
        </w:tc>
      </w:tr>
      <w:tr>
        <w:trPr>
          <w:trHeight w:val="190"/>
        </w:trPr>
        <w:tc>
          <w:tcPr>
            <w:tcW w:w="3100" w:type="dxa"/>
            <w:vAlign w:val="bottom"/>
          </w:tcPr>
          <w:p>
            <w:pPr>
              <w:jc w:val="right"/>
              <w:ind w:right="58"/>
              <w:spacing w:after="0"/>
              <w:rPr>
                <w:sz w:val="20"/>
                <w:szCs w:val="20"/>
                <w:color w:val="auto"/>
              </w:rPr>
            </w:pPr>
            <w:r>
              <w:rPr>
                <w:rFonts w:ascii="Courier New" w:cs="Courier New" w:eastAsia="Courier New" w:hAnsi="Courier New"/>
                <w:sz w:val="16"/>
                <w:szCs w:val="16"/>
                <w:color w:val="auto"/>
              </w:rPr>
              <w:t>(State or other jurisdiction</w:t>
            </w:r>
          </w:p>
        </w:tc>
        <w:tc>
          <w:tcPr>
            <w:tcW w:w="740" w:type="dxa"/>
            <w:vAlign w:val="bottom"/>
          </w:tcPr>
          <w:p>
            <w:pPr>
              <w:spacing w:after="0"/>
              <w:rPr>
                <w:sz w:val="16"/>
                <w:szCs w:val="16"/>
                <w:color w:val="auto"/>
              </w:rPr>
            </w:pPr>
          </w:p>
        </w:tc>
        <w:tc>
          <w:tcPr>
            <w:tcW w:w="2860" w:type="dxa"/>
            <w:vAlign w:val="bottom"/>
          </w:tcPr>
          <w:p>
            <w:pPr>
              <w:ind w:left="1080"/>
              <w:spacing w:after="0"/>
              <w:rPr>
                <w:sz w:val="20"/>
                <w:szCs w:val="20"/>
                <w:color w:val="auto"/>
              </w:rPr>
            </w:pPr>
            <w:r>
              <w:rPr>
                <w:rFonts w:ascii="Courier New" w:cs="Courier New" w:eastAsia="Courier New" w:hAnsi="Courier New"/>
                <w:sz w:val="16"/>
                <w:szCs w:val="16"/>
                <w:color w:val="auto"/>
              </w:rPr>
              <w:t>(I.R.S. Employer</w:t>
            </w:r>
          </w:p>
        </w:tc>
      </w:tr>
      <w:tr>
        <w:trPr>
          <w:trHeight w:val="190"/>
        </w:trPr>
        <w:tc>
          <w:tcPr>
            <w:tcW w:w="3100" w:type="dxa"/>
            <w:vAlign w:val="bottom"/>
          </w:tcPr>
          <w:p>
            <w:pPr>
              <w:jc w:val="right"/>
              <w:ind w:right="58"/>
              <w:spacing w:after="0"/>
              <w:rPr>
                <w:sz w:val="20"/>
                <w:szCs w:val="20"/>
                <w:color w:val="auto"/>
              </w:rPr>
            </w:pPr>
            <w:r>
              <w:rPr>
                <w:rFonts w:ascii="Courier New" w:cs="Courier New" w:eastAsia="Courier New" w:hAnsi="Courier New"/>
                <w:sz w:val="16"/>
                <w:szCs w:val="16"/>
                <w:color w:val="auto"/>
              </w:rPr>
              <w:t>incorporation or organization)</w:t>
            </w:r>
          </w:p>
        </w:tc>
        <w:tc>
          <w:tcPr>
            <w:tcW w:w="740" w:type="dxa"/>
            <w:vAlign w:val="bottom"/>
          </w:tcPr>
          <w:p>
            <w:pPr>
              <w:spacing w:after="0"/>
              <w:rPr>
                <w:sz w:val="16"/>
                <w:szCs w:val="16"/>
                <w:color w:val="auto"/>
              </w:rPr>
            </w:pPr>
          </w:p>
        </w:tc>
        <w:tc>
          <w:tcPr>
            <w:tcW w:w="2860" w:type="dxa"/>
            <w:vAlign w:val="bottom"/>
          </w:tcPr>
          <w:p>
            <w:pPr>
              <w:ind w:left="980"/>
              <w:spacing w:after="0"/>
              <w:rPr>
                <w:sz w:val="20"/>
                <w:szCs w:val="20"/>
                <w:color w:val="auto"/>
              </w:rPr>
            </w:pPr>
            <w:r>
              <w:rPr>
                <w:rFonts w:ascii="Courier New" w:cs="Courier New" w:eastAsia="Courier New" w:hAnsi="Courier New"/>
                <w:sz w:val="16"/>
                <w:szCs w:val="16"/>
                <w:color w:val="auto"/>
              </w:rPr>
              <w:t>Identification No.)</w:t>
            </w:r>
          </w:p>
        </w:tc>
      </w:tr>
      <w:tr>
        <w:trPr>
          <w:trHeight w:val="379"/>
        </w:trPr>
        <w:tc>
          <w:tcPr>
            <w:tcW w:w="3100" w:type="dxa"/>
            <w:vAlign w:val="bottom"/>
          </w:tcPr>
          <w:p>
            <w:pPr>
              <w:jc w:val="right"/>
              <w:spacing w:after="0"/>
              <w:rPr>
                <w:sz w:val="20"/>
                <w:szCs w:val="20"/>
                <w:color w:val="auto"/>
              </w:rPr>
            </w:pPr>
            <w:r>
              <w:rPr>
                <w:rFonts w:ascii="Courier New" w:cs="Courier New" w:eastAsia="Courier New" w:hAnsi="Courier New"/>
                <w:sz w:val="16"/>
                <w:szCs w:val="16"/>
                <w:color w:val="auto"/>
              </w:rPr>
              <w:t>5000 QUORUM</w:t>
            </w:r>
          </w:p>
        </w:tc>
        <w:tc>
          <w:tcPr>
            <w:tcW w:w="740" w:type="dxa"/>
            <w:vAlign w:val="bottom"/>
          </w:tcPr>
          <w:p>
            <w:pPr>
              <w:ind w:left="40"/>
              <w:spacing w:after="0"/>
              <w:rPr>
                <w:sz w:val="20"/>
                <w:szCs w:val="20"/>
                <w:color w:val="auto"/>
              </w:rPr>
            </w:pPr>
            <w:r>
              <w:rPr>
                <w:rFonts w:ascii="Courier New" w:cs="Courier New" w:eastAsia="Courier New" w:hAnsi="Courier New"/>
                <w:sz w:val="16"/>
                <w:szCs w:val="16"/>
                <w:color w:val="auto"/>
              </w:rPr>
              <w:t>DRIVE,</w:t>
            </w:r>
          </w:p>
        </w:tc>
        <w:tc>
          <w:tcPr>
            <w:tcW w:w="2860" w:type="dxa"/>
            <w:vAlign w:val="bottom"/>
          </w:tcPr>
          <w:p>
            <w:pPr>
              <w:spacing w:after="0"/>
              <w:rPr>
                <w:sz w:val="20"/>
                <w:szCs w:val="20"/>
                <w:color w:val="auto"/>
              </w:rPr>
            </w:pPr>
            <w:r>
              <w:rPr>
                <w:rFonts w:ascii="Courier New" w:cs="Courier New" w:eastAsia="Courier New" w:hAnsi="Courier New"/>
                <w:sz w:val="16"/>
                <w:szCs w:val="16"/>
                <w:color w:val="auto"/>
              </w:rPr>
              <w:t>SUITE 300</w:t>
            </w:r>
          </w:p>
        </w:tc>
      </w:tr>
      <w:tr>
        <w:trPr>
          <w:trHeight w:val="190"/>
        </w:trPr>
        <w:tc>
          <w:tcPr>
            <w:tcW w:w="3100" w:type="dxa"/>
            <w:vAlign w:val="bottom"/>
          </w:tcPr>
          <w:p>
            <w:pPr>
              <w:jc w:val="right"/>
              <w:spacing w:after="0"/>
              <w:rPr>
                <w:sz w:val="20"/>
                <w:szCs w:val="20"/>
                <w:color w:val="auto"/>
              </w:rPr>
            </w:pPr>
            <w:r>
              <w:rPr>
                <w:rFonts w:ascii="Courier New" w:cs="Courier New" w:eastAsia="Courier New" w:hAnsi="Courier New"/>
                <w:sz w:val="16"/>
                <w:szCs w:val="16"/>
                <w:color w:val="auto"/>
              </w:rPr>
              <w:t>DALLAS,</w:t>
            </w:r>
          </w:p>
        </w:tc>
        <w:tc>
          <w:tcPr>
            <w:tcW w:w="740" w:type="dxa"/>
            <w:vAlign w:val="bottom"/>
          </w:tcPr>
          <w:p>
            <w:pPr>
              <w:ind w:left="40"/>
              <w:spacing w:after="0"/>
              <w:rPr>
                <w:sz w:val="20"/>
                <w:szCs w:val="20"/>
                <w:color w:val="auto"/>
              </w:rPr>
            </w:pPr>
            <w:r>
              <w:rPr>
                <w:rFonts w:ascii="Courier New" w:cs="Courier New" w:eastAsia="Courier New" w:hAnsi="Courier New"/>
                <w:sz w:val="16"/>
                <w:szCs w:val="16"/>
                <w:color w:val="auto"/>
              </w:rPr>
              <w:t>TEXAS</w:t>
            </w:r>
          </w:p>
        </w:tc>
        <w:tc>
          <w:tcPr>
            <w:tcW w:w="2860" w:type="dxa"/>
            <w:vAlign w:val="bottom"/>
          </w:tcPr>
          <w:p>
            <w:pPr>
              <w:spacing w:after="0"/>
              <w:rPr>
                <w:sz w:val="20"/>
                <w:szCs w:val="20"/>
                <w:color w:val="auto"/>
              </w:rPr>
            </w:pPr>
            <w:r>
              <w:rPr>
                <w:rFonts w:ascii="Courier New" w:cs="Courier New" w:eastAsia="Courier New" w:hAnsi="Courier New"/>
                <w:sz w:val="16"/>
                <w:szCs w:val="16"/>
                <w:color w:val="auto"/>
              </w:rPr>
              <w:t>75240</w:t>
            </w:r>
          </w:p>
        </w:tc>
      </w:tr>
      <w:tr>
        <w:trPr>
          <w:trHeight w:val="190"/>
        </w:trPr>
        <w:tc>
          <w:tcPr>
            <w:tcW w:w="6700" w:type="dxa"/>
            <w:vAlign w:val="bottom"/>
            <w:gridSpan w:val="3"/>
          </w:tcPr>
          <w:p>
            <w:pPr>
              <w:jc w:val="center"/>
              <w:spacing w:after="0"/>
              <w:rPr>
                <w:sz w:val="20"/>
                <w:szCs w:val="20"/>
                <w:color w:val="auto"/>
              </w:rPr>
            </w:pPr>
            <w:r>
              <w:rPr>
                <w:rFonts w:ascii="Courier New" w:cs="Courier New" w:eastAsia="Courier New" w:hAnsi="Courier New"/>
                <w:sz w:val="16"/>
                <w:szCs w:val="16"/>
                <w:color w:val="auto"/>
              </w:rPr>
              <w:t>(Address of principal executive offices)</w:t>
            </w:r>
          </w:p>
        </w:tc>
      </w:tr>
      <w:tr>
        <w:trPr>
          <w:trHeight w:val="569"/>
        </w:trPr>
        <w:tc>
          <w:tcPr>
            <w:tcW w:w="3100" w:type="dxa"/>
            <w:vAlign w:val="bottom"/>
          </w:tcPr>
          <w:p>
            <w:pPr>
              <w:jc w:val="right"/>
              <w:spacing w:after="0"/>
              <w:rPr>
                <w:sz w:val="20"/>
                <w:szCs w:val="20"/>
                <w:color w:val="auto"/>
              </w:rPr>
            </w:pPr>
            <w:r>
              <w:rPr>
                <w:rFonts w:ascii="Courier New" w:cs="Courier New" w:eastAsia="Courier New" w:hAnsi="Courier New"/>
                <w:sz w:val="16"/>
                <w:szCs w:val="16"/>
                <w:color w:val="auto"/>
              </w:rPr>
              <w:t>1993 STOCK</w:t>
            </w:r>
          </w:p>
        </w:tc>
        <w:tc>
          <w:tcPr>
            <w:tcW w:w="360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INCENTIVE PLAN</w:t>
            </w:r>
          </w:p>
        </w:tc>
      </w:tr>
      <w:tr>
        <w:trPr>
          <w:trHeight w:val="190"/>
        </w:trPr>
        <w:tc>
          <w:tcPr>
            <w:tcW w:w="6700" w:type="dxa"/>
            <w:vAlign w:val="bottom"/>
            <w:gridSpan w:val="3"/>
          </w:tcPr>
          <w:p>
            <w:pPr>
              <w:jc w:val="center"/>
              <w:spacing w:after="0"/>
              <w:rPr>
                <w:sz w:val="20"/>
                <w:szCs w:val="20"/>
                <w:color w:val="auto"/>
              </w:rPr>
            </w:pPr>
            <w:r>
              <w:rPr>
                <w:rFonts w:ascii="Courier New" w:cs="Courier New" w:eastAsia="Courier New" w:hAnsi="Courier New"/>
                <w:sz w:val="16"/>
                <w:szCs w:val="16"/>
                <w:color w:val="auto"/>
              </w:rPr>
              <w:t>(Full title of the plan)</w:t>
            </w:r>
          </w:p>
        </w:tc>
      </w:tr>
      <w:tr>
        <w:trPr>
          <w:trHeight w:val="379"/>
        </w:trPr>
        <w:tc>
          <w:tcPr>
            <w:tcW w:w="3100" w:type="dxa"/>
            <w:vAlign w:val="bottom"/>
          </w:tcPr>
          <w:p>
            <w:pPr>
              <w:jc w:val="right"/>
              <w:spacing w:after="0"/>
              <w:rPr>
                <w:sz w:val="20"/>
                <w:szCs w:val="20"/>
                <w:color w:val="auto"/>
              </w:rPr>
            </w:pPr>
            <w:r>
              <w:rPr>
                <w:rFonts w:ascii="Courier New" w:cs="Courier New" w:eastAsia="Courier New" w:hAnsi="Courier New"/>
                <w:sz w:val="16"/>
                <w:szCs w:val="16"/>
                <w:color w:val="auto"/>
              </w:rPr>
              <w:t>GREGORY</w:t>
            </w:r>
          </w:p>
        </w:tc>
        <w:tc>
          <w:tcPr>
            <w:tcW w:w="360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T. SANGALIS</w:t>
            </w:r>
          </w:p>
        </w:tc>
      </w:tr>
      <w:tr>
        <w:trPr>
          <w:trHeight w:val="190"/>
        </w:trPr>
        <w:tc>
          <w:tcPr>
            <w:tcW w:w="3100" w:type="dxa"/>
            <w:vAlign w:val="bottom"/>
          </w:tcPr>
          <w:p>
            <w:pPr>
              <w:jc w:val="right"/>
              <w:spacing w:after="0"/>
              <w:rPr>
                <w:sz w:val="20"/>
                <w:szCs w:val="20"/>
                <w:color w:val="auto"/>
              </w:rPr>
            </w:pPr>
            <w:r>
              <w:rPr>
                <w:rFonts w:ascii="Courier New" w:cs="Courier New" w:eastAsia="Courier New" w:hAnsi="Courier New"/>
                <w:sz w:val="16"/>
                <w:szCs w:val="16"/>
                <w:color w:val="auto"/>
              </w:rPr>
              <w:t>USA WASTE</w:t>
            </w:r>
          </w:p>
        </w:tc>
        <w:tc>
          <w:tcPr>
            <w:tcW w:w="360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SERVICES, INC.</w:t>
            </w:r>
          </w:p>
        </w:tc>
      </w:tr>
      <w:tr>
        <w:trPr>
          <w:trHeight w:val="190"/>
        </w:trPr>
        <w:tc>
          <w:tcPr>
            <w:tcW w:w="3100" w:type="dxa"/>
            <w:vAlign w:val="bottom"/>
          </w:tcPr>
          <w:p>
            <w:pPr>
              <w:jc w:val="right"/>
              <w:spacing w:after="0"/>
              <w:rPr>
                <w:sz w:val="20"/>
                <w:szCs w:val="20"/>
                <w:color w:val="auto"/>
              </w:rPr>
            </w:pPr>
            <w:r>
              <w:rPr>
                <w:rFonts w:ascii="Courier New" w:cs="Courier New" w:eastAsia="Courier New" w:hAnsi="Courier New"/>
                <w:sz w:val="16"/>
                <w:szCs w:val="16"/>
                <w:color w:val="auto"/>
              </w:rPr>
              <w:t>5000 QUORUM</w:t>
            </w:r>
          </w:p>
        </w:tc>
        <w:tc>
          <w:tcPr>
            <w:tcW w:w="740" w:type="dxa"/>
            <w:vAlign w:val="bottom"/>
          </w:tcPr>
          <w:p>
            <w:pPr>
              <w:ind w:left="40"/>
              <w:spacing w:after="0"/>
              <w:rPr>
                <w:sz w:val="20"/>
                <w:szCs w:val="20"/>
                <w:color w:val="auto"/>
              </w:rPr>
            </w:pPr>
            <w:r>
              <w:rPr>
                <w:rFonts w:ascii="Courier New" w:cs="Courier New" w:eastAsia="Courier New" w:hAnsi="Courier New"/>
                <w:sz w:val="16"/>
                <w:szCs w:val="16"/>
                <w:color w:val="auto"/>
              </w:rPr>
              <w:t>DRIVE,</w:t>
            </w:r>
          </w:p>
        </w:tc>
        <w:tc>
          <w:tcPr>
            <w:tcW w:w="2860" w:type="dxa"/>
            <w:vAlign w:val="bottom"/>
          </w:tcPr>
          <w:p>
            <w:pPr>
              <w:spacing w:after="0"/>
              <w:rPr>
                <w:sz w:val="20"/>
                <w:szCs w:val="20"/>
                <w:color w:val="auto"/>
              </w:rPr>
            </w:pPr>
            <w:r>
              <w:rPr>
                <w:rFonts w:ascii="Courier New" w:cs="Courier New" w:eastAsia="Courier New" w:hAnsi="Courier New"/>
                <w:sz w:val="16"/>
                <w:szCs w:val="16"/>
                <w:color w:val="auto"/>
              </w:rPr>
              <w:t>SUITE 300</w:t>
            </w:r>
          </w:p>
        </w:tc>
      </w:tr>
      <w:tr>
        <w:trPr>
          <w:trHeight w:val="190"/>
        </w:trPr>
        <w:tc>
          <w:tcPr>
            <w:tcW w:w="3100" w:type="dxa"/>
            <w:vAlign w:val="bottom"/>
          </w:tcPr>
          <w:p>
            <w:pPr>
              <w:jc w:val="right"/>
              <w:spacing w:after="0"/>
              <w:rPr>
                <w:sz w:val="20"/>
                <w:szCs w:val="20"/>
                <w:color w:val="auto"/>
              </w:rPr>
            </w:pPr>
            <w:r>
              <w:rPr>
                <w:rFonts w:ascii="Courier New" w:cs="Courier New" w:eastAsia="Courier New" w:hAnsi="Courier New"/>
                <w:sz w:val="16"/>
                <w:szCs w:val="16"/>
                <w:color w:val="auto"/>
              </w:rPr>
              <w:t>DALLAS,</w:t>
            </w:r>
          </w:p>
        </w:tc>
        <w:tc>
          <w:tcPr>
            <w:tcW w:w="740" w:type="dxa"/>
            <w:vAlign w:val="bottom"/>
          </w:tcPr>
          <w:p>
            <w:pPr>
              <w:ind w:left="40"/>
              <w:spacing w:after="0"/>
              <w:rPr>
                <w:sz w:val="20"/>
                <w:szCs w:val="20"/>
                <w:color w:val="auto"/>
              </w:rPr>
            </w:pPr>
            <w:r>
              <w:rPr>
                <w:rFonts w:ascii="Courier New" w:cs="Courier New" w:eastAsia="Courier New" w:hAnsi="Courier New"/>
                <w:sz w:val="16"/>
                <w:szCs w:val="16"/>
                <w:color w:val="auto"/>
              </w:rPr>
              <w:t>TEXAS</w:t>
            </w:r>
          </w:p>
        </w:tc>
        <w:tc>
          <w:tcPr>
            <w:tcW w:w="2860" w:type="dxa"/>
            <w:vAlign w:val="bottom"/>
          </w:tcPr>
          <w:p>
            <w:pPr>
              <w:spacing w:after="0"/>
              <w:rPr>
                <w:sz w:val="20"/>
                <w:szCs w:val="20"/>
                <w:color w:val="auto"/>
              </w:rPr>
            </w:pPr>
            <w:r>
              <w:rPr>
                <w:rFonts w:ascii="Courier New" w:cs="Courier New" w:eastAsia="Courier New" w:hAnsi="Courier New"/>
                <w:sz w:val="16"/>
                <w:szCs w:val="16"/>
                <w:color w:val="auto"/>
              </w:rPr>
              <w:t>75240</w:t>
            </w:r>
          </w:p>
        </w:tc>
      </w:tr>
      <w:tr>
        <w:trPr>
          <w:trHeight w:val="190"/>
        </w:trPr>
        <w:tc>
          <w:tcPr>
            <w:tcW w:w="6700" w:type="dxa"/>
            <w:vAlign w:val="bottom"/>
            <w:gridSpan w:val="3"/>
          </w:tcPr>
          <w:p>
            <w:pPr>
              <w:jc w:val="center"/>
              <w:spacing w:after="0"/>
              <w:rPr>
                <w:sz w:val="20"/>
                <w:szCs w:val="20"/>
                <w:color w:val="auto"/>
              </w:rPr>
            </w:pPr>
            <w:r>
              <w:rPr>
                <w:rFonts w:ascii="Courier New" w:cs="Courier New" w:eastAsia="Courier New" w:hAnsi="Courier New"/>
                <w:sz w:val="16"/>
                <w:szCs w:val="16"/>
                <w:color w:val="auto"/>
              </w:rPr>
              <w:t>(214) 233-4212</w:t>
            </w:r>
          </w:p>
        </w:tc>
      </w:tr>
      <w:tr>
        <w:trPr>
          <w:trHeight w:val="190"/>
        </w:trPr>
        <w:tc>
          <w:tcPr>
            <w:tcW w:w="6700" w:type="dxa"/>
            <w:vAlign w:val="bottom"/>
            <w:gridSpan w:val="3"/>
          </w:tcPr>
          <w:p>
            <w:pPr>
              <w:ind w:left="480"/>
              <w:spacing w:after="0"/>
              <w:rPr>
                <w:sz w:val="20"/>
                <w:szCs w:val="20"/>
                <w:color w:val="auto"/>
              </w:rPr>
            </w:pPr>
            <w:r>
              <w:rPr>
                <w:rFonts w:ascii="Courier New" w:cs="Courier New" w:eastAsia="Courier New" w:hAnsi="Courier New"/>
                <w:sz w:val="16"/>
                <w:szCs w:val="16"/>
                <w:color w:val="auto"/>
              </w:rPr>
              <w:t>(Name, address and telephone number of agent for service)</w:t>
            </w:r>
          </w:p>
        </w:tc>
      </w:tr>
      <w:tr>
        <w:trPr>
          <w:trHeight w:val="379"/>
        </w:trPr>
        <w:tc>
          <w:tcPr>
            <w:tcW w:w="3840" w:type="dxa"/>
            <w:vAlign w:val="bottom"/>
            <w:gridSpan w:val="2"/>
          </w:tcPr>
          <w:p>
            <w:pPr>
              <w:jc w:val="center"/>
              <w:ind w:left="2778"/>
              <w:spacing w:after="0"/>
              <w:rPr>
                <w:sz w:val="20"/>
                <w:szCs w:val="20"/>
                <w:color w:val="auto"/>
              </w:rPr>
            </w:pPr>
            <w:r>
              <w:rPr>
                <w:rFonts w:ascii="Courier New" w:cs="Courier New" w:eastAsia="Courier New" w:hAnsi="Courier New"/>
                <w:sz w:val="16"/>
                <w:szCs w:val="16"/>
                <w:color w:val="auto"/>
              </w:rPr>
              <w:t>Copies to:</w:t>
            </w:r>
          </w:p>
        </w:tc>
        <w:tc>
          <w:tcPr>
            <w:tcW w:w="2860" w:type="dxa"/>
            <w:vAlign w:val="bottom"/>
          </w:tcPr>
          <w:p>
            <w:pPr>
              <w:spacing w:after="0"/>
              <w:rPr>
                <w:sz w:val="24"/>
                <w:szCs w:val="24"/>
                <w:color w:val="auto"/>
              </w:rPr>
            </w:pPr>
          </w:p>
        </w:tc>
      </w:tr>
      <w:tr>
        <w:trPr>
          <w:trHeight w:val="379"/>
        </w:trPr>
        <w:tc>
          <w:tcPr>
            <w:tcW w:w="3100" w:type="dxa"/>
            <w:vAlign w:val="bottom"/>
          </w:tcPr>
          <w:p>
            <w:pPr>
              <w:jc w:val="right"/>
              <w:spacing w:after="0"/>
              <w:rPr>
                <w:sz w:val="20"/>
                <w:szCs w:val="20"/>
                <w:color w:val="auto"/>
              </w:rPr>
            </w:pPr>
            <w:r>
              <w:rPr>
                <w:rFonts w:ascii="Courier New" w:cs="Courier New" w:eastAsia="Courier New" w:hAnsi="Courier New"/>
                <w:sz w:val="16"/>
                <w:szCs w:val="16"/>
                <w:color w:val="auto"/>
              </w:rPr>
              <w:t>JOHN</w:t>
            </w:r>
          </w:p>
        </w:tc>
        <w:tc>
          <w:tcPr>
            <w:tcW w:w="360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T. UNGER</w:t>
            </w:r>
          </w:p>
        </w:tc>
      </w:tr>
    </w:tbl>
    <w:p>
      <w:pPr>
        <w:spacing w:after="0" w:line="5" w:lineRule="exact"/>
        <w:rPr>
          <w:sz w:val="24"/>
          <w:szCs w:val="24"/>
          <w:color w:val="auto"/>
        </w:rPr>
      </w:pPr>
    </w:p>
    <w:p>
      <w:pPr>
        <w:ind w:left="1880"/>
        <w:spacing w:after="0"/>
        <w:rPr>
          <w:sz w:val="20"/>
          <w:szCs w:val="20"/>
          <w:color w:val="auto"/>
        </w:rPr>
      </w:pPr>
      <w:r>
        <w:rPr>
          <w:rFonts w:ascii="Courier New" w:cs="Courier New" w:eastAsia="Courier New" w:hAnsi="Courier New"/>
          <w:sz w:val="16"/>
          <w:szCs w:val="16"/>
          <w:color w:val="auto"/>
        </w:rPr>
        <w:t>SNELL &amp; SMITH, A PROFESSIONAL CORPORATION</w:t>
      </w:r>
    </w:p>
    <w:p>
      <w:pPr>
        <w:spacing w:after="0" w:line="8" w:lineRule="exact"/>
        <w:rPr>
          <w:sz w:val="24"/>
          <w:szCs w:val="24"/>
          <w:color w:val="auto"/>
        </w:rPr>
      </w:pPr>
    </w:p>
    <w:p>
      <w:pPr>
        <w:ind w:left="2660"/>
        <w:spacing w:after="0"/>
        <w:rPr>
          <w:sz w:val="20"/>
          <w:szCs w:val="20"/>
          <w:color w:val="auto"/>
        </w:rPr>
      </w:pPr>
      <w:r>
        <w:rPr>
          <w:rFonts w:ascii="Courier New" w:cs="Courier New" w:eastAsia="Courier New" w:hAnsi="Courier New"/>
          <w:sz w:val="16"/>
          <w:szCs w:val="16"/>
          <w:color w:val="auto"/>
        </w:rPr>
        <w:t>1000 LOUISIANA, SUITE 3650</w:t>
      </w:r>
    </w:p>
    <w:p>
      <w:pPr>
        <w:spacing w:after="0" w:line="8" w:lineRule="exact"/>
        <w:rPr>
          <w:sz w:val="24"/>
          <w:szCs w:val="24"/>
          <w:color w:val="auto"/>
        </w:rPr>
      </w:pPr>
    </w:p>
    <w:p>
      <w:pPr>
        <w:ind w:left="2860"/>
        <w:spacing w:after="0"/>
        <w:tabs>
          <w:tab w:leader="none" w:pos="4420" w:val="left"/>
        </w:tabs>
        <w:rPr>
          <w:sz w:val="20"/>
          <w:szCs w:val="20"/>
          <w:color w:val="auto"/>
        </w:rPr>
      </w:pPr>
      <w:r>
        <w:rPr>
          <w:rFonts w:ascii="Courier New" w:cs="Courier New" w:eastAsia="Courier New" w:hAnsi="Courier New"/>
          <w:sz w:val="16"/>
          <w:szCs w:val="16"/>
          <w:color w:val="auto"/>
        </w:rPr>
        <w:t>HOUSTON, TEXAS</w:t>
        <w:tab/>
        <w:t>77002</w:t>
      </w:r>
    </w:p>
    <w:p>
      <w:pPr>
        <w:spacing w:after="0" w:line="8" w:lineRule="exact"/>
        <w:rPr>
          <w:sz w:val="24"/>
          <w:szCs w:val="24"/>
          <w:color w:val="auto"/>
        </w:rPr>
      </w:pPr>
    </w:p>
    <w:p>
      <w:pPr>
        <w:ind w:left="2960"/>
        <w:spacing w:after="0"/>
        <w:rPr>
          <w:sz w:val="20"/>
          <w:szCs w:val="20"/>
          <w:color w:val="auto"/>
        </w:rPr>
      </w:pPr>
      <w:r>
        <w:rPr>
          <w:rFonts w:ascii="Courier New" w:cs="Courier New" w:eastAsia="Courier New" w:hAnsi="Courier New"/>
          <w:sz w:val="16"/>
          <w:szCs w:val="16"/>
          <w:color w:val="auto"/>
        </w:rPr>
        <w:t>___________________</w:t>
      </w:r>
    </w:p>
    <w:p>
      <w:pPr>
        <w:spacing w:after="0" w:line="200" w:lineRule="exact"/>
        <w:rPr>
          <w:sz w:val="24"/>
          <w:szCs w:val="24"/>
          <w:color w:val="auto"/>
        </w:rPr>
      </w:pPr>
    </w:p>
    <w:p>
      <w:pPr>
        <w:spacing w:after="0" w:line="377" w:lineRule="exact"/>
        <w:rPr>
          <w:sz w:val="24"/>
          <w:szCs w:val="24"/>
          <w:color w:val="auto"/>
        </w:rPr>
      </w:pPr>
    </w:p>
    <w:p>
      <w:pPr>
        <w:ind w:right="2519" w:firstLine="591"/>
        <w:spacing w:after="0" w:line="251" w:lineRule="auto"/>
        <w:rPr>
          <w:sz w:val="20"/>
          <w:szCs w:val="20"/>
          <w:color w:val="auto"/>
        </w:rPr>
      </w:pPr>
      <w:r>
        <w:rPr>
          <w:rFonts w:ascii="Courier New" w:cs="Courier New" w:eastAsia="Courier New" w:hAnsi="Courier New"/>
          <w:sz w:val="16"/>
          <w:szCs w:val="16"/>
          <w:color w:val="auto"/>
        </w:rPr>
        <w:t>THIS POST-EFFECTIVE AMENDMENT IS BEING FILED PURSUANT TO RULE 414 UNDER THE SECURITIES ACT OF 1933, AS AMENDED (THE "ACT"), BY USA WASTE SERVICES, INC., A DELAWARE CORPORATION ("USA WASTE DELAWARE"), AS SUCCESSOR TO USA WASTE SERVICES, INC., AN OKLAHOMA CORPORATION. USA WASTE DELAWARE HEREBY EXPRESSLY ADOPTS THIS REGISTRATION STATEMENT ON FORM S-8 (FILE NO. 33-72436) AS ITS OWN REGISTRATION STATEMENT FOR ALL PURPOSES OF THE ACT AND THE SECURITIES EXCHANGE ACT OF 1934.</w:t>
      </w:r>
    </w:p>
    <w:p>
      <w:pPr>
        <w:spacing w:after="0" w:line="200" w:lineRule="exact"/>
        <w:rPr>
          <w:sz w:val="24"/>
          <w:szCs w:val="24"/>
          <w:color w:val="auto"/>
        </w:rPr>
      </w:pPr>
    </w:p>
    <w:p>
      <w:pPr>
        <w:spacing w:after="0" w:line="36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243" w:right="1440" w:bottom="1440" w:gutter="0" w:footer="0" w:header="0"/>
        </w:sectPr>
      </w:pPr>
    </w:p>
    <w:bookmarkStart w:id="1" w:name="page2"/>
    <w:bookmarkEnd w:id="1"/>
    <w:p>
      <w:pPr>
        <w:ind w:left="300"/>
        <w:spacing w:after="0"/>
        <w:rPr>
          <w:sz w:val="20"/>
          <w:szCs w:val="20"/>
          <w:color w:val="auto"/>
        </w:rPr>
      </w:pPr>
      <w:r>
        <w:rPr>
          <w:rFonts w:ascii="Courier New" w:cs="Courier New" w:eastAsia="Courier New" w:hAnsi="Courier New"/>
          <w:sz w:val="16"/>
          <w:szCs w:val="16"/>
          <w:color w:val="auto"/>
        </w:rPr>
        <w:t>2</w:t>
      </w:r>
    </w:p>
    <w:p>
      <w:pPr>
        <w:spacing w:after="0" w:line="8"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PART II</w:t>
      </w:r>
    </w:p>
    <w:p>
      <w:pPr>
        <w:spacing w:after="0" w:line="198" w:lineRule="exact"/>
        <w:rPr>
          <w:sz w:val="20"/>
          <w:szCs w:val="20"/>
          <w:color w:val="auto"/>
        </w:rPr>
      </w:pPr>
    </w:p>
    <w:p>
      <w:pPr>
        <w:ind w:left="1480"/>
        <w:spacing w:after="0"/>
        <w:rPr>
          <w:sz w:val="20"/>
          <w:szCs w:val="20"/>
          <w:color w:val="auto"/>
        </w:rPr>
      </w:pPr>
      <w:r>
        <w:rPr>
          <w:rFonts w:ascii="Courier New" w:cs="Courier New" w:eastAsia="Courier New" w:hAnsi="Courier New"/>
          <w:sz w:val="16"/>
          <w:szCs w:val="16"/>
          <w:color w:val="auto"/>
        </w:rPr>
        <w:t>INFORMATION REQUIRED IN THE REGISTRATION STATEMENT</w:t>
      </w:r>
    </w:p>
    <w:p>
      <w:pPr>
        <w:spacing w:after="0" w:line="388"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6"/>
          <w:szCs w:val="16"/>
          <w:color w:val="auto"/>
        </w:rPr>
        <w:t>ITEM 3.</w:t>
        <w:tab/>
        <w:t>INCORPORATION OF CERTAIN DOCUMENTS BY REFERENCE</w:t>
      </w:r>
    </w:p>
    <w:p>
      <w:pPr>
        <w:spacing w:after="0" w:line="198" w:lineRule="exact"/>
        <w:rPr>
          <w:sz w:val="20"/>
          <w:szCs w:val="20"/>
          <w:color w:val="auto"/>
        </w:rPr>
      </w:pPr>
    </w:p>
    <w:p>
      <w:pPr>
        <w:ind w:right="3419" w:firstLine="887"/>
        <w:spacing w:after="0" w:line="255" w:lineRule="auto"/>
        <w:rPr>
          <w:sz w:val="20"/>
          <w:szCs w:val="20"/>
          <w:color w:val="auto"/>
        </w:rPr>
      </w:pPr>
      <w:r>
        <w:rPr>
          <w:rFonts w:ascii="Courier New" w:cs="Courier New" w:eastAsia="Courier New" w:hAnsi="Courier New"/>
          <w:sz w:val="16"/>
          <w:szCs w:val="16"/>
          <w:color w:val="auto"/>
        </w:rPr>
        <w:t>The following documents are incorporated by reference in the registration statement:</w:t>
      </w:r>
    </w:p>
    <w:p>
      <w:pPr>
        <w:spacing w:after="0" w:line="184" w:lineRule="exact"/>
        <w:rPr>
          <w:sz w:val="20"/>
          <w:szCs w:val="20"/>
          <w:color w:val="auto"/>
        </w:rPr>
      </w:pPr>
    </w:p>
    <w:p>
      <w:pPr>
        <w:ind w:right="2439" w:firstLine="888"/>
        <w:spacing w:after="0" w:line="252" w:lineRule="auto"/>
        <w:tabs>
          <w:tab w:leader="none" w:pos="1676"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registrant's latest annual report on Form 10-K, or, if the financial statements therein are more current, the registrant's latest prospectus, other than the prospectus of which this document is a part, filed pursuant to rule 424(b) or (c) of the Securities Exchange Commission under the Securities Act of 1933.</w:t>
      </w:r>
    </w:p>
    <w:p>
      <w:pPr>
        <w:spacing w:after="0" w:line="185" w:lineRule="exact"/>
        <w:rPr>
          <w:rFonts w:ascii="Courier New" w:cs="Courier New" w:eastAsia="Courier New" w:hAnsi="Courier New"/>
          <w:sz w:val="16"/>
          <w:szCs w:val="16"/>
          <w:color w:val="auto"/>
        </w:rPr>
      </w:pPr>
    </w:p>
    <w:p>
      <w:pPr>
        <w:ind w:right="2439" w:firstLine="888"/>
        <w:spacing w:after="0" w:line="254" w:lineRule="auto"/>
        <w:tabs>
          <w:tab w:leader="none" w:pos="1676"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other reports filed by the registrant pursuant to Sections 13(a) or 15(d) of the Securities Exchange Act of 1934 since the end of the fiscal year covered by the annual report or the prospectus referred to in (a) above.</w:t>
      </w:r>
    </w:p>
    <w:p>
      <w:pPr>
        <w:spacing w:after="0" w:line="372" w:lineRule="exact"/>
        <w:rPr>
          <w:rFonts w:ascii="Courier New" w:cs="Courier New" w:eastAsia="Courier New" w:hAnsi="Courier New"/>
          <w:sz w:val="16"/>
          <w:szCs w:val="16"/>
          <w:color w:val="auto"/>
        </w:rPr>
      </w:pPr>
    </w:p>
    <w:p>
      <w:pPr>
        <w:ind w:right="2519" w:firstLine="888"/>
        <w:spacing w:after="0" w:line="252" w:lineRule="auto"/>
        <w:tabs>
          <w:tab w:leader="none" w:pos="1676"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descriptions of the registrant's Common Stock which are contained in the registrant's registration statement filed under Section 12 of the Securities Exchange Act of 1934, including any amendment or reports filed for the purpose of updating such descriptions.</w:t>
      </w:r>
    </w:p>
    <w:p>
      <w:pPr>
        <w:spacing w:after="0" w:line="187" w:lineRule="exact"/>
        <w:rPr>
          <w:sz w:val="20"/>
          <w:szCs w:val="20"/>
          <w:color w:val="auto"/>
        </w:rPr>
      </w:pPr>
    </w:p>
    <w:p>
      <w:pPr>
        <w:ind w:right="2439" w:firstLine="887"/>
        <w:spacing w:after="0" w:line="251" w:lineRule="auto"/>
        <w:rPr>
          <w:sz w:val="20"/>
          <w:szCs w:val="20"/>
          <w:color w:val="auto"/>
        </w:rPr>
      </w:pPr>
      <w:r>
        <w:rPr>
          <w:rFonts w:ascii="Courier New" w:cs="Courier New" w:eastAsia="Courier New" w:hAnsi="Courier New"/>
          <w:sz w:val="16"/>
          <w:szCs w:val="16"/>
          <w:color w:val="auto"/>
        </w:rPr>
        <w:t>All documents subsequently filed by the registrant pursuant to Sections 13(a), 13(c), 14 and 15(d) of the Securities Exchange Act of 1934, prior to the filing of a post-effective amendment to the registration statement which indicates that all of the shares of common stock offered have been sold or which deregisters all of such shares then remaining unsold, shall be deemed to be incorporated by reference in the registration statement and to be a part hereof from the date of filing of such documents. Any statement contained in a document incorporated or deemed to be incorporated by reference herein shall be deemed to be modified or superseded for purposes of this registration statement to the extent that a statement contained herein or in any other subsequently filed document which also is or is deemed to be incorporated by reference herein modifies or supersedes such statement. Any such statement so modified or superseded shall not be deemed, except as so modified or superseded, to constitute a part of this registration statement.</w:t>
      </w:r>
    </w:p>
    <w:p>
      <w:pPr>
        <w:spacing w:after="0" w:line="190"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6"/>
          <w:szCs w:val="16"/>
          <w:color w:val="auto"/>
        </w:rPr>
        <w:t>ITEM 4.</w:t>
        <w:tab/>
        <w:t>DESCRIPTION OF SECURITIES.</w:t>
      </w:r>
    </w:p>
    <w:p>
      <w:pPr>
        <w:spacing w:after="0" w:line="198"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Not applicable</w:t>
      </w:r>
    </w:p>
    <w:p>
      <w:pPr>
        <w:spacing w:after="0" w:line="198"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6"/>
          <w:szCs w:val="16"/>
          <w:color w:val="auto"/>
        </w:rPr>
        <w:t>ITEM 5.</w:t>
        <w:tab/>
        <w:t>INTERESTS OF NAMED EXPERTS AND COUNSEL.</w:t>
      </w:r>
    </w:p>
    <w:p>
      <w:pPr>
        <w:spacing w:after="0" w:line="198"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Not applicable</w:t>
      </w:r>
    </w:p>
    <w:p>
      <w:pPr>
        <w:spacing w:after="0" w:line="198"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6"/>
          <w:szCs w:val="16"/>
          <w:color w:val="auto"/>
        </w:rPr>
        <w:t>ITEM 6.</w:t>
        <w:tab/>
        <w:t>INDEMNIFICATION OF DIRECTORS AND OFFICERS.</w:t>
      </w:r>
    </w:p>
    <w:p>
      <w:pPr>
        <w:spacing w:after="0" w:line="198" w:lineRule="exact"/>
        <w:rPr>
          <w:sz w:val="20"/>
          <w:szCs w:val="20"/>
          <w:color w:val="auto"/>
        </w:rPr>
      </w:pPr>
    </w:p>
    <w:p>
      <w:pPr>
        <w:ind w:right="2439" w:firstLine="887"/>
        <w:spacing w:after="0" w:line="251" w:lineRule="auto"/>
        <w:rPr>
          <w:sz w:val="20"/>
          <w:szCs w:val="20"/>
          <w:color w:val="auto"/>
        </w:rPr>
      </w:pPr>
      <w:r>
        <w:rPr>
          <w:rFonts w:ascii="Courier New" w:cs="Courier New" w:eastAsia="Courier New" w:hAnsi="Courier New"/>
          <w:sz w:val="16"/>
          <w:szCs w:val="16"/>
          <w:color w:val="auto"/>
        </w:rPr>
        <w:t>Section 102(b)(7) of the Delaware General Corporation Law provides that the certificate of incorporated of a Delaware corporation may contain a provision eliminating or limiting the personal liability of a director to the corporation or its stockholders for monetary damages for breach of fiduciary duty as a director, provided that such provision shall not eliminate or limit the liability of a director: (i) for any breach of the director's duty of loyalty to the corporation or its stockholders, (ii) for acts or omissions not in good faith or which involved intentional misconduct or a knowing violation of law, (iii) under Section 174 of this title, or (iv) for any transaction from which the director derived an improper personal benefit. No such provision shall eliminate or limit the liability of a director for any act or omission occurring prior to the date when such provision becomes effective.</w:t>
      </w:r>
    </w:p>
    <w:p>
      <w:pPr>
        <w:spacing w:after="0" w:line="190" w:lineRule="exact"/>
        <w:rPr>
          <w:sz w:val="20"/>
          <w:szCs w:val="20"/>
          <w:color w:val="auto"/>
        </w:rPr>
      </w:pPr>
    </w:p>
    <w:p>
      <w:pPr>
        <w:ind w:right="3119" w:firstLine="887"/>
        <w:spacing w:after="0" w:line="255" w:lineRule="auto"/>
        <w:rPr>
          <w:sz w:val="20"/>
          <w:szCs w:val="20"/>
          <w:color w:val="auto"/>
        </w:rPr>
      </w:pPr>
      <w:r>
        <w:rPr>
          <w:rFonts w:ascii="Courier New" w:cs="Courier New" w:eastAsia="Courier New" w:hAnsi="Courier New"/>
          <w:sz w:val="16"/>
          <w:szCs w:val="16"/>
          <w:color w:val="auto"/>
        </w:rPr>
        <w:t>The Certificate of Incorporation of the registrant includes the following provisions:</w:t>
      </w:r>
    </w:p>
    <w:p>
      <w:pPr>
        <w:spacing w:after="0" w:line="184" w:lineRule="exact"/>
        <w:rPr>
          <w:sz w:val="20"/>
          <w:szCs w:val="20"/>
          <w:color w:val="auto"/>
        </w:rPr>
      </w:pPr>
    </w:p>
    <w:tbl>
      <w:tblPr>
        <w:tblLayout w:type="fixed"/>
        <w:tblInd w:w="880" w:type="dxa"/>
        <w:tblCellMar>
          <w:top w:w="0" w:type="dxa"/>
          <w:left w:w="0" w:type="dxa"/>
          <w:bottom w:w="0" w:type="dxa"/>
          <w:right w:w="0" w:type="dxa"/>
        </w:tblCellMar>
      </w:tblPr>
      <w:tr>
        <w:trPr>
          <w:trHeight w:val="185"/>
        </w:trPr>
        <w:tc>
          <w:tcPr>
            <w:tcW w:w="1740" w:type="dxa"/>
            <w:vAlign w:val="bottom"/>
          </w:tcPr>
          <w:p>
            <w:pPr>
              <w:ind w:left="800"/>
              <w:spacing w:after="0"/>
              <w:rPr>
                <w:sz w:val="20"/>
                <w:szCs w:val="20"/>
                <w:color w:val="auto"/>
              </w:rPr>
            </w:pPr>
            <w:r>
              <w:rPr>
                <w:rFonts w:ascii="Courier New" w:cs="Courier New" w:eastAsia="Courier New" w:hAnsi="Courier New"/>
                <w:sz w:val="16"/>
                <w:szCs w:val="16"/>
                <w:color w:val="auto"/>
              </w:rPr>
              <w:t>Seventh:</w:t>
            </w:r>
          </w:p>
        </w:tc>
        <w:tc>
          <w:tcPr>
            <w:tcW w:w="280" w:type="dxa"/>
            <w:vAlign w:val="bottom"/>
          </w:tcPr>
          <w:p>
            <w:pPr>
              <w:ind w:left="40"/>
              <w:spacing w:after="0"/>
              <w:rPr>
                <w:sz w:val="20"/>
                <w:szCs w:val="20"/>
                <w:color w:val="auto"/>
              </w:rPr>
            </w:pPr>
            <w:r>
              <w:rPr>
                <w:rFonts w:ascii="Courier New" w:cs="Courier New" w:eastAsia="Courier New" w:hAnsi="Courier New"/>
                <w:sz w:val="16"/>
                <w:szCs w:val="16"/>
                <w:color w:val="auto"/>
              </w:rPr>
              <w:t>No</w:t>
            </w:r>
          </w:p>
        </w:tc>
        <w:tc>
          <w:tcPr>
            <w:tcW w:w="1580" w:type="dxa"/>
            <w:vAlign w:val="bottom"/>
          </w:tcPr>
          <w:p>
            <w:pPr>
              <w:jc w:val="right"/>
              <w:spacing w:after="0"/>
              <w:rPr>
                <w:sz w:val="20"/>
                <w:szCs w:val="20"/>
                <w:color w:val="auto"/>
              </w:rPr>
            </w:pPr>
            <w:r>
              <w:rPr>
                <w:rFonts w:ascii="Courier New" w:cs="Courier New" w:eastAsia="Courier New" w:hAnsi="Courier New"/>
                <w:sz w:val="16"/>
                <w:szCs w:val="16"/>
                <w:color w:val="auto"/>
              </w:rPr>
              <w:t>director of the</w:t>
            </w:r>
          </w:p>
        </w:tc>
        <w:tc>
          <w:tcPr>
            <w:tcW w:w="322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Corporation shall be</w:t>
            </w:r>
          </w:p>
        </w:tc>
      </w:tr>
      <w:tr>
        <w:trPr>
          <w:trHeight w:val="190"/>
        </w:trPr>
        <w:tc>
          <w:tcPr>
            <w:tcW w:w="1740" w:type="dxa"/>
            <w:vAlign w:val="bottom"/>
          </w:tcPr>
          <w:p>
            <w:pPr>
              <w:spacing w:after="0"/>
              <w:rPr>
                <w:sz w:val="20"/>
                <w:szCs w:val="20"/>
                <w:color w:val="auto"/>
              </w:rPr>
            </w:pPr>
            <w:r>
              <w:rPr>
                <w:rFonts w:ascii="Courier New" w:cs="Courier New" w:eastAsia="Courier New" w:hAnsi="Courier New"/>
                <w:sz w:val="16"/>
                <w:szCs w:val="16"/>
                <w:color w:val="auto"/>
              </w:rPr>
              <w:t>personally liable</w:t>
            </w:r>
          </w:p>
        </w:tc>
        <w:tc>
          <w:tcPr>
            <w:tcW w:w="280" w:type="dxa"/>
            <w:vAlign w:val="bottom"/>
          </w:tcPr>
          <w:p>
            <w:pPr>
              <w:ind w:left="40"/>
              <w:spacing w:after="0"/>
              <w:rPr>
                <w:sz w:val="20"/>
                <w:szCs w:val="20"/>
                <w:color w:val="auto"/>
              </w:rPr>
            </w:pPr>
            <w:r>
              <w:rPr>
                <w:rFonts w:ascii="Courier New" w:cs="Courier New" w:eastAsia="Courier New" w:hAnsi="Courier New"/>
                <w:sz w:val="16"/>
                <w:szCs w:val="16"/>
                <w:color w:val="auto"/>
              </w:rPr>
              <w:t>to</w:t>
            </w:r>
          </w:p>
        </w:tc>
        <w:tc>
          <w:tcPr>
            <w:tcW w:w="1580" w:type="dxa"/>
            <w:vAlign w:val="bottom"/>
          </w:tcPr>
          <w:p>
            <w:pPr>
              <w:jc w:val="right"/>
              <w:spacing w:after="0"/>
              <w:rPr>
                <w:sz w:val="20"/>
                <w:szCs w:val="20"/>
                <w:color w:val="auto"/>
              </w:rPr>
            </w:pPr>
            <w:r>
              <w:rPr>
                <w:rFonts w:ascii="Courier New" w:cs="Courier New" w:eastAsia="Courier New" w:hAnsi="Courier New"/>
                <w:sz w:val="16"/>
                <w:szCs w:val="16"/>
                <w:color w:val="auto"/>
              </w:rPr>
              <w:t>the Corporation</w:t>
            </w:r>
          </w:p>
        </w:tc>
        <w:tc>
          <w:tcPr>
            <w:tcW w:w="300" w:type="dxa"/>
            <w:vAlign w:val="bottom"/>
          </w:tcPr>
          <w:p>
            <w:pPr>
              <w:ind w:left="60"/>
              <w:spacing w:after="0"/>
              <w:rPr>
                <w:sz w:val="20"/>
                <w:szCs w:val="20"/>
                <w:color w:val="auto"/>
              </w:rPr>
            </w:pPr>
            <w:r>
              <w:rPr>
                <w:rFonts w:ascii="Courier New" w:cs="Courier New" w:eastAsia="Courier New" w:hAnsi="Courier New"/>
                <w:sz w:val="16"/>
                <w:szCs w:val="16"/>
                <w:color w:val="auto"/>
              </w:rPr>
              <w:t>or</w:t>
            </w:r>
          </w:p>
        </w:tc>
        <w:tc>
          <w:tcPr>
            <w:tcW w:w="2920" w:type="dxa"/>
            <w:vAlign w:val="bottom"/>
          </w:tcPr>
          <w:p>
            <w:pPr>
              <w:ind w:left="60"/>
              <w:spacing w:after="0"/>
              <w:rPr>
                <w:sz w:val="20"/>
                <w:szCs w:val="20"/>
                <w:color w:val="auto"/>
              </w:rPr>
            </w:pPr>
            <w:r>
              <w:rPr>
                <w:rFonts w:ascii="Courier New" w:cs="Courier New" w:eastAsia="Courier New" w:hAnsi="Courier New"/>
                <w:sz w:val="16"/>
                <w:szCs w:val="16"/>
                <w:color w:val="auto"/>
              </w:rPr>
              <w:t>its stockholders for monetary</w:t>
            </w:r>
          </w:p>
        </w:tc>
      </w:tr>
      <w:tr>
        <w:trPr>
          <w:trHeight w:val="190"/>
        </w:trPr>
        <w:tc>
          <w:tcPr>
            <w:tcW w:w="360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damages for breach of fiduciary duty</w:t>
            </w:r>
          </w:p>
        </w:tc>
        <w:tc>
          <w:tcPr>
            <w:tcW w:w="300" w:type="dxa"/>
            <w:vAlign w:val="bottom"/>
          </w:tcPr>
          <w:p>
            <w:pPr>
              <w:ind w:left="60"/>
              <w:spacing w:after="0"/>
              <w:rPr>
                <w:sz w:val="20"/>
                <w:szCs w:val="20"/>
                <w:color w:val="auto"/>
              </w:rPr>
            </w:pPr>
            <w:r>
              <w:rPr>
                <w:rFonts w:ascii="Courier New" w:cs="Courier New" w:eastAsia="Courier New" w:hAnsi="Courier New"/>
                <w:sz w:val="16"/>
                <w:szCs w:val="16"/>
                <w:color w:val="auto"/>
              </w:rPr>
              <w:t>as</w:t>
            </w:r>
          </w:p>
        </w:tc>
        <w:tc>
          <w:tcPr>
            <w:tcW w:w="2920" w:type="dxa"/>
            <w:vAlign w:val="bottom"/>
          </w:tcPr>
          <w:p>
            <w:pPr>
              <w:ind w:left="60"/>
              <w:spacing w:after="0"/>
              <w:rPr>
                <w:sz w:val="20"/>
                <w:szCs w:val="20"/>
                <w:color w:val="auto"/>
              </w:rPr>
            </w:pPr>
            <w:r>
              <w:rPr>
                <w:rFonts w:ascii="Courier New" w:cs="Courier New" w:eastAsia="Courier New" w:hAnsi="Courier New"/>
                <w:sz w:val="16"/>
                <w:szCs w:val="16"/>
                <w:color w:val="auto"/>
              </w:rPr>
              <w:t>a</w:t>
            </w:r>
          </w:p>
        </w:tc>
      </w:tr>
    </w:tbl>
    <w:p>
      <w:pPr>
        <w:spacing w:after="0" w:line="200" w:lineRule="exact"/>
        <w:rPr>
          <w:sz w:val="20"/>
          <w:szCs w:val="20"/>
          <w:color w:val="auto"/>
        </w:rPr>
      </w:pPr>
    </w:p>
    <w:p>
      <w:pPr>
        <w:sectPr>
          <w:pgSz w:w="11900" w:h="16838" w:orient="portrait"/>
          <w:cols w:equalWidth="0" w:num="1">
            <w:col w:w="10219"/>
          </w:cols>
          <w:pgMar w:left="240" w:top="30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II-1</w:t>
      </w:r>
    </w:p>
    <w:p>
      <w:pPr>
        <w:sectPr>
          <w:pgSz w:w="11900" w:h="16838" w:orient="portrait"/>
          <w:cols w:equalWidth="0" w:num="1">
            <w:col w:w="10219"/>
          </w:cols>
          <w:pgMar w:left="240" w:top="306" w:right="1440" w:bottom="1440" w:gutter="0" w:footer="0" w:header="0"/>
          <w:type w:val="continuous"/>
        </w:sectPr>
      </w:pPr>
    </w:p>
    <w:bookmarkStart w:id="2" w:name="page3"/>
    <w:bookmarkEnd w:id="2"/>
    <w:p>
      <w:pPr>
        <w:ind w:left="300"/>
        <w:spacing w:after="0"/>
        <w:rPr>
          <w:sz w:val="20"/>
          <w:szCs w:val="20"/>
          <w:color w:val="auto"/>
        </w:rPr>
      </w:pPr>
      <w:r>
        <w:rPr>
          <w:rFonts w:ascii="Courier New" w:cs="Courier New" w:eastAsia="Courier New" w:hAnsi="Courier New"/>
          <w:sz w:val="16"/>
          <w:szCs w:val="16"/>
          <w:color w:val="auto"/>
        </w:rPr>
        <w:t>3</w:t>
      </w:r>
    </w:p>
    <w:p>
      <w:pPr>
        <w:spacing w:after="0" w:line="8" w:lineRule="exact"/>
        <w:rPr>
          <w:sz w:val="20"/>
          <w:szCs w:val="20"/>
          <w:color w:val="auto"/>
        </w:rPr>
      </w:pPr>
    </w:p>
    <w:p>
      <w:pPr>
        <w:jc w:val="both"/>
        <w:ind w:left="880" w:right="2719"/>
        <w:spacing w:after="0" w:line="251" w:lineRule="auto"/>
        <w:rPr>
          <w:sz w:val="20"/>
          <w:szCs w:val="20"/>
          <w:color w:val="auto"/>
        </w:rPr>
      </w:pPr>
      <w:r>
        <w:rPr>
          <w:rFonts w:ascii="Courier New" w:cs="Courier New" w:eastAsia="Courier New" w:hAnsi="Courier New"/>
          <w:sz w:val="16"/>
          <w:szCs w:val="16"/>
          <w:color w:val="auto"/>
        </w:rPr>
        <w:t>director, provided that this provision shall not eliminate or limit the liability of a director for liability (i) for any breach of the director's duty of loyalty to the Corporation or its stockholders,</w:t>
      </w:r>
    </w:p>
    <w:p>
      <w:pPr>
        <w:ind w:left="880" w:right="2439" w:firstLine="8"/>
        <w:spacing w:after="0" w:line="251" w:lineRule="auto"/>
        <w:tabs>
          <w:tab w:leader="none" w:pos="1373"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acts or omissions not in good faith or which involve intentional misconduct or a knowing violation of law, (iii) under Section 174 of the General Corporation Law of Delaware or (iv) for any transaction from which the director derived an improper personal benefit. If the General Corporation Law of Delaware hereafter is amended to authorize the further elimination or limitation of the liability of directors, then the liability of a director of the Corporation, in addition to the limitation on personal liability provided herein, shall be limited to the fullest extent permitted by the amended General Corporation Law of Delaware. Any repeal or modification of this paragraph by the stockholders of the Corporation shall be prospective only, and shall not adversely affect any limitation on the personal liability of a director of the Corporation existing at the time of such repeal or modification. Neither this Restated Certificate of Incorporation nor any amendment, alteration, or repeal of this Article, nor the adoption of any provision of the Restated Certificate of Incorporation inconsistent with this Article, shall adversely effect, eliminate, or reduce any right or protection of a director of the Corporation hereunder with respect to any act, omission or matter occurring, or any action, suit, or claim that, but for this Article, would accrue or arise, prior to the time of such amendment, modification, repeal, or adoption of an inconsistent provision. All references in this Article to a "director" shall also be deemed to refer to such person or persons, if any, who pursuant to a provision of the Restated Certificate of Incorporation in accordance with subsection (a) of Section 141 of the Delaware General Corporation Law, exercise or perform any of the powers or duties otherwise conferred or imposed upon the board of directors by the Delaware General Corporation Law.</w:t>
      </w:r>
    </w:p>
    <w:p>
      <w:pPr>
        <w:spacing w:after="0" w:line="190"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Section 145 of the Delaware General Corporation Law provides as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follows:</w:t>
      </w:r>
    </w:p>
    <w:p>
      <w:pPr>
        <w:spacing w:after="0" w:line="198" w:lineRule="exact"/>
        <w:rPr>
          <w:sz w:val="20"/>
          <w:szCs w:val="20"/>
          <w:color w:val="auto"/>
        </w:rPr>
      </w:pPr>
    </w:p>
    <w:p>
      <w:pPr>
        <w:ind w:right="2439" w:firstLine="888"/>
        <w:spacing w:after="0" w:line="251" w:lineRule="auto"/>
        <w:tabs>
          <w:tab w:leader="none" w:pos="1479"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INDEMNIFICATION OF OFFICERS DIRECTORS, EMPLOYEES AND AGENTS; INSURANCE. -- (a) A corporation may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him in connection with such action, suit or proceeding if he acted in good faith and in a manner he reasonably believed to be in or not opposed to the best interests of the corporation, and, with respect to any criminal action or proceeding, had no reasonable cause to believe his conduct was unlawful.</w:t>
      </w:r>
    </w:p>
    <w:p>
      <w:pPr>
        <w:ind w:right="2439"/>
        <w:spacing w:after="0" w:line="25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termination of any action, suit or proceeding by judgment, order, settlement, conviction, or upon a plea of nolo contendere or its equivalent, shall not, of itself, create a presumption that the person did not act in good faith and in a manner which he reasonably believed to be in or not opposed to the best interests of the corporation, and, with respect to any criminal action or proceeding, had reasonable cause to believe that his conduct was unlawful.</w:t>
      </w:r>
    </w:p>
    <w:p>
      <w:pPr>
        <w:spacing w:after="0" w:line="190" w:lineRule="exact"/>
        <w:rPr>
          <w:sz w:val="20"/>
          <w:szCs w:val="20"/>
          <w:color w:val="auto"/>
        </w:rPr>
      </w:pPr>
    </w:p>
    <w:p>
      <w:pPr>
        <w:ind w:right="2439" w:firstLine="888"/>
        <w:spacing w:after="0" w:line="251" w:lineRule="auto"/>
        <w:tabs>
          <w:tab w:leader="none" w:pos="1676"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corporation may indemnify any person who was or is a party or is threatened to be made a party to any threatened, pending or completed action or suit by or in the right of the corporation to procure a judgment in its favor by reason of the fact that 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him in connection with the defense or settlement of such action or suit if he acted in good faith and in a manner he reasonably believed to be in or not opposed to the best interests of the corporation and except that no indemnification shall be made in respect of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190" w:lineRule="exact"/>
        <w:rPr>
          <w:rFonts w:ascii="Courier New" w:cs="Courier New" w:eastAsia="Courier New" w:hAnsi="Courier New"/>
          <w:sz w:val="16"/>
          <w:szCs w:val="16"/>
          <w:color w:val="auto"/>
        </w:rPr>
      </w:pPr>
    </w:p>
    <w:p>
      <w:pPr>
        <w:ind w:right="2439" w:firstLine="888"/>
        <w:spacing w:after="0" w:line="253" w:lineRule="auto"/>
        <w:tabs>
          <w:tab w:leader="none" w:pos="1676"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extent that a director, officer, employee or agent of a corporation has been successful on the merits or otherwise in defense of any action, suit or proceeding referred to in subsection</w:t>
      </w:r>
    </w:p>
    <w:p>
      <w:pPr>
        <w:sectPr>
          <w:pgSz w:w="11900" w:h="16838" w:orient="portrait"/>
          <w:cols w:equalWidth="0" w:num="1">
            <w:col w:w="10219"/>
          </w:cols>
          <w:pgMar w:left="240" w:top="30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II-2</w:t>
      </w:r>
    </w:p>
    <w:p>
      <w:pPr>
        <w:sectPr>
          <w:pgSz w:w="11900" w:h="16838" w:orient="portrait"/>
          <w:cols w:equalWidth="0" w:num="1">
            <w:col w:w="10219"/>
          </w:cols>
          <w:pgMar w:left="240" w:top="306" w:right="1440" w:bottom="0" w:gutter="0" w:footer="0" w:header="0"/>
          <w:type w:val="continuous"/>
        </w:sectPr>
      </w:pPr>
    </w:p>
    <w:bookmarkStart w:id="3" w:name="page4"/>
    <w:bookmarkEnd w:id="3"/>
    <w:p>
      <w:pPr>
        <w:ind w:left="299"/>
        <w:spacing w:after="0"/>
        <w:rPr>
          <w:sz w:val="20"/>
          <w:szCs w:val="20"/>
          <w:color w:val="auto"/>
        </w:rPr>
      </w:pPr>
      <w:r>
        <w:rPr>
          <w:rFonts w:ascii="Courier New" w:cs="Courier New" w:eastAsia="Courier New" w:hAnsi="Courier New"/>
          <w:sz w:val="16"/>
          <w:szCs w:val="16"/>
          <w:color w:val="auto"/>
        </w:rPr>
        <w:t>4</w:t>
      </w:r>
    </w:p>
    <w:p>
      <w:pPr>
        <w:spacing w:after="0" w:line="8" w:lineRule="exact"/>
        <w:rPr>
          <w:sz w:val="20"/>
          <w:szCs w:val="20"/>
          <w:color w:val="auto"/>
        </w:rPr>
      </w:pPr>
    </w:p>
    <w:p>
      <w:pPr>
        <w:ind w:left="-1" w:right="2519" w:firstLine="1"/>
        <w:spacing w:after="0" w:line="253" w:lineRule="auto"/>
        <w:tabs>
          <w:tab w:leader="none" w:pos="393"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or (b) of this section, or in defense of any claim, issue or matter therein, he shall be indemnified against expenses (including attorneys' fees), actually and reasonably incurred by him in connection therewith.</w:t>
      </w:r>
    </w:p>
    <w:p>
      <w:pPr>
        <w:spacing w:after="0" w:line="185" w:lineRule="exact"/>
        <w:rPr>
          <w:rFonts w:ascii="Courier New" w:cs="Courier New" w:eastAsia="Courier New" w:hAnsi="Courier New"/>
          <w:sz w:val="16"/>
          <w:szCs w:val="16"/>
          <w:color w:val="auto"/>
        </w:rPr>
      </w:pPr>
    </w:p>
    <w:p>
      <w:pPr>
        <w:ind w:left="1679" w:hanging="792"/>
        <w:spacing w:after="0"/>
        <w:tabs>
          <w:tab w:leader="none" w:pos="1679"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indemnification under the provisions of subsection (a) or</w:t>
      </w:r>
    </w:p>
    <w:p>
      <w:pPr>
        <w:spacing w:after="0" w:line="8" w:lineRule="exact"/>
        <w:rPr>
          <w:rFonts w:ascii="Courier New" w:cs="Courier New" w:eastAsia="Courier New" w:hAnsi="Courier New"/>
          <w:sz w:val="16"/>
          <w:szCs w:val="16"/>
          <w:color w:val="auto"/>
        </w:rPr>
      </w:pPr>
    </w:p>
    <w:p>
      <w:pPr>
        <w:ind w:left="-1" w:right="2439" w:firstLine="1"/>
        <w:spacing w:after="0" w:line="251" w:lineRule="auto"/>
        <w:tabs>
          <w:tab w:leader="none" w:pos="393"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of this section (unless ordered by a court) shall be made by the corporation only as authorized in the specific case upon a determination that indemnification of the director, officer, employee or agent is proper in the circumstances because he has met the applicable standard of conduct set forth in subsection (a) or (b) of this section. Such determination shall be made (1) by a majority vote of directors who were not parties to such action suit or proceeding even though less than a quorum, or (2) if there are no such directors, or if such directors so direct, by independent legal counsel in a written opinion, or (3) by the stockholders.</w:t>
      </w:r>
    </w:p>
    <w:p>
      <w:pPr>
        <w:spacing w:after="0" w:line="189" w:lineRule="exact"/>
        <w:rPr>
          <w:rFonts w:ascii="Courier New" w:cs="Courier New" w:eastAsia="Courier New" w:hAnsi="Courier New"/>
          <w:sz w:val="16"/>
          <w:szCs w:val="16"/>
          <w:color w:val="auto"/>
        </w:rPr>
      </w:pPr>
    </w:p>
    <w:p>
      <w:pPr>
        <w:ind w:left="-1" w:right="2439" w:firstLine="888"/>
        <w:spacing w:after="0" w:line="251" w:lineRule="auto"/>
        <w:tabs>
          <w:tab w:leader="none" w:pos="1675" w:val="left"/>
        </w:tabs>
        <w:numPr>
          <w:ilvl w:val="1"/>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Expenses (including attorneys' fees) incurred by an officer or director in defending any civil, criminal, administrative, or investigative action, suit or proceeding may be paid by the corporation in advance of the final disposition of such action, suit or proceeding upon receipt of an undertaking by or on behalf of such director or officer to repay such amount if it shall ultimately be determined that he is not entitled to be indemnified by the corporation as authorized by the provisions of this section. Such expenses (including attorneys' fees) incurred by other employees and agents may be so paid upon such terms and conditions, if any, as the board of directors deems appropriate.</w:t>
      </w:r>
    </w:p>
    <w:p>
      <w:pPr>
        <w:spacing w:after="0" w:line="189" w:lineRule="exact"/>
        <w:rPr>
          <w:rFonts w:ascii="Courier New" w:cs="Courier New" w:eastAsia="Courier New" w:hAnsi="Courier New"/>
          <w:sz w:val="16"/>
          <w:szCs w:val="16"/>
          <w:color w:val="auto"/>
        </w:rPr>
      </w:pPr>
    </w:p>
    <w:p>
      <w:pPr>
        <w:ind w:left="-1" w:right="2439" w:firstLine="888"/>
        <w:spacing w:after="0" w:line="252" w:lineRule="auto"/>
        <w:tabs>
          <w:tab w:leader="none" w:pos="1675" w:val="left"/>
        </w:tabs>
        <w:numPr>
          <w:ilvl w:val="1"/>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indemnification and advancement of expense provided by, or granted pursuant to, the other subsections of this section shall not be deemed exclusive of any other rights to which those seeking indemnification or advancement of expenses may be entitled under any bylaw, agreement, vote of stockholders or disinterested directors or otherwise, both as to action in his official capacity and as to action in another capacity while holding such office.</w:t>
      </w:r>
    </w:p>
    <w:p>
      <w:pPr>
        <w:spacing w:after="0" w:line="374" w:lineRule="exact"/>
        <w:rPr>
          <w:rFonts w:ascii="Courier New" w:cs="Courier New" w:eastAsia="Courier New" w:hAnsi="Courier New"/>
          <w:sz w:val="16"/>
          <w:szCs w:val="16"/>
          <w:color w:val="auto"/>
        </w:rPr>
      </w:pPr>
    </w:p>
    <w:p>
      <w:pPr>
        <w:ind w:left="-1" w:right="2619" w:firstLine="888"/>
        <w:spacing w:after="0" w:line="251" w:lineRule="auto"/>
        <w:tabs>
          <w:tab w:leader="none" w:pos="1675" w:val="left"/>
        </w:tabs>
        <w:numPr>
          <w:ilvl w:val="1"/>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corporation shall have power to purchase and maintain insurance on behalf of any person who is or was a director, officer, employee or agent of the corporation, or is or was servicing at the request of the corporation as a director, officer, employee or agent of another corporation, partnership, joint venture, trust or other enterprise against any liability asserted against him and incurred by him in any such capacity, or arising out of his status as such, whether or not the corporation would have the power to indemnify him against such liability under the provisions of this section.</w:t>
      </w:r>
    </w:p>
    <w:p>
      <w:pPr>
        <w:spacing w:after="0" w:line="189" w:lineRule="exact"/>
        <w:rPr>
          <w:rFonts w:ascii="Courier New" w:cs="Courier New" w:eastAsia="Courier New" w:hAnsi="Courier New"/>
          <w:sz w:val="16"/>
          <w:szCs w:val="16"/>
          <w:color w:val="auto"/>
        </w:rPr>
      </w:pPr>
    </w:p>
    <w:p>
      <w:pPr>
        <w:ind w:left="-1" w:right="2439" w:firstLine="888"/>
        <w:spacing w:after="0" w:line="251" w:lineRule="auto"/>
        <w:tabs>
          <w:tab w:leader="none" w:pos="1675" w:val="left"/>
        </w:tabs>
        <w:numPr>
          <w:ilvl w:val="1"/>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this section, references to "the corporation"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the provisions of this section with respect to the resulting or surviving corporation as he would have with respect to such constituent corporation if its separate existence had continued.</w:t>
      </w:r>
    </w:p>
    <w:p>
      <w:pPr>
        <w:spacing w:after="0" w:line="379" w:lineRule="exact"/>
        <w:rPr>
          <w:rFonts w:ascii="Courier New" w:cs="Courier New" w:eastAsia="Courier New" w:hAnsi="Courier New"/>
          <w:sz w:val="16"/>
          <w:szCs w:val="16"/>
          <w:color w:val="auto"/>
        </w:rPr>
      </w:pPr>
    </w:p>
    <w:p>
      <w:pPr>
        <w:ind w:left="-1" w:right="2439" w:firstLine="888"/>
        <w:spacing w:after="0" w:line="251" w:lineRule="auto"/>
        <w:tabs>
          <w:tab w:leader="none" w:pos="1675" w:val="left"/>
        </w:tabs>
        <w:numPr>
          <w:ilvl w:val="1"/>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this section, references to "other enterprises" shall include employee benefit plans; references to "fines" shall include any excise taxes assessed on a person with respect to an employee benefit plan; and references to "serving at the request of the corporation" shall include any service as a director, officer, employee or agent of the corporation which imposes duties on, or involves services, by such director, officer, employee, or agent with respect to an employee benefit plan, its participants, or beneficiaries; and a person who acted in good faith and in a manner he reasonably believed to be in the interest of the participants and beneficiaries of an employee benefit plan shall be deemed to have acted in a manner "not opposed to the best interests of the corporation" as referred to in this section.</w:t>
      </w:r>
    </w:p>
    <w:p>
      <w:pPr>
        <w:spacing w:after="0" w:line="379" w:lineRule="exact"/>
        <w:rPr>
          <w:rFonts w:ascii="Courier New" w:cs="Courier New" w:eastAsia="Courier New" w:hAnsi="Courier New"/>
          <w:sz w:val="16"/>
          <w:szCs w:val="16"/>
          <w:color w:val="auto"/>
        </w:rPr>
      </w:pPr>
    </w:p>
    <w:p>
      <w:pPr>
        <w:ind w:left="-1" w:right="2439" w:firstLine="888"/>
        <w:spacing w:after="0" w:line="252" w:lineRule="auto"/>
        <w:tabs>
          <w:tab w:leader="none" w:pos="1675" w:val="left"/>
        </w:tabs>
        <w:numPr>
          <w:ilvl w:val="1"/>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indemnification and advancement of expenses provided by, or granted pursuant to, this section, unless otherwise provided when authorized or ratified, shall continue as to a person who has ceased to be a director, officer, employee or agent and shall inure to the benefit of the heirs, executors and administrators of such a person.</w:t>
      </w:r>
    </w:p>
    <w:p>
      <w:pPr>
        <w:sectPr>
          <w:pgSz w:w="11900" w:h="16838" w:orient="portrait"/>
          <w:cols w:equalWidth="0" w:num="1">
            <w:col w:w="10218"/>
          </w:cols>
          <w:pgMar w:left="241" w:top="306" w:right="1440" w:bottom="43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3739"/>
        <w:spacing w:after="0"/>
        <w:rPr>
          <w:sz w:val="20"/>
          <w:szCs w:val="20"/>
          <w:color w:val="auto"/>
        </w:rPr>
      </w:pPr>
      <w:r>
        <w:rPr>
          <w:rFonts w:ascii="Courier New" w:cs="Courier New" w:eastAsia="Courier New" w:hAnsi="Courier New"/>
          <w:sz w:val="16"/>
          <w:szCs w:val="16"/>
          <w:color w:val="auto"/>
        </w:rPr>
        <w:t>II-3</w:t>
      </w:r>
    </w:p>
    <w:p>
      <w:pPr>
        <w:sectPr>
          <w:pgSz w:w="11900" w:h="16838" w:orient="portrait"/>
          <w:cols w:equalWidth="0" w:num="1">
            <w:col w:w="10218"/>
          </w:cols>
          <w:pgMar w:left="241" w:top="306" w:right="1440" w:bottom="430" w:gutter="0" w:footer="0" w:header="0"/>
          <w:type w:val="continuous"/>
        </w:sectPr>
      </w:pPr>
    </w:p>
    <w:bookmarkStart w:id="4" w:name="page5"/>
    <w:bookmarkEnd w:id="4"/>
    <w:p>
      <w:pPr>
        <w:ind w:left="300"/>
        <w:spacing w:after="0"/>
        <w:rPr>
          <w:sz w:val="20"/>
          <w:szCs w:val="20"/>
          <w:color w:val="auto"/>
        </w:rPr>
      </w:pPr>
      <w:r>
        <w:rPr>
          <w:rFonts w:ascii="Courier New" w:cs="Courier New" w:eastAsia="Courier New" w:hAnsi="Courier New"/>
          <w:sz w:val="16"/>
          <w:szCs w:val="16"/>
          <w:color w:val="auto"/>
        </w:rPr>
        <w:t>5</w:t>
      </w:r>
    </w:p>
    <w:p>
      <w:pPr>
        <w:spacing w:after="0" w:line="8" w:lineRule="exact"/>
        <w:rPr>
          <w:sz w:val="20"/>
          <w:szCs w:val="20"/>
          <w:color w:val="auto"/>
        </w:rPr>
      </w:pPr>
    </w:p>
    <w:p>
      <w:pPr>
        <w:ind w:right="2439" w:firstLine="888"/>
        <w:spacing w:after="0" w:line="251" w:lineRule="auto"/>
        <w:tabs>
          <w:tab w:leader="none" w:pos="1676"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Court of Chancery is hereby vested with exclusive jurisdiction to hear and determine all actions for advancement of expenses or indemnification brought under this section or under any bylaw, agreement, vote of stockholders or disinterested directors, or otherwise. The Court of Chancery may summarily determine a corporation's obligation to advance expenses (including attorneys' fees).</w:t>
      </w:r>
    </w:p>
    <w:p>
      <w:pPr>
        <w:spacing w:after="0" w:line="190" w:lineRule="exact"/>
        <w:rPr>
          <w:sz w:val="20"/>
          <w:szCs w:val="20"/>
          <w:color w:val="auto"/>
        </w:rPr>
      </w:pPr>
    </w:p>
    <w:p>
      <w:pPr>
        <w:ind w:right="3119" w:firstLine="887"/>
        <w:spacing w:after="0" w:line="255" w:lineRule="auto"/>
        <w:rPr>
          <w:sz w:val="20"/>
          <w:szCs w:val="20"/>
          <w:color w:val="auto"/>
        </w:rPr>
      </w:pPr>
      <w:r>
        <w:rPr>
          <w:rFonts w:ascii="Courier New" w:cs="Courier New" w:eastAsia="Courier New" w:hAnsi="Courier New"/>
          <w:sz w:val="16"/>
          <w:szCs w:val="16"/>
          <w:color w:val="auto"/>
        </w:rPr>
        <w:t>The Certificate of Incorporation of the registrant includes the following provision:</w:t>
      </w:r>
    </w:p>
    <w:p>
      <w:pPr>
        <w:spacing w:after="0" w:line="184" w:lineRule="exact"/>
        <w:rPr>
          <w:sz w:val="20"/>
          <w:szCs w:val="20"/>
          <w:color w:val="auto"/>
        </w:rPr>
      </w:pPr>
    </w:p>
    <w:p>
      <w:pPr>
        <w:ind w:left="400" w:right="2439" w:firstLine="493"/>
        <w:spacing w:after="0" w:line="251" w:lineRule="auto"/>
        <w:rPr>
          <w:sz w:val="20"/>
          <w:szCs w:val="20"/>
          <w:color w:val="auto"/>
        </w:rPr>
      </w:pPr>
      <w:r>
        <w:rPr>
          <w:rFonts w:ascii="Courier New" w:cs="Courier New" w:eastAsia="Courier New" w:hAnsi="Courier New"/>
          <w:sz w:val="16"/>
          <w:szCs w:val="16"/>
          <w:color w:val="auto"/>
        </w:rPr>
        <w:t>Eighth: This Corporation shall, to the maximum extent permitted from time to time under the law of the State of Delaware, indemnify and upon request shall advance expenses to any person who is or was a party or is threatened to be made a party to any threatened, pending or completed action, suit, proceeding or claim, whether civil, criminal, administrative or investigative, by reason of the fact that such person is or was or has agreed to be a director or officer of this Corporation or any of its direct or indirect subsidiaries or while such a director or officer is or was serving at the request of this Corporation as a director, officer, partner, trustee, employee or agent of any corporation, partnership, joint venture, trust or other enterprise, including service with respect to employee benefit plans, against expenses (including attorney's fees and expenses), judgments, fines, penalties and amounts paid in settlement incurred in connection with the investigation, preparation to defend or defense of such action, suit, proceeding or claim; provided, however, that the foregoing shall not require this Corporation to indemnify or advance expenses to any person in connection with any action, suit, proceeding, claim or counterclaim initiated by or on behalf of such person. Such indemnification shall not be exclusive of other indemnification rights arising under any bylaws, agreement, vote of directors or stockholders or otherwise and shall inure to the benefit of the heirs and legal representatives of such person. Any person seeking indemnification under this Article shall be deemed to have met the standard of conduct required for such indemnification unless the contrary shall be established.</w:t>
      </w:r>
    </w:p>
    <w:p>
      <w:pPr>
        <w:spacing w:after="0" w:line="190" w:lineRule="exact"/>
        <w:rPr>
          <w:sz w:val="20"/>
          <w:szCs w:val="20"/>
          <w:color w:val="auto"/>
        </w:rPr>
      </w:pPr>
    </w:p>
    <w:p>
      <w:pPr>
        <w:ind w:right="2619" w:firstLine="887"/>
        <w:spacing w:after="0" w:line="252" w:lineRule="auto"/>
        <w:rPr>
          <w:sz w:val="20"/>
          <w:szCs w:val="20"/>
          <w:color w:val="auto"/>
        </w:rPr>
      </w:pPr>
      <w:r>
        <w:rPr>
          <w:rFonts w:ascii="Courier New" w:cs="Courier New" w:eastAsia="Courier New" w:hAnsi="Courier New"/>
          <w:sz w:val="16"/>
          <w:szCs w:val="16"/>
          <w:color w:val="auto"/>
        </w:rPr>
        <w:t>The Bylaws of the registrant include indemnification provisions that generally provide indemnification to directors and officers of the registrant in the manner and to the extent permitted by Section 145 of the Delaware General Corporation Law. However, the provisions corresponding to subsections 145(a) and (b) are mandatory rather than permissive.</w:t>
      </w:r>
    </w:p>
    <w:p>
      <w:pPr>
        <w:spacing w:after="0" w:line="186" w:lineRule="exact"/>
        <w:rPr>
          <w:sz w:val="20"/>
          <w:szCs w:val="20"/>
          <w:color w:val="auto"/>
        </w:rPr>
      </w:pPr>
    </w:p>
    <w:p>
      <w:pPr>
        <w:ind w:right="2439" w:firstLine="887"/>
        <w:spacing w:after="0" w:line="251" w:lineRule="auto"/>
        <w:rPr>
          <w:sz w:val="20"/>
          <w:szCs w:val="20"/>
          <w:color w:val="auto"/>
        </w:rPr>
      </w:pPr>
      <w:r>
        <w:rPr>
          <w:rFonts w:ascii="Courier New" w:cs="Courier New" w:eastAsia="Courier New" w:hAnsi="Courier New"/>
          <w:sz w:val="16"/>
          <w:szCs w:val="16"/>
          <w:color w:val="auto"/>
        </w:rPr>
        <w:t>The registrant has entered into Indemnification Agreements with each of its directors and executive officers. Such Indemnification Agreements provide that such persons (the "Indemnitees") will be indemnified and held harmless from all expenses, including (without limitation) reasonable fees and expenses of counsel, and all liabilities, including (without limitation) the amount of any judgments, fines, penalties, excise taxes and amounts paid in settlement, actually incurred by an Indemnitee with respect to any threatened, pending or completed claim, action (including any action by or in the right of the registrant), suit or proceeding (whether formal or informal, or civil, criminal, administrative, legislative, arbitrative or investigative) in respect of which such Indemnitee is, was or at any time becomes, or is threatened to be made, a party, witness, subject or target, by reason of the fact that such Indemnitee is or was a director, officer, agent or fiduciary of the registrant or serving at the request of the registrant as a director, officer, employee, fiduciary or representative of another enterprise. Such Indemnification Agreements also provide that the registrant, if requested to do so by an Indemnitee, will advance to such Indemnitee, prior to final disposition of any proceeding, the expenses actually incurred by the Indemnitee subject to the obligation of the Indemnitee to refund if it is ultimately determined that such Indemnitee was not entitled to indemnification.</w:t>
      </w:r>
    </w:p>
    <w:p>
      <w:pPr>
        <w:spacing w:after="0" w:line="380"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6"/>
          <w:szCs w:val="16"/>
          <w:color w:val="auto"/>
        </w:rPr>
        <w:t>ITEM 7.</w:t>
        <w:tab/>
        <w:t>EXEMPTION FROM REGISTRATION CLAIMED.</w:t>
      </w:r>
    </w:p>
    <w:p>
      <w:pPr>
        <w:spacing w:after="0" w:line="198"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Not applicable.</w:t>
      </w:r>
    </w:p>
    <w:p>
      <w:pPr>
        <w:spacing w:after="0" w:line="388"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6"/>
          <w:szCs w:val="16"/>
          <w:color w:val="auto"/>
        </w:rPr>
        <w:t>ITEM 8.</w:t>
        <w:tab/>
        <w:t>EXHIBITS.</w:t>
      </w:r>
    </w:p>
    <w:p>
      <w:pPr>
        <w:spacing w:after="0" w:line="198" w:lineRule="exact"/>
        <w:rPr>
          <w:sz w:val="20"/>
          <w:szCs w:val="20"/>
          <w:color w:val="auto"/>
        </w:rPr>
      </w:pPr>
    </w:p>
    <w:p>
      <w:pPr>
        <w:ind w:left="1680" w:right="2519" w:hanging="689"/>
        <w:spacing w:after="0" w:line="251" w:lineRule="auto"/>
        <w:tabs>
          <w:tab w:leader="none" w:pos="1660" w:val="left"/>
        </w:tabs>
        <w:rPr>
          <w:sz w:val="20"/>
          <w:szCs w:val="20"/>
          <w:color w:val="auto"/>
        </w:rPr>
      </w:pPr>
      <w:r>
        <w:rPr>
          <w:rFonts w:ascii="Courier New" w:cs="Courier New" w:eastAsia="Courier New" w:hAnsi="Courier New"/>
          <w:sz w:val="16"/>
          <w:szCs w:val="16"/>
          <w:color w:val="auto"/>
        </w:rPr>
        <w:t>4.1</w:t>
      </w:r>
      <w:r>
        <w:rPr>
          <w:sz w:val="20"/>
          <w:szCs w:val="20"/>
          <w:color w:val="auto"/>
        </w:rPr>
        <w:tab/>
      </w:r>
      <w:r>
        <w:rPr>
          <w:rFonts w:ascii="Courier New" w:cs="Courier New" w:eastAsia="Courier New" w:hAnsi="Courier New"/>
          <w:sz w:val="16"/>
          <w:szCs w:val="16"/>
          <w:color w:val="auto"/>
        </w:rPr>
        <w:t>Restated Certificate of Incorporation of the Registrant [Incorporated by reference to Exhibit 3.1 of the Registrant's Registration Statement on Form S-4, File No. 33-60103]</w:t>
      </w:r>
    </w:p>
    <w:p>
      <w:pPr>
        <w:ind w:left="1680" w:right="2439" w:hanging="689"/>
        <w:spacing w:after="0" w:line="253" w:lineRule="auto"/>
        <w:tabs>
          <w:tab w:leader="none" w:pos="1660" w:val="left"/>
        </w:tabs>
        <w:rPr>
          <w:sz w:val="20"/>
          <w:szCs w:val="20"/>
          <w:color w:val="auto"/>
        </w:rPr>
      </w:pPr>
      <w:r>
        <w:rPr>
          <w:rFonts w:ascii="Courier New" w:cs="Courier New" w:eastAsia="Courier New" w:hAnsi="Courier New"/>
          <w:sz w:val="16"/>
          <w:szCs w:val="16"/>
          <w:color w:val="auto"/>
        </w:rPr>
        <w:t>4.2</w:t>
      </w:r>
      <w:r>
        <w:rPr>
          <w:sz w:val="20"/>
          <w:szCs w:val="20"/>
          <w:color w:val="auto"/>
        </w:rPr>
        <w:tab/>
      </w:r>
      <w:r>
        <w:rPr>
          <w:rFonts w:ascii="Courier New" w:cs="Courier New" w:eastAsia="Courier New" w:hAnsi="Courier New"/>
          <w:sz w:val="16"/>
          <w:szCs w:val="16"/>
          <w:color w:val="auto"/>
        </w:rPr>
        <w:t>Bylaws of the Registrant [Incorporated by reference to Exhibit 3.2 of the Registrant's Registration Statement on Form S-4, File No. 33-60103]</w:t>
      </w:r>
    </w:p>
    <w:p>
      <w:pPr>
        <w:sectPr>
          <w:pgSz w:w="11900" w:h="16838" w:orient="portrait"/>
          <w:cols w:equalWidth="0" w:num="1">
            <w:col w:w="10219"/>
          </w:cols>
          <w:pgMar w:left="240" w:top="306" w:right="1440" w:bottom="2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II-4</w:t>
      </w:r>
    </w:p>
    <w:p>
      <w:pPr>
        <w:sectPr>
          <w:pgSz w:w="11900" w:h="16838" w:orient="portrait"/>
          <w:cols w:equalWidth="0" w:num="1">
            <w:col w:w="10219"/>
          </w:cols>
          <w:pgMar w:left="240" w:top="306" w:right="1440" w:bottom="240" w:gutter="0" w:footer="0" w:header="0"/>
          <w:type w:val="continuous"/>
        </w:sectPr>
      </w:pPr>
    </w:p>
    <w:bookmarkStart w:id="5" w:name="page6"/>
    <w:bookmarkEnd w:id="5"/>
    <w:p>
      <w:pPr>
        <w:ind w:left="300"/>
        <w:spacing w:after="0"/>
        <w:rPr>
          <w:sz w:val="20"/>
          <w:szCs w:val="20"/>
          <w:color w:val="auto"/>
        </w:rPr>
      </w:pPr>
      <w:r>
        <w:rPr>
          <w:rFonts w:ascii="Courier New" w:cs="Courier New" w:eastAsia="Courier New" w:hAnsi="Courier New"/>
          <w:sz w:val="16"/>
          <w:szCs w:val="16"/>
          <w:color w:val="auto"/>
        </w:rPr>
        <w:t>6</w:t>
      </w:r>
    </w:p>
    <w:p>
      <w:pPr>
        <w:spacing w:after="0" w:line="8" w:lineRule="exact"/>
        <w:rPr>
          <w:sz w:val="20"/>
          <w:szCs w:val="20"/>
          <w:color w:val="auto"/>
        </w:rPr>
      </w:pPr>
    </w:p>
    <w:p>
      <w:pPr>
        <w:ind w:left="1680" w:right="2439" w:hanging="689"/>
        <w:spacing w:after="0" w:line="251" w:lineRule="auto"/>
        <w:tabs>
          <w:tab w:leader="none" w:pos="1660" w:val="left"/>
        </w:tabs>
        <w:rPr>
          <w:sz w:val="20"/>
          <w:szCs w:val="20"/>
          <w:color w:val="auto"/>
        </w:rPr>
      </w:pPr>
      <w:r>
        <w:rPr>
          <w:rFonts w:ascii="Courier New" w:cs="Courier New" w:eastAsia="Courier New" w:hAnsi="Courier New"/>
          <w:sz w:val="16"/>
          <w:szCs w:val="16"/>
          <w:color w:val="auto"/>
        </w:rPr>
        <w:t>4.3</w:t>
      </w:r>
      <w:r>
        <w:rPr>
          <w:sz w:val="20"/>
          <w:szCs w:val="20"/>
          <w:color w:val="auto"/>
        </w:rPr>
        <w:tab/>
      </w:r>
      <w:r>
        <w:rPr>
          <w:rFonts w:ascii="Courier New" w:cs="Courier New" w:eastAsia="Courier New" w:hAnsi="Courier New"/>
          <w:sz w:val="16"/>
          <w:szCs w:val="16"/>
          <w:color w:val="auto"/>
        </w:rPr>
        <w:t>Specimen Stock Certificate [Incorporated by reference to Exhibit 4.3 of the Registrant's Registration Statement on Form S-3, File No. 33-76224]</w:t>
      </w:r>
    </w:p>
    <w:p>
      <w:pPr>
        <w:ind w:left="980"/>
        <w:spacing w:after="0"/>
        <w:tabs>
          <w:tab w:leader="none" w:pos="1660" w:val="left"/>
        </w:tabs>
        <w:rPr>
          <w:sz w:val="20"/>
          <w:szCs w:val="20"/>
          <w:color w:val="auto"/>
        </w:rPr>
      </w:pPr>
      <w:r>
        <w:rPr>
          <w:rFonts w:ascii="Courier New" w:cs="Courier New" w:eastAsia="Courier New" w:hAnsi="Courier New"/>
          <w:sz w:val="16"/>
          <w:szCs w:val="16"/>
          <w:color w:val="auto"/>
        </w:rPr>
        <w:t>4.4</w:t>
      </w:r>
      <w:r>
        <w:rPr>
          <w:sz w:val="20"/>
          <w:szCs w:val="20"/>
          <w:color w:val="auto"/>
        </w:rPr>
        <w:tab/>
      </w:r>
      <w:r>
        <w:rPr>
          <w:rFonts w:ascii="Courier New" w:cs="Courier New" w:eastAsia="Courier New" w:hAnsi="Courier New"/>
          <w:sz w:val="16"/>
          <w:szCs w:val="16"/>
          <w:color w:val="auto"/>
        </w:rPr>
        <w:t>USA Waste Services, Inc. 1993 Stock Incentive Plan</w:t>
      </w:r>
    </w:p>
    <w:p>
      <w:pPr>
        <w:spacing w:after="0" w:line="8" w:lineRule="exact"/>
        <w:rPr>
          <w:sz w:val="20"/>
          <w:szCs w:val="20"/>
          <w:color w:val="auto"/>
        </w:rPr>
      </w:pPr>
    </w:p>
    <w:p>
      <w:pPr>
        <w:ind w:left="980"/>
        <w:spacing w:after="0"/>
        <w:tabs>
          <w:tab w:leader="none" w:pos="1660" w:val="left"/>
        </w:tabs>
        <w:rPr>
          <w:sz w:val="20"/>
          <w:szCs w:val="20"/>
          <w:color w:val="auto"/>
        </w:rPr>
      </w:pPr>
      <w:r>
        <w:rPr>
          <w:rFonts w:ascii="Courier New" w:cs="Courier New" w:eastAsia="Courier New" w:hAnsi="Courier New"/>
          <w:sz w:val="16"/>
          <w:szCs w:val="16"/>
          <w:color w:val="auto"/>
        </w:rPr>
        <w:t>5.1</w:t>
      </w:r>
      <w:r>
        <w:rPr>
          <w:sz w:val="20"/>
          <w:szCs w:val="20"/>
          <w:color w:val="auto"/>
        </w:rPr>
        <w:tab/>
      </w:r>
      <w:r>
        <w:rPr>
          <w:rFonts w:ascii="Courier New" w:cs="Courier New" w:eastAsia="Courier New" w:hAnsi="Courier New"/>
          <w:sz w:val="16"/>
          <w:szCs w:val="16"/>
          <w:color w:val="auto"/>
        </w:rPr>
        <w:t>Opinion of Snell &amp; Smith, A Professional Corporation</w:t>
      </w:r>
    </w:p>
    <w:p>
      <w:pPr>
        <w:spacing w:after="0" w:line="8" w:lineRule="exact"/>
        <w:rPr>
          <w:sz w:val="20"/>
          <w:szCs w:val="20"/>
          <w:color w:val="auto"/>
        </w:rPr>
      </w:pPr>
    </w:p>
    <w:p>
      <w:pPr>
        <w:ind w:left="1680" w:right="2439" w:hanging="788"/>
        <w:spacing w:after="0" w:line="251" w:lineRule="auto"/>
        <w:tabs>
          <w:tab w:leader="none" w:pos="1660" w:val="left"/>
        </w:tabs>
        <w:rPr>
          <w:sz w:val="20"/>
          <w:szCs w:val="20"/>
          <w:color w:val="auto"/>
        </w:rPr>
      </w:pPr>
      <w:r>
        <w:rPr>
          <w:rFonts w:ascii="Courier New" w:cs="Courier New" w:eastAsia="Courier New" w:hAnsi="Courier New"/>
          <w:sz w:val="16"/>
          <w:szCs w:val="16"/>
          <w:color w:val="auto"/>
        </w:rPr>
        <w:t>23.1</w:t>
      </w:r>
      <w:r>
        <w:rPr>
          <w:sz w:val="20"/>
          <w:szCs w:val="20"/>
          <w:color w:val="auto"/>
        </w:rPr>
        <w:tab/>
      </w:r>
      <w:r>
        <w:rPr>
          <w:rFonts w:ascii="Courier New" w:cs="Courier New" w:eastAsia="Courier New" w:hAnsi="Courier New"/>
          <w:sz w:val="16"/>
          <w:szCs w:val="16"/>
          <w:color w:val="auto"/>
        </w:rPr>
        <w:t>Consent of Snell &amp; Smith, A Professional Corporation [Included in Exhibit 5.1]</w:t>
      </w:r>
    </w:p>
    <w:p>
      <w:pPr>
        <w:ind w:left="1680" w:right="2719" w:hanging="788"/>
        <w:spacing w:after="0" w:line="251" w:lineRule="auto"/>
        <w:tabs>
          <w:tab w:leader="none" w:pos="1660" w:val="left"/>
        </w:tabs>
        <w:rPr>
          <w:sz w:val="20"/>
          <w:szCs w:val="20"/>
          <w:color w:val="auto"/>
        </w:rPr>
      </w:pPr>
      <w:r>
        <w:rPr>
          <w:rFonts w:ascii="Courier New" w:cs="Courier New" w:eastAsia="Courier New" w:hAnsi="Courier New"/>
          <w:sz w:val="16"/>
          <w:szCs w:val="16"/>
          <w:color w:val="auto"/>
        </w:rPr>
        <w:t>23.2</w:t>
      </w:r>
      <w:r>
        <w:rPr>
          <w:sz w:val="20"/>
          <w:szCs w:val="20"/>
          <w:color w:val="auto"/>
        </w:rPr>
        <w:tab/>
      </w:r>
      <w:r>
        <w:rPr>
          <w:rFonts w:ascii="Courier New" w:cs="Courier New" w:eastAsia="Courier New" w:hAnsi="Courier New"/>
          <w:sz w:val="16"/>
          <w:szCs w:val="16"/>
          <w:color w:val="auto"/>
        </w:rPr>
        <w:t>Consent of Coopers &amp; Lybrand, L.L.P. [Incorporated by reference to Exhibit 23.1 to the Registrant's Annual Report on Form 10-K for the year ended December 31, 1994 and Exhibit 23.2 to Registrant's Current Report on</w:t>
      </w:r>
    </w:p>
    <w:p>
      <w:pPr>
        <w:ind w:left="1680"/>
        <w:spacing w:after="0"/>
        <w:rPr>
          <w:sz w:val="20"/>
          <w:szCs w:val="20"/>
          <w:color w:val="auto"/>
        </w:rPr>
      </w:pPr>
      <w:r>
        <w:rPr>
          <w:rFonts w:ascii="Courier New" w:cs="Courier New" w:eastAsia="Courier New" w:hAnsi="Courier New"/>
          <w:sz w:val="16"/>
          <w:szCs w:val="16"/>
          <w:color w:val="auto"/>
        </w:rPr>
        <w:t>Form 8-K dated June 30, 1995]</w:t>
      </w:r>
    </w:p>
    <w:p>
      <w:pPr>
        <w:spacing w:after="0" w:line="8" w:lineRule="exact"/>
        <w:rPr>
          <w:sz w:val="20"/>
          <w:szCs w:val="20"/>
          <w:color w:val="auto"/>
        </w:rPr>
      </w:pPr>
    </w:p>
    <w:p>
      <w:pPr>
        <w:ind w:left="1680" w:right="2619" w:hanging="788"/>
        <w:spacing w:after="0" w:line="251" w:lineRule="auto"/>
        <w:tabs>
          <w:tab w:leader="none" w:pos="1660" w:val="left"/>
        </w:tabs>
        <w:rPr>
          <w:sz w:val="20"/>
          <w:szCs w:val="20"/>
          <w:color w:val="auto"/>
        </w:rPr>
      </w:pPr>
      <w:r>
        <w:rPr>
          <w:rFonts w:ascii="Courier New" w:cs="Courier New" w:eastAsia="Courier New" w:hAnsi="Courier New"/>
          <w:sz w:val="16"/>
          <w:szCs w:val="16"/>
          <w:color w:val="auto"/>
        </w:rPr>
        <w:t>23.3</w:t>
      </w:r>
      <w:r>
        <w:rPr>
          <w:sz w:val="20"/>
          <w:szCs w:val="20"/>
          <w:color w:val="auto"/>
        </w:rPr>
        <w:tab/>
      </w:r>
      <w:r>
        <w:rPr>
          <w:rFonts w:ascii="Courier New" w:cs="Courier New" w:eastAsia="Courier New" w:hAnsi="Courier New"/>
          <w:sz w:val="16"/>
          <w:szCs w:val="16"/>
          <w:color w:val="auto"/>
        </w:rPr>
        <w:t>Consent of Arthur Andersen LLP [Incorporated by reference to Exhibit 23.2 to Registrant's Annual Report on Form 10-K for the year ended December 31, 1994]</w:t>
      </w:r>
    </w:p>
    <w:p>
      <w:pPr>
        <w:jc w:val="right"/>
        <w:ind w:right="2439"/>
        <w:spacing w:after="0"/>
        <w:tabs>
          <w:tab w:leader="none" w:pos="6080" w:val="left"/>
        </w:tabs>
        <w:rPr>
          <w:sz w:val="20"/>
          <w:szCs w:val="20"/>
          <w:color w:val="auto"/>
        </w:rPr>
      </w:pPr>
      <w:r>
        <w:rPr>
          <w:rFonts w:ascii="Courier New" w:cs="Courier New" w:eastAsia="Courier New" w:hAnsi="Courier New"/>
          <w:sz w:val="16"/>
          <w:szCs w:val="16"/>
          <w:color w:val="auto"/>
        </w:rPr>
        <w:t>23.4</w:t>
      </w:r>
      <w:r>
        <w:rPr>
          <w:sz w:val="20"/>
          <w:szCs w:val="20"/>
          <w:color w:val="auto"/>
        </w:rPr>
        <w:tab/>
      </w:r>
      <w:r>
        <w:rPr>
          <w:rFonts w:ascii="Courier New" w:cs="Courier New" w:eastAsia="Courier New" w:hAnsi="Courier New"/>
          <w:sz w:val="16"/>
          <w:szCs w:val="16"/>
          <w:color w:val="auto"/>
        </w:rPr>
        <w:t>Consent of Deloitte &amp; Touche LLP [Incorporated by reference to</w:t>
      </w:r>
    </w:p>
    <w:p>
      <w:pPr>
        <w:spacing w:after="0" w:line="8" w:lineRule="exact"/>
        <w:rPr>
          <w:sz w:val="20"/>
          <w:szCs w:val="20"/>
          <w:color w:val="auto"/>
        </w:rPr>
      </w:pPr>
    </w:p>
    <w:p>
      <w:pPr>
        <w:ind w:left="1680"/>
        <w:spacing w:after="0"/>
        <w:rPr>
          <w:sz w:val="20"/>
          <w:szCs w:val="20"/>
          <w:color w:val="auto"/>
        </w:rPr>
      </w:pPr>
      <w:r>
        <w:rPr>
          <w:rFonts w:ascii="Courier New" w:cs="Courier New" w:eastAsia="Courier New" w:hAnsi="Courier New"/>
          <w:sz w:val="16"/>
          <w:szCs w:val="16"/>
          <w:color w:val="auto"/>
        </w:rPr>
        <w:t>Exhibit 23.2 to Registrant's Registration Statement on</w:t>
      </w:r>
    </w:p>
    <w:p>
      <w:pPr>
        <w:spacing w:after="0" w:line="8" w:lineRule="exact"/>
        <w:rPr>
          <w:sz w:val="20"/>
          <w:szCs w:val="20"/>
          <w:color w:val="auto"/>
        </w:rPr>
      </w:pPr>
    </w:p>
    <w:p>
      <w:pPr>
        <w:ind w:left="1680" w:right="2519"/>
        <w:spacing w:after="0" w:line="251" w:lineRule="auto"/>
        <w:rPr>
          <w:sz w:val="20"/>
          <w:szCs w:val="20"/>
          <w:color w:val="auto"/>
        </w:rPr>
      </w:pPr>
      <w:r>
        <w:rPr>
          <w:rFonts w:ascii="Courier New" w:cs="Courier New" w:eastAsia="Courier New" w:hAnsi="Courier New"/>
          <w:sz w:val="16"/>
          <w:szCs w:val="16"/>
          <w:color w:val="auto"/>
        </w:rPr>
        <w:t>Form S-4 (File No. 33-59259) and Exhibit 23.1 to Registrant's Current Report on Form 8-K dated June 30, 1995]</w:t>
      </w:r>
    </w:p>
    <w:p>
      <w:pPr>
        <w:ind w:left="880" w:hanging="879"/>
        <w:spacing w:after="0"/>
        <w:tabs>
          <w:tab w:leader="none" w:pos="88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24.1Powers of Attorney (Included on Page II-8)</w:t>
      </w:r>
    </w:p>
    <w:p>
      <w:pPr>
        <w:spacing w:after="0" w:line="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8" w:lineRule="exact"/>
        <w:rPr>
          <w:rFonts w:ascii="Courier New" w:cs="Courier New" w:eastAsia="Courier New" w:hAnsi="Courier New"/>
          <w:sz w:val="16"/>
          <w:szCs w:val="16"/>
          <w:color w:val="auto"/>
        </w:rPr>
      </w:pPr>
    </w:p>
    <w:p>
      <w:pPr>
        <w:ind w:left="880" w:hanging="879"/>
        <w:spacing w:after="0"/>
        <w:tabs>
          <w:tab w:leader="none" w:pos="88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Filed herewith</w:t>
      </w:r>
    </w:p>
    <w:p>
      <w:pPr>
        <w:spacing w:after="0" w:line="388"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6"/>
          <w:szCs w:val="16"/>
          <w:color w:val="auto"/>
        </w:rPr>
        <w:t>ITEM 9.</w:t>
        <w:tab/>
        <w:t>UNDERTAKINGS.</w:t>
      </w:r>
    </w:p>
    <w:p>
      <w:pPr>
        <w:spacing w:after="0" w:line="198" w:lineRule="exact"/>
        <w:rPr>
          <w:sz w:val="20"/>
          <w:szCs w:val="20"/>
          <w:color w:val="auto"/>
        </w:rPr>
      </w:pPr>
    </w:p>
    <w:p>
      <w:pPr>
        <w:ind w:left="1680" w:hanging="792"/>
        <w:spacing w:after="0"/>
        <w:tabs>
          <w:tab w:leader="none" w:pos="168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undersigned registrant hereby undertakes:</w:t>
      </w:r>
    </w:p>
    <w:p>
      <w:pPr>
        <w:spacing w:after="0" w:line="197" w:lineRule="exact"/>
        <w:rPr>
          <w:rFonts w:ascii="Courier New" w:cs="Courier New" w:eastAsia="Courier New" w:hAnsi="Courier New"/>
          <w:sz w:val="16"/>
          <w:szCs w:val="16"/>
          <w:color w:val="auto"/>
        </w:rPr>
      </w:pPr>
    </w:p>
    <w:p>
      <w:pPr>
        <w:ind w:left="880" w:right="2619" w:firstLine="797"/>
        <w:spacing w:after="0" w:line="253" w:lineRule="auto"/>
        <w:tabs>
          <w:tab w:leader="none" w:pos="2556" w:val="left"/>
        </w:tabs>
        <w:numPr>
          <w:ilvl w:val="1"/>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file, during any period in which offers or sales are being made, a post-effective amendment to this registration statement.</w:t>
      </w:r>
    </w:p>
    <w:p>
      <w:pPr>
        <w:spacing w:after="0" w:line="185" w:lineRule="exact"/>
        <w:rPr>
          <w:rFonts w:ascii="Courier New" w:cs="Courier New" w:eastAsia="Courier New" w:hAnsi="Courier New"/>
          <w:sz w:val="16"/>
          <w:szCs w:val="16"/>
          <w:color w:val="auto"/>
        </w:rPr>
      </w:pPr>
    </w:p>
    <w:p>
      <w:pPr>
        <w:ind w:left="1680" w:right="2439" w:firstLine="884"/>
        <w:spacing w:after="0" w:line="255" w:lineRule="auto"/>
        <w:tabs>
          <w:tab w:leader="none" w:pos="3356" w:val="left"/>
        </w:tabs>
        <w:numPr>
          <w:ilvl w:val="2"/>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include any prospectus required by Section 10(a)(3) of the Securities Act of 1933;</w:t>
      </w:r>
    </w:p>
    <w:p>
      <w:pPr>
        <w:spacing w:after="0" w:line="183" w:lineRule="exact"/>
        <w:rPr>
          <w:rFonts w:ascii="Courier New" w:cs="Courier New" w:eastAsia="Courier New" w:hAnsi="Courier New"/>
          <w:sz w:val="16"/>
          <w:szCs w:val="16"/>
          <w:color w:val="auto"/>
        </w:rPr>
      </w:pPr>
    </w:p>
    <w:p>
      <w:pPr>
        <w:ind w:left="1680" w:right="2519" w:firstLine="884"/>
        <w:spacing w:after="0" w:line="251" w:lineRule="auto"/>
        <w:tabs>
          <w:tab w:leader="none" w:pos="3356" w:val="left"/>
        </w:tabs>
        <w:numPr>
          <w:ilvl w:val="2"/>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w:t>
      </w:r>
    </w:p>
    <w:p>
      <w:pPr>
        <w:spacing w:after="0" w:line="189" w:lineRule="exact"/>
        <w:rPr>
          <w:rFonts w:ascii="Courier New" w:cs="Courier New" w:eastAsia="Courier New" w:hAnsi="Courier New"/>
          <w:sz w:val="16"/>
          <w:szCs w:val="16"/>
          <w:color w:val="auto"/>
        </w:rPr>
      </w:pPr>
    </w:p>
    <w:p>
      <w:pPr>
        <w:ind w:left="1680" w:right="2619" w:firstLine="884"/>
        <w:spacing w:after="0" w:line="252" w:lineRule="auto"/>
        <w:tabs>
          <w:tab w:leader="none" w:pos="3356" w:val="left"/>
        </w:tabs>
        <w:numPr>
          <w:ilvl w:val="2"/>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include any material information with respect to the plan of distribution not previously disclosed in the registration statement or any material change to such information in the registration statement;</w:t>
      </w:r>
    </w:p>
    <w:p>
      <w:pPr>
        <w:spacing w:after="0" w:line="187" w:lineRule="exact"/>
        <w:rPr>
          <w:sz w:val="20"/>
          <w:szCs w:val="20"/>
          <w:color w:val="auto"/>
        </w:rPr>
      </w:pPr>
    </w:p>
    <w:p>
      <w:pPr>
        <w:ind w:left="1680" w:right="2439"/>
        <w:spacing w:after="0" w:line="252" w:lineRule="auto"/>
        <w:rPr>
          <w:sz w:val="20"/>
          <w:szCs w:val="20"/>
          <w:color w:val="auto"/>
        </w:rPr>
      </w:pPr>
      <w:r>
        <w:rPr>
          <w:rFonts w:ascii="Courier New" w:cs="Courier New" w:eastAsia="Courier New" w:hAnsi="Courier New"/>
          <w:sz w:val="16"/>
          <w:szCs w:val="16"/>
          <w:color w:val="auto"/>
        </w:rPr>
        <w:t>Provided, however, that paragraph (a)(1)(i) and (a)(1)(ii) shall not apply if the information required to be included in a post-effective amendment by those paragraphs is contained in periodic reports filed by the registrant pursuant to Section 13 or Section 15(d) of the Securities Exchange Act of 1934 that are incorporated by reference in the registration statement.</w:t>
      </w:r>
    </w:p>
    <w:p>
      <w:pPr>
        <w:spacing w:after="0" w:line="375" w:lineRule="exact"/>
        <w:rPr>
          <w:sz w:val="20"/>
          <w:szCs w:val="20"/>
          <w:color w:val="auto"/>
        </w:rPr>
      </w:pPr>
    </w:p>
    <w:p>
      <w:pPr>
        <w:ind w:left="880" w:right="2619" w:firstLine="797"/>
        <w:spacing w:after="0" w:line="251" w:lineRule="auto"/>
        <w:tabs>
          <w:tab w:leader="none" w:pos="2556"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89" w:lineRule="exact"/>
        <w:rPr>
          <w:rFonts w:ascii="Courier New" w:cs="Courier New" w:eastAsia="Courier New" w:hAnsi="Courier New"/>
          <w:sz w:val="16"/>
          <w:szCs w:val="16"/>
          <w:color w:val="auto"/>
        </w:rPr>
      </w:pPr>
    </w:p>
    <w:p>
      <w:pPr>
        <w:ind w:left="2560" w:hanging="883"/>
        <w:spacing w:after="0"/>
        <w:tabs>
          <w:tab w:leader="none" w:pos="256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remove from registration by means of a</w:t>
      </w:r>
    </w:p>
    <w:p>
      <w:pPr>
        <w:spacing w:after="0" w:line="8" w:lineRule="exact"/>
        <w:rPr>
          <w:sz w:val="20"/>
          <w:szCs w:val="20"/>
          <w:color w:val="auto"/>
        </w:rPr>
      </w:pPr>
    </w:p>
    <w:p>
      <w:pPr>
        <w:ind w:left="880" w:right="2519"/>
        <w:spacing w:after="0" w:line="255" w:lineRule="auto"/>
        <w:rPr>
          <w:sz w:val="20"/>
          <w:szCs w:val="20"/>
          <w:color w:val="auto"/>
        </w:rPr>
      </w:pPr>
      <w:r>
        <w:rPr>
          <w:rFonts w:ascii="Courier New" w:cs="Courier New" w:eastAsia="Courier New" w:hAnsi="Courier New"/>
          <w:sz w:val="16"/>
          <w:szCs w:val="16"/>
          <w:color w:val="auto"/>
        </w:rPr>
        <w:t>post-effective amendment any of the securities being registered which remain unsold at the termination of the offering.</w:t>
      </w:r>
    </w:p>
    <w:p>
      <w:pPr>
        <w:spacing w:after="0" w:line="184" w:lineRule="exact"/>
        <w:rPr>
          <w:sz w:val="20"/>
          <w:szCs w:val="20"/>
          <w:color w:val="auto"/>
        </w:rPr>
      </w:pPr>
    </w:p>
    <w:p>
      <w:pPr>
        <w:ind w:right="2439" w:firstLine="888"/>
        <w:spacing w:after="0" w:line="251" w:lineRule="auto"/>
        <w:tabs>
          <w:tab w:leader="none" w:pos="1676"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herein, and the offering of such securities at that time shall be deemed to be the initial bona fide offering thereof.</w:t>
      </w:r>
    </w:p>
    <w:p>
      <w:pPr>
        <w:sectPr>
          <w:pgSz w:w="11900" w:h="16838" w:orient="portrait"/>
          <w:cols w:equalWidth="0" w:num="1">
            <w:col w:w="10219"/>
          </w:cols>
          <w:pgMar w:left="240" w:top="306" w:right="1440" w:bottom="43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II-5</w:t>
      </w:r>
    </w:p>
    <w:p>
      <w:pPr>
        <w:sectPr>
          <w:pgSz w:w="11900" w:h="16838" w:orient="portrait"/>
          <w:cols w:equalWidth="0" w:num="1">
            <w:col w:w="10219"/>
          </w:cols>
          <w:pgMar w:left="240" w:top="306" w:right="1440" w:bottom="430" w:gutter="0" w:footer="0" w:header="0"/>
          <w:type w:val="continuous"/>
        </w:sectPr>
      </w:pPr>
    </w:p>
    <w:bookmarkStart w:id="6" w:name="page7"/>
    <w:bookmarkEnd w:id="6"/>
    <w:p>
      <w:pPr>
        <w:spacing w:after="0"/>
        <w:rPr>
          <w:sz w:val="20"/>
          <w:szCs w:val="20"/>
          <w:color w:val="auto"/>
        </w:rPr>
      </w:pPr>
      <w:r>
        <w:rPr>
          <w:rFonts w:ascii="Courier New" w:cs="Courier New" w:eastAsia="Courier New" w:hAnsi="Courier New"/>
          <w:sz w:val="16"/>
          <w:szCs w:val="16"/>
          <w:color w:val="auto"/>
        </w:rPr>
        <w:t>7</w:t>
      </w:r>
    </w:p>
    <w:p>
      <w:pPr>
        <w:spacing w:after="0" w:line="8" w:lineRule="exact"/>
        <w:rPr>
          <w:sz w:val="20"/>
          <w:szCs w:val="20"/>
          <w:color w:val="auto"/>
        </w:rPr>
      </w:pPr>
    </w:p>
    <w:p>
      <w:pPr>
        <w:ind w:left="-300" w:right="2519" w:firstLine="888"/>
        <w:spacing w:after="0" w:line="251" w:lineRule="auto"/>
        <w:tabs>
          <w:tab w:leader="none" w:pos="1376"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undersigned registrant hereby undertakes to deliver or cause to be delivered with the prospectus, to each person to whom the prospectus is sent or given, the latest annual report to security holders that is incorporated by reference and furnished pursuant to and meeting the requirements of Rule 14a-3 or Rule 14c-3 under the Securities Exchange Act of 1934; and, where interim financial information required to be presented by Article 3 of Regulation S-X is not set forth in the prospectus, to deliver, or cause to be delivered to each person to whom the prospectus is sent or given, the latest quarterly report that is specifically incorporated by reference in the prospectus to provide such interim financial information.</w:t>
      </w:r>
    </w:p>
    <w:p>
      <w:pPr>
        <w:spacing w:after="0" w:line="190" w:lineRule="exact"/>
        <w:rPr>
          <w:sz w:val="20"/>
          <w:szCs w:val="20"/>
          <w:color w:val="auto"/>
        </w:rPr>
      </w:pPr>
    </w:p>
    <w:p>
      <w:pPr>
        <w:ind w:left="-300" w:right="2439" w:firstLine="888"/>
        <w:spacing w:after="0" w:line="251" w:lineRule="auto"/>
        <w:tabs>
          <w:tab w:leader="none" w:pos="1376"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Insofar as indemnification for liabilities arising under the Securities Act of 1933 (the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II-6</w:t>
      </w:r>
    </w:p>
    <w:p>
      <w:pPr>
        <w:sectPr>
          <w:pgSz w:w="11900" w:h="16838" w:orient="portrait"/>
          <w:cols w:equalWidth="0" w:num="1">
            <w:col w:w="9919"/>
          </w:cols>
          <w:pgMar w:left="540" w:top="306" w:right="1440" w:bottom="1440" w:gutter="0" w:footer="0" w:header="0"/>
        </w:sectPr>
      </w:pPr>
    </w:p>
    <w:bookmarkStart w:id="7" w:name="page8"/>
    <w:bookmarkEnd w:id="7"/>
    <w:p>
      <w:pPr>
        <w:ind w:left="300"/>
        <w:spacing w:after="0"/>
        <w:rPr>
          <w:sz w:val="20"/>
          <w:szCs w:val="20"/>
          <w:color w:val="auto"/>
        </w:rPr>
      </w:pPr>
      <w:r>
        <w:rPr>
          <w:rFonts w:ascii="Courier New" w:cs="Courier New" w:eastAsia="Courier New" w:hAnsi="Courier New"/>
          <w:sz w:val="16"/>
          <w:szCs w:val="16"/>
          <w:color w:val="auto"/>
        </w:rPr>
        <w:t>8</w:t>
      </w:r>
    </w:p>
    <w:p>
      <w:pPr>
        <w:spacing w:after="0" w:line="8" w:lineRule="exact"/>
        <w:rPr>
          <w:sz w:val="20"/>
          <w:szCs w:val="20"/>
          <w:color w:val="auto"/>
        </w:rPr>
      </w:pPr>
    </w:p>
    <w:p>
      <w:pPr>
        <w:ind w:right="2619" w:firstLine="887"/>
        <w:spacing w:after="0" w:line="251" w:lineRule="auto"/>
        <w:rPr>
          <w:sz w:val="20"/>
          <w:szCs w:val="20"/>
          <w:color w:val="auto"/>
        </w:rPr>
      </w:pPr>
      <w:r>
        <w:rPr>
          <w:rFonts w:ascii="Courier New" w:cs="Courier New" w:eastAsia="Courier New" w:hAnsi="Courier New"/>
          <w:sz w:val="16"/>
          <w:szCs w:val="16"/>
          <w:color w:val="auto"/>
        </w:rPr>
        <w:t>Pursuant to the requirements of the Securities Act of 1933, the registrant certifies that it has reasonable grounds to believe that it meets all of the requirements for filing on Form S-8 and has duly caused this registration statement or amendment thereto to be signed on its behalf by the undersigned, thereunto duly authorized, in the City of Dallas, State of Texas on September 7, 1995.</w:t>
      </w:r>
    </w:p>
    <w:p>
      <w:pPr>
        <w:spacing w:after="0" w:line="190" w:lineRule="exact"/>
        <w:rPr>
          <w:sz w:val="20"/>
          <w:szCs w:val="20"/>
          <w:color w:val="auto"/>
        </w:rPr>
      </w:pPr>
    </w:p>
    <w:p>
      <w:pPr>
        <w:jc w:val="center"/>
        <w:ind w:right="-40"/>
        <w:spacing w:after="0"/>
        <w:rPr>
          <w:sz w:val="20"/>
          <w:szCs w:val="20"/>
          <w:color w:val="auto"/>
        </w:rPr>
      </w:pPr>
      <w:r>
        <w:rPr>
          <w:rFonts w:ascii="Courier New" w:cs="Courier New" w:eastAsia="Courier New" w:hAnsi="Courier New"/>
          <w:sz w:val="16"/>
          <w:szCs w:val="16"/>
          <w:color w:val="auto"/>
        </w:rPr>
        <w:t>USA Waste Services, Inc.</w:t>
      </w:r>
    </w:p>
    <w:p>
      <w:pPr>
        <w:sectPr>
          <w:pgSz w:w="11900" w:h="16838" w:orient="portrait"/>
          <w:cols w:equalWidth="0" w:num="1">
            <w:col w:w="10219"/>
          </w:cols>
          <w:pgMar w:left="240" w:top="306" w:right="1440" w:bottom="1440" w:gutter="0" w:footer="0" w:header="0"/>
        </w:sectPr>
      </w:pPr>
    </w:p>
    <w:p>
      <w:pPr>
        <w:spacing w:after="0" w:line="200" w:lineRule="exact"/>
        <w:rPr>
          <w:sz w:val="20"/>
          <w:szCs w:val="20"/>
          <w:color w:val="auto"/>
        </w:rPr>
      </w:pPr>
    </w:p>
    <w:p>
      <w:pPr>
        <w:spacing w:after="0" w:line="377"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7" w:lineRule="exact"/>
        <w:rPr>
          <w:sz w:val="20"/>
          <w:szCs w:val="20"/>
          <w:color w:val="auto"/>
        </w:rPr>
      </w:pPr>
    </w:p>
    <w:p>
      <w:pPr>
        <w:ind w:left="700"/>
        <w:spacing w:after="0"/>
        <w:rPr>
          <w:sz w:val="20"/>
          <w:szCs w:val="20"/>
          <w:color w:val="auto"/>
        </w:rPr>
      </w:pPr>
      <w:r>
        <w:rPr>
          <w:rFonts w:ascii="Courier New" w:cs="Courier New" w:eastAsia="Courier New" w:hAnsi="Courier New"/>
          <w:sz w:val="16"/>
          <w:szCs w:val="16"/>
          <w:color w:val="auto"/>
        </w:rPr>
        <w:t>/s/ John E. Drury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John E. Drury, Chief Executive</w:t>
      </w:r>
    </w:p>
    <w:p>
      <w:pPr>
        <w:spacing w:after="0" w:line="8"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Officer</w:t>
      </w:r>
    </w:p>
    <w:p>
      <w:pPr>
        <w:spacing w:after="0" w:line="200" w:lineRule="exact"/>
        <w:rPr>
          <w:sz w:val="20"/>
          <w:szCs w:val="20"/>
          <w:color w:val="auto"/>
        </w:rPr>
      </w:pPr>
    </w:p>
    <w:p>
      <w:pPr>
        <w:sectPr>
          <w:pgSz w:w="11900" w:h="16838" w:orient="portrait"/>
          <w:cols w:equalWidth="0" w:num="2">
            <w:col w:w="4240" w:space="0"/>
            <w:col w:w="5979"/>
          </w:cols>
          <w:pgMar w:left="240" w:top="306"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II-7</w:t>
      </w:r>
    </w:p>
    <w:p>
      <w:pPr>
        <w:sectPr>
          <w:pgSz w:w="11900" w:h="16838" w:orient="portrait"/>
          <w:cols w:equalWidth="0" w:num="1">
            <w:col w:w="10219"/>
          </w:cols>
          <w:pgMar w:left="240" w:top="306" w:right="1440" w:bottom="1440" w:gutter="0" w:footer="0" w:header="0"/>
          <w:type w:val="continuous"/>
        </w:sectPr>
      </w:pPr>
    </w:p>
    <w:bookmarkStart w:id="8" w:name="page9"/>
    <w:bookmarkEnd w:id="8"/>
    <w:p>
      <w:pPr>
        <w:ind w:left="300"/>
        <w:spacing w:after="0"/>
        <w:rPr>
          <w:sz w:val="20"/>
          <w:szCs w:val="20"/>
          <w:color w:val="auto"/>
        </w:rPr>
      </w:pPr>
      <w:r>
        <w:rPr>
          <w:rFonts w:ascii="Courier New" w:cs="Courier New" w:eastAsia="Courier New" w:hAnsi="Courier New"/>
          <w:sz w:val="16"/>
          <w:szCs w:val="16"/>
          <w:color w:val="auto"/>
        </w:rPr>
        <w:t>9</w:t>
      </w:r>
    </w:p>
    <w:p>
      <w:pPr>
        <w:spacing w:after="0" w:line="8"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POWER OF ATTORNEY</w:t>
      </w:r>
    </w:p>
    <w:p>
      <w:pPr>
        <w:spacing w:after="0" w:line="198" w:lineRule="exact"/>
        <w:rPr>
          <w:sz w:val="20"/>
          <w:szCs w:val="20"/>
          <w:color w:val="auto"/>
        </w:rPr>
      </w:pPr>
    </w:p>
    <w:p>
      <w:pPr>
        <w:ind w:right="2960" w:firstLine="887"/>
        <w:spacing w:after="0" w:line="251" w:lineRule="auto"/>
        <w:rPr>
          <w:sz w:val="20"/>
          <w:szCs w:val="20"/>
          <w:color w:val="auto"/>
        </w:rPr>
      </w:pPr>
      <w:r>
        <w:rPr>
          <w:rFonts w:ascii="Courier New" w:cs="Courier New" w:eastAsia="Courier New" w:hAnsi="Courier New"/>
          <w:sz w:val="16"/>
          <w:szCs w:val="16"/>
          <w:color w:val="auto"/>
        </w:rPr>
        <w:t>We, the undersigned officers and directors of USA Waste Services, Inc., hereby severally constitute Earl E. DeFrates and Gregory T. Sangalis, and each of them singly, our true and lawful attorneys with full power to them, and each of them singly, to sign for us and in our names, in the capacities indicated below, the Registration Statement on Form S-8 (File No. 33-72436) filed herewith and any amendments to said Registration Statement, and generally to do all such things in our name and behalf in our capacities as officers and directors to enable USA Waste Services, Inc. to comply with the provisions of the Securities Act of 1933 as amended, and all requirements of the Securities and Exchange Commission, hereby ratifying and confirming our signatures as they may be signed by our said attorneys, or any of them, to said Registration Statement and any and all amendments thereto.</w:t>
      </w:r>
    </w:p>
    <w:p>
      <w:pPr>
        <w:spacing w:after="0" w:line="190"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Witness our hands on the date set forth below.</w:t>
      </w:r>
    </w:p>
    <w:p>
      <w:pPr>
        <w:spacing w:after="0" w:line="198" w:lineRule="exact"/>
        <w:rPr>
          <w:sz w:val="20"/>
          <w:szCs w:val="20"/>
          <w:color w:val="auto"/>
        </w:rPr>
      </w:pPr>
    </w:p>
    <w:p>
      <w:pPr>
        <w:ind w:right="3240" w:firstLine="887"/>
        <w:spacing w:after="0" w:line="253" w:lineRule="auto"/>
        <w:rPr>
          <w:sz w:val="20"/>
          <w:szCs w:val="20"/>
          <w:color w:val="auto"/>
        </w:rPr>
      </w:pPr>
      <w:r>
        <w:rPr>
          <w:rFonts w:ascii="Courier New" w:cs="Courier New" w:eastAsia="Courier New" w:hAnsi="Courier New"/>
          <w:sz w:val="16"/>
          <w:szCs w:val="16"/>
          <w:color w:val="auto"/>
        </w:rPr>
        <w:t>Pursuant to the requirements of the Securities Act of 1933, this registration statement or amendment thereto has been signed by the following persons in the capacities and on September 7, 1995.</w:t>
      </w:r>
    </w:p>
    <w:p>
      <w:pPr>
        <w:spacing w:after="0" w:line="200" w:lineRule="exact"/>
        <w:rPr>
          <w:sz w:val="20"/>
          <w:szCs w:val="20"/>
          <w:color w:val="auto"/>
        </w:rPr>
      </w:pPr>
    </w:p>
    <w:p>
      <w:pPr>
        <w:spacing w:after="0" w:line="364" w:lineRule="exact"/>
        <w:rPr>
          <w:sz w:val="20"/>
          <w:szCs w:val="20"/>
          <w:color w:val="auto"/>
        </w:rPr>
      </w:pPr>
    </w:p>
    <w:p>
      <w:pPr>
        <w:jc w:val="both"/>
        <w:ind w:left="2080"/>
        <w:spacing w:after="0"/>
        <w:tabs>
          <w:tab w:leader="none" w:pos="8160" w:val="left"/>
        </w:tabs>
        <w:rPr>
          <w:sz w:val="20"/>
          <w:szCs w:val="20"/>
          <w:color w:val="auto"/>
        </w:rPr>
      </w:pPr>
      <w:r>
        <w:rPr>
          <w:rFonts w:ascii="Courier New" w:cs="Courier New" w:eastAsia="Courier New" w:hAnsi="Courier New"/>
          <w:sz w:val="16"/>
          <w:szCs w:val="16"/>
          <w:color w:val="auto"/>
        </w:rPr>
        <w:t>Signature</w:t>
      </w:r>
      <w:r>
        <w:rPr>
          <w:sz w:val="20"/>
          <w:szCs w:val="20"/>
          <w:color w:val="auto"/>
        </w:rPr>
        <w:tab/>
      </w:r>
      <w:r>
        <w:rPr>
          <w:rFonts w:ascii="Courier New" w:cs="Courier New" w:eastAsia="Courier New" w:hAnsi="Courier New"/>
          <w:sz w:val="16"/>
          <w:szCs w:val="16"/>
          <w:color w:val="auto"/>
        </w:rPr>
        <w:t>Title</w:t>
      </w:r>
    </w:p>
    <w:p>
      <w:pPr>
        <w:spacing w:after="0" w:line="8" w:lineRule="exact"/>
        <w:rPr>
          <w:sz w:val="20"/>
          <w:szCs w:val="20"/>
          <w:color w:val="auto"/>
        </w:rPr>
      </w:pPr>
    </w:p>
    <w:p>
      <w:pPr>
        <w:ind w:left="2080"/>
        <w:spacing w:after="0"/>
        <w:tabs>
          <w:tab w:leader="none" w:pos="816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198" w:lineRule="exact"/>
        <w:rPr>
          <w:sz w:val="20"/>
          <w:szCs w:val="20"/>
          <w:color w:val="auto"/>
        </w:rPr>
      </w:pPr>
    </w:p>
    <w:p>
      <w:pPr>
        <w:spacing w:after="0"/>
        <w:tabs>
          <w:tab w:leader="none" w:pos="960" w:val="left"/>
          <w:tab w:leader="none" w:pos="5900" w:val="left"/>
        </w:tabs>
        <w:rPr>
          <w:sz w:val="20"/>
          <w:szCs w:val="20"/>
          <w:color w:val="auto"/>
        </w:rPr>
      </w:pPr>
      <w:r>
        <w:rPr>
          <w:rFonts w:ascii="Courier New" w:cs="Courier New" w:eastAsia="Courier New" w:hAnsi="Courier New"/>
          <w:sz w:val="16"/>
          <w:szCs w:val="16"/>
          <w:color w:val="auto"/>
        </w:rPr>
        <w:t>/s/ John</w:t>
        <w:tab/>
        <w:t>E. Drury</w:t>
      </w:r>
      <w:r>
        <w:rPr>
          <w:sz w:val="20"/>
          <w:szCs w:val="20"/>
          <w:color w:val="auto"/>
        </w:rPr>
        <w:tab/>
      </w:r>
      <w:r>
        <w:rPr>
          <w:rFonts w:ascii="Courier New" w:cs="Courier New" w:eastAsia="Courier New" w:hAnsi="Courier New"/>
          <w:sz w:val="16"/>
          <w:szCs w:val="16"/>
          <w:color w:val="auto"/>
        </w:rPr>
        <w:t>Chairman of the Board and Chief Executive Officer</w:t>
      </w:r>
    </w:p>
    <w:p>
      <w:pPr>
        <w:spacing w:after="0" w:line="8" w:lineRule="exact"/>
        <w:rPr>
          <w:sz w:val="20"/>
          <w:szCs w:val="20"/>
          <w:color w:val="auto"/>
        </w:rPr>
      </w:pPr>
    </w:p>
    <w:p>
      <w:pPr>
        <w:ind w:left="200" w:hanging="199"/>
        <w:spacing w:after="0"/>
        <w:tabs>
          <w:tab w:leader="none" w:pos="20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John E. Drury</w:t>
      </w:r>
    </w:p>
    <w:p>
      <w:pPr>
        <w:spacing w:after="0" w:line="198" w:lineRule="exact"/>
        <w:rPr>
          <w:sz w:val="20"/>
          <w:szCs w:val="20"/>
          <w:color w:val="auto"/>
        </w:rPr>
      </w:pPr>
    </w:p>
    <w:p>
      <w:pPr>
        <w:spacing w:after="0"/>
        <w:tabs>
          <w:tab w:leader="none" w:pos="5900" w:val="left"/>
        </w:tabs>
        <w:rPr>
          <w:sz w:val="20"/>
          <w:szCs w:val="20"/>
          <w:color w:val="auto"/>
        </w:rPr>
      </w:pPr>
      <w:r>
        <w:rPr>
          <w:rFonts w:ascii="Courier New" w:cs="Courier New" w:eastAsia="Courier New" w:hAnsi="Courier New"/>
          <w:sz w:val="16"/>
          <w:szCs w:val="16"/>
          <w:color w:val="auto"/>
        </w:rPr>
        <w:t>/s/ Donald F. Moorehead, Jr.</w:t>
      </w:r>
      <w:r>
        <w:rPr>
          <w:sz w:val="20"/>
          <w:szCs w:val="20"/>
          <w:color w:val="auto"/>
        </w:rPr>
        <w:tab/>
      </w:r>
      <w:r>
        <w:rPr>
          <w:rFonts w:ascii="Courier New" w:cs="Courier New" w:eastAsia="Courier New" w:hAnsi="Courier New"/>
          <w:sz w:val="16"/>
          <w:szCs w:val="16"/>
          <w:color w:val="auto"/>
        </w:rPr>
        <w:t>Vice Chairman of the Board and Chief Development</w:t>
      </w:r>
    </w:p>
    <w:p>
      <w:pPr>
        <w:spacing w:after="0" w:line="8" w:lineRule="exact"/>
        <w:rPr>
          <w:sz w:val="20"/>
          <w:szCs w:val="20"/>
          <w:color w:val="auto"/>
        </w:rPr>
      </w:pPr>
    </w:p>
    <w:p>
      <w:pPr>
        <w:spacing w:after="0"/>
        <w:tabs>
          <w:tab w:leader="none" w:pos="6100" w:val="left"/>
        </w:tabs>
        <w:rPr>
          <w:sz w:val="20"/>
          <w:szCs w:val="20"/>
          <w:color w:val="auto"/>
        </w:rPr>
      </w:pPr>
      <w:r>
        <w:rPr>
          <w:rFonts w:ascii="Courier New" w:cs="Courier New" w:eastAsia="Courier New" w:hAnsi="Courier New"/>
          <w:sz w:val="16"/>
          <w:szCs w:val="16"/>
          <w:color w:val="auto"/>
        </w:rPr>
        <w:t>- --------------------------------</w:t>
      </w:r>
      <w:r>
        <w:rPr>
          <w:sz w:val="20"/>
          <w:szCs w:val="20"/>
          <w:color w:val="auto"/>
        </w:rPr>
        <w:tab/>
      </w:r>
      <w:r>
        <w:rPr>
          <w:rFonts w:ascii="Courier New" w:cs="Courier New" w:eastAsia="Courier New" w:hAnsi="Courier New"/>
          <w:sz w:val="16"/>
          <w:szCs w:val="16"/>
          <w:color w:val="auto"/>
        </w:rPr>
        <w:t>Officer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Donald F. Moorehead, Jr.</w:t>
      </w:r>
    </w:p>
    <w:p>
      <w:pPr>
        <w:spacing w:after="0" w:line="198" w:lineRule="exact"/>
        <w:rPr>
          <w:sz w:val="20"/>
          <w:szCs w:val="20"/>
          <w:color w:val="auto"/>
        </w:rPr>
      </w:pPr>
    </w:p>
    <w:p>
      <w:pPr>
        <w:spacing w:after="0"/>
        <w:tabs>
          <w:tab w:leader="none" w:pos="5900" w:val="left"/>
        </w:tabs>
        <w:rPr>
          <w:sz w:val="20"/>
          <w:szCs w:val="20"/>
          <w:color w:val="auto"/>
        </w:rPr>
      </w:pPr>
      <w:r>
        <w:rPr>
          <w:rFonts w:ascii="Courier New" w:cs="Courier New" w:eastAsia="Courier New" w:hAnsi="Courier New"/>
          <w:sz w:val="16"/>
          <w:szCs w:val="16"/>
          <w:color w:val="auto"/>
        </w:rPr>
        <w:t>/s/ David Sutherland-Yoest</w:t>
      </w:r>
      <w:r>
        <w:rPr>
          <w:sz w:val="20"/>
          <w:szCs w:val="20"/>
          <w:color w:val="auto"/>
        </w:rPr>
        <w:tab/>
      </w:r>
      <w:r>
        <w:rPr>
          <w:rFonts w:ascii="Courier New" w:cs="Courier New" w:eastAsia="Courier New" w:hAnsi="Courier New"/>
          <w:sz w:val="16"/>
          <w:szCs w:val="16"/>
          <w:color w:val="auto"/>
        </w:rPr>
        <w:t>President, Chief Operating Officer, and Director</w:t>
      </w:r>
    </w:p>
    <w:p>
      <w:pPr>
        <w:spacing w:after="0" w:line="8" w:lineRule="exact"/>
        <w:rPr>
          <w:sz w:val="20"/>
          <w:szCs w:val="20"/>
          <w:color w:val="auto"/>
        </w:rPr>
      </w:pPr>
    </w:p>
    <w:p>
      <w:pPr>
        <w:ind w:left="200" w:hanging="199"/>
        <w:spacing w:after="0"/>
        <w:tabs>
          <w:tab w:leader="none" w:pos="20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David Sutherland-Yoest</w:t>
      </w:r>
    </w:p>
    <w:p>
      <w:pPr>
        <w:spacing w:after="0" w:line="198" w:lineRule="exact"/>
        <w:rPr>
          <w:sz w:val="20"/>
          <w:szCs w:val="20"/>
          <w:color w:val="auto"/>
        </w:rPr>
      </w:pPr>
    </w:p>
    <w:p>
      <w:pPr>
        <w:spacing w:after="0"/>
        <w:tabs>
          <w:tab w:leader="none" w:pos="5900" w:val="left"/>
        </w:tabs>
        <w:rPr>
          <w:sz w:val="20"/>
          <w:szCs w:val="20"/>
          <w:color w:val="auto"/>
        </w:rPr>
      </w:pPr>
      <w:r>
        <w:rPr>
          <w:rFonts w:ascii="Courier New" w:cs="Courier New" w:eastAsia="Courier New" w:hAnsi="Courier New"/>
          <w:sz w:val="16"/>
          <w:szCs w:val="16"/>
          <w:color w:val="auto"/>
        </w:rPr>
        <w:t>/s/ Earl E. DeFrates</w:t>
      </w:r>
      <w:r>
        <w:rPr>
          <w:sz w:val="20"/>
          <w:szCs w:val="20"/>
          <w:color w:val="auto"/>
        </w:rPr>
        <w:tab/>
      </w:r>
      <w:r>
        <w:rPr>
          <w:rFonts w:ascii="Courier New" w:cs="Courier New" w:eastAsia="Courier New" w:hAnsi="Courier New"/>
          <w:sz w:val="16"/>
          <w:szCs w:val="16"/>
          <w:color w:val="auto"/>
        </w:rPr>
        <w:t>Executive Vice President, Chief Financial Officer</w:t>
      </w:r>
    </w:p>
    <w:p>
      <w:pPr>
        <w:spacing w:after="0" w:line="8" w:lineRule="exact"/>
        <w:rPr>
          <w:sz w:val="20"/>
          <w:szCs w:val="20"/>
          <w:color w:val="auto"/>
        </w:rPr>
      </w:pPr>
    </w:p>
    <w:p>
      <w:pPr>
        <w:spacing w:after="0"/>
        <w:tabs>
          <w:tab w:leader="none" w:pos="6100" w:val="left"/>
        </w:tabs>
        <w:rPr>
          <w:sz w:val="20"/>
          <w:szCs w:val="20"/>
          <w:color w:val="auto"/>
        </w:rPr>
      </w:pPr>
      <w:r>
        <w:rPr>
          <w:rFonts w:ascii="Courier New" w:cs="Courier New" w:eastAsia="Courier New" w:hAnsi="Courier New"/>
          <w:sz w:val="16"/>
          <w:szCs w:val="16"/>
          <w:color w:val="auto"/>
        </w:rPr>
        <w:t>- --------------------------------</w:t>
      </w:r>
      <w:r>
        <w:rPr>
          <w:sz w:val="20"/>
          <w:szCs w:val="20"/>
          <w:color w:val="auto"/>
        </w:rPr>
        <w:tab/>
      </w:r>
      <w:r>
        <w:rPr>
          <w:rFonts w:ascii="Courier New" w:cs="Courier New" w:eastAsia="Courier New" w:hAnsi="Courier New"/>
          <w:sz w:val="16"/>
          <w:szCs w:val="16"/>
          <w:color w:val="auto"/>
        </w:rPr>
        <w:t>and Treasurer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Earl E. DeFrates</w:t>
      </w:r>
    </w:p>
    <w:p>
      <w:pPr>
        <w:spacing w:after="0" w:line="198" w:lineRule="exact"/>
        <w:rPr>
          <w:sz w:val="20"/>
          <w:szCs w:val="20"/>
          <w:color w:val="auto"/>
        </w:rPr>
      </w:pPr>
    </w:p>
    <w:p>
      <w:pPr>
        <w:spacing w:after="0"/>
        <w:tabs>
          <w:tab w:leader="none" w:pos="5900" w:val="left"/>
        </w:tabs>
        <w:rPr>
          <w:sz w:val="20"/>
          <w:szCs w:val="20"/>
          <w:color w:val="auto"/>
        </w:rPr>
      </w:pPr>
      <w:r>
        <w:rPr>
          <w:rFonts w:ascii="Courier New" w:cs="Courier New" w:eastAsia="Courier New" w:hAnsi="Courier New"/>
          <w:sz w:val="16"/>
          <w:szCs w:val="16"/>
          <w:color w:val="auto"/>
        </w:rPr>
        <w:t>/s/ Bruce E. Snyder</w:t>
      </w:r>
      <w:r>
        <w:rPr>
          <w:sz w:val="20"/>
          <w:szCs w:val="20"/>
          <w:color w:val="auto"/>
        </w:rPr>
        <w:tab/>
      </w:r>
      <w:r>
        <w:rPr>
          <w:rFonts w:ascii="Courier New" w:cs="Courier New" w:eastAsia="Courier New" w:hAnsi="Courier New"/>
          <w:sz w:val="16"/>
          <w:szCs w:val="16"/>
          <w:color w:val="auto"/>
        </w:rPr>
        <w:t>Vice President and Corporate Controller (Chief</w:t>
      </w:r>
    </w:p>
    <w:p>
      <w:pPr>
        <w:spacing w:after="0" w:line="8" w:lineRule="exact"/>
        <w:rPr>
          <w:sz w:val="20"/>
          <w:szCs w:val="20"/>
          <w:color w:val="auto"/>
        </w:rPr>
      </w:pPr>
    </w:p>
    <w:p>
      <w:pPr>
        <w:spacing w:after="0"/>
        <w:tabs>
          <w:tab w:leader="none" w:pos="6100" w:val="left"/>
        </w:tabs>
        <w:rPr>
          <w:sz w:val="20"/>
          <w:szCs w:val="20"/>
          <w:color w:val="auto"/>
        </w:rPr>
      </w:pPr>
      <w:r>
        <w:rPr>
          <w:rFonts w:ascii="Courier New" w:cs="Courier New" w:eastAsia="Courier New" w:hAnsi="Courier New"/>
          <w:sz w:val="16"/>
          <w:szCs w:val="16"/>
          <w:color w:val="auto"/>
        </w:rPr>
        <w:t>- --------------------------------</w:t>
      </w:r>
      <w:r>
        <w:rPr>
          <w:sz w:val="20"/>
          <w:szCs w:val="20"/>
          <w:color w:val="auto"/>
        </w:rPr>
        <w:tab/>
      </w:r>
      <w:r>
        <w:rPr>
          <w:rFonts w:ascii="Courier New" w:cs="Courier New" w:eastAsia="Courier New" w:hAnsi="Courier New"/>
          <w:sz w:val="16"/>
          <w:szCs w:val="16"/>
          <w:color w:val="auto"/>
        </w:rPr>
        <w:t>Accounting Officer)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Bruce E. Snyder</w:t>
      </w:r>
    </w:p>
    <w:p>
      <w:pPr>
        <w:spacing w:after="0" w:line="198" w:lineRule="exact"/>
        <w:rPr>
          <w:sz w:val="20"/>
          <w:szCs w:val="20"/>
          <w:color w:val="auto"/>
        </w:rPr>
      </w:pPr>
    </w:p>
    <w:p>
      <w:pPr>
        <w:spacing w:after="0"/>
        <w:tabs>
          <w:tab w:leader="none" w:pos="5900" w:val="left"/>
        </w:tabs>
        <w:rPr>
          <w:sz w:val="20"/>
          <w:szCs w:val="20"/>
          <w:color w:val="auto"/>
        </w:rPr>
      </w:pPr>
      <w:r>
        <w:rPr>
          <w:rFonts w:ascii="Courier New" w:cs="Courier New" w:eastAsia="Courier New" w:hAnsi="Courier New"/>
          <w:sz w:val="16"/>
          <w:szCs w:val="16"/>
          <w:color w:val="auto"/>
        </w:rPr>
        <w:t>/s/ John G. Rangos, Sr.</w:t>
      </w:r>
      <w:r>
        <w:rPr>
          <w:sz w:val="20"/>
          <w:szCs w:val="20"/>
          <w:color w:val="auto"/>
        </w:rPr>
        <w:tab/>
      </w:r>
      <w:r>
        <w:rPr>
          <w:rFonts w:ascii="Courier New" w:cs="Courier New" w:eastAsia="Courier New" w:hAnsi="Courier New"/>
          <w:sz w:val="16"/>
          <w:szCs w:val="16"/>
          <w:color w:val="auto"/>
        </w:rPr>
        <w:t>Vice Chairman of the Board</w:t>
      </w:r>
    </w:p>
    <w:p>
      <w:pPr>
        <w:spacing w:after="0" w:line="8" w:lineRule="exact"/>
        <w:rPr>
          <w:sz w:val="20"/>
          <w:szCs w:val="20"/>
          <w:color w:val="auto"/>
        </w:rPr>
      </w:pPr>
    </w:p>
    <w:p>
      <w:pPr>
        <w:ind w:left="200" w:hanging="199"/>
        <w:spacing w:after="0"/>
        <w:tabs>
          <w:tab w:leader="none" w:pos="20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John G. Rangos, Sr.</w:t>
      </w:r>
    </w:p>
    <w:p>
      <w:pPr>
        <w:spacing w:after="0" w:line="198" w:lineRule="exact"/>
        <w:rPr>
          <w:sz w:val="20"/>
          <w:szCs w:val="20"/>
          <w:color w:val="auto"/>
        </w:rPr>
      </w:pPr>
    </w:p>
    <w:p>
      <w:pPr>
        <w:spacing w:after="0"/>
        <w:tabs>
          <w:tab w:leader="none" w:pos="5900" w:val="left"/>
        </w:tabs>
        <w:rPr>
          <w:sz w:val="20"/>
          <w:szCs w:val="20"/>
          <w:color w:val="auto"/>
        </w:rPr>
      </w:pPr>
      <w:r>
        <w:rPr>
          <w:rFonts w:ascii="Courier New" w:cs="Courier New" w:eastAsia="Courier New" w:hAnsi="Courier New"/>
          <w:sz w:val="16"/>
          <w:szCs w:val="16"/>
          <w:color w:val="auto"/>
        </w:rPr>
        <w:t>/s/ Alexander W. Rangos</w:t>
      </w:r>
      <w:r>
        <w:rPr>
          <w:sz w:val="20"/>
          <w:szCs w:val="20"/>
          <w:color w:val="auto"/>
        </w:rPr>
        <w:tab/>
      </w:r>
      <w:r>
        <w:rPr>
          <w:rFonts w:ascii="Courier New" w:cs="Courier New" w:eastAsia="Courier New" w:hAnsi="Courier New"/>
          <w:sz w:val="16"/>
          <w:szCs w:val="16"/>
          <w:color w:val="auto"/>
        </w:rPr>
        <w:t>Executive Vice President for Development and</w:t>
      </w:r>
    </w:p>
    <w:p>
      <w:pPr>
        <w:spacing w:after="0" w:line="8" w:lineRule="exact"/>
        <w:rPr>
          <w:sz w:val="20"/>
          <w:szCs w:val="20"/>
          <w:color w:val="auto"/>
        </w:rPr>
      </w:pPr>
    </w:p>
    <w:p>
      <w:pPr>
        <w:spacing w:after="0"/>
        <w:tabs>
          <w:tab w:leader="none" w:pos="6100" w:val="left"/>
        </w:tabs>
        <w:rPr>
          <w:sz w:val="20"/>
          <w:szCs w:val="20"/>
          <w:color w:val="auto"/>
        </w:rPr>
      </w:pPr>
      <w:r>
        <w:rPr>
          <w:rFonts w:ascii="Courier New" w:cs="Courier New" w:eastAsia="Courier New" w:hAnsi="Courier New"/>
          <w:sz w:val="16"/>
          <w:szCs w:val="16"/>
          <w:color w:val="auto"/>
        </w:rPr>
        <w:t>- --------------------------------</w:t>
      </w:r>
      <w:r>
        <w:rPr>
          <w:sz w:val="20"/>
          <w:szCs w:val="20"/>
          <w:color w:val="auto"/>
        </w:rPr>
        <w:tab/>
      </w:r>
      <w:r>
        <w:rPr>
          <w:rFonts w:ascii="Courier New" w:cs="Courier New" w:eastAsia="Courier New" w:hAnsi="Courier New"/>
          <w:sz w:val="16"/>
          <w:szCs w:val="16"/>
          <w:color w:val="auto"/>
        </w:rPr>
        <w:t>Director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Alexander W. Rangos</w:t>
      </w:r>
    </w:p>
    <w:p>
      <w:pPr>
        <w:spacing w:after="0" w:line="198" w:lineRule="exact"/>
        <w:rPr>
          <w:sz w:val="20"/>
          <w:szCs w:val="20"/>
          <w:color w:val="auto"/>
        </w:rPr>
      </w:pPr>
    </w:p>
    <w:p>
      <w:pPr>
        <w:spacing w:after="0"/>
        <w:tabs>
          <w:tab w:leader="none" w:pos="5900" w:val="left"/>
        </w:tabs>
        <w:rPr>
          <w:sz w:val="20"/>
          <w:szCs w:val="20"/>
          <w:color w:val="auto"/>
        </w:rPr>
      </w:pPr>
      <w:r>
        <w:rPr>
          <w:rFonts w:ascii="Courier New" w:cs="Courier New" w:eastAsia="Courier New" w:hAnsi="Courier New"/>
          <w:sz w:val="16"/>
          <w:szCs w:val="16"/>
          <w:color w:val="auto"/>
        </w:rPr>
        <w:t>/s/ George L. Ball</w:t>
      </w:r>
      <w:r>
        <w:rPr>
          <w:sz w:val="20"/>
          <w:szCs w:val="20"/>
          <w:color w:val="auto"/>
        </w:rPr>
        <w:tab/>
      </w:r>
      <w:r>
        <w:rPr>
          <w:rFonts w:ascii="Courier New" w:cs="Courier New" w:eastAsia="Courier New" w:hAnsi="Courier New"/>
          <w:sz w:val="16"/>
          <w:szCs w:val="16"/>
          <w:color w:val="auto"/>
        </w:rPr>
        <w:t>Director</w:t>
      </w:r>
    </w:p>
    <w:p>
      <w:pPr>
        <w:spacing w:after="0" w:line="8" w:lineRule="exact"/>
        <w:rPr>
          <w:sz w:val="20"/>
          <w:szCs w:val="20"/>
          <w:color w:val="auto"/>
        </w:rPr>
      </w:pPr>
    </w:p>
    <w:p>
      <w:pPr>
        <w:ind w:left="200" w:hanging="199"/>
        <w:spacing w:after="0"/>
        <w:tabs>
          <w:tab w:leader="none" w:pos="20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George L. Ball</w:t>
      </w:r>
    </w:p>
    <w:p>
      <w:pPr>
        <w:spacing w:after="0" w:line="198" w:lineRule="exact"/>
        <w:rPr>
          <w:sz w:val="20"/>
          <w:szCs w:val="20"/>
          <w:color w:val="auto"/>
        </w:rPr>
      </w:pPr>
    </w:p>
    <w:p>
      <w:pPr>
        <w:spacing w:after="0"/>
        <w:tabs>
          <w:tab w:leader="none" w:pos="5900" w:val="left"/>
        </w:tabs>
        <w:rPr>
          <w:sz w:val="20"/>
          <w:szCs w:val="20"/>
          <w:color w:val="auto"/>
        </w:rPr>
      </w:pPr>
      <w:r>
        <w:rPr>
          <w:rFonts w:ascii="Courier New" w:cs="Courier New" w:eastAsia="Courier New" w:hAnsi="Courier New"/>
          <w:sz w:val="16"/>
          <w:szCs w:val="16"/>
          <w:color w:val="auto"/>
        </w:rPr>
        <w:t>/s/ Richard J. Heckmann</w:t>
      </w:r>
      <w:r>
        <w:rPr>
          <w:sz w:val="20"/>
          <w:szCs w:val="20"/>
          <w:color w:val="auto"/>
        </w:rPr>
        <w:tab/>
      </w:r>
      <w:r>
        <w:rPr>
          <w:rFonts w:ascii="Courier New" w:cs="Courier New" w:eastAsia="Courier New" w:hAnsi="Courier New"/>
          <w:sz w:val="16"/>
          <w:szCs w:val="16"/>
          <w:color w:val="auto"/>
        </w:rPr>
        <w:t>Director</w:t>
      </w:r>
    </w:p>
    <w:p>
      <w:pPr>
        <w:spacing w:after="0" w:line="8" w:lineRule="exact"/>
        <w:rPr>
          <w:sz w:val="20"/>
          <w:szCs w:val="20"/>
          <w:color w:val="auto"/>
        </w:rPr>
      </w:pPr>
    </w:p>
    <w:p>
      <w:pPr>
        <w:ind w:left="200" w:hanging="199"/>
        <w:spacing w:after="0"/>
        <w:tabs>
          <w:tab w:leader="none" w:pos="20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Richard J. Heckmann</w:t>
      </w:r>
    </w:p>
    <w:p>
      <w:pPr>
        <w:spacing w:after="0" w:line="198" w:lineRule="exact"/>
        <w:rPr>
          <w:sz w:val="20"/>
          <w:szCs w:val="20"/>
          <w:color w:val="auto"/>
        </w:rPr>
      </w:pPr>
    </w:p>
    <w:p>
      <w:pPr>
        <w:spacing w:after="0"/>
        <w:tabs>
          <w:tab w:leader="none" w:pos="5900" w:val="left"/>
        </w:tabs>
        <w:rPr>
          <w:sz w:val="20"/>
          <w:szCs w:val="20"/>
          <w:color w:val="auto"/>
        </w:rPr>
      </w:pPr>
      <w:r>
        <w:rPr>
          <w:rFonts w:ascii="Courier New" w:cs="Courier New" w:eastAsia="Courier New" w:hAnsi="Courier New"/>
          <w:sz w:val="16"/>
          <w:szCs w:val="16"/>
          <w:color w:val="auto"/>
        </w:rPr>
        <w:t>/s/ William E. Moffett</w:t>
      </w:r>
      <w:r>
        <w:rPr>
          <w:sz w:val="20"/>
          <w:szCs w:val="20"/>
          <w:color w:val="auto"/>
        </w:rPr>
        <w:tab/>
      </w:r>
      <w:r>
        <w:rPr>
          <w:rFonts w:ascii="Courier New" w:cs="Courier New" w:eastAsia="Courier New" w:hAnsi="Courier New"/>
          <w:sz w:val="16"/>
          <w:szCs w:val="16"/>
          <w:color w:val="auto"/>
        </w:rPr>
        <w:t>Director</w:t>
      </w:r>
    </w:p>
    <w:p>
      <w:pPr>
        <w:spacing w:after="0" w:line="8" w:lineRule="exact"/>
        <w:rPr>
          <w:sz w:val="20"/>
          <w:szCs w:val="20"/>
          <w:color w:val="auto"/>
        </w:rPr>
      </w:pPr>
    </w:p>
    <w:p>
      <w:pPr>
        <w:ind w:left="200" w:hanging="199"/>
        <w:spacing w:after="0"/>
        <w:tabs>
          <w:tab w:leader="none" w:pos="20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William E. Moffett</w:t>
      </w:r>
    </w:p>
    <w:p>
      <w:pPr>
        <w:spacing w:after="0" w:line="198" w:lineRule="exact"/>
        <w:rPr>
          <w:sz w:val="20"/>
          <w:szCs w:val="20"/>
          <w:color w:val="auto"/>
        </w:rPr>
      </w:pPr>
    </w:p>
    <w:p>
      <w:pPr>
        <w:spacing w:after="0"/>
        <w:tabs>
          <w:tab w:leader="none" w:pos="5900" w:val="left"/>
        </w:tabs>
        <w:rPr>
          <w:sz w:val="20"/>
          <w:szCs w:val="20"/>
          <w:color w:val="auto"/>
        </w:rPr>
      </w:pPr>
      <w:r>
        <w:rPr>
          <w:rFonts w:ascii="Courier New" w:cs="Courier New" w:eastAsia="Courier New" w:hAnsi="Courier New"/>
          <w:sz w:val="16"/>
          <w:szCs w:val="16"/>
          <w:color w:val="auto"/>
        </w:rPr>
        <w:t>/s/ Peter J. Gibbons</w:t>
      </w:r>
      <w:r>
        <w:rPr>
          <w:sz w:val="20"/>
          <w:szCs w:val="20"/>
          <w:color w:val="auto"/>
        </w:rPr>
        <w:tab/>
      </w:r>
      <w:r>
        <w:rPr>
          <w:rFonts w:ascii="Courier New" w:cs="Courier New" w:eastAsia="Courier New" w:hAnsi="Courier New"/>
          <w:sz w:val="16"/>
          <w:szCs w:val="16"/>
          <w:color w:val="auto"/>
        </w:rPr>
        <w:t>Director</w:t>
      </w:r>
    </w:p>
    <w:p>
      <w:pPr>
        <w:spacing w:after="0" w:line="8" w:lineRule="exact"/>
        <w:rPr>
          <w:sz w:val="20"/>
          <w:szCs w:val="20"/>
          <w:color w:val="auto"/>
        </w:rPr>
      </w:pPr>
    </w:p>
    <w:p>
      <w:pPr>
        <w:ind w:left="200" w:hanging="199"/>
        <w:spacing w:after="0"/>
        <w:tabs>
          <w:tab w:leader="none" w:pos="20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Peter J. Gibbons</w:t>
      </w:r>
    </w:p>
    <w:p>
      <w:pPr>
        <w:sectPr>
          <w:pgSz w:w="11900" w:h="16838" w:orient="portrait"/>
          <w:cols w:equalWidth="0" w:num="1">
            <w:col w:w="10740"/>
          </w:cols>
          <w:pgMar w:left="240" w:top="306" w:right="9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II-8</w:t>
      </w:r>
    </w:p>
    <w:sectPr>
      <w:pgSz w:w="11900" w:h="16838" w:orient="portrait"/>
      <w:cols w:equalWidth="0" w:num="1">
        <w:col w:w="10740"/>
      </w:cols>
      <w:pgMar w:left="240" w:top="306" w:right="9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16231B"/>
    <w:multiLevelType w:val="hybridMultilevel"/>
    <w:lvl w:ilvl="0">
      <w:lvlJc w:val="left"/>
      <w:lvlText w:val="(%1)"/>
      <w:numFmt w:val="lowerLetter"/>
      <w:start w:val="1"/>
    </w:lvl>
  </w:abstractNum>
  <w:abstractNum w:abstractNumId="1">
    <w:nsid w:val="1F16E9E8"/>
    <w:multiLevelType w:val="hybridMultilevel"/>
    <w:lvl w:ilvl="0">
      <w:lvlJc w:val="left"/>
      <w:lvlText w:val="(%1)"/>
      <w:numFmt w:val="lowerRoman"/>
      <w:start w:val="2"/>
    </w:lvl>
  </w:abstractNum>
  <w:abstractNum w:abstractNumId="2">
    <w:nsid w:val="1190CDE7"/>
    <w:multiLevelType w:val="hybridMultilevel"/>
    <w:lvl w:ilvl="0">
      <w:lvlJc w:val="left"/>
      <w:lvlText w:val="%1."/>
      <w:numFmt w:val="decimal"/>
      <w:start w:val="145"/>
    </w:lvl>
  </w:abstractNum>
  <w:abstractNum w:abstractNumId="3">
    <w:nsid w:val="66EF438D"/>
    <w:multiLevelType w:val="hybridMultilevel"/>
    <w:lvl w:ilvl="0">
      <w:lvlJc w:val="left"/>
      <w:lvlText w:val="(%1)"/>
      <w:numFmt w:val="lowerLetter"/>
      <w:start w:val="2"/>
    </w:lvl>
  </w:abstractNum>
  <w:abstractNum w:abstractNumId="4">
    <w:nsid w:val="140E0F76"/>
    <w:multiLevelType w:val="hybridMultilevel"/>
    <w:lvl w:ilvl="0">
      <w:lvlJc w:val="left"/>
      <w:lvlText w:val="(%1)"/>
      <w:numFmt w:val="lowerLetter"/>
      <w:start w:val="1"/>
    </w:lvl>
    <w:lvl w:ilvl="1">
      <w:lvlJc w:val="left"/>
      <w:lvlText w:val="(%2)"/>
      <w:numFmt w:val="lowerLetter"/>
      <w:start w:val="4"/>
    </w:lvl>
  </w:abstractNum>
  <w:abstractNum w:abstractNumId="5">
    <w:nsid w:val="3352255A"/>
    <w:multiLevelType w:val="hybridMultilevel"/>
    <w:lvl w:ilvl="0">
      <w:lvlJc w:val="left"/>
      <w:lvlText w:val="%1"/>
      <w:numFmt w:val="lowerLetter"/>
      <w:start w:val="1"/>
    </w:lvl>
    <w:lvl w:ilvl="1">
      <w:lvlJc w:val="left"/>
      <w:lvlText w:val="(%2)"/>
      <w:numFmt w:val="lowerLetter"/>
      <w:start w:val="5"/>
    </w:lvl>
  </w:abstractNum>
  <w:abstractNum w:abstractNumId="6">
    <w:nsid w:val="109CF92E"/>
    <w:multiLevelType w:val="hybridMultilevel"/>
    <w:lvl w:ilvl="0">
      <w:lvlJc w:val="left"/>
      <w:lvlText w:val="(%1)"/>
      <w:numFmt w:val="lowerLetter"/>
      <w:start w:val="11"/>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9">
    <w:nsid w:val="1BEFD79F"/>
    <w:multiLevelType w:val="hybridMultilevel"/>
    <w:lvl w:ilvl="0">
      <w:lvlJc w:val="left"/>
      <w:lvlText w:val="(%1)"/>
      <w:numFmt w:val="decimal"/>
      <w:start w:val="2"/>
    </w:lvl>
  </w:abstractNum>
  <w:abstractNum w:abstractNumId="10">
    <w:nsid w:val="41A7C4C9"/>
    <w:multiLevelType w:val="hybridMultilevel"/>
    <w:lvl w:ilvl="0">
      <w:lvlJc w:val="left"/>
      <w:lvlText w:val="(%1)"/>
      <w:numFmt w:val="lowerLetter"/>
      <w:start w:val="2"/>
    </w:lvl>
  </w:abstractNum>
  <w:abstractNum w:abstractNumId="11">
    <w:nsid w:val="6B68079A"/>
    <w:multiLevelType w:val="hybridMultilevel"/>
    <w:lvl w:ilvl="0">
      <w:lvlJc w:val="left"/>
      <w:lvlText w:val="(%1)"/>
      <w:numFmt w:val="lowerLetter"/>
      <w:start w:val="5"/>
    </w:lvl>
  </w:abstractNum>
  <w:abstractNum w:abstractNumId="12">
    <w:nsid w:val="4E6AFB66"/>
    <w:multiLevelType w:val="hybridMultilevel"/>
    <w:lvl w:ilvl="0">
      <w:lvlJc w:val="left"/>
      <w:lvlText w:val="(%1)"/>
      <w:numFmt w:val="lowerLetter"/>
      <w:start w:val="8"/>
    </w:lvl>
  </w:abstractNum>
  <w:abstractNum w:abstractNumId="13">
    <w:nsid w:val="25E45D32"/>
    <w:multiLevelType w:val="hybridMultilevel"/>
    <w:lvl w:ilvl="0">
      <w:lvlJc w:val="left"/>
      <w:lvlText w:val="-"/>
      <w:numFmt w:val="bullet"/>
      <w:start w:val="1"/>
    </w:lvl>
  </w:abstractNum>
  <w:abstractNum w:abstractNumId="14">
    <w:nsid w:val="519B500D"/>
    <w:multiLevelType w:val="hybridMultilevel"/>
    <w:lvl w:ilvl="0">
      <w:lvlJc w:val="left"/>
      <w:lvlText w:val="-"/>
      <w:numFmt w:val="bullet"/>
      <w:start w:val="1"/>
    </w:lvl>
  </w:abstractNum>
  <w:abstractNum w:abstractNumId="15">
    <w:nsid w:val="431BD7B7"/>
    <w:multiLevelType w:val="hybridMultilevel"/>
    <w:lvl w:ilvl="0">
      <w:lvlJc w:val="left"/>
      <w:lvlText w:val="-"/>
      <w:numFmt w:val="bullet"/>
      <w:start w:val="1"/>
    </w:lvl>
  </w:abstractNum>
  <w:abstractNum w:abstractNumId="16">
    <w:nsid w:val="3F2DBA31"/>
    <w:multiLevelType w:val="hybridMultilevel"/>
    <w:lvl w:ilvl="0">
      <w:lvlJc w:val="left"/>
      <w:lvlText w:val="-"/>
      <w:numFmt w:val="bullet"/>
      <w:start w:val="1"/>
    </w:lvl>
  </w:abstractNum>
  <w:abstractNum w:abstractNumId="17">
    <w:nsid w:val="7C83E458"/>
    <w:multiLevelType w:val="hybridMultilevel"/>
    <w:lvl w:ilvl="0">
      <w:lvlJc w:val="left"/>
      <w:lvlText w:val="-"/>
      <w:numFmt w:val="bullet"/>
      <w:start w:val="1"/>
    </w:lvl>
  </w:abstractNum>
  <w:abstractNum w:abstractNumId="18">
    <w:nsid w:val="257130A3"/>
    <w:multiLevelType w:val="hybridMultilevel"/>
    <w:lvl w:ilvl="0">
      <w:lvlJc w:val="left"/>
      <w:lvlText w:val="-"/>
      <w:numFmt w:val="bullet"/>
      <w:start w:val="1"/>
    </w:lvl>
  </w:abstractNum>
  <w:abstractNum w:abstractNumId="19">
    <w:nsid w:val="62BBD9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2019-12-20T04:31:21Z</dcterms:created>
  <dcterms:modified xsi:type="dcterms:W3CDTF">2019-12-20T04:31:21Z</dcterms:modified>
</cp:coreProperties>
</file>