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1160" w:hanging="1014"/>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w:t>
      </w:r>
    </w:p>
    <w:p>
      <w:pPr>
        <w:spacing w:after="0" w:line="13"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ind w:left="1160"/>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 w:lineRule="exact"/>
        <w:rPr>
          <w:sz w:val="24"/>
          <w:szCs w:val="24"/>
          <w:color w:val="auto"/>
        </w:rPr>
      </w:pPr>
    </w:p>
    <w:p>
      <w:pPr>
        <w:ind w:left="6200"/>
        <w:spacing w:after="0"/>
        <w:rPr>
          <w:sz w:val="20"/>
          <w:szCs w:val="20"/>
          <w:color w:val="auto"/>
        </w:rPr>
      </w:pPr>
      <w:r>
        <w:rPr>
          <w:rFonts w:ascii="Arial" w:cs="Arial" w:eastAsia="Arial" w:hAnsi="Arial"/>
          <w:sz w:val="18"/>
          <w:szCs w:val="18"/>
          <w:b w:val="1"/>
          <w:bCs w:val="1"/>
          <w:color w:val="auto"/>
        </w:rPr>
        <w:t>or</w:t>
      </w:r>
    </w:p>
    <w:p>
      <w:pPr>
        <w:ind w:left="1160" w:hanging="1014"/>
        <w:spacing w:after="0" w:line="237" w:lineRule="auto"/>
        <w:tabs>
          <w:tab w:leader="none" w:pos="11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w:t>
      </w:r>
    </w:p>
    <w:p>
      <w:pPr>
        <w:spacing w:after="0" w:line="1"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381" w:right="239" w:bottom="1440" w:gutter="0" w:footer="0" w:header="0"/>
        </w:sectPr>
      </w:pPr>
    </w:p>
    <w:p>
      <w:pPr>
        <w:spacing w:after="0" w:line="4"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138" w:lineRule="exact"/>
        <w:rPr>
          <w:sz w:val="24"/>
          <w:szCs w:val="24"/>
          <w:color w:val="auto"/>
        </w:rPr>
      </w:pPr>
    </w:p>
    <w:p>
      <w:pPr>
        <w:sectPr>
          <w:pgSz w:w="11900" w:h="16838" w:orient="portrait"/>
          <w:cols w:equalWidth="0" w:num="2">
            <w:col w:w="3420" w:space="620"/>
            <w:col w:w="738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Waste Management, Inc.</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20"/>
          </w:cols>
          <w:pgMar w:left="240" w:top="381" w:right="239" w:bottom="1440" w:gutter="0" w:footer="0" w:header="0"/>
          <w:type w:val="continuous"/>
        </w:sectPr>
      </w:pPr>
    </w:p>
    <w:p>
      <w:pPr>
        <w:spacing w:after="0" w:line="187"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73-1309529</w:t>
      </w:r>
    </w:p>
    <w:p>
      <w:pPr>
        <w:spacing w:after="0" w:line="56" w:lineRule="exact"/>
        <w:rPr>
          <w:sz w:val="24"/>
          <w:szCs w:val="24"/>
          <w:color w:val="auto"/>
        </w:rPr>
      </w:pPr>
    </w:p>
    <w:p>
      <w:pPr>
        <w:sectPr>
          <w:pgSz w:w="11900" w:h="16838" w:orient="portrait"/>
          <w:cols w:equalWidth="0" w:num="2">
            <w:col w:w="7540" w:space="720"/>
            <w:col w:w="3160"/>
          </w:cols>
          <w:pgMar w:left="240" w:top="381" w:right="239" w:bottom="1440" w:gutter="0" w:footer="0" w:header="0"/>
          <w:type w:val="continuous"/>
        </w:sectPr>
      </w:pPr>
    </w:p>
    <w:p>
      <w:pPr>
        <w:ind w:left="2080"/>
        <w:spacing w:after="0"/>
        <w:rPr>
          <w:sz w:val="20"/>
          <w:szCs w:val="20"/>
          <w:color w:val="auto"/>
        </w:rPr>
      </w:pPr>
      <w:r>
        <w:rPr>
          <w:rFonts w:ascii="Arial" w:cs="Arial" w:eastAsia="Arial" w:hAnsi="Arial"/>
          <w:sz w:val="12"/>
          <w:szCs w:val="12"/>
          <w:i w:val="1"/>
          <w:iCs w:val="1"/>
          <w:color w:val="auto"/>
        </w:rPr>
        <w:t>(State or other jurisdiction of</w:t>
      </w:r>
    </w:p>
    <w:p>
      <w:pPr>
        <w:spacing w:after="0" w:line="14" w:lineRule="exact"/>
        <w:rPr>
          <w:sz w:val="24"/>
          <w:szCs w:val="24"/>
          <w:color w:val="auto"/>
        </w:rPr>
      </w:pPr>
    </w:p>
    <w:p>
      <w:pPr>
        <w:ind w:left="204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2"/>
          <w:szCs w:val="12"/>
          <w:i w:val="1"/>
          <w:iCs w:val="1"/>
          <w:color w:val="auto"/>
        </w:rPr>
        <w:t>(I.R.S. Employer</w:t>
      </w:r>
    </w:p>
    <w:p>
      <w:pPr>
        <w:spacing w:after="0" w:line="14" w:lineRule="exact"/>
        <w:rPr>
          <w:sz w:val="24"/>
          <w:szCs w:val="24"/>
          <w:color w:val="auto"/>
        </w:rPr>
      </w:pPr>
    </w:p>
    <w:p>
      <w:pPr>
        <w:jc w:val="center"/>
        <w:ind w:right="2240"/>
        <w:spacing w:after="0"/>
        <w:rPr>
          <w:sz w:val="20"/>
          <w:szCs w:val="20"/>
          <w:color w:val="auto"/>
        </w:rPr>
      </w:pPr>
      <w:r>
        <w:rPr>
          <w:rFonts w:ascii="Arial" w:cs="Arial" w:eastAsia="Arial" w:hAnsi="Arial"/>
          <w:sz w:val="12"/>
          <w:szCs w:val="12"/>
          <w:i w:val="1"/>
          <w:iCs w:val="1"/>
          <w:color w:val="auto"/>
        </w:rPr>
        <w:t>Identification No.)</w:t>
      </w:r>
    </w:p>
    <w:p>
      <w:pPr>
        <w:spacing w:after="0" w:line="171" w:lineRule="exact"/>
        <w:rPr>
          <w:sz w:val="24"/>
          <w:szCs w:val="24"/>
          <w:color w:val="auto"/>
        </w:rPr>
      </w:pPr>
    </w:p>
    <w:p>
      <w:pPr>
        <w:sectPr>
          <w:pgSz w:w="11900" w:h="16838" w:orient="portrait"/>
          <w:cols w:equalWidth="0" w:num="2">
            <w:col w:w="7460" w:space="720"/>
            <w:col w:w="324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1001 Fannin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43"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81" w:right="239" w:bottom="1440" w:gutter="0" w:footer="0" w:header="0"/>
          <w:type w:val="continuous"/>
        </w:sectPr>
      </w:pPr>
    </w:p>
    <w:p>
      <w:pPr>
        <w:spacing w:after="0" w:line="85"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07" w:lineRule="exact"/>
        <w:tabs>
          <w:tab w:leader="none" w:pos="4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p>
      <w:pPr>
        <w:spacing w:after="0" w:line="56" w:lineRule="exact"/>
        <w:rPr>
          <w:sz w:val="24"/>
          <w:szCs w:val="24"/>
          <w:color w:val="auto"/>
        </w:rPr>
      </w:pPr>
    </w:p>
    <w:p>
      <w:pPr>
        <w:ind w:left="160"/>
        <w:spacing w:after="0"/>
        <w:rPr>
          <w:sz w:val="20"/>
          <w:szCs w:val="20"/>
          <w:color w:val="auto"/>
        </w:rPr>
      </w:pPr>
      <w:r>
        <w:rPr>
          <w:rFonts w:ascii="Arial" w:cs="Arial" w:eastAsia="Arial" w:hAnsi="Arial"/>
          <w:sz w:val="16"/>
          <w:szCs w:val="16"/>
          <w:color w:val="auto"/>
        </w:rPr>
        <w:t>(Do not check if a smaller reporting company)</w:t>
      </w:r>
    </w:p>
    <w:p>
      <w:pPr>
        <w:spacing w:after="0" w:line="148" w:lineRule="exact"/>
        <w:rPr>
          <w:sz w:val="24"/>
          <w:szCs w:val="24"/>
          <w:color w:val="auto"/>
        </w:rPr>
      </w:pPr>
    </w:p>
    <w:p>
      <w:pPr>
        <w:sectPr>
          <w:pgSz w:w="11900" w:h="16838" w:orient="portrait"/>
          <w:cols w:equalWidth="0" w:num="6">
            <w:col w:w="1580" w:space="100"/>
            <w:col w:w="140" w:space="320"/>
            <w:col w:w="1160" w:space="100"/>
            <w:col w:w="160" w:space="260"/>
            <w:col w:w="1480" w:space="100"/>
            <w:col w:w="6020"/>
          </w:cols>
          <w:pgMar w:left="240" w:top="381"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700" w:space="180"/>
            <w:col w:w="240" w:space="100"/>
            <w:col w:w="160" w:space="180"/>
            <w:col w:w="200" w:space="100"/>
            <w:col w:w="2560"/>
          </w:cols>
          <w:pgMar w:left="240" w:top="381" w:right="239" w:bottom="1440" w:gutter="0" w:footer="0" w:header="0"/>
          <w:type w:val="continuous"/>
        </w:sectPr>
      </w:pPr>
    </w:p>
    <w:p>
      <w:pPr>
        <w:ind w:right="20" w:firstLine="456"/>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October 23, 2012 was 463,899,149 (excluding treasury shares of 166,383,312).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8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7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ind w:left="5420"/>
              <w:spacing w:after="0" w:line="149" w:lineRule="exact"/>
              <w:rPr>
                <w:sz w:val="20"/>
                <w:szCs w:val="20"/>
                <w:color w:val="auto"/>
              </w:rPr>
            </w:pPr>
            <w:r>
              <w:rPr>
                <w:rFonts w:ascii="Arial" w:cs="Arial" w:eastAsia="Arial" w:hAnsi="Arial"/>
                <w:sz w:val="14"/>
                <w:szCs w:val="14"/>
                <w:b w:val="1"/>
                <w:bCs w:val="1"/>
                <w:color w:val="auto"/>
              </w:rPr>
              <w:t>ASSETS</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1300" w:type="dxa"/>
            <w:vAlign w:val="bottom"/>
            <w:gridSpan w:val="2"/>
            <w:shd w:val="clear" w:color="auto" w:fill="CCEEFF"/>
          </w:tcPr>
          <w:p>
            <w:pPr>
              <w:ind w:left="1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49"/>
        </w:trPr>
        <w:tc>
          <w:tcPr>
            <w:tcW w:w="768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 net of allowance for doubtful accounts of $37 and $29, respectively</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1,760</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1,631</w:t>
            </w: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receivables</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49"/>
        </w:trPr>
        <w:tc>
          <w:tcPr>
            <w:tcW w:w="7680" w:type="dxa"/>
            <w:vAlign w:val="bottom"/>
          </w:tcPr>
          <w:p>
            <w:pPr>
              <w:ind w:left="220"/>
              <w:spacing w:after="0" w:line="149" w:lineRule="exact"/>
              <w:rPr>
                <w:sz w:val="20"/>
                <w:szCs w:val="20"/>
                <w:color w:val="auto"/>
              </w:rPr>
            </w:pPr>
            <w:r>
              <w:rPr>
                <w:rFonts w:ascii="Arial" w:cs="Arial" w:eastAsia="Arial" w:hAnsi="Arial"/>
                <w:sz w:val="14"/>
                <w:szCs w:val="14"/>
                <w:color w:val="auto"/>
              </w:rPr>
              <w:t>Parts and supplies</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155</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56"/>
        </w:trPr>
        <w:tc>
          <w:tcPr>
            <w:tcW w:w="7680" w:type="dxa"/>
            <w:vAlign w:val="bottom"/>
          </w:tcPr>
          <w:p>
            <w:pPr>
              <w:ind w:left="220"/>
              <w:spacing w:after="0" w:line="149" w:lineRule="exact"/>
              <w:rPr>
                <w:sz w:val="20"/>
                <w:szCs w:val="20"/>
                <w:color w:val="auto"/>
              </w:rPr>
            </w:pPr>
            <w:r>
              <w:rPr>
                <w:rFonts w:ascii="Arial" w:cs="Arial" w:eastAsia="Arial" w:hAnsi="Arial"/>
                <w:sz w:val="14"/>
                <w:szCs w:val="14"/>
                <w:color w:val="auto"/>
              </w:rPr>
              <w:t>Other assets</w:t>
            </w:r>
          </w:p>
        </w:tc>
        <w:tc>
          <w:tcPr>
            <w:tcW w:w="1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159</w:t>
            </w:r>
          </w:p>
        </w:tc>
        <w:tc>
          <w:tcPr>
            <w:tcW w:w="9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assets</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2,659</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2,379</w:t>
            </w:r>
          </w:p>
        </w:tc>
        <w:tc>
          <w:tcPr>
            <w:tcW w:w="0" w:type="dxa"/>
            <w:vAlign w:val="bottom"/>
          </w:tcPr>
          <w:p>
            <w:pPr>
              <w:spacing w:after="0"/>
              <w:rPr>
                <w:sz w:val="1"/>
                <w:szCs w:val="1"/>
                <w:color w:val="auto"/>
              </w:rPr>
            </w:pPr>
          </w:p>
        </w:tc>
      </w:tr>
      <w:tr>
        <w:trPr>
          <w:trHeight w:val="149"/>
        </w:trPr>
        <w:tc>
          <w:tcPr>
            <w:tcW w:w="7680" w:type="dxa"/>
            <w:vAlign w:val="bottom"/>
          </w:tcPr>
          <w:p>
            <w:pPr>
              <w:spacing w:after="0" w:line="149" w:lineRule="exact"/>
              <w:rPr>
                <w:sz w:val="20"/>
                <w:szCs w:val="20"/>
                <w:color w:val="auto"/>
              </w:rPr>
            </w:pPr>
            <w:r>
              <w:rPr>
                <w:rFonts w:ascii="Arial" w:cs="Arial" w:eastAsia="Arial" w:hAnsi="Arial"/>
                <w:sz w:val="14"/>
                <w:szCs w:val="14"/>
                <w:color w:val="auto"/>
              </w:rPr>
              <w:t>Property and equipment, net of accumulated depreciation and amortization of $16,005 and $15,308, respectively</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12,518</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12,242</w:t>
            </w: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6,259</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6,215</w:t>
            </w:r>
          </w:p>
        </w:tc>
        <w:tc>
          <w:tcPr>
            <w:tcW w:w="0" w:type="dxa"/>
            <w:vAlign w:val="bottom"/>
          </w:tcPr>
          <w:p>
            <w:pPr>
              <w:spacing w:after="0"/>
              <w:rPr>
                <w:sz w:val="1"/>
                <w:szCs w:val="1"/>
                <w:color w:val="auto"/>
              </w:rPr>
            </w:pPr>
          </w:p>
        </w:tc>
      </w:tr>
      <w:tr>
        <w:trPr>
          <w:trHeight w:val="149"/>
        </w:trPr>
        <w:tc>
          <w:tcPr>
            <w:tcW w:w="768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405</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in unconsolidated entities</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56"/>
        </w:trPr>
        <w:tc>
          <w:tcPr>
            <w:tcW w:w="768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580</w:t>
            </w:r>
          </w:p>
        </w:tc>
        <w:tc>
          <w:tcPr>
            <w:tcW w:w="9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Total assets</w:t>
            </w:r>
          </w:p>
        </w:tc>
        <w:tc>
          <w:tcPr>
            <w:tcW w:w="1300" w:type="dxa"/>
            <w:vAlign w:val="bottom"/>
            <w:gridSpan w:val="2"/>
            <w:shd w:val="clear" w:color="auto" w:fill="CCEEFF"/>
          </w:tcPr>
          <w:p>
            <w:pPr>
              <w:ind w:left="1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23,073</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22,569</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4820"/>
              <w:spacing w:after="0"/>
              <w:rPr>
                <w:sz w:val="20"/>
                <w:szCs w:val="20"/>
                <w:color w:val="auto"/>
              </w:rPr>
            </w:pPr>
            <w:r>
              <w:rPr>
                <w:rFonts w:ascii="Arial" w:cs="Arial" w:eastAsia="Arial" w:hAnsi="Arial"/>
                <w:sz w:val="14"/>
                <w:szCs w:val="14"/>
                <w:b w:val="1"/>
                <w:bCs w:val="1"/>
                <w:color w:val="auto"/>
              </w:rPr>
              <w:t>LIABILITIES AND EQUITY</w:t>
            </w:r>
          </w:p>
        </w:tc>
        <w:tc>
          <w:tcPr>
            <w:tcW w:w="1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1300" w:type="dxa"/>
            <w:vAlign w:val="bottom"/>
            <w:gridSpan w:val="2"/>
          </w:tcPr>
          <w:p>
            <w:pPr>
              <w:ind w:left="1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787</w:t>
            </w:r>
          </w:p>
        </w:tc>
        <w:tc>
          <w:tcPr>
            <w:tcW w:w="90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liabilities</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1,115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149"/>
        </w:trPr>
        <w:tc>
          <w:tcPr>
            <w:tcW w:w="7680" w:type="dxa"/>
            <w:vAlign w:val="bottom"/>
          </w:tcPr>
          <w:p>
            <w:pPr>
              <w:ind w:left="220"/>
              <w:spacing w:after="0" w:line="149" w:lineRule="exact"/>
              <w:rPr>
                <w:sz w:val="20"/>
                <w:szCs w:val="20"/>
                <w:color w:val="auto"/>
              </w:rPr>
            </w:pPr>
            <w:r>
              <w:rPr>
                <w:rFonts w:ascii="Arial" w:cs="Arial" w:eastAsia="Arial" w:hAnsi="Arial"/>
                <w:sz w:val="14"/>
                <w:szCs w:val="14"/>
                <w:color w:val="auto"/>
              </w:rPr>
              <w:t>Deferred revenues</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459</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 portion of long-term debt</w:t>
            </w:r>
          </w:p>
        </w:tc>
        <w:tc>
          <w:tcPr>
            <w:tcW w:w="1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826</w:t>
            </w:r>
          </w:p>
        </w:tc>
        <w:tc>
          <w:tcPr>
            <w:tcW w:w="9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680" w:type="dxa"/>
            <w:vAlign w:val="bottom"/>
          </w:tcPr>
          <w:p>
            <w:pPr>
              <w:ind w:left="440"/>
              <w:spacing w:after="0" w:line="155" w:lineRule="exact"/>
              <w:rPr>
                <w:sz w:val="20"/>
                <w:szCs w:val="20"/>
                <w:color w:val="auto"/>
              </w:rPr>
            </w:pPr>
            <w:r>
              <w:rPr>
                <w:rFonts w:ascii="Arial" w:cs="Arial" w:eastAsia="Arial" w:hAnsi="Arial"/>
                <w:sz w:val="14"/>
                <w:szCs w:val="14"/>
                <w:color w:val="auto"/>
              </w:rPr>
              <w:t>Total current liabilities</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3,187</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3,068</w:t>
            </w: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9,166</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9,125</w:t>
            </w:r>
          </w:p>
        </w:tc>
        <w:tc>
          <w:tcPr>
            <w:tcW w:w="0" w:type="dxa"/>
            <w:vAlign w:val="bottom"/>
          </w:tcPr>
          <w:p>
            <w:pPr>
              <w:spacing w:after="0"/>
              <w:rPr>
                <w:sz w:val="1"/>
                <w:szCs w:val="1"/>
                <w:color w:val="auto"/>
              </w:rPr>
            </w:pPr>
          </w:p>
        </w:tc>
      </w:tr>
      <w:tr>
        <w:trPr>
          <w:trHeight w:val="149"/>
        </w:trPr>
        <w:tc>
          <w:tcPr>
            <w:tcW w:w="768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1,896</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1,884</w:t>
            </w: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Landfill and environmental remediation liabilities</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1,453</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156"/>
        </w:trPr>
        <w:tc>
          <w:tcPr>
            <w:tcW w:w="768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759</w:t>
            </w:r>
          </w:p>
        </w:tc>
        <w:tc>
          <w:tcPr>
            <w:tcW w:w="9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liabilities</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16,461</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16,179</w:t>
            </w:r>
          </w:p>
        </w:tc>
        <w:tc>
          <w:tcPr>
            <w:tcW w:w="0" w:type="dxa"/>
            <w:vAlign w:val="bottom"/>
          </w:tcPr>
          <w:p>
            <w:pPr>
              <w:spacing w:after="0"/>
              <w:rPr>
                <w:sz w:val="1"/>
                <w:szCs w:val="1"/>
                <w:color w:val="auto"/>
              </w:rPr>
            </w:pPr>
          </w:p>
        </w:tc>
      </w:tr>
      <w:tr>
        <w:trPr>
          <w:trHeight w:val="156"/>
        </w:trPr>
        <w:tc>
          <w:tcPr>
            <w:tcW w:w="7680" w:type="dxa"/>
            <w:vAlign w:val="bottom"/>
          </w:tcPr>
          <w:p>
            <w:pPr>
              <w:spacing w:after="0" w:line="155" w:lineRule="exact"/>
              <w:rPr>
                <w:sz w:val="20"/>
                <w:szCs w:val="20"/>
                <w:color w:val="auto"/>
              </w:rPr>
            </w:pPr>
            <w:r>
              <w:rPr>
                <w:rFonts w:ascii="Arial" w:cs="Arial" w:eastAsia="Arial" w:hAnsi="Arial"/>
                <w:sz w:val="14"/>
                <w:szCs w:val="14"/>
                <w:color w:val="auto"/>
              </w:rPr>
              <w:t>Commitments and contingencies</w:t>
            </w:r>
          </w:p>
        </w:tc>
        <w:tc>
          <w:tcPr>
            <w:tcW w:w="1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ind w:left="220"/>
              <w:spacing w:after="0" w:line="149" w:lineRule="exact"/>
              <w:rPr>
                <w:sz w:val="20"/>
                <w:szCs w:val="20"/>
                <w:color w:val="auto"/>
              </w:rPr>
            </w:pPr>
            <w:r>
              <w:rPr>
                <w:rFonts w:ascii="Arial" w:cs="Arial" w:eastAsia="Arial" w:hAnsi="Arial"/>
                <w:sz w:val="14"/>
                <w:szCs w:val="14"/>
                <w:color w:val="auto"/>
              </w:rPr>
              <w:t>Waste Management, Inc. stockholders’ equity:</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Common stock, $0.01 par value; 1,500,000,000 shares authorized; 630,282,461 shares issued</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7680" w:type="dxa"/>
            <w:vAlign w:val="bottom"/>
          </w:tcPr>
          <w:p>
            <w:pPr>
              <w:ind w:left="440"/>
              <w:spacing w:after="0" w:line="149" w:lineRule="exact"/>
              <w:rPr>
                <w:sz w:val="20"/>
                <w:szCs w:val="20"/>
                <w:color w:val="auto"/>
              </w:rPr>
            </w:pPr>
            <w:r>
              <w:rPr>
                <w:rFonts w:ascii="Arial" w:cs="Arial" w:eastAsia="Arial" w:hAnsi="Arial"/>
                <w:sz w:val="14"/>
                <w:szCs w:val="14"/>
                <w:color w:val="auto"/>
              </w:rPr>
              <w:t>Additional paid-in capital</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4,546</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4,561</w:t>
            </w: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Retained earnings</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6,820</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6,721</w:t>
            </w:r>
          </w:p>
        </w:tc>
        <w:tc>
          <w:tcPr>
            <w:tcW w:w="0" w:type="dxa"/>
            <w:vAlign w:val="bottom"/>
          </w:tcPr>
          <w:p>
            <w:pPr>
              <w:spacing w:after="0"/>
              <w:rPr>
                <w:sz w:val="1"/>
                <w:szCs w:val="1"/>
                <w:color w:val="auto"/>
              </w:rPr>
            </w:pPr>
          </w:p>
        </w:tc>
      </w:tr>
      <w:tr>
        <w:trPr>
          <w:trHeight w:val="149"/>
        </w:trPr>
        <w:tc>
          <w:tcPr>
            <w:tcW w:w="7680" w:type="dxa"/>
            <w:vAlign w:val="bottom"/>
          </w:tcPr>
          <w:p>
            <w:pPr>
              <w:ind w:left="440"/>
              <w:spacing w:after="0" w:line="149" w:lineRule="exact"/>
              <w:rPr>
                <w:sz w:val="20"/>
                <w:szCs w:val="20"/>
                <w:color w:val="auto"/>
              </w:rPr>
            </w:pPr>
            <w:r>
              <w:rPr>
                <w:rFonts w:ascii="Arial" w:cs="Arial" w:eastAsia="Arial" w:hAnsi="Arial"/>
                <w:sz w:val="14"/>
                <w:szCs w:val="14"/>
                <w:color w:val="auto"/>
              </w:rPr>
              <w:t>Accumulated other comprehensive income</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Treasury stock at cost, 166,415,015 and 169,749,709 shares, respectively</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(5,284)</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(5,390)</w:t>
            </w:r>
          </w:p>
        </w:tc>
        <w:tc>
          <w:tcPr>
            <w:tcW w:w="0" w:type="dxa"/>
            <w:vAlign w:val="bottom"/>
          </w:tcPr>
          <w:p>
            <w:pPr>
              <w:spacing w:after="0"/>
              <w:rPr>
                <w:sz w:val="1"/>
                <w:szCs w:val="1"/>
                <w:color w:val="auto"/>
              </w:rPr>
            </w:pPr>
          </w:p>
        </w:tc>
      </w:tr>
      <w:tr>
        <w:trPr>
          <w:trHeight w:val="156"/>
        </w:trPr>
        <w:tc>
          <w:tcPr>
            <w:tcW w:w="7680" w:type="dxa"/>
            <w:vAlign w:val="bottom"/>
          </w:tcPr>
          <w:p>
            <w:pPr>
              <w:ind w:left="660"/>
              <w:spacing w:after="0" w:line="155" w:lineRule="exact"/>
              <w:rPr>
                <w:sz w:val="20"/>
                <w:szCs w:val="20"/>
                <w:color w:val="auto"/>
              </w:rPr>
            </w:pPr>
            <w:r>
              <w:rPr>
                <w:rFonts w:ascii="Arial" w:cs="Arial" w:eastAsia="Arial" w:hAnsi="Arial"/>
                <w:sz w:val="14"/>
                <w:szCs w:val="14"/>
                <w:color w:val="auto"/>
              </w:rPr>
              <w:t>Total Waste Management, Inc. stockholders’ equity</w:t>
            </w:r>
          </w:p>
        </w:tc>
        <w:tc>
          <w:tcPr>
            <w:tcW w:w="1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6,288</w:t>
            </w:r>
          </w:p>
        </w:tc>
        <w:tc>
          <w:tcPr>
            <w:tcW w:w="9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6,070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Noncontrolling interests</w:t>
            </w:r>
          </w:p>
        </w:tc>
        <w:tc>
          <w:tcPr>
            <w:tcW w:w="1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324</w:t>
            </w:r>
          </w:p>
        </w:tc>
        <w:tc>
          <w:tcPr>
            <w:tcW w:w="9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7680" w:type="dxa"/>
            <w:vAlign w:val="bottom"/>
          </w:tcPr>
          <w:p>
            <w:pPr>
              <w:ind w:left="660"/>
              <w:spacing w:after="0" w:line="155" w:lineRule="exact"/>
              <w:rPr>
                <w:sz w:val="20"/>
                <w:szCs w:val="20"/>
                <w:color w:val="auto"/>
              </w:rPr>
            </w:pPr>
            <w:r>
              <w:rPr>
                <w:rFonts w:ascii="Arial" w:cs="Arial" w:eastAsia="Arial" w:hAnsi="Arial"/>
                <w:sz w:val="14"/>
                <w:szCs w:val="14"/>
                <w:color w:val="auto"/>
              </w:rPr>
              <w:t>Total equity</w:t>
            </w:r>
          </w:p>
        </w:tc>
        <w:tc>
          <w:tcPr>
            <w:tcW w:w="1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6,612</w:t>
            </w:r>
          </w:p>
        </w:tc>
        <w:tc>
          <w:tcPr>
            <w:tcW w:w="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Total liabilities and equity</w:t>
            </w:r>
          </w:p>
        </w:tc>
        <w:tc>
          <w:tcPr>
            <w:tcW w:w="1300" w:type="dxa"/>
            <w:vAlign w:val="bottom"/>
            <w:gridSpan w:val="2"/>
            <w:shd w:val="clear" w:color="auto" w:fill="CCEEFF"/>
          </w:tcPr>
          <w:p>
            <w:pPr>
              <w:ind w:left="1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23,073</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22,569</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 w:name="page3"/>
    <w:bookmarkEnd w:id="2"/>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15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left="335"/>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5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2012</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3,461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3,522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10,215</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4"/>
              </w:rPr>
              <w:t>2,229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2,261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1,116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2,961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2,979</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8,848</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8,496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1,476</w:t>
            </w:r>
          </w:p>
        </w:tc>
        <w:tc>
          <w:tcPr>
            <w:tcW w:w="0" w:type="dxa"/>
            <w:vAlign w:val="bottom"/>
          </w:tcPr>
          <w:p>
            <w:pPr>
              <w:spacing w:after="0"/>
              <w:rPr>
                <w:sz w:val="1"/>
                <w:szCs w:val="1"/>
                <w:color w:val="auto"/>
              </w:rPr>
            </w:pPr>
          </w:p>
        </w:tc>
      </w:tr>
      <w:tr>
        <w:trPr>
          <w:trHeight w:val="222"/>
        </w:trPr>
        <w:tc>
          <w:tcPr>
            <w:tcW w:w="66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9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6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954</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6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625</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Net income attributable to noncontrolling interests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60" w:type="dxa"/>
            <w:vAlign w:val="bottom"/>
            <w:gridSpan w:val="2"/>
            <w:vMerge w:val="continue"/>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214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593</w:t>
            </w:r>
          </w:p>
        </w:tc>
        <w:tc>
          <w:tcPr>
            <w:tcW w:w="4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gridSpan w:val="2"/>
            <w:vMerge w:val="continue"/>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0.46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0.58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1.28</w:t>
            </w:r>
          </w:p>
        </w:tc>
        <w:tc>
          <w:tcPr>
            <w:tcW w:w="4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4"/>
              </w:rPr>
              <w:t>0.355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5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Three Months</w:t>
            </w:r>
          </w:p>
        </w:tc>
        <w:tc>
          <w:tcPr>
            <w:tcW w:w="220" w:type="dxa"/>
            <w:vAlign w:val="bottom"/>
          </w:tcPr>
          <w:p>
            <w:pPr>
              <w:spacing w:after="0"/>
              <w:rPr>
                <w:sz w:val="14"/>
                <w:szCs w:val="14"/>
                <w:color w:val="auto"/>
              </w:rPr>
            </w:pPr>
          </w:p>
        </w:tc>
        <w:tc>
          <w:tcPr>
            <w:tcW w:w="13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5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220" w:type="dxa"/>
            <w:vAlign w:val="bottom"/>
          </w:tcPr>
          <w:p>
            <w:pPr>
              <w:spacing w:after="0"/>
              <w:rPr>
                <w:sz w:val="14"/>
                <w:szCs w:val="14"/>
                <w:color w:val="auto"/>
              </w:rPr>
            </w:pPr>
          </w:p>
        </w:tc>
        <w:tc>
          <w:tcPr>
            <w:tcW w:w="13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Consolidated net income</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223</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$ 285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625</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6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taxes: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gains (losses) on derivative instruments: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w w:val="96"/>
              </w:rPr>
              <w:t>Unrealized losses, resulting from changes in fair value, net of tax benefit of $(8), $(8), $(16) and $(16),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(12)</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Reclassification adjustment for (gains) losses included in net income, net of tax (expense) benefit of $6,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$(12), $6 and $(6), respectively</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(30)</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Unrealized gains (losses) on available-for-sale securities, net of tax expense (benefit) of $0, $(2), $1 and</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 respectively</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(82)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Change in funded status of post-retirement benefit obligation, net of tax benefit of $0, $0, $0 and $(1),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net of taxes</w:t>
            </w: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60" w:type="dxa"/>
            <w:vAlign w:val="bottom"/>
            <w:gridSpan w:val="2"/>
            <w:vMerge w:val="continue"/>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(115)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251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$ 157</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621</w:t>
            </w: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3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14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625</w:t>
            </w:r>
          </w:p>
        </w:tc>
        <w:tc>
          <w:tcPr>
            <w:tcW w:w="114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consolidated net income to net cash provided by operating activities:</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971</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 provision</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Interest accretion on landfill liabilities</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accretion on and discount rate adjustments to environmental remediation liabilities and recovery assets</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Provision for bad debts</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Equity-based compensation expense</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220" w:type="dxa"/>
            <w:vAlign w:val="bottom"/>
          </w:tcPr>
          <w:p>
            <w:pPr>
              <w:spacing w:after="0"/>
              <w:rPr>
                <w:sz w:val="12"/>
                <w:szCs w:val="12"/>
                <w:color w:val="auto"/>
              </w:rPr>
            </w:pPr>
          </w:p>
        </w:tc>
        <w:tc>
          <w:tcPr>
            <w:tcW w:w="1860" w:type="dxa"/>
            <w:vAlign w:val="bottom"/>
            <w:gridSpan w:val="2"/>
          </w:tcPr>
          <w:p>
            <w:pPr>
              <w:jc w:val="right"/>
              <w:ind w:right="1100"/>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gain on disposal of assets</w:t>
            </w:r>
          </w:p>
        </w:tc>
        <w:tc>
          <w:tcPr>
            <w:tcW w:w="2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100"/>
              <w:spacing w:after="0" w:line="149" w:lineRule="exact"/>
              <w:rPr>
                <w:sz w:val="20"/>
                <w:szCs w:val="20"/>
                <w:color w:val="auto"/>
              </w:rPr>
            </w:pPr>
            <w:r>
              <w:rPr>
                <w:rFonts w:ascii="Arial" w:cs="Arial" w:eastAsia="Arial" w:hAnsi="Arial"/>
                <w:sz w:val="14"/>
                <w:szCs w:val="14"/>
                <w:color w:val="auto"/>
              </w:rPr>
              <w:t>(11)</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Effect of (income) expense from divestitures, asset impairments and unusual items and other</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net losses of unconsolidated entities</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Change in operating assets and liabilities, net of effects of acquisitions and divestitures:</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w:t>
            </w:r>
          </w:p>
        </w:tc>
        <w:tc>
          <w:tcPr>
            <w:tcW w:w="2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100"/>
              <w:spacing w:after="0" w:line="149" w:lineRule="exact"/>
              <w:rPr>
                <w:sz w:val="20"/>
                <w:szCs w:val="20"/>
                <w:color w:val="auto"/>
              </w:rPr>
            </w:pPr>
            <w:r>
              <w:rPr>
                <w:rFonts w:ascii="Arial" w:cs="Arial" w:eastAsia="Arial" w:hAnsi="Arial"/>
                <w:sz w:val="14"/>
                <w:szCs w:val="14"/>
                <w:color w:val="auto"/>
              </w:rPr>
              <w:t>(112)</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220" w:type="dxa"/>
            <w:vAlign w:val="bottom"/>
          </w:tcPr>
          <w:p>
            <w:pPr>
              <w:spacing w:after="0"/>
              <w:rPr>
                <w:sz w:val="12"/>
                <w:szCs w:val="12"/>
                <w:color w:val="auto"/>
              </w:rPr>
            </w:pPr>
          </w:p>
        </w:tc>
        <w:tc>
          <w:tcPr>
            <w:tcW w:w="1860" w:type="dxa"/>
            <w:vAlign w:val="bottom"/>
            <w:gridSpan w:val="2"/>
          </w:tcPr>
          <w:p>
            <w:pPr>
              <w:jc w:val="right"/>
              <w:ind w:right="1100"/>
              <w:spacing w:after="0" w:line="149" w:lineRule="exact"/>
              <w:rPr>
                <w:sz w:val="20"/>
                <w:szCs w:val="20"/>
                <w:color w:val="auto"/>
              </w:rPr>
            </w:pPr>
            <w:r>
              <w:rPr>
                <w:rFonts w:ascii="Arial" w:cs="Arial" w:eastAsia="Arial" w:hAnsi="Arial"/>
                <w:sz w:val="14"/>
                <w:szCs w:val="14"/>
                <w:color w:val="auto"/>
              </w:rPr>
              <w:t>(45)</w:t>
            </w:r>
          </w:p>
        </w:tc>
        <w:tc>
          <w:tcPr>
            <w:tcW w:w="22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revenues and other liabilities</w:t>
            </w:r>
          </w:p>
        </w:tc>
        <w:tc>
          <w:tcPr>
            <w:tcW w:w="2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100"/>
              <w:spacing w:after="0" w:line="149" w:lineRule="exact"/>
              <w:rPr>
                <w:sz w:val="20"/>
                <w:szCs w:val="20"/>
                <w:color w:val="auto"/>
              </w:rPr>
            </w:pPr>
            <w:r>
              <w:rPr>
                <w:rFonts w:ascii="Arial" w:cs="Arial" w:eastAsia="Arial" w:hAnsi="Arial"/>
                <w:sz w:val="14"/>
                <w:szCs w:val="14"/>
                <w:color w:val="auto"/>
              </w:rPr>
              <w:t>(49)</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63"/>
        </w:trPr>
        <w:tc>
          <w:tcPr>
            <w:tcW w:w="832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1,718</w:t>
            </w:r>
          </w:p>
        </w:tc>
        <w:tc>
          <w:tcPr>
            <w:tcW w:w="11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220" w:type="dxa"/>
            <w:vAlign w:val="bottom"/>
          </w:tcPr>
          <w:p>
            <w:pPr>
              <w:spacing w:after="0"/>
              <w:rPr>
                <w:sz w:val="12"/>
                <w:szCs w:val="12"/>
                <w:color w:val="auto"/>
              </w:rPr>
            </w:pPr>
          </w:p>
        </w:tc>
        <w:tc>
          <w:tcPr>
            <w:tcW w:w="1860" w:type="dxa"/>
            <w:vAlign w:val="bottom"/>
            <w:gridSpan w:val="2"/>
          </w:tcPr>
          <w:p>
            <w:pPr>
              <w:jc w:val="right"/>
              <w:ind w:right="1100"/>
              <w:spacing w:after="0" w:line="149" w:lineRule="exact"/>
              <w:rPr>
                <w:sz w:val="20"/>
                <w:szCs w:val="20"/>
                <w:color w:val="auto"/>
              </w:rPr>
            </w:pPr>
            <w:r>
              <w:rPr>
                <w:rFonts w:ascii="Arial" w:cs="Arial" w:eastAsia="Arial" w:hAnsi="Arial"/>
                <w:sz w:val="14"/>
                <w:szCs w:val="14"/>
                <w:color w:val="auto"/>
              </w:rPr>
              <w:t>(178)</w:t>
            </w:r>
          </w:p>
        </w:tc>
        <w:tc>
          <w:tcPr>
            <w:tcW w:w="22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2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100"/>
              <w:spacing w:after="0" w:line="149" w:lineRule="exact"/>
              <w:rPr>
                <w:sz w:val="20"/>
                <w:szCs w:val="20"/>
                <w:color w:val="auto"/>
              </w:rPr>
            </w:pPr>
            <w:r>
              <w:rPr>
                <w:rFonts w:ascii="Arial" w:cs="Arial" w:eastAsia="Arial" w:hAnsi="Arial"/>
                <w:sz w:val="14"/>
                <w:szCs w:val="14"/>
                <w:color w:val="auto"/>
              </w:rPr>
              <w:t>(1,132)</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divestitures of businesses (net of cash divested) and other sales of assets</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receipts from restricted trust and escrow accounts</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unconsolidated entities</w:t>
            </w:r>
          </w:p>
        </w:tc>
        <w:tc>
          <w:tcPr>
            <w:tcW w:w="220" w:type="dxa"/>
            <w:vAlign w:val="bottom"/>
          </w:tcPr>
          <w:p>
            <w:pPr>
              <w:spacing w:after="0"/>
              <w:rPr>
                <w:sz w:val="12"/>
                <w:szCs w:val="12"/>
                <w:color w:val="auto"/>
              </w:rPr>
            </w:pPr>
          </w:p>
        </w:tc>
        <w:tc>
          <w:tcPr>
            <w:tcW w:w="1860" w:type="dxa"/>
            <w:vAlign w:val="bottom"/>
            <w:gridSpan w:val="2"/>
          </w:tcPr>
          <w:p>
            <w:pPr>
              <w:jc w:val="right"/>
              <w:ind w:right="1100"/>
              <w:spacing w:after="0" w:line="149" w:lineRule="exact"/>
              <w:rPr>
                <w:sz w:val="20"/>
                <w:szCs w:val="20"/>
                <w:color w:val="auto"/>
              </w:rPr>
            </w:pPr>
            <w:r>
              <w:rPr>
                <w:rFonts w:ascii="Arial" w:cs="Arial" w:eastAsia="Arial" w:hAnsi="Arial"/>
                <w:sz w:val="14"/>
                <w:szCs w:val="14"/>
                <w:color w:val="auto"/>
              </w:rPr>
              <w:t>(61)</w:t>
            </w:r>
          </w:p>
        </w:tc>
        <w:tc>
          <w:tcPr>
            <w:tcW w:w="22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100"/>
              <w:spacing w:after="0" w:line="149" w:lineRule="exact"/>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right"/>
              <w:ind w:right="1100"/>
              <w:spacing w:after="0" w:line="155" w:lineRule="exact"/>
              <w:rPr>
                <w:sz w:val="20"/>
                <w:szCs w:val="20"/>
                <w:color w:val="auto"/>
              </w:rPr>
            </w:pPr>
            <w:r>
              <w:rPr>
                <w:rFonts w:ascii="Arial" w:cs="Arial" w:eastAsia="Arial" w:hAnsi="Arial"/>
                <w:sz w:val="14"/>
                <w:szCs w:val="14"/>
                <w:color w:val="auto"/>
              </w:rPr>
              <w:t>(1,361)</w:t>
            </w:r>
          </w:p>
        </w:tc>
        <w:tc>
          <w:tcPr>
            <w:tcW w:w="220" w:type="dxa"/>
            <w:vAlign w:val="bottom"/>
          </w:tcPr>
          <w:p>
            <w:pPr>
              <w:spacing w:after="0"/>
              <w:rPr>
                <w:sz w:val="14"/>
                <w:szCs w:val="14"/>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(1,535)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New borrowings</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685</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Debt repayments</w:t>
            </w:r>
          </w:p>
        </w:tc>
        <w:tc>
          <w:tcPr>
            <w:tcW w:w="2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100"/>
              <w:spacing w:after="0" w:line="149" w:lineRule="exact"/>
              <w:rPr>
                <w:sz w:val="20"/>
                <w:szCs w:val="20"/>
                <w:color w:val="auto"/>
              </w:rPr>
            </w:pPr>
            <w:r>
              <w:rPr>
                <w:rFonts w:ascii="Arial" w:cs="Arial" w:eastAsia="Arial" w:hAnsi="Arial"/>
                <w:sz w:val="14"/>
                <w:szCs w:val="14"/>
                <w:color w:val="auto"/>
              </w:rPr>
              <w:t>(473)</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Common stock repurchases</w:t>
            </w:r>
          </w:p>
        </w:tc>
        <w:tc>
          <w:tcPr>
            <w:tcW w:w="220" w:type="dxa"/>
            <w:vAlign w:val="bottom"/>
          </w:tcPr>
          <w:p>
            <w:pPr>
              <w:spacing w:after="0"/>
              <w:rPr>
                <w:sz w:val="12"/>
                <w:szCs w:val="12"/>
                <w:color w:val="auto"/>
              </w:rPr>
            </w:pPr>
          </w:p>
        </w:tc>
        <w:tc>
          <w:tcPr>
            <w:tcW w:w="1860" w:type="dxa"/>
            <w:vAlign w:val="bottom"/>
            <w:gridSpan w:val="2"/>
          </w:tcPr>
          <w:p>
            <w:pPr>
              <w:jc w:val="right"/>
              <w:ind w:right="1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2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100"/>
              <w:spacing w:after="0" w:line="149" w:lineRule="exact"/>
              <w:rPr>
                <w:sz w:val="20"/>
                <w:szCs w:val="20"/>
                <w:color w:val="auto"/>
              </w:rPr>
            </w:pPr>
            <w:r>
              <w:rPr>
                <w:rFonts w:ascii="Arial" w:cs="Arial" w:eastAsia="Arial" w:hAnsi="Arial"/>
                <w:sz w:val="14"/>
                <w:szCs w:val="14"/>
                <w:color w:val="auto"/>
              </w:rPr>
              <w:t>(493)</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Exercise of common stock options</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220" w:type="dxa"/>
            <w:vAlign w:val="bottom"/>
          </w:tcPr>
          <w:p>
            <w:pPr>
              <w:spacing w:after="0"/>
              <w:rPr>
                <w:sz w:val="12"/>
                <w:szCs w:val="12"/>
                <w:color w:val="auto"/>
              </w:rPr>
            </w:pPr>
          </w:p>
        </w:tc>
        <w:tc>
          <w:tcPr>
            <w:tcW w:w="1860" w:type="dxa"/>
            <w:vAlign w:val="bottom"/>
            <w:gridSpan w:val="2"/>
          </w:tcPr>
          <w:p>
            <w:pPr>
              <w:jc w:val="right"/>
              <w:ind w:right="1100"/>
              <w:spacing w:after="0" w:line="149" w:lineRule="exact"/>
              <w:rPr>
                <w:sz w:val="20"/>
                <w:szCs w:val="20"/>
                <w:color w:val="auto"/>
              </w:rPr>
            </w:pPr>
            <w:r>
              <w:rPr>
                <w:rFonts w:ascii="Arial" w:cs="Arial" w:eastAsia="Arial" w:hAnsi="Arial"/>
                <w:sz w:val="14"/>
                <w:szCs w:val="14"/>
                <w:color w:val="auto"/>
              </w:rPr>
              <w:t>(31)</w:t>
            </w:r>
          </w:p>
        </w:tc>
        <w:tc>
          <w:tcPr>
            <w:tcW w:w="22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financing activities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right"/>
              <w:ind w:right="1100"/>
              <w:spacing w:after="0" w:line="155" w:lineRule="exact"/>
              <w:rPr>
                <w:sz w:val="20"/>
                <w:szCs w:val="20"/>
                <w:color w:val="auto"/>
              </w:rPr>
            </w:pPr>
            <w:r>
              <w:rPr>
                <w:rFonts w:ascii="Arial" w:cs="Arial" w:eastAsia="Arial" w:hAnsi="Arial"/>
                <w:sz w:val="14"/>
                <w:szCs w:val="14"/>
                <w:color w:val="auto"/>
              </w:rPr>
              <w:t>(219)</w:t>
            </w:r>
          </w:p>
        </w:tc>
        <w:tc>
          <w:tcPr>
            <w:tcW w:w="220" w:type="dxa"/>
            <w:vAlign w:val="bottom"/>
          </w:tcPr>
          <w:p>
            <w:pPr>
              <w:spacing w:after="0"/>
              <w:rPr>
                <w:sz w:val="14"/>
                <w:szCs w:val="14"/>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140" w:type="dxa"/>
            <w:vAlign w:val="bottom"/>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320" w:type="dxa"/>
            <w:vAlign w:val="bottom"/>
            <w:gridSpan w:val="2"/>
          </w:tcPr>
          <w:p>
            <w:pPr>
              <w:spacing w:after="0" w:line="155" w:lineRule="exact"/>
              <w:rPr>
                <w:sz w:val="20"/>
                <w:szCs w:val="20"/>
                <w:color w:val="auto"/>
              </w:rPr>
            </w:pPr>
            <w:r>
              <w:rPr>
                <w:rFonts w:ascii="Arial" w:cs="Arial" w:eastAsia="Arial" w:hAnsi="Arial"/>
                <w:sz w:val="14"/>
                <w:szCs w:val="14"/>
                <w:color w:val="auto"/>
              </w:rPr>
              <w:t>Increase (decrease) in cash and cash equivalents</w:t>
            </w:r>
          </w:p>
        </w:tc>
        <w:tc>
          <w:tcPr>
            <w:tcW w:w="2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140</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258</w:t>
            </w:r>
          </w:p>
        </w:tc>
        <w:tc>
          <w:tcPr>
            <w:tcW w:w="1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32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398</w:t>
            </w:r>
          </w:p>
        </w:tc>
        <w:tc>
          <w:tcPr>
            <w:tcW w:w="1140" w:type="dxa"/>
            <w:vAlign w:val="bottom"/>
          </w:tcPr>
          <w:p>
            <w:pPr>
              <w:spacing w:after="0"/>
              <w:rPr>
                <w:sz w:val="13"/>
                <w:szCs w:val="1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 w:name="page6"/>
    <w:bookmarkEnd w:id="5"/>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11"/>
          </w:tcPr>
          <w:p>
            <w:pPr>
              <w:ind w:left="40"/>
              <w:spacing w:after="0"/>
              <w:rPr>
                <w:sz w:val="20"/>
                <w:szCs w:val="20"/>
                <w:color w:val="auto"/>
              </w:rPr>
            </w:pPr>
            <w:r>
              <w:rPr>
                <w:rFonts w:ascii="Arial" w:cs="Arial" w:eastAsia="Arial" w:hAnsi="Arial"/>
                <w:sz w:val="14"/>
                <w:szCs w:val="14"/>
                <w:b w:val="1"/>
                <w:bCs w:val="1"/>
                <w:color w:val="auto"/>
                <w:w w:val="97"/>
              </w:rPr>
              <w:t>Waste Management, Inc. Stockholders’ Equity</w:t>
            </w: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8"/>
              </w:rPr>
              <w:t>Accumulated</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3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87"/>
              </w:rPr>
              <w:t>Common Stock</w:t>
            </w: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0" w:type="dxa"/>
            <w:vAlign w:val="bottom"/>
            <w:gridSpan w:val="5"/>
            <w:vMerge w:val="restart"/>
          </w:tcPr>
          <w:p>
            <w:pPr>
              <w:jc w:val="right"/>
              <w:ind w:right="192"/>
              <w:spacing w:after="0"/>
              <w:rPr>
                <w:sz w:val="20"/>
                <w:szCs w:val="20"/>
                <w:color w:val="auto"/>
              </w:rPr>
            </w:pPr>
            <w:r>
              <w:rPr>
                <w:rFonts w:ascii="Arial" w:cs="Arial" w:eastAsia="Arial" w:hAnsi="Arial"/>
                <w:sz w:val="14"/>
                <w:szCs w:val="14"/>
                <w:b w:val="1"/>
                <w:bCs w:val="1"/>
                <w:color w:val="auto"/>
              </w:rPr>
              <w:t>Treasury Stock</w:t>
            </w:r>
          </w:p>
        </w:tc>
        <w:tc>
          <w:tcPr>
            <w:tcW w:w="2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Borders>
              <w:bottom w:val="single" w:sz="8" w:color="auto"/>
            </w:tcBorders>
            <w:gridSpan w:val="3"/>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tcPr>
          <w:p>
            <w:pPr>
              <w:jc w:val="right"/>
              <w:ind w:right="200"/>
              <w:spacing w:after="0" w:line="114" w:lineRule="exact"/>
              <w:rPr>
                <w:sz w:val="20"/>
                <w:szCs w:val="20"/>
                <w:color w:val="auto"/>
              </w:rPr>
            </w:pPr>
            <w:r>
              <w:rPr>
                <w:rFonts w:ascii="Arial" w:cs="Arial" w:eastAsia="Arial" w:hAnsi="Arial"/>
                <w:sz w:val="12"/>
                <w:szCs w:val="12"/>
                <w:b w:val="1"/>
                <w:bCs w:val="1"/>
                <w:color w:val="auto"/>
                <w:w w:val="98"/>
              </w:rPr>
              <w:t>Retained</w:t>
            </w:r>
          </w:p>
        </w:tc>
        <w:tc>
          <w:tcPr>
            <w:tcW w:w="140" w:type="dxa"/>
            <w:vAlign w:val="bottom"/>
          </w:tcPr>
          <w:p>
            <w:pPr>
              <w:spacing w:after="0"/>
              <w:rPr>
                <w:sz w:val="10"/>
                <w:szCs w:val="10"/>
                <w:color w:val="auto"/>
              </w:rPr>
            </w:pPr>
          </w:p>
        </w:tc>
        <w:tc>
          <w:tcPr>
            <w:tcW w:w="1220" w:type="dxa"/>
            <w:vAlign w:val="bottom"/>
            <w:gridSpan w:val="3"/>
          </w:tcPr>
          <w:p>
            <w:pPr>
              <w:jc w:val="center"/>
              <w:ind w:right="320"/>
              <w:spacing w:after="0" w:line="114" w:lineRule="exact"/>
              <w:rPr>
                <w:sz w:val="20"/>
                <w:szCs w:val="20"/>
                <w:color w:val="auto"/>
              </w:rPr>
            </w:pPr>
            <w:r>
              <w:rPr>
                <w:rFonts w:ascii="Arial" w:cs="Arial" w:eastAsia="Arial" w:hAnsi="Arial"/>
                <w:sz w:val="12"/>
                <w:szCs w:val="12"/>
                <w:b w:val="1"/>
                <w:bCs w:val="1"/>
                <w:color w:val="auto"/>
                <w:w w:val="99"/>
              </w:rPr>
              <w:t>Comprehensive</w:t>
            </w:r>
          </w:p>
        </w:tc>
        <w:tc>
          <w:tcPr>
            <w:tcW w:w="1400" w:type="dxa"/>
            <w:vAlign w:val="bottom"/>
            <w:tcBorders>
              <w:bottom w:val="single" w:sz="8" w:color="auto"/>
            </w:tcBorders>
            <w:gridSpan w:val="5"/>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3"/>
          </w:tcPr>
          <w:p>
            <w:pPr>
              <w:spacing w:after="0" w:line="114" w:lineRule="exact"/>
              <w:rPr>
                <w:sz w:val="20"/>
                <w:szCs w:val="20"/>
                <w:color w:val="auto"/>
              </w:rPr>
            </w:pPr>
            <w:r>
              <w:rPr>
                <w:rFonts w:ascii="Arial" w:cs="Arial" w:eastAsia="Arial" w:hAnsi="Arial"/>
                <w:sz w:val="12"/>
                <w:szCs w:val="12"/>
                <w:b w:val="1"/>
                <w:bCs w:val="1"/>
                <w:color w:val="auto"/>
              </w:rPr>
              <w:t>Noncontrolling</w:t>
            </w: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Total</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3"/>
              </w:rPr>
              <w:t>Earnings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Income</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Interests</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2011</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$6,390</w:t>
            </w:r>
          </w:p>
        </w:tc>
        <w:tc>
          <w:tcPr>
            <w:tcW w:w="3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630,282</w:t>
            </w:r>
          </w:p>
        </w:tc>
        <w:tc>
          <w:tcPr>
            <w:tcW w:w="3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4,561</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6,721</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172</w:t>
            </w:r>
          </w:p>
        </w:tc>
        <w:tc>
          <w:tcPr>
            <w:tcW w:w="3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(169,750)</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(5,390)</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625</w:t>
            </w: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593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net of taxes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3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Cash dividends declared</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(493)</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Equity-based compensation transactions, including</w:t>
            </w: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dividend equivalents, net of taxes</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86</w:t>
            </w: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3,329</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106</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4"/>
                <w:szCs w:val="14"/>
                <w:color w:val="auto"/>
              </w:rPr>
              <w:t>Balance, September 30, 2012</w:t>
            </w: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80" w:type="dxa"/>
            <w:vAlign w:val="bottom"/>
            <w:vMerge w:val="continue"/>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6,612</w:t>
            </w:r>
          </w:p>
        </w:tc>
        <w:tc>
          <w:tcPr>
            <w:tcW w:w="34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630,282</w:t>
            </w:r>
          </w:p>
        </w:tc>
        <w:tc>
          <w:tcPr>
            <w:tcW w:w="320" w:type="dxa"/>
            <w:vAlign w:val="bottom"/>
          </w:tcPr>
          <w:p>
            <w:pPr>
              <w:spacing w:after="0"/>
              <w:rPr>
                <w:sz w:val="13"/>
                <w:szCs w:val="13"/>
                <w:color w:val="auto"/>
              </w:rPr>
            </w:pPr>
          </w:p>
        </w:tc>
        <w:tc>
          <w:tcPr>
            <w:tcW w:w="3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6</w:t>
            </w:r>
          </w:p>
        </w:tc>
        <w:tc>
          <w:tcPr>
            <w:tcW w:w="220" w:type="dxa"/>
            <w:vAlign w:val="bottom"/>
            <w:gridSpan w:val="2"/>
          </w:tcPr>
          <w:p>
            <w:pPr>
              <w:ind w:left="16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4,546</w:t>
            </w:r>
          </w:p>
        </w:tc>
        <w:tc>
          <w:tcPr>
            <w:tcW w:w="180" w:type="dxa"/>
            <w:vAlign w:val="bottom"/>
          </w:tcPr>
          <w:p>
            <w:pPr>
              <w:spacing w:after="0"/>
              <w:rPr>
                <w:sz w:val="13"/>
                <w:szCs w:val="13"/>
                <w:color w:val="auto"/>
              </w:rPr>
            </w:pPr>
          </w:p>
        </w:tc>
        <w:tc>
          <w:tcPr>
            <w:tcW w:w="3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6,820</w:t>
            </w:r>
          </w:p>
        </w:tc>
        <w:tc>
          <w:tcPr>
            <w:tcW w:w="200" w:type="dxa"/>
            <w:vAlign w:val="bottom"/>
          </w:tcPr>
          <w:p>
            <w:pPr>
              <w:spacing w:after="0"/>
              <w:rPr>
                <w:sz w:val="13"/>
                <w:szCs w:val="13"/>
                <w:color w:val="auto"/>
              </w:rPr>
            </w:pP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200</w:t>
            </w:r>
          </w:p>
        </w:tc>
        <w:tc>
          <w:tcPr>
            <w:tcW w:w="320" w:type="dxa"/>
            <w:vAlign w:val="bottom"/>
          </w:tcPr>
          <w:p>
            <w:pPr>
              <w:spacing w:after="0"/>
              <w:rPr>
                <w:sz w:val="13"/>
                <w:szCs w:val="13"/>
                <w:color w:val="auto"/>
              </w:rPr>
            </w:pPr>
          </w:p>
        </w:tc>
        <w:tc>
          <w:tcPr>
            <w:tcW w:w="7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3"/>
              </w:rPr>
              <w:t>(166,415)</w:t>
            </w:r>
          </w:p>
        </w:tc>
        <w:tc>
          <w:tcPr>
            <w:tcW w:w="26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99"/>
              </w:rPr>
              <w:t>(5,284)</w:t>
            </w:r>
          </w:p>
        </w:tc>
        <w:tc>
          <w:tcPr>
            <w:tcW w:w="2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6" w:name="page7"/>
    <w:bookmarkEnd w:id="6"/>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beneficiary as described in Note 13.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3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Through the third quarter of 2012, we managed and evaluated our operations primarily through our Eastern, Midwest, Southern, Western and Wheelabrator operating Groups. Our four geographic operating Groups provide collection, transfer, disposal (in both solid waste and hazardous waste landfills) and recycling services for residential, commercial, industrial and municipal customers throughout North America. Our Wheelabrator Group provides waste-to-energy services and manages waste-to-energy facilities and independent power production plants. We also provide additional services that are not managed through our five Groups, including the operations of Oakleaf Global Holdings acquired on July 28, 2011 (“Oakleaf”), which are presented in this report as “Other.” Additional information related to our segments and to our acquisition of Oakleaf can be found in Note 8 and in Note 9, respectively.</w:t>
      </w:r>
    </w:p>
    <w:p>
      <w:pPr>
        <w:spacing w:after="0" w:line="3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July 2012, we announced a reorganization of our operations, designed to streamline management and staff support and reduce our cost structure, while not disrupting our front-line operations. We are in the process of implementing the reorganization and we expect it to be completed by the end of 2012. Once the reorganization has been completed, our reportable segments will be realigned to conform with our new management structure. See Note 10 for additional information related to this reorganization.</w:t>
      </w:r>
    </w:p>
    <w:p>
      <w:pPr>
        <w:spacing w:after="0" w:line="6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Condensed Consolidated Financial Statements as of September 30, 2012 and for the three and nine months ended September 30, 2012 and 2011 are unaudited. In the opinion of management, these financial statements include all adjustments, which, unless otherwise disclosed,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2011.</w:t>
      </w:r>
    </w:p>
    <w:p>
      <w:pPr>
        <w:spacing w:after="0" w:line="3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Actual results could differ materially from the estimates and assumptions that we use in the preparation of our financial statements.</w:t>
      </w:r>
    </w:p>
    <w:p>
      <w:pPr>
        <w:spacing w:after="0" w:line="3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the second quarter of 2012, we believed that the fair value of our Wheelabrator Group could potentially be less than its carrying amount because of the negative effect on our revenues of the continued deterioration of electricity commodity prices, coupled with our continued increased exposure to market prices as a result of the expiration of several long-term, fixed-rate electricity commodity contracts at our waste-to-energy and independent power facilities, and the expiration of several long-term disposal contracts at above-market rates. As a result, we performed an interim impairment analysis of our Wheelabrator Group’s goodwill balance, which was $788 million as of June 30, 2012.</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performed an interim quantitative assessment using both an income and a market approach, which indicated that the estimated fair value of our Wheelabrator Group exceeded its carrying value; however, the amount by which the fair value exceeded the carrying value declined significantly from the most recent annual impairment test performed at October 1, 2011. At that time, our Wheelabrator Group’s estimated fair value exceeded its carrying value by approximately 30%, as compared with slightly greater than 10% as of the interim impairment test performed in the second quarter of 2012. If market prices for electricity worsen or do not recover as we have projected, if our disposal rates continue to decline, or if our costs and capital expenditures exceed our forecasts, the estimated fair value of our Wheelabrator Group could decrease further and potentially result in an impairment charge in a future period. We continue to monitor our Wheelabrator Group for possible impairment of their goodwill balance.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Fair Value Measurement </w:t>
      </w:r>
      <w:r>
        <w:rPr>
          <w:rFonts w:ascii="Arial" w:cs="Arial" w:eastAsia="Arial" w:hAnsi="Arial"/>
          <w:sz w:val="18"/>
          <w:szCs w:val="18"/>
          <w:color w:val="auto"/>
        </w:rPr>
        <w:t>— In May 2011, the Financial Accounting Standards Board (“FASB”) amended authoritative guidance associated with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This amended guidance defines certain requirements for measuring fair value and for disclosing information about fair value measurements in accordance with U.S. generally accepted accounting principles. The amendments to authoritative guidance associated with fair value measurements were effective for the Company on January 1, 2012 and have been applied prospectively. The adoption of this guidance did not have a material impact on our consolidated financial statements.</w:t>
      </w:r>
    </w:p>
    <w:p>
      <w:pPr>
        <w:spacing w:after="0" w:line="6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 In June 2011, the FASB issued amended authoritative guidance associated with comprehensive income, which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to present the total of comprehensive income, the components of net income, and the components of other comprehensive income either in a single continuous statement of comprehensive income or in two separate but consecutive statements. This update eliminates the option to present the components of other comprehensive income as part of the statement of changes in equity. In December 2011, the FASB deferred the effective date of the specific requirement to present items that are reclassified out of accumulated other comprehensive income to net income alongside their respective components of net income and other comprehensive income. The amendments to authoritative guidance associated with comprehensive income were effective for the Company on January 1, 2012 and have been applied retrospectively. The adoption of this guidance did not have a material impact on our consolidated financial statements.</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Landfill and Environmental Remediation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September 30, 2012</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8"/>
              </w:rPr>
              <w:t>December 31, 2011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Environmental</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w w:val="88"/>
              </w:rPr>
              <w:t>Environmental</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Landfill</w:t>
            </w:r>
          </w:p>
        </w:tc>
        <w:tc>
          <w:tcPr>
            <w:tcW w:w="300" w:type="dxa"/>
            <w:vAlign w:val="bottom"/>
          </w:tcPr>
          <w:p>
            <w:pPr>
              <w:spacing w:after="0"/>
              <w:rPr>
                <w:sz w:val="14"/>
                <w:szCs w:val="14"/>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Remediation</w:t>
            </w:r>
          </w:p>
        </w:tc>
        <w:tc>
          <w:tcPr>
            <w:tcW w:w="80" w:type="dxa"/>
            <w:vAlign w:val="bottom"/>
          </w:tcPr>
          <w:p>
            <w:pPr>
              <w:spacing w:after="0"/>
              <w:rPr>
                <w:sz w:val="14"/>
                <w:szCs w:val="14"/>
                <w:color w:val="auto"/>
              </w:rPr>
            </w:pPr>
          </w:p>
        </w:tc>
        <w:tc>
          <w:tcPr>
            <w:tcW w:w="42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Total</w:t>
            </w:r>
          </w:p>
        </w:tc>
        <w:tc>
          <w:tcPr>
            <w:tcW w:w="4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Landfill</w:t>
            </w:r>
          </w:p>
        </w:tc>
        <w:tc>
          <w:tcPr>
            <w:tcW w:w="280" w:type="dxa"/>
            <w:vAlign w:val="bottom"/>
          </w:tcPr>
          <w:p>
            <w:pPr>
              <w:spacing w:after="0"/>
              <w:rPr>
                <w:sz w:val="14"/>
                <w:szCs w:val="14"/>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5"/>
              </w:rPr>
              <w:t>Remediation</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(in accrued liabilities)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Long-term</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1,225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1,453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1,169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1,607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1,292</w:t>
            </w:r>
          </w:p>
        </w:tc>
        <w:tc>
          <w:tcPr>
            <w:tcW w:w="640" w:type="dxa"/>
            <w:vAlign w:val="bottom"/>
            <w:gridSpan w:val="2"/>
            <w:shd w:val="clear" w:color="auto" w:fill="CCEEFF"/>
          </w:tcPr>
          <w:p>
            <w:pPr>
              <w:jc w:val="right"/>
              <w:ind w:right="186"/>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vMerge w:val="restart"/>
          </w:tcPr>
          <w:p>
            <w:pPr>
              <w:ind w:left="200"/>
              <w:spacing w:after="0"/>
              <w:rPr>
                <w:sz w:val="20"/>
                <w:szCs w:val="20"/>
                <w:color w:val="auto"/>
              </w:rPr>
            </w:pPr>
            <w:r>
              <w:rPr>
                <w:rFonts w:ascii="Arial" w:cs="Arial" w:eastAsia="Arial" w:hAnsi="Arial"/>
                <w:sz w:val="18"/>
                <w:szCs w:val="18"/>
                <w:color w:val="auto"/>
                <w:w w:val="79"/>
              </w:rPr>
              <w:t>7</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2011 and the nine months ended September 30, 2012 are reflected in the table below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Environmental</w:t>
            </w: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Landfill</w:t>
            </w:r>
          </w:p>
        </w:tc>
        <w:tc>
          <w:tcPr>
            <w:tcW w:w="40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Remediation</w:t>
            </w: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2010</w:t>
            </w:r>
          </w:p>
        </w:tc>
        <w:tc>
          <w:tcPr>
            <w:tcW w:w="19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$1,266</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Obligations incurred and capitalized</w:t>
            </w:r>
          </w:p>
        </w:tc>
        <w:tc>
          <w:tcPr>
            <w:tcW w:w="2940" w:type="dxa"/>
            <w:vAlign w:val="bottom"/>
            <w:gridSpan w:val="3"/>
          </w:tcPr>
          <w:p>
            <w:pPr>
              <w:jc w:val="right"/>
              <w:ind w:right="460"/>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settled</w:t>
            </w:r>
          </w:p>
        </w:tc>
        <w:tc>
          <w:tcPr>
            <w:tcW w:w="2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Interest accretion</w:t>
            </w:r>
          </w:p>
        </w:tc>
        <w:tc>
          <w:tcPr>
            <w:tcW w:w="2940" w:type="dxa"/>
            <w:vAlign w:val="bottom"/>
            <w:gridSpan w:val="3"/>
          </w:tcPr>
          <w:p>
            <w:pPr>
              <w:jc w:val="right"/>
              <w:ind w:right="460"/>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Revisions in cost estimates and interest rate assumptions</w:t>
            </w:r>
          </w:p>
        </w:tc>
        <w:tc>
          <w:tcPr>
            <w:tcW w:w="2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23"/>
        </w:trPr>
        <w:tc>
          <w:tcPr>
            <w:tcW w:w="20" w:type="dxa"/>
            <w:vAlign w:val="bottom"/>
          </w:tcPr>
          <w:p>
            <w:pPr>
              <w:spacing w:after="0"/>
              <w:rPr>
                <w:sz w:val="19"/>
                <w:szCs w:val="19"/>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Acquisitions, divestitures and other adjustments</w:t>
            </w:r>
          </w:p>
        </w:tc>
        <w:tc>
          <w:tcPr>
            <w:tcW w:w="1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19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Obligations incurred and capitalized</w:t>
            </w:r>
          </w:p>
        </w:tc>
        <w:tc>
          <w:tcPr>
            <w:tcW w:w="2940" w:type="dxa"/>
            <w:vAlign w:val="bottom"/>
            <w:gridSpan w:val="3"/>
          </w:tcPr>
          <w:p>
            <w:pPr>
              <w:jc w:val="right"/>
              <w:ind w:right="460"/>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settled</w:t>
            </w:r>
          </w:p>
        </w:tc>
        <w:tc>
          <w:tcPr>
            <w:tcW w:w="2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Interest accretion</w:t>
            </w:r>
          </w:p>
        </w:tc>
        <w:tc>
          <w:tcPr>
            <w:tcW w:w="2940" w:type="dxa"/>
            <w:vAlign w:val="bottom"/>
            <w:gridSpan w:val="3"/>
          </w:tcPr>
          <w:p>
            <w:pPr>
              <w:jc w:val="right"/>
              <w:ind w:right="460"/>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Revisions in cost estimates and interest rate assumptions</w:t>
            </w:r>
          </w:p>
        </w:tc>
        <w:tc>
          <w:tcPr>
            <w:tcW w:w="2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tcPr>
          <w:p>
            <w:pPr>
              <w:spacing w:after="0"/>
              <w:rPr>
                <w:sz w:val="19"/>
                <w:szCs w:val="19"/>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Acquisitions, divestitures and other adjustments</w:t>
            </w:r>
          </w:p>
        </w:tc>
        <w:tc>
          <w:tcPr>
            <w:tcW w:w="19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2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1,343</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13 for additional information related to these trusts.</w:t>
      </w:r>
    </w:p>
    <w:p>
      <w:pPr>
        <w:spacing w:after="0" w:line="1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Debt</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major components of debt at each balance sheet date (in millions) and provides the maturities and interest rate ranges of each major category as of September 30, 2012:</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79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(weighted average interest rate of 1.5% at December 31, 2011)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Letter of credit facilities</w:t>
            </w:r>
          </w:p>
        </w:tc>
        <w:tc>
          <w:tcPr>
            <w:tcW w:w="2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w w:val="99"/>
              </w:rPr>
              <w:t>Canadian credit facility (weighted average effective interest rate of 2.0% at September 30, 2012 and</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1.8% at December 31, 2011)</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960" w:type="dxa"/>
            <w:vAlign w:val="bottom"/>
          </w:tcPr>
          <w:p>
            <w:pPr>
              <w:spacing w:after="0"/>
              <w:rPr>
                <w:sz w:val="20"/>
                <w:szCs w:val="20"/>
                <w:color w:val="auto"/>
              </w:rPr>
            </w:pPr>
            <w:r>
              <w:rPr>
                <w:rFonts w:ascii="Arial" w:cs="Arial" w:eastAsia="Arial" w:hAnsi="Arial"/>
                <w:sz w:val="18"/>
                <w:szCs w:val="18"/>
                <w:color w:val="auto"/>
              </w:rPr>
              <w:t>Senior notes and debentures, maturing through 2039, interest rates ranging from 2.6% to 7.75%</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tcPr>
          <w:p>
            <w:pPr>
              <w:ind w:left="220"/>
              <w:spacing w:after="0"/>
              <w:rPr>
                <w:sz w:val="20"/>
                <w:szCs w:val="20"/>
                <w:color w:val="auto"/>
              </w:rPr>
            </w:pPr>
            <w:r>
              <w:rPr>
                <w:rFonts w:ascii="Arial" w:cs="Arial" w:eastAsia="Arial" w:hAnsi="Arial"/>
                <w:sz w:val="18"/>
                <w:szCs w:val="18"/>
                <w:color w:val="auto"/>
                <w:w w:val="99"/>
              </w:rPr>
              <w:t>(weighted average interest rate of 5.8% at September 30, 2012 and 6.0% at December 31, 2011)</w:t>
            </w:r>
          </w:p>
        </w:tc>
        <w:tc>
          <w:tcPr>
            <w:tcW w:w="20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6,711</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w w:val="97"/>
              </w:rPr>
              <w:t>Tax-exempt bonds maturing through 2041, fixed and variable interest rates ranging from 0.2% to 7.4%</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(weighted average interest rate of 2.9% at September 30, 2012 and 3.1% at December 31, 2011)</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2,680</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960" w:type="dxa"/>
            <w:vAlign w:val="bottom"/>
          </w:tcPr>
          <w:p>
            <w:pPr>
              <w:spacing w:after="0"/>
              <w:rPr>
                <w:sz w:val="20"/>
                <w:szCs w:val="20"/>
                <w:color w:val="auto"/>
              </w:rPr>
            </w:pPr>
            <w:r>
              <w:rPr>
                <w:rFonts w:ascii="Arial" w:cs="Arial" w:eastAsia="Arial" w:hAnsi="Arial"/>
                <w:sz w:val="18"/>
                <w:szCs w:val="18"/>
                <w:color w:val="auto"/>
                <w:w w:val="97"/>
              </w:rPr>
              <w:t>Tax-exempt project bonds, maturing through 2029, fixed and variable interest rates ranging from 0.2%</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220"/>
              <w:spacing w:after="0"/>
              <w:rPr>
                <w:sz w:val="20"/>
                <w:szCs w:val="20"/>
                <w:color w:val="auto"/>
              </w:rPr>
            </w:pPr>
            <w:r>
              <w:rPr>
                <w:rFonts w:ascii="Arial" w:cs="Arial" w:eastAsia="Arial" w:hAnsi="Arial"/>
                <w:sz w:val="18"/>
                <w:szCs w:val="18"/>
                <w:color w:val="auto"/>
                <w:w w:val="98"/>
              </w:rPr>
              <w:t>to 3.4% (weighted average interest rate of 1.4% at September 30, 2012 and 1.3% at December 31,</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tcPr>
          <w:p>
            <w:pPr>
              <w:ind w:left="22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9,992</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9,166</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ind w:left="5220"/>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September 30, 2012, we had $708 million of debt maturing within the next twelve months, including U.S. $117 million of advances outstanding under our Canadian credit facility, $400 million of 6.375% senior notes that mature in November 2012 and $141 million of tax-exempt bonds. We also had $663 million of tax-exempt borrowings subject to repricing within the next twelve months. We have classified $545 million of these tax-exempt borrowings as long-term based on our intent and ability to fund any failed remarketings with available capacity under our revolving credit facility.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Revolving Credit and Letter of Credit Facilities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September 30, 2012, we had an aggregate committed capacity of $2.5 billion for letters of credit under various credit facilities. Our $2.0 billion revolving credit facility expires in May 2016 and is our primary source of letter of credit capacity. Our remaining letter of credit capacity is provided under facilities with terms that extend from June 2013 to June 2015. As of September 30, 2012, we had an aggregate of $1.5 billion of letters of credit outstanding under various credit facilities. Approximately $1.0 billion of these letters of credit have been issued under our revolving credit facility.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Revolving credit facility — </w:t>
      </w:r>
      <w:r>
        <w:rPr>
          <w:rFonts w:ascii="Arial" w:cs="Arial" w:eastAsia="Arial" w:hAnsi="Arial"/>
          <w:sz w:val="18"/>
          <w:szCs w:val="18"/>
          <w:color w:val="auto"/>
        </w:rPr>
        <w:t>During the nine months ended September 30, 2012, we have had net repayments under our revolving credit facility of $150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Canadian credit facility — </w:t>
      </w:r>
      <w:r>
        <w:rPr>
          <w:rFonts w:ascii="Arial" w:cs="Arial" w:eastAsia="Arial" w:hAnsi="Arial"/>
          <w:sz w:val="16"/>
          <w:szCs w:val="16"/>
          <w:color w:val="auto"/>
        </w:rPr>
        <w:t>We repaid $27 million of net advances under our Canadian credit facility during the nine months ended September 30, 2012.</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Senior notes — </w:t>
      </w:r>
      <w:r>
        <w:rPr>
          <w:rFonts w:ascii="Arial" w:cs="Arial" w:eastAsia="Arial" w:hAnsi="Arial"/>
          <w:sz w:val="18"/>
          <w:szCs w:val="18"/>
          <w:color w:val="auto"/>
        </w:rPr>
        <w:t>In September 2012, we issued $500 million of 2.9% senior notes due September 15, 2022. The net proceeds from the debt issuance were</w:t>
      </w:r>
      <w:r>
        <w:rPr>
          <w:rFonts w:ascii="Arial" w:cs="Arial" w:eastAsia="Arial" w:hAnsi="Arial"/>
          <w:sz w:val="18"/>
          <w:szCs w:val="18"/>
          <w:i w:val="1"/>
          <w:iCs w:val="1"/>
          <w:color w:val="auto"/>
        </w:rPr>
        <w:t xml:space="preserve"> </w:t>
      </w:r>
      <w:r>
        <w:rPr>
          <w:rFonts w:ascii="Arial" w:cs="Arial" w:eastAsia="Arial" w:hAnsi="Arial"/>
          <w:sz w:val="18"/>
          <w:szCs w:val="18"/>
          <w:color w:val="auto"/>
        </w:rPr>
        <w:t>$495 million. We intend to use a portion of these proceeds to repay $400 million of 6.375% senior notes that mature in November 2012. All remaining proceeds will be used for general corporate purposes. Pending repayment of the senior notes due November 2012, we used a portion of the proceeds to repay borrowings outstanding under our revolving credit facility.</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Tax-exempt bonds — </w:t>
      </w:r>
      <w:r>
        <w:rPr>
          <w:rFonts w:ascii="Arial" w:cs="Arial" w:eastAsia="Arial" w:hAnsi="Arial"/>
          <w:sz w:val="18"/>
          <w:szCs w:val="18"/>
          <w:color w:val="auto"/>
        </w:rPr>
        <w:t>During the nine months ended September 30, 2012, we repaid $91 million of our tax-exempt bonds with available cash at their</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scheduled maturities. In addition, we issued $43 million of tax-exempt bonds, the proceeds of which were used to repay tax-exempt bonds at their scheduled maturities.</w:t>
      </w:r>
    </w:p>
    <w:p>
      <w:pPr>
        <w:spacing w:after="0" w:line="1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Derivative Instruments and Hedging Activities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fair values of derivative instruments recorded in our Condensed Consolidated Balance Sheet (in millions):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Designated as Hedging Instruments</w:t>
            </w:r>
          </w:p>
        </w:tc>
        <w:tc>
          <w:tcPr>
            <w:tcW w:w="5080" w:type="dxa"/>
            <w:vAlign w:val="bottom"/>
            <w:gridSpan w:val="3"/>
            <w:vMerge w:val="restart"/>
          </w:tcPr>
          <w:p>
            <w:pPr>
              <w:ind w:left="1360"/>
              <w:spacing w:after="0"/>
              <w:rPr>
                <w:sz w:val="20"/>
                <w:szCs w:val="20"/>
                <w:color w:val="auto"/>
              </w:rPr>
            </w:pPr>
            <w:r>
              <w:rPr>
                <w:rFonts w:ascii="Arial" w:cs="Arial" w:eastAsia="Arial" w:hAnsi="Arial"/>
                <w:sz w:val="14"/>
                <w:szCs w:val="14"/>
                <w:b w:val="1"/>
                <w:bCs w:val="1"/>
                <w:color w:val="auto"/>
              </w:rPr>
              <w:t>Balance Sheet Location</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87"/>
              </w:rPr>
              <w:t>September 30,</w:t>
            </w:r>
          </w:p>
        </w:tc>
        <w:tc>
          <w:tcPr>
            <w:tcW w:w="7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8"/>
        </w:trPr>
        <w:tc>
          <w:tcPr>
            <w:tcW w:w="2920" w:type="dxa"/>
            <w:vAlign w:val="bottom"/>
            <w:tcBorders>
              <w:bottom w:val="single" w:sz="8" w:color="auto"/>
            </w:tcBorders>
            <w:vMerge w:val="continue"/>
          </w:tcPr>
          <w:p>
            <w:pPr>
              <w:spacing w:after="0"/>
              <w:rPr>
                <w:sz w:val="14"/>
                <w:szCs w:val="14"/>
                <w:color w:val="auto"/>
              </w:rPr>
            </w:pPr>
          </w:p>
        </w:tc>
        <w:tc>
          <w:tcPr>
            <w:tcW w:w="50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214"/>
              <w:spacing w:after="0" w:line="148" w:lineRule="exact"/>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4"/>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Electricity commodity contracts</w:t>
            </w:r>
          </w:p>
        </w:tc>
        <w:tc>
          <w:tcPr>
            <w:tcW w:w="1360" w:type="dxa"/>
            <w:vAlign w:val="bottom"/>
            <w:tcBorders>
              <w:top w:val="single" w:sz="8" w:color="CCEEFF"/>
            </w:tcBorders>
            <w:shd w:val="clear" w:color="auto" w:fill="CCEEFF"/>
          </w:tcPr>
          <w:p>
            <w:pPr>
              <w:spacing w:after="0"/>
              <w:rPr>
                <w:sz w:val="17"/>
                <w:szCs w:val="17"/>
                <w:color w:val="auto"/>
              </w:rPr>
            </w:pPr>
          </w:p>
        </w:tc>
        <w:tc>
          <w:tcPr>
            <w:tcW w:w="3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Current other assets</w:t>
            </w:r>
          </w:p>
        </w:tc>
        <w:tc>
          <w:tcPr>
            <w:tcW w:w="6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Interest rate contracts</w:t>
            </w:r>
          </w:p>
        </w:tc>
        <w:tc>
          <w:tcPr>
            <w:tcW w:w="5080" w:type="dxa"/>
            <w:vAlign w:val="bottom"/>
            <w:gridSpan w:val="3"/>
          </w:tcPr>
          <w:p>
            <w:pPr>
              <w:ind w:left="1360"/>
              <w:spacing w:after="0"/>
              <w:rPr>
                <w:sz w:val="20"/>
                <w:szCs w:val="20"/>
                <w:color w:val="auto"/>
              </w:rPr>
            </w:pPr>
            <w:r>
              <w:rPr>
                <w:rFonts w:ascii="Arial" w:cs="Arial" w:eastAsia="Arial" w:hAnsi="Arial"/>
                <w:sz w:val="18"/>
                <w:szCs w:val="18"/>
                <w:color w:val="auto"/>
              </w:rPr>
              <w:t>Long-term other assets</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derivative assets</w:t>
            </w:r>
          </w:p>
        </w:tc>
        <w:tc>
          <w:tcPr>
            <w:tcW w:w="13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color w:val="auto"/>
              </w:rPr>
              <w:t>Interest rate contracts</w:t>
            </w:r>
          </w:p>
        </w:tc>
        <w:tc>
          <w:tcPr>
            <w:tcW w:w="5080" w:type="dxa"/>
            <w:vAlign w:val="bottom"/>
            <w:gridSpan w:val="3"/>
            <w:vMerge w:val="restart"/>
          </w:tcPr>
          <w:p>
            <w:pPr>
              <w:ind w:left="1360"/>
              <w:spacing w:after="0"/>
              <w:rPr>
                <w:sz w:val="20"/>
                <w:szCs w:val="20"/>
                <w:color w:val="auto"/>
              </w:rPr>
            </w:pPr>
            <w:r>
              <w:rPr>
                <w:rFonts w:ascii="Arial" w:cs="Arial" w:eastAsia="Arial" w:hAnsi="Arial"/>
                <w:sz w:val="18"/>
                <w:szCs w:val="18"/>
                <w:color w:val="auto"/>
              </w:rPr>
              <w:t>Current accrued liabilities</w:t>
            </w: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20" w:type="dxa"/>
            <w:vAlign w:val="bottom"/>
            <w:vMerge w:val="continue"/>
          </w:tcPr>
          <w:p>
            <w:pPr>
              <w:spacing w:after="0"/>
              <w:rPr>
                <w:sz w:val="18"/>
                <w:szCs w:val="18"/>
                <w:color w:val="auto"/>
              </w:rPr>
            </w:pPr>
          </w:p>
        </w:tc>
        <w:tc>
          <w:tcPr>
            <w:tcW w:w="5080" w:type="dxa"/>
            <w:vAlign w:val="bottom"/>
            <w:gridSpan w:val="3"/>
            <w:vMerge w:val="continue"/>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Electricity commodity contracts</w:t>
            </w:r>
          </w:p>
        </w:tc>
        <w:tc>
          <w:tcPr>
            <w:tcW w:w="508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Current accrued liabilities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5080" w:type="dxa"/>
            <w:vAlign w:val="bottom"/>
            <w:gridSpan w:val="3"/>
          </w:tcPr>
          <w:p>
            <w:pPr>
              <w:ind w:left="1360"/>
              <w:spacing w:after="0"/>
              <w:rPr>
                <w:sz w:val="20"/>
                <w:szCs w:val="20"/>
                <w:color w:val="auto"/>
              </w:rPr>
            </w:pPr>
            <w:r>
              <w:rPr>
                <w:rFonts w:ascii="Arial" w:cs="Arial" w:eastAsia="Arial" w:hAnsi="Arial"/>
                <w:sz w:val="18"/>
                <w:szCs w:val="18"/>
                <w:color w:val="auto"/>
              </w:rPr>
              <w:t>Long-term accrued liabilities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contracts</w:t>
            </w:r>
          </w:p>
        </w:tc>
        <w:tc>
          <w:tcPr>
            <w:tcW w:w="508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Long-term accrued liabilities</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920" w:type="dxa"/>
            <w:vAlign w:val="bottom"/>
          </w:tcPr>
          <w:p>
            <w:pPr>
              <w:ind w:left="220"/>
              <w:spacing w:after="0"/>
              <w:rPr>
                <w:sz w:val="20"/>
                <w:szCs w:val="20"/>
                <w:color w:val="auto"/>
              </w:rPr>
            </w:pPr>
            <w:r>
              <w:rPr>
                <w:rFonts w:ascii="Arial" w:cs="Arial" w:eastAsia="Arial" w:hAnsi="Arial"/>
                <w:sz w:val="18"/>
                <w:szCs w:val="18"/>
                <w:color w:val="auto"/>
              </w:rPr>
              <w:t>Total derivative liabilities</w:t>
            </w:r>
          </w:p>
        </w:tc>
        <w:tc>
          <w:tcPr>
            <w:tcW w:w="13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460" w:type="dxa"/>
            <w:vAlign w:val="bottom"/>
            <w:gridSpan w:val="2"/>
            <w:vMerge w:val="restart"/>
          </w:tcPr>
          <w:p>
            <w:pPr>
              <w:ind w:left="2300"/>
              <w:spacing w:after="0"/>
              <w:rPr>
                <w:sz w:val="20"/>
                <w:szCs w:val="20"/>
                <w:color w:val="auto"/>
              </w:rPr>
            </w:pPr>
            <w:r>
              <w:rPr>
                <w:rFonts w:ascii="Arial" w:cs="Arial" w:eastAsia="Arial" w:hAnsi="Arial"/>
                <w:sz w:val="18"/>
                <w:szCs w:val="18"/>
                <w:color w:val="auto"/>
              </w:rPr>
              <w:t>9</w:t>
            </w: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20" w:type="dxa"/>
            <w:vAlign w:val="bottom"/>
          </w:tcPr>
          <w:p>
            <w:pPr>
              <w:spacing w:after="0"/>
              <w:rPr>
                <w:sz w:val="24"/>
                <w:szCs w:val="24"/>
                <w:color w:val="auto"/>
              </w:rPr>
            </w:pPr>
          </w:p>
        </w:tc>
        <w:tc>
          <w:tcPr>
            <w:tcW w:w="446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We have not offset fair value amounts recognized for our derivative instruments. For information related to the inputs used to measure our derivative assets and liabilities at fair value, refer to Note 12.</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Derivatives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have used interest rate swaps to maintain a portion of our debt obligations at variable market interest rates. As of September 30, 2012 and December 31, 2011, we had approximately $6.6 billion and $6.1 billion in fixed-rate senior notes outstanding, respectively. As of December 31, 2011, the interest payments on $1 billion, or 16%, of these senior notes were swapped to variable interest rates to protect the debt against changes in fair value due to changes in benchmark interest rates. In April 2012, we elected to terminate our interest rate swaps and, upon termination, we received $76 million in cash for their fair value plus accrued interest receivable. The terminated interest rate swaps were associated with senior notes that are scheduled to mature from November 2012 to March 2018. The associated fair value adjustments to long-term debt are being amortized as a reduction to interest expense over the remaining terms of the underlying debt using the effective interest method. The cash proceeds received from our termination of the swaps have been classified as a change in “Other assets” within “Net cash provided by operating activities” in the Condensed Consolidated Statement of Cash Flows.</w:t>
      </w:r>
    </w:p>
    <w:p>
      <w:pPr>
        <w:spacing w:after="0" w:line="3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designated our interest rate swaps as fair value hedges of our fixed-rate senior notes. Fair value hedge accounting for interest rate swap contracts increased the carrying value of our debt instruments by $85 million as of September 30, 2012 and $102 million as of December 31, 2011. Gains or losses on the derivatives as well as the offsetting losses or gains on the hedged items attributable to our interest rate swaps are recognized in current earnings. We include gains and losses on our interest rate swaps as adjustments to interest expense, which is the same financial statement line item where offsetting gains and losses on the related hedged items are recorded. The following table summarizes the fair value adjustments from active interest rate swaps and the underlying hedged items on our results of operations (in millions):</w:t>
      </w:r>
    </w:p>
    <w:p>
      <w:pPr>
        <w:spacing w:after="0" w:line="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7"/>
              </w:rPr>
              <w:t>Three Months Ended September 30,</w:t>
            </w:r>
          </w:p>
        </w:tc>
        <w:tc>
          <w:tcPr>
            <w:tcW w:w="1100" w:type="dxa"/>
            <w:vAlign w:val="bottom"/>
          </w:tcPr>
          <w:p>
            <w:pPr>
              <w:spacing w:after="0"/>
              <w:rPr>
                <w:sz w:val="14"/>
                <w:szCs w:val="14"/>
                <w:color w:val="auto"/>
              </w:rPr>
            </w:pPr>
          </w:p>
        </w:tc>
        <w:tc>
          <w:tcPr>
            <w:tcW w:w="370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6"/>
              </w:rPr>
              <w:t>Statement of Operations Classification</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Gain (Loss) on</w:t>
            </w:r>
          </w:p>
        </w:tc>
        <w:tc>
          <w:tcPr>
            <w:tcW w:w="0" w:type="dxa"/>
            <w:vAlign w:val="bottom"/>
          </w:tcPr>
          <w:p>
            <w:pPr>
              <w:spacing w:after="0"/>
              <w:rPr>
                <w:sz w:val="1"/>
                <w:szCs w:val="1"/>
                <w:color w:val="auto"/>
              </w:rPr>
            </w:pPr>
          </w:p>
        </w:tc>
      </w:tr>
      <w:tr>
        <w:trPr>
          <w:trHeight w:val="168"/>
        </w:trPr>
        <w:tc>
          <w:tcPr>
            <w:tcW w:w="4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3700" w:type="dxa"/>
            <w:vAlign w:val="bottom"/>
            <w:gridSpan w:val="2"/>
            <w:vMerge w:val="continue"/>
          </w:tcPr>
          <w:p>
            <w:pPr>
              <w:spacing w:after="0"/>
              <w:rPr>
                <w:sz w:val="14"/>
                <w:szCs w:val="14"/>
                <w:color w:val="auto"/>
              </w:rPr>
            </w:pPr>
          </w:p>
        </w:tc>
        <w:tc>
          <w:tcPr>
            <w:tcW w:w="16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Gain (Loss) on Swap</w:t>
            </w:r>
          </w:p>
        </w:tc>
        <w:tc>
          <w:tcPr>
            <w:tcW w:w="360" w:type="dxa"/>
            <w:vAlign w:val="bottom"/>
          </w:tcPr>
          <w:p>
            <w:pPr>
              <w:spacing w:after="0"/>
              <w:rPr>
                <w:sz w:val="14"/>
                <w:szCs w:val="14"/>
                <w:color w:val="auto"/>
              </w:rPr>
            </w:pPr>
          </w:p>
        </w:tc>
        <w:tc>
          <w:tcPr>
            <w:tcW w:w="10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7"/>
              </w:rPr>
              <w:t>Fixed-Rate Debt</w:t>
            </w:r>
          </w:p>
        </w:tc>
        <w:tc>
          <w:tcPr>
            <w:tcW w:w="0" w:type="dxa"/>
            <w:vAlign w:val="bottom"/>
          </w:tcPr>
          <w:p>
            <w:pPr>
              <w:spacing w:after="0"/>
              <w:rPr>
                <w:sz w:val="1"/>
                <w:szCs w:val="1"/>
                <w:color w:val="auto"/>
              </w:rPr>
            </w:pPr>
          </w:p>
        </w:tc>
      </w:tr>
      <w:tr>
        <w:trPr>
          <w:trHeight w:val="203"/>
        </w:trPr>
        <w:tc>
          <w:tcPr>
            <w:tcW w:w="2600" w:type="dxa"/>
            <w:vAlign w:val="bottom"/>
            <w:tcBorders>
              <w:top w:val="single" w:sz="8" w:color="CCEEFF"/>
            </w:tcBorders>
            <w:gridSpan w:val="3"/>
            <w:shd w:val="clear" w:color="auto" w:fill="CCEEFF"/>
          </w:tcPr>
          <w:p>
            <w:pPr>
              <w:jc w:val="center"/>
              <w:ind w:left="372"/>
              <w:spacing w:after="0" w:line="202" w:lineRule="exact"/>
              <w:rPr>
                <w:sz w:val="20"/>
                <w:szCs w:val="20"/>
                <w:color w:val="auto"/>
              </w:rPr>
            </w:pPr>
            <w:r>
              <w:rPr>
                <w:rFonts w:ascii="Arial" w:cs="Arial" w:eastAsia="Arial" w:hAnsi="Arial"/>
                <w:sz w:val="18"/>
                <w:szCs w:val="18"/>
                <w:color w:val="auto"/>
                <w:w w:val="84"/>
              </w:rPr>
              <w:t>2012</w:t>
            </w:r>
          </w:p>
        </w:tc>
        <w:tc>
          <w:tcPr>
            <w:tcW w:w="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3020" w:type="dxa"/>
            <w:vAlign w:val="bottom"/>
            <w:tcBorders>
              <w:top w:val="single" w:sz="8" w:color="auto"/>
            </w:tcBorders>
            <w:shd w:val="clear" w:color="auto" w:fill="CCEEFF"/>
          </w:tcPr>
          <w:p>
            <w:pPr>
              <w:ind w:left="920"/>
              <w:spacing w:after="0" w:line="203" w:lineRule="exact"/>
              <w:rPr>
                <w:sz w:val="20"/>
                <w:szCs w:val="20"/>
                <w:color w:val="auto"/>
              </w:rPr>
            </w:pPr>
            <w:r>
              <w:rPr>
                <w:rFonts w:ascii="Arial" w:cs="Arial" w:eastAsia="Arial" w:hAnsi="Arial"/>
                <w:sz w:val="18"/>
                <w:szCs w:val="18"/>
                <w:color w:val="auto"/>
              </w:rPr>
              <w:t>Interest expense</w:t>
            </w:r>
          </w:p>
        </w:tc>
        <w:tc>
          <w:tcPr>
            <w:tcW w:w="6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600" w:type="dxa"/>
            <w:vAlign w:val="bottom"/>
            <w:gridSpan w:val="3"/>
          </w:tcPr>
          <w:p>
            <w:pPr>
              <w:jc w:val="center"/>
              <w:ind w:left="372"/>
              <w:spacing w:after="0"/>
              <w:rPr>
                <w:sz w:val="20"/>
                <w:szCs w:val="20"/>
                <w:color w:val="auto"/>
              </w:rPr>
            </w:pPr>
            <w:r>
              <w:rPr>
                <w:rFonts w:ascii="Arial" w:cs="Arial" w:eastAsia="Arial" w:hAnsi="Arial"/>
                <w:sz w:val="18"/>
                <w:szCs w:val="18"/>
                <w:color w:val="auto"/>
                <w:w w:val="84"/>
              </w:rPr>
              <w:t>2011</w:t>
            </w: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700" w:type="dxa"/>
            <w:vAlign w:val="bottom"/>
            <w:gridSpan w:val="2"/>
          </w:tcPr>
          <w:p>
            <w:pPr>
              <w:jc w:val="center"/>
              <w:ind w:right="680"/>
              <w:spacing w:after="0"/>
              <w:rPr>
                <w:sz w:val="20"/>
                <w:szCs w:val="20"/>
                <w:color w:val="auto"/>
              </w:rPr>
            </w:pPr>
            <w:r>
              <w:rPr>
                <w:rFonts w:ascii="Arial" w:cs="Arial" w:eastAsia="Arial" w:hAnsi="Arial"/>
                <w:sz w:val="18"/>
                <w:szCs w:val="18"/>
                <w:color w:val="auto"/>
                <w:w w:val="85"/>
              </w:rPr>
              <w:t>Interest expense</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25</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Nine Months Ended September 30,</w:t>
            </w:r>
          </w:p>
        </w:tc>
        <w:tc>
          <w:tcPr>
            <w:tcW w:w="40" w:type="dxa"/>
            <w:vAlign w:val="bottom"/>
            <w:vMerge w:val="restart"/>
          </w:tcPr>
          <w:p>
            <w:pPr>
              <w:spacing w:after="0"/>
              <w:rPr>
                <w:sz w:val="22"/>
                <w:szCs w:val="22"/>
                <w:color w:val="auto"/>
              </w:rPr>
            </w:pPr>
          </w:p>
        </w:tc>
        <w:tc>
          <w:tcPr>
            <w:tcW w:w="1100" w:type="dxa"/>
            <w:vAlign w:val="bottom"/>
          </w:tcPr>
          <w:p>
            <w:pPr>
              <w:spacing w:after="0"/>
              <w:rPr>
                <w:sz w:val="22"/>
                <w:szCs w:val="22"/>
                <w:color w:val="auto"/>
              </w:rPr>
            </w:pPr>
          </w:p>
        </w:tc>
        <w:tc>
          <w:tcPr>
            <w:tcW w:w="370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6"/>
              </w:rPr>
              <w:t>Statement of Operations Classification</w:t>
            </w: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Gain (Loss) on</w:t>
            </w:r>
          </w:p>
        </w:tc>
        <w:tc>
          <w:tcPr>
            <w:tcW w:w="0" w:type="dxa"/>
            <w:vAlign w:val="bottom"/>
          </w:tcPr>
          <w:p>
            <w:pPr>
              <w:spacing w:after="0"/>
              <w:rPr>
                <w:sz w:val="1"/>
                <w:szCs w:val="1"/>
                <w:color w:val="auto"/>
              </w:rPr>
            </w:pPr>
          </w:p>
        </w:tc>
      </w:tr>
      <w:tr>
        <w:trPr>
          <w:trHeight w:val="153"/>
        </w:trPr>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4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3700" w:type="dxa"/>
            <w:vAlign w:val="bottom"/>
            <w:gridSpan w:val="2"/>
            <w:vMerge w:val="continue"/>
          </w:tcPr>
          <w:p>
            <w:pPr>
              <w:spacing w:after="0"/>
              <w:rPr>
                <w:sz w:val="12"/>
                <w:szCs w:val="12"/>
                <w:color w:val="auto"/>
              </w:rPr>
            </w:pPr>
          </w:p>
        </w:tc>
        <w:tc>
          <w:tcPr>
            <w:tcW w:w="16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Gain (Loss) on Swap</w:t>
            </w:r>
          </w:p>
        </w:tc>
        <w:tc>
          <w:tcPr>
            <w:tcW w:w="360" w:type="dxa"/>
            <w:vAlign w:val="bottom"/>
          </w:tcPr>
          <w:p>
            <w:pPr>
              <w:spacing w:after="0"/>
              <w:rPr>
                <w:sz w:val="12"/>
                <w:szCs w:val="12"/>
                <w:color w:val="auto"/>
              </w:rPr>
            </w:pPr>
          </w:p>
        </w:tc>
        <w:tc>
          <w:tcPr>
            <w:tcW w:w="10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7"/>
              </w:rPr>
              <w:t>Fixed-Rate Debt</w:t>
            </w:r>
          </w:p>
        </w:tc>
        <w:tc>
          <w:tcPr>
            <w:tcW w:w="0" w:type="dxa"/>
            <w:vAlign w:val="bottom"/>
          </w:tcPr>
          <w:p>
            <w:pPr>
              <w:spacing w:after="0"/>
              <w:rPr>
                <w:sz w:val="1"/>
                <w:szCs w:val="1"/>
                <w:color w:val="auto"/>
              </w:rPr>
            </w:pPr>
          </w:p>
        </w:tc>
      </w:tr>
      <w:tr>
        <w:trPr>
          <w:trHeight w:val="20"/>
        </w:trPr>
        <w:tc>
          <w:tcPr>
            <w:tcW w:w="2600" w:type="dxa"/>
            <w:vAlign w:val="bottom"/>
            <w:gridSpan w:val="3"/>
            <w:vMerge w:val="restart"/>
            <w:shd w:val="clear" w:color="auto" w:fill="CCEEFF"/>
          </w:tcPr>
          <w:p>
            <w:pPr>
              <w:jc w:val="center"/>
              <w:ind w:left="372"/>
              <w:spacing w:after="0"/>
              <w:rPr>
                <w:sz w:val="20"/>
                <w:szCs w:val="20"/>
                <w:color w:val="auto"/>
              </w:rPr>
            </w:pPr>
            <w:r>
              <w:rPr>
                <w:rFonts w:ascii="Arial" w:cs="Arial" w:eastAsia="Arial" w:hAnsi="Arial"/>
                <w:sz w:val="18"/>
                <w:szCs w:val="18"/>
                <w:color w:val="auto"/>
                <w:w w:val="84"/>
              </w:rPr>
              <w:t>2012</w:t>
            </w:r>
          </w:p>
        </w:tc>
        <w:tc>
          <w:tcPr>
            <w:tcW w:w="40" w:type="dxa"/>
            <w:vAlign w:val="bottom"/>
            <w:shd w:val="clear" w:color="auto" w:fill="CCEEFF"/>
          </w:tcPr>
          <w:p>
            <w:pPr>
              <w:spacing w:after="0" w:line="20" w:lineRule="exact"/>
              <w:rPr>
                <w:sz w:val="1"/>
                <w:szCs w:val="1"/>
                <w:color w:val="auto"/>
              </w:rPr>
            </w:pPr>
          </w:p>
        </w:tc>
        <w:tc>
          <w:tcPr>
            <w:tcW w:w="1100" w:type="dxa"/>
            <w:vAlign w:val="bottom"/>
            <w:vMerge w:val="restart"/>
            <w:shd w:val="clear" w:color="auto" w:fill="CCEEFF"/>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3020" w:type="dxa"/>
            <w:vAlign w:val="bottom"/>
            <w:shd w:val="clear" w:color="auto" w:fill="CCEEFF"/>
          </w:tcPr>
          <w:p>
            <w:pPr>
              <w:ind w:left="920"/>
              <w:spacing w:after="0" w:line="203" w:lineRule="exact"/>
              <w:rPr>
                <w:sz w:val="20"/>
                <w:szCs w:val="20"/>
                <w:color w:val="auto"/>
              </w:rPr>
            </w:pPr>
            <w:r>
              <w:rPr>
                <w:rFonts w:ascii="Arial" w:cs="Arial" w:eastAsia="Arial" w:hAnsi="Arial"/>
                <w:sz w:val="18"/>
                <w:szCs w:val="18"/>
                <w:color w:val="auto"/>
              </w:rPr>
              <w:t>Interest expense</w:t>
            </w:r>
          </w:p>
        </w:tc>
        <w:tc>
          <w:tcPr>
            <w:tcW w:w="68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(1)</w:t>
            </w:r>
          </w:p>
        </w:tc>
        <w:tc>
          <w:tcPr>
            <w:tcW w:w="36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600" w:type="dxa"/>
            <w:vAlign w:val="bottom"/>
            <w:gridSpan w:val="3"/>
          </w:tcPr>
          <w:p>
            <w:pPr>
              <w:jc w:val="center"/>
              <w:ind w:left="372"/>
              <w:spacing w:after="0"/>
              <w:rPr>
                <w:sz w:val="20"/>
                <w:szCs w:val="20"/>
                <w:color w:val="auto"/>
              </w:rPr>
            </w:pPr>
            <w:r>
              <w:rPr>
                <w:rFonts w:ascii="Arial" w:cs="Arial" w:eastAsia="Arial" w:hAnsi="Arial"/>
                <w:sz w:val="18"/>
                <w:szCs w:val="18"/>
                <w:color w:val="auto"/>
                <w:w w:val="84"/>
              </w:rPr>
              <w:t>2011</w:t>
            </w: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700" w:type="dxa"/>
            <w:vAlign w:val="bottom"/>
            <w:gridSpan w:val="2"/>
          </w:tcPr>
          <w:p>
            <w:pPr>
              <w:jc w:val="center"/>
              <w:ind w:right="680"/>
              <w:spacing w:after="0"/>
              <w:rPr>
                <w:sz w:val="20"/>
                <w:szCs w:val="20"/>
                <w:color w:val="auto"/>
              </w:rPr>
            </w:pPr>
            <w:r>
              <w:rPr>
                <w:rFonts w:ascii="Arial" w:cs="Arial" w:eastAsia="Arial" w:hAnsi="Arial"/>
                <w:sz w:val="18"/>
                <w:szCs w:val="18"/>
                <w:color w:val="auto"/>
                <w:w w:val="85"/>
              </w:rPr>
              <w:t>Interest expense</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37</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also recognize the impacts of (i) net periodic settlements of current interest on our active interest rate swaps and (ii) the amortization of previously terminated interest rate swap agreements as adjustments to interest expense. The following table summarizes the impact of periodic settlements of active swap agreements and the impact of terminated swap agreements on our results of operations (in millions):</w:t>
      </w:r>
    </w:p>
    <w:p>
      <w:pPr>
        <w:sectPr>
          <w:pgSz w:w="11900" w:h="16838" w:orient="portrait"/>
          <w:cols w:equalWidth="0" w:num="1">
            <w:col w:w="11420"/>
          </w:cols>
          <w:pgMar w:left="240" w:top="274" w:right="239" w:bottom="1440" w:gutter="0" w:footer="0" w:header="0"/>
        </w:sectPr>
      </w:pPr>
    </w:p>
    <w:p>
      <w:pPr>
        <w:spacing w:after="0" w:line="3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Decrease to Interest Expense Due to Hedge Accounting for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873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Periodic settlements of active swap agreements(a)(b)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Terminated swap agreements(b)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9436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420" w:type="dxa"/>
            <w:vAlign w:val="bottom"/>
            <w:gridSpan w:val="4"/>
          </w:tcPr>
          <w:p>
            <w:pPr>
              <w:jc w:val="right"/>
              <w:ind w:right="117"/>
              <w:spacing w:after="0"/>
              <w:rPr>
                <w:sz w:val="20"/>
                <w:szCs w:val="20"/>
                <w:color w:val="auto"/>
              </w:rPr>
            </w:pPr>
            <w:r>
              <w:rPr>
                <w:rFonts w:ascii="Arial" w:cs="Arial" w:eastAsia="Arial" w:hAnsi="Arial"/>
                <w:sz w:val="14"/>
                <w:szCs w:val="14"/>
                <w:b w:val="1"/>
                <w:bCs w:val="1"/>
                <w:color w:val="auto"/>
                <w:w w:val="91"/>
              </w:rPr>
              <w:t>Nine Months Ended</w:t>
            </w:r>
          </w:p>
        </w:tc>
      </w:tr>
      <w:tr>
        <w:trPr>
          <w:trHeight w:val="161"/>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w w:val="76"/>
              </w:rPr>
              <w:t>2012</w:t>
            </w: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76"/>
              </w:rPr>
              <w:t>2011</w:t>
            </w:r>
          </w:p>
        </w:tc>
        <w:tc>
          <w:tcPr>
            <w:tcW w:w="600" w:type="dxa"/>
            <w:vAlign w:val="bottom"/>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76"/>
              </w:rPr>
              <w:t>2011</w:t>
            </w:r>
          </w:p>
        </w:tc>
      </w:tr>
      <w:tr>
        <w:trPr>
          <w:trHeight w:val="201"/>
        </w:trPr>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line="201" w:lineRule="exact"/>
              <w:rPr>
                <w:sz w:val="20"/>
                <w:szCs w:val="20"/>
                <w:color w:val="auto"/>
              </w:rPr>
            </w:pPr>
            <w:r>
              <w:rPr>
                <w:rFonts w:ascii="Arial" w:cs="Arial" w:eastAsia="Arial" w:hAnsi="Arial"/>
                <w:sz w:val="18"/>
                <w:szCs w:val="18"/>
                <w:color w:val="auto"/>
              </w:rPr>
              <w:t>7</w:t>
            </w:r>
          </w:p>
        </w:tc>
        <w:tc>
          <w:tcPr>
            <w:tcW w:w="60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7</w:t>
            </w:r>
          </w:p>
        </w:tc>
        <w:tc>
          <w:tcPr>
            <w:tcW w:w="6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rPr>
              <w:t>18</w:t>
            </w:r>
          </w:p>
        </w:tc>
      </w:tr>
      <w:tr>
        <w:trPr>
          <w:trHeight w:val="223"/>
        </w:trPr>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2">
            <w:col w:w="6780" w:space="720"/>
            <w:col w:w="3920"/>
          </w:cols>
          <w:pgMar w:left="240" w:top="274" w:right="239" w:bottom="1440" w:gutter="0" w:footer="0" w:header="0"/>
          <w:type w:val="continuous"/>
        </w:sectPr>
      </w:pPr>
    </w:p>
    <w:p>
      <w:pPr>
        <w:ind w:left="46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amounts represent the net of our periodic variable-rate interest obligations and the swap counterparties’ fixed-rate interest obligations. Our variable-rate obligations were based on a spread from the three-month LIBOR.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4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Due to our election to terminate our interest rate swap portfolio with a notional amount of $1 billion in April 2012, periodic settlements of active swap agreements have decreased and amortization to interest expense of terminated swap agreements has increased.</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Forward-Starting Interest Rate Swaps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2009, we entered into forward-starting interest rate swaps with a total notional value of $525 million to hedge the risk of changes in semi-annual interest payments due to fluctuations in the forward ten-year LIBOR swap rate for anticipated fixed-rate debt issuances in 2011, 2012 and 2014. We designated these forward-starting interest rate swaps as cash flow hedges.</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During the first quarter of 2011 and the third quarter of 2012, $150 million and $200 million, respectively, of these forward-starting interest rate swaps were terminated contemporaneously with the actual issuance of senior notes in February 2011 and September 2012, respectively, and we paid cash of $9 million and $59 million, respectively, to settle the liabilities related to these swap agreements. The ineffectiveness recognized upon termination of these hedges was immaterial and the related deferred losses continue to be recognized as a component of “Accumulated other comprehensive income.” The deferred losses are being amortized as an increase to interest expense over the ten-year life of the related senior note issuances using the effective interest method.</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active forward-starting interest rate swaps outstanding as of September 30, 2012 relate to an anticipated debt issuance in March 2014. As of September 30, 2012, the fair value of these active interest rate derivatives was comprised of $42 million of long-term liabilities compared with $32 million of long-term liabilities as of December 31, 2011.</w:t>
      </w:r>
    </w:p>
    <w:p>
      <w:pPr>
        <w:spacing w:after="0" w:line="59"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recognized pre-tax and after-tax losses of $3 million and $2 million, respectively, to other comprehensive income for changes in the fair value of our forward-starting interest rate swaps during the three months ended September 30, 2012 and pre-tax and after-tax losses of $28 million and $17 million, respectively, during the nine months ended September 30, 2012. We recognized pre-tax and after-tax losses of $46 million and $28 million, respectively, to other comprehensive income for changes in the fair value of our forward-starting interest rate swaps during the three months ended September 30, 2011 and $53 million and $33 million, respectively, during the nine months ended September 30, 2011. Pre-tax and after-tax losses of $2 million and $1 million, respectively, for the three and nine months ended September 30, 2012 were reclassified out of accumulated other comprehensive income and into interest expense. The losses reclassified to interest expense were immaterial for the three and nine months ended September 30, 2011. As of September 30, 2012, $7 million (on a pre-tax basis) is scheduled to be reclassified as an increase to interest expense over the next twelve months. There was no significant ineffectiveness associated with these hedges during the three and nine months ended September 30, 2012 or 2011.</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Treasury Rate Locks</w:t>
      </w:r>
    </w:p>
    <w:p>
      <w:pPr>
        <w:spacing w:after="0" w:line="9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In prior years, we used Treasury rate locks to secure underlying interest rates in anticipation of senior note issuances. The deferred losses, net of taxes, associated with these cash flow hedges were $8 million at September 30, 2012 and $12 million at December 31, 2011, which are included in “Accumulated other comprehensive income.” These deferred losses are reclassified as an increase to interest expense over the life of the related senior note issuances, which extend through 2032. Pre-tax and after-tax losses of $2 million for the three-month period ended September 30, 2012 and pre-tax and after-tax losses of $6 million and $4 million, respectively, for the nine-month period ended September 30, 2012, were reclassified out of accumulated other comprehensive income and into interest expense. Pre-tax and after-tax losses of $2 million and $1 million, respectively, for the three-month period ended September 30, 2011, and pre-tax and after-tax losses of $6 million and $3 million, respectively, for the nine-month period ended September 30, 2011, were reclassified out of accumulated other comprehensive income and into interest expense. As of September 30, 2012, $2 million (on a pre-tax basis) is scheduled to be reclassified as an increase to interest expense over the next twelve months.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Credit-Risk-Related Contingent Features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interest rate derivative instruments have in the past and may in the future contain provisions related to the Company’s credit rating. These provisions generally provide that if the Company’s credit rating were to fall to specified levels below investment grade, the counterparties have the ability to terminate the derivative agreements, resulting in settlement of all affected transactions. As of September 30, 2012, we did not have any interest rate derivatives outstanding that contained these credit-risk related provisions.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Derivatives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use foreign currency exchange rate derivatives to hedge our exposure to fluctuations in exchange rates for anticipated intercompany cash transactions between Waste Management Holdings, Inc., a wholly-owned subsidiary (“WM Holdings”), and its Canadian subsidiaries. As of September 30, 2012, we had foreign currency forward contracts outstanding for all of the anticipated cash flows associated with a debt arrangement between these wholly-owned subsidiaries. The hedged cash flows as of September 30, 2012 include C$370 million of principal, which is scheduled for payment on October 31, 2013, and scheduled interest payments of C$11 million on November 30, 2012 and C$10 million on October 31, 2013. We designated the forward contracts as cash flow hedges.</w:t>
      </w:r>
    </w:p>
    <w:p>
      <w:pPr>
        <w:spacing w:after="0" w:line="3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Gains or losses on the underlying hedged items attributable to foreign currency exchange risk are recognized in current earnings. The gains or losses on our foreign currency forward contracts that are reclassified out of accumulated other comprehensive income are recognized as adjustments to other income and expense, which is the same financial statement line item where offsetting gains or losses on the related hedged items are recorded. The following table summarizes the pre-tax impacts of our foreign currency cash flow derivatives on our comprehensive income and results of operations (in millions):</w:t>
      </w:r>
    </w:p>
    <w:p>
      <w:pPr>
        <w:spacing w:after="0" w:line="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Derivative Gain or</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Derivative Gain or</w:t>
            </w:r>
          </w:p>
        </w:tc>
        <w:tc>
          <w:tcPr>
            <w:tcW w:w="1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(Loss) Reclassified</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Three Months</w:t>
            </w:r>
          </w:p>
        </w:tc>
        <w:tc>
          <w:tcPr>
            <w:tcW w:w="1680" w:type="dxa"/>
            <w:vAlign w:val="bottom"/>
          </w:tcPr>
          <w:p>
            <w:pPr>
              <w:spacing w:after="0"/>
              <w:rPr>
                <w:sz w:val="12"/>
                <w:szCs w:val="12"/>
                <w:color w:val="auto"/>
              </w:rPr>
            </w:pPr>
          </w:p>
        </w:tc>
        <w:tc>
          <w:tcPr>
            <w:tcW w:w="2360" w:type="dxa"/>
            <w:vAlign w:val="bottom"/>
            <w:gridSpan w:val="3"/>
          </w:tcPr>
          <w:p>
            <w:pPr>
              <w:jc w:val="center"/>
              <w:ind w:right="1240"/>
              <w:spacing w:after="0" w:line="149" w:lineRule="exact"/>
              <w:rPr>
                <w:sz w:val="20"/>
                <w:szCs w:val="20"/>
                <w:color w:val="auto"/>
              </w:rPr>
            </w:pPr>
            <w:r>
              <w:rPr>
                <w:rFonts w:ascii="Arial" w:cs="Arial" w:eastAsia="Arial" w:hAnsi="Arial"/>
                <w:sz w:val="14"/>
                <w:szCs w:val="14"/>
                <w:b w:val="1"/>
                <w:bCs w:val="1"/>
                <w:color w:val="auto"/>
                <w:w w:val="83"/>
              </w:rPr>
              <w:t>(Loss) Recognized</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Statement of</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from AOCI into</w:t>
            </w:r>
          </w:p>
        </w:tc>
        <w:tc>
          <w:tcPr>
            <w:tcW w:w="0" w:type="dxa"/>
            <w:vAlign w:val="bottom"/>
          </w:tcPr>
          <w:p>
            <w:pPr>
              <w:spacing w:after="0"/>
              <w:rPr>
                <w:sz w:val="1"/>
                <w:szCs w:val="1"/>
                <w:color w:val="auto"/>
              </w:rPr>
            </w:pPr>
          </w:p>
        </w:tc>
      </w:tr>
      <w:tr>
        <w:trPr>
          <w:trHeight w:val="134"/>
        </w:trPr>
        <w:tc>
          <w:tcPr>
            <w:tcW w:w="8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40" w:type="dxa"/>
            <w:vAlign w:val="bottom"/>
            <w:gridSpan w:val="2"/>
          </w:tcPr>
          <w:p>
            <w:pPr>
              <w:jc w:val="center"/>
              <w:ind w:right="1460"/>
              <w:spacing w:after="0" w:line="135" w:lineRule="exact"/>
              <w:rPr>
                <w:sz w:val="20"/>
                <w:szCs w:val="20"/>
                <w:color w:val="auto"/>
              </w:rPr>
            </w:pPr>
            <w:r>
              <w:rPr>
                <w:rFonts w:ascii="Arial" w:cs="Arial" w:eastAsia="Arial" w:hAnsi="Arial"/>
                <w:sz w:val="14"/>
                <w:szCs w:val="14"/>
                <w:b w:val="1"/>
                <w:bCs w:val="1"/>
                <w:color w:val="auto"/>
                <w:w w:val="96"/>
              </w:rPr>
              <w:t>in OCI</w:t>
            </w:r>
          </w:p>
        </w:tc>
        <w:tc>
          <w:tcPr>
            <w:tcW w:w="1840" w:type="dxa"/>
            <w:vAlign w:val="bottom"/>
            <w:vMerge w:val="continue"/>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3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Ended September 30,</w:t>
            </w:r>
          </w:p>
        </w:tc>
        <w:tc>
          <w:tcPr>
            <w:tcW w:w="1680" w:type="dxa"/>
            <w:vAlign w:val="bottom"/>
          </w:tcPr>
          <w:p>
            <w:pPr>
              <w:spacing w:after="0"/>
              <w:rPr>
                <w:sz w:val="12"/>
                <w:szCs w:val="12"/>
                <w:color w:val="auto"/>
              </w:rPr>
            </w:pPr>
          </w:p>
        </w:tc>
        <w:tc>
          <w:tcPr>
            <w:tcW w:w="2360" w:type="dxa"/>
            <w:vAlign w:val="bottom"/>
            <w:gridSpan w:val="3"/>
          </w:tcPr>
          <w:p>
            <w:pPr>
              <w:jc w:val="center"/>
              <w:ind w:right="1240"/>
              <w:spacing w:after="0" w:line="129" w:lineRule="exact"/>
              <w:rPr>
                <w:sz w:val="20"/>
                <w:szCs w:val="20"/>
                <w:color w:val="auto"/>
              </w:rPr>
            </w:pPr>
            <w:r>
              <w:rPr>
                <w:rFonts w:ascii="Arial" w:cs="Arial" w:eastAsia="Arial" w:hAnsi="Arial"/>
                <w:sz w:val="14"/>
                <w:szCs w:val="14"/>
                <w:b w:val="1"/>
                <w:bCs w:val="1"/>
                <w:color w:val="auto"/>
                <w:w w:val="89"/>
              </w:rPr>
              <w:t>(Effective Portion)</w:t>
            </w:r>
          </w:p>
        </w:tc>
        <w:tc>
          <w:tcPr>
            <w:tcW w:w="18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Operations Classification</w:t>
            </w:r>
          </w:p>
        </w:tc>
        <w:tc>
          <w:tcPr>
            <w:tcW w:w="1220" w:type="dxa"/>
            <w:vAlign w:val="bottom"/>
          </w:tcPr>
          <w:p>
            <w:pPr>
              <w:spacing w:after="0"/>
              <w:rPr>
                <w:sz w:val="12"/>
                <w:szCs w:val="12"/>
                <w:color w:val="auto"/>
              </w:rPr>
            </w:pPr>
          </w:p>
        </w:tc>
        <w:tc>
          <w:tcPr>
            <w:tcW w:w="122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(Effective Portion)</w:t>
            </w:r>
          </w:p>
        </w:tc>
        <w:tc>
          <w:tcPr>
            <w:tcW w:w="0" w:type="dxa"/>
            <w:vAlign w:val="bottom"/>
          </w:tcPr>
          <w:p>
            <w:pPr>
              <w:spacing w:after="0"/>
              <w:rPr>
                <w:sz w:val="1"/>
                <w:szCs w:val="1"/>
                <w:color w:val="auto"/>
              </w:rPr>
            </w:pPr>
          </w:p>
        </w:tc>
      </w:tr>
      <w:tr>
        <w:trPr>
          <w:trHeight w:val="20"/>
        </w:trPr>
        <w:tc>
          <w:tcPr>
            <w:tcW w:w="8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80" w:type="dxa"/>
            <w:vAlign w:val="bottom"/>
            <w:gridSpan w:val="2"/>
            <w:shd w:val="clear" w:color="auto" w:fill="CCEEFF"/>
          </w:tcPr>
          <w:p>
            <w:pPr>
              <w:jc w:val="center"/>
              <w:ind w:left="772"/>
              <w:spacing w:after="0" w:line="196" w:lineRule="exact"/>
              <w:rPr>
                <w:sz w:val="20"/>
                <w:szCs w:val="20"/>
                <w:color w:val="auto"/>
              </w:rPr>
            </w:pPr>
            <w:r>
              <w:rPr>
                <w:rFonts w:ascii="Arial" w:cs="Arial" w:eastAsia="Arial" w:hAnsi="Arial"/>
                <w:sz w:val="18"/>
                <w:szCs w:val="18"/>
                <w:color w:val="auto"/>
                <w:w w:val="89"/>
              </w:rPr>
              <w:t>2012</w:t>
            </w: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24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Other income (expense)</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180" w:type="dxa"/>
            <w:vAlign w:val="bottom"/>
            <w:gridSpan w:val="2"/>
          </w:tcPr>
          <w:p>
            <w:pPr>
              <w:jc w:val="center"/>
              <w:ind w:left="772"/>
              <w:spacing w:after="0"/>
              <w:rPr>
                <w:sz w:val="20"/>
                <w:szCs w:val="20"/>
                <w:color w:val="auto"/>
              </w:rPr>
            </w:pPr>
            <w:r>
              <w:rPr>
                <w:rFonts w:ascii="Arial" w:cs="Arial" w:eastAsia="Arial" w:hAnsi="Arial"/>
                <w:sz w:val="18"/>
                <w:szCs w:val="18"/>
                <w:color w:val="auto"/>
                <w:w w:val="89"/>
              </w:rPr>
              <w:t>2011</w:t>
            </w:r>
          </w:p>
        </w:tc>
        <w:tc>
          <w:tcPr>
            <w:tcW w:w="190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1240"/>
              <w:spacing w:after="0"/>
              <w:rPr>
                <w:sz w:val="20"/>
                <w:szCs w:val="20"/>
                <w:color w:val="auto"/>
              </w:rPr>
            </w:pPr>
            <w:r>
              <w:rPr>
                <w:rFonts w:ascii="Arial" w:cs="Arial" w:eastAsia="Arial" w:hAnsi="Arial"/>
                <w:sz w:val="18"/>
                <w:szCs w:val="18"/>
                <w:color w:val="auto"/>
              </w:rPr>
              <w:t>25</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Other income (expense)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Derivative Gain or</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360" w:type="dxa"/>
            <w:vAlign w:val="bottom"/>
            <w:gridSpan w:val="3"/>
          </w:tcPr>
          <w:p>
            <w:pPr>
              <w:jc w:val="center"/>
              <w:ind w:right="1240"/>
              <w:spacing w:after="0" w:line="149" w:lineRule="exact"/>
              <w:rPr>
                <w:sz w:val="20"/>
                <w:szCs w:val="20"/>
                <w:color w:val="auto"/>
              </w:rPr>
            </w:pPr>
            <w:r>
              <w:rPr>
                <w:rFonts w:ascii="Arial" w:cs="Arial" w:eastAsia="Arial" w:hAnsi="Arial"/>
                <w:sz w:val="14"/>
                <w:szCs w:val="14"/>
                <w:b w:val="1"/>
                <w:bCs w:val="1"/>
                <w:color w:val="auto"/>
                <w:w w:val="93"/>
              </w:rPr>
              <w:t>Derivative Gain or</w:t>
            </w:r>
          </w:p>
        </w:tc>
        <w:tc>
          <w:tcPr>
            <w:tcW w:w="1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(Loss) Reclassified</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Nine Months</w:t>
            </w:r>
          </w:p>
        </w:tc>
        <w:tc>
          <w:tcPr>
            <w:tcW w:w="1680" w:type="dxa"/>
            <w:vAlign w:val="bottom"/>
          </w:tcPr>
          <w:p>
            <w:pPr>
              <w:spacing w:after="0"/>
              <w:rPr>
                <w:sz w:val="12"/>
                <w:szCs w:val="12"/>
                <w:color w:val="auto"/>
              </w:rPr>
            </w:pPr>
          </w:p>
        </w:tc>
        <w:tc>
          <w:tcPr>
            <w:tcW w:w="2360" w:type="dxa"/>
            <w:vAlign w:val="bottom"/>
            <w:gridSpan w:val="3"/>
          </w:tcPr>
          <w:p>
            <w:pPr>
              <w:jc w:val="center"/>
              <w:ind w:right="1240"/>
              <w:spacing w:after="0" w:line="149" w:lineRule="exact"/>
              <w:rPr>
                <w:sz w:val="20"/>
                <w:szCs w:val="20"/>
                <w:color w:val="auto"/>
              </w:rPr>
            </w:pPr>
            <w:r>
              <w:rPr>
                <w:rFonts w:ascii="Arial" w:cs="Arial" w:eastAsia="Arial" w:hAnsi="Arial"/>
                <w:sz w:val="14"/>
                <w:szCs w:val="14"/>
                <w:b w:val="1"/>
                <w:bCs w:val="1"/>
                <w:color w:val="auto"/>
                <w:w w:val="83"/>
              </w:rPr>
              <w:t>(Loss) Recognized</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Statement of</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from AOCI into</w:t>
            </w:r>
          </w:p>
        </w:tc>
        <w:tc>
          <w:tcPr>
            <w:tcW w:w="0" w:type="dxa"/>
            <w:vAlign w:val="bottom"/>
          </w:tcPr>
          <w:p>
            <w:pPr>
              <w:spacing w:after="0"/>
              <w:rPr>
                <w:sz w:val="1"/>
                <w:szCs w:val="1"/>
                <w:color w:val="auto"/>
              </w:rPr>
            </w:pPr>
          </w:p>
        </w:tc>
      </w:tr>
      <w:tr>
        <w:trPr>
          <w:trHeight w:val="134"/>
        </w:trPr>
        <w:tc>
          <w:tcPr>
            <w:tcW w:w="8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40" w:type="dxa"/>
            <w:vAlign w:val="bottom"/>
            <w:gridSpan w:val="2"/>
          </w:tcPr>
          <w:p>
            <w:pPr>
              <w:jc w:val="center"/>
              <w:ind w:right="1460"/>
              <w:spacing w:after="0" w:line="135" w:lineRule="exact"/>
              <w:rPr>
                <w:sz w:val="20"/>
                <w:szCs w:val="20"/>
                <w:color w:val="auto"/>
              </w:rPr>
            </w:pPr>
            <w:r>
              <w:rPr>
                <w:rFonts w:ascii="Arial" w:cs="Arial" w:eastAsia="Arial" w:hAnsi="Arial"/>
                <w:sz w:val="14"/>
                <w:szCs w:val="14"/>
                <w:b w:val="1"/>
                <w:bCs w:val="1"/>
                <w:color w:val="auto"/>
                <w:w w:val="96"/>
              </w:rPr>
              <w:t>in OCI</w:t>
            </w:r>
          </w:p>
        </w:tc>
        <w:tc>
          <w:tcPr>
            <w:tcW w:w="1840" w:type="dxa"/>
            <w:vAlign w:val="bottom"/>
            <w:vMerge w:val="continue"/>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3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Ended September 30,</w:t>
            </w:r>
          </w:p>
        </w:tc>
        <w:tc>
          <w:tcPr>
            <w:tcW w:w="1680" w:type="dxa"/>
            <w:vAlign w:val="bottom"/>
          </w:tcPr>
          <w:p>
            <w:pPr>
              <w:spacing w:after="0"/>
              <w:rPr>
                <w:sz w:val="12"/>
                <w:szCs w:val="12"/>
                <w:color w:val="auto"/>
              </w:rPr>
            </w:pPr>
          </w:p>
        </w:tc>
        <w:tc>
          <w:tcPr>
            <w:tcW w:w="2360" w:type="dxa"/>
            <w:vAlign w:val="bottom"/>
            <w:gridSpan w:val="3"/>
          </w:tcPr>
          <w:p>
            <w:pPr>
              <w:jc w:val="center"/>
              <w:ind w:right="1240"/>
              <w:spacing w:after="0" w:line="129" w:lineRule="exact"/>
              <w:rPr>
                <w:sz w:val="20"/>
                <w:szCs w:val="20"/>
                <w:color w:val="auto"/>
              </w:rPr>
            </w:pPr>
            <w:r>
              <w:rPr>
                <w:rFonts w:ascii="Arial" w:cs="Arial" w:eastAsia="Arial" w:hAnsi="Arial"/>
                <w:sz w:val="14"/>
                <w:szCs w:val="14"/>
                <w:b w:val="1"/>
                <w:bCs w:val="1"/>
                <w:color w:val="auto"/>
                <w:w w:val="89"/>
              </w:rPr>
              <w:t>(Effective Portion)</w:t>
            </w:r>
          </w:p>
        </w:tc>
        <w:tc>
          <w:tcPr>
            <w:tcW w:w="18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Operations Classification</w:t>
            </w:r>
          </w:p>
        </w:tc>
        <w:tc>
          <w:tcPr>
            <w:tcW w:w="1220" w:type="dxa"/>
            <w:vAlign w:val="bottom"/>
          </w:tcPr>
          <w:p>
            <w:pPr>
              <w:spacing w:after="0"/>
              <w:rPr>
                <w:sz w:val="12"/>
                <w:szCs w:val="12"/>
                <w:color w:val="auto"/>
              </w:rPr>
            </w:pPr>
          </w:p>
        </w:tc>
        <w:tc>
          <w:tcPr>
            <w:tcW w:w="122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(Effective Portion)</w:t>
            </w:r>
          </w:p>
        </w:tc>
        <w:tc>
          <w:tcPr>
            <w:tcW w:w="0" w:type="dxa"/>
            <w:vAlign w:val="bottom"/>
          </w:tcPr>
          <w:p>
            <w:pPr>
              <w:spacing w:after="0"/>
              <w:rPr>
                <w:sz w:val="1"/>
                <w:szCs w:val="1"/>
                <w:color w:val="auto"/>
              </w:rPr>
            </w:pPr>
          </w:p>
        </w:tc>
      </w:tr>
      <w:tr>
        <w:trPr>
          <w:trHeight w:val="20"/>
        </w:trPr>
        <w:tc>
          <w:tcPr>
            <w:tcW w:w="8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80" w:type="dxa"/>
            <w:vAlign w:val="bottom"/>
            <w:gridSpan w:val="2"/>
            <w:shd w:val="clear" w:color="auto" w:fill="CCEEFF"/>
          </w:tcPr>
          <w:p>
            <w:pPr>
              <w:jc w:val="center"/>
              <w:ind w:left="772"/>
              <w:spacing w:after="0" w:line="196" w:lineRule="exact"/>
              <w:rPr>
                <w:sz w:val="20"/>
                <w:szCs w:val="20"/>
                <w:color w:val="auto"/>
              </w:rPr>
            </w:pPr>
            <w:r>
              <w:rPr>
                <w:rFonts w:ascii="Arial" w:cs="Arial" w:eastAsia="Arial" w:hAnsi="Arial"/>
                <w:sz w:val="18"/>
                <w:szCs w:val="18"/>
                <w:color w:val="auto"/>
                <w:w w:val="89"/>
              </w:rPr>
              <w:t>2012</w:t>
            </w: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24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Other income (expense)</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180" w:type="dxa"/>
            <w:vAlign w:val="bottom"/>
            <w:gridSpan w:val="2"/>
          </w:tcPr>
          <w:p>
            <w:pPr>
              <w:jc w:val="center"/>
              <w:ind w:left="772"/>
              <w:spacing w:after="0"/>
              <w:rPr>
                <w:sz w:val="20"/>
                <w:szCs w:val="20"/>
                <w:color w:val="auto"/>
              </w:rPr>
            </w:pPr>
            <w:r>
              <w:rPr>
                <w:rFonts w:ascii="Arial" w:cs="Arial" w:eastAsia="Arial" w:hAnsi="Arial"/>
                <w:sz w:val="18"/>
                <w:szCs w:val="18"/>
                <w:color w:val="auto"/>
                <w:w w:val="89"/>
              </w:rPr>
              <w:t>2011</w:t>
            </w:r>
          </w:p>
        </w:tc>
        <w:tc>
          <w:tcPr>
            <w:tcW w:w="190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1240"/>
              <w:spacing w:after="0"/>
              <w:rPr>
                <w:sz w:val="20"/>
                <w:szCs w:val="20"/>
                <w:color w:val="auto"/>
              </w:rPr>
            </w:pPr>
            <w:r>
              <w:rPr>
                <w:rFonts w:ascii="Arial" w:cs="Arial" w:eastAsia="Arial" w:hAnsi="Arial"/>
                <w:sz w:val="18"/>
                <w:szCs w:val="18"/>
                <w:color w:val="auto"/>
              </w:rPr>
              <w:t>11</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Other income (expense)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Amounts reported in other comprehensive income and accumulated other comprehensive income are reported net of tax. Adjustments to other comprehensive income for changes in the fair value of our foreign currency cash flow hedges resulted in the recognition of after-tax losses of $9 million and $8 million during the three and nine months ended September 30, 2012, respectively, and after-tax gains of $15 million and $7 million during the three and nine months ended September 30, 2011, respectively. After-tax adjustments for the reclassification of losses from accumulated other comprehensive income into income were $8 million and $10 million during the three and nine months ended September 30, 2012, respectively. After-tax adjustments for the reclassification of gains from accumulated other comprehensive income into income were $20 million and $13 million during the three and nine months ended September 30, 2011, respectively. Ineffectiveness has been included in other income and expense during each of the reported periods. There was no significant ineffectiveness associated with these hedges during the three and nine months ended September 30, 2012 or 2011.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Electricity Commodity Derivatives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use short-term “receive fixed, pay variable” electricity commodity swaps to reduce the variability in our revenues and cash flows caused by fluctuations in the market prices for electricity. We hedged 1.55 million megawatt hours, or approximately 50%, of our Wheelabrator Group’s full year 2011 merchant electricity sales, and the swaps executed through September 30, 2012 are expected to hedge about 628,800 megawatt hours, or 20%, of the Wheelabrator Group’s full year 2012 merchant electricity sales. For the three-month periods ended September 30, 2012 and 2011, we hedged 16% and 46%, respectively, of our merchant electricity sales. For the nine-month periods ended September 30, 2012 and 2011, we hedged 21% and 49%, respectively, of our merchant electricity sales.</w:t>
      </w:r>
    </w:p>
    <w:p>
      <w:pPr>
        <w:spacing w:after="0" w:line="6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recognized pre-tax and after-tax losses of $3 million and $2 million, respectively, in other comprehensive income for changes in the fair value of our electricity commodity derivatives during the three months ended September 30, 2012 and pre-tax and after-tax gains of $1 million and less than $1 million, respectively, for the nine months ended September 30, 2012. We recognized pre-tax and after-tax adjustments of $2 million and $1 million, respectively, for the reclassification of gains from accumulated other comprehensive income into income as a component of “Operating revenues” during the three months ended September 30, 2012 and $9 million and $5 million, respectively, for the nine months ended September 30, 2012. All financial statement impacts associated with these derivatives were immaterial for the three and nine months ended September 30, 2011. There was no significant ineffectiveness associated with these cash flow hedges during the three and nine months periods ended September 30, 2012 or 2011.</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Our effective income tax rate for the three and nine months ended September 30, 2012 was 36.1% and 34.5%, respectively, compared with 32.3% and 34.0% for the comparable prior year periods. We evaluate our effective income tax rate at each interim period and adjust it accordingly as facts and circumstances warrant. The differences between federal income taxes computed at the federal statutory rate and reported income taxes for the three and nine months ended September 30, 2012 were primarily due to the favorable impact of federal tax credits, audit settlements and the realization of additional acquired federal net operating losses. These favorable items were more than offset during the third quarter and almost entirely offset during the nine months by the unfavorable impacts of adjustments to our accruals and related deferred taxes due to the filing of our 2011 income tax returns, state and local income taxes, a Canadian provincial tax rate increase and the tax implications of impairments of unconsolidated investments. The differences between federal income taxes computed at the federal statutory rate and reported income taxes for the three and nine months ended September 30, 2011 were primarily due to the favorable impact of federal tax credits, audit settlements and adjustments to our accruals due to the filing of our 2010 income tax returns, offset in part by the unfavorable impact of state and local income taxes.</w:t>
      </w:r>
    </w:p>
    <w:p>
      <w:pPr>
        <w:spacing w:after="0" w:line="4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Investment in Refined Coal Facility </w:t>
      </w:r>
      <w:r>
        <w:rPr>
          <w:rFonts w:ascii="Arial" w:cs="Arial" w:eastAsia="Arial" w:hAnsi="Arial"/>
          <w:sz w:val="18"/>
          <w:szCs w:val="18"/>
          <w:color w:val="auto"/>
        </w:rPr>
        <w:t>— In January 2011, we acquired a noncontrolling interest in a limited liability company, which was established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and manage a refined coal facility in North Dakota. The facility’s refinement processes qualify for federal tax credits that are expected to be realized through 2019 in accordance with Section 45 of the Internal Revenue Code. Our initial consideration for this investment consisted of a cash payment of $48 million.</w:t>
      </w:r>
    </w:p>
    <w:p>
      <w:pPr>
        <w:spacing w:after="0" w:line="6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account for our investment in this entity using the equity method of accounting, recognizing our share of the entity’s results and other reductions in “Equity in net losses of unconsolidated entities,” within our Condensed Consolidated Statement of Operations. During the three and nine months ended September 30, 2012 and 2011, we recognized less than $1 million and $2 million, respectively, of net losses resulting from our share of the entity’s operating losses. Our tax provision for the three and nine months ended September 30, 2012 and 2011 was reduced, primarily as a result of tax credits realized from this investment, by $6 million and $14 million and by $4 million and $11 million, respectively. See Note 13 for additional information related to this investment.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Investment in Federal Low-income Housing Tax Credits </w:t>
      </w:r>
      <w:r>
        <w:rPr>
          <w:rFonts w:ascii="Arial" w:cs="Arial" w:eastAsia="Arial" w:hAnsi="Arial"/>
          <w:sz w:val="18"/>
          <w:szCs w:val="18"/>
          <w:color w:val="auto"/>
        </w:rPr>
        <w:t>— In April 2010, we acquired a noncontrolling interest in a limited liability company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invest in and manage low-income housing properties. The entity’s low-income housing investments qualify for federal tax credits that are expected to be realized through 2020 in accordance with Section 42 of the Internal Revenue Code.</w:t>
      </w:r>
    </w:p>
    <w:p>
      <w:pPr>
        <w:spacing w:after="0" w:line="5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account for our investment in this entity using the equity method of accounting. We recognize our share of the entity’s results and reductions in the value of our investment in “Equity in net losses of unconsolidated entities,” within our Condensed Consolidated Statement of Operations. The value of our investment decreases as the tax credits are generated and utilized. During the three and nine months ended September 30, 2012, we recognized $6 million and $18 million of losses relating to our equity investment in this entity, $2 million and $5 million of interest expense, and a reduction in our tax provision of $11 million (including $8 million of tax credits) and $27 million (including $18 million of tax credits), respectively. During the three and nine months ended September 30, 2011, we recognized $5 million and $17 million of losses associated with our equity investment, $2 million and $6 million of interest expense, and a reduction in our tax provision of $9 million (including $7 million of tax credits) and $27 million (including $18 million of tax credits), respectively.</w:t>
      </w:r>
    </w:p>
    <w:p>
      <w:pPr>
        <w:spacing w:after="0" w:line="3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Recent Legislation </w:t>
      </w:r>
      <w:r>
        <w:rPr>
          <w:rFonts w:ascii="Arial" w:cs="Arial" w:eastAsia="Arial" w:hAnsi="Arial"/>
          <w:sz w:val="18"/>
          <w:szCs w:val="18"/>
          <w:color w:val="auto"/>
        </w:rPr>
        <w:t>— The Tax Relief, Unemployment Insurance Reauthorization, and Job Creation Act, signed into law on December 17, 2010,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an extension of the bonus depreciation allowance through the end of 2012 and increased the amount of qualifying capital expenditures that can be depreciated immediately from 50% to 100%. The 100% depreciation deduction applied to qualifying property placed in service from September 8, 2010 through December 31, 2011. The depreciation deduction for qualifying property placed in service in 2012 has been reduced to 50%. The acceleration of deductions on capital expenditures resulting from the bonus depreciation provisions has no impact on our effective tax rate, but reduces our cash taxes in the periods in which the deductions are taken.</w:t>
      </w:r>
    </w:p>
    <w:p>
      <w:pPr>
        <w:spacing w:after="0" w:line="6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acceleration of depreciation deductions related to qualifying property additions in 2011 decreased our full year 2011 cash taxes by approximately $190 million and, based on our current forecast of 2012 capital expenditures, we estimate a reduction in our full year 2012 cash taxes of approximately $90 million related to qualifying property additions in 2012. However, taking accelerated deductions results in increased cash taxes in subsequent periods when the deductions for these capital expenditures would have otherwise been taken.</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earnings per share were computed using the following common share data (shares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7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9"/>
              </w:rPr>
              <w:t>Three Months</w:t>
            </w:r>
          </w:p>
        </w:tc>
        <w:tc>
          <w:tcPr>
            <w:tcW w:w="13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Ended</w:t>
            </w:r>
          </w:p>
        </w:tc>
        <w:tc>
          <w:tcPr>
            <w:tcW w:w="820" w:type="dxa"/>
            <w:vAlign w:val="bottom"/>
            <w:gridSpan w:val="2"/>
          </w:tcPr>
          <w:p>
            <w:pPr>
              <w:jc w:val="center"/>
              <w:ind w:left="320"/>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7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5"/>
              </w:rPr>
              <w:t>September 30,</w:t>
            </w:r>
          </w:p>
        </w:tc>
        <w:tc>
          <w:tcPr>
            <w:tcW w:w="13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460" w:type="dxa"/>
            <w:vAlign w:val="bottom"/>
            <w:tcBorders>
              <w:top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Number of common shares outstanding at end of period</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463.9</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461.2</w:t>
            </w: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463.9</w:t>
            </w: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461.2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7.1</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4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464.1</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468.3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463.3</w:t>
            </w:r>
          </w:p>
        </w:tc>
        <w:tc>
          <w:tcPr>
            <w:tcW w:w="3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w w:val="98"/>
              </w:rPr>
              <w:t>Dilutive effect of equity-based compensation awards and other contingently issuable shares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1.4</w:t>
            </w:r>
          </w:p>
        </w:tc>
        <w:tc>
          <w:tcPr>
            <w:tcW w:w="460" w:type="dxa"/>
            <w:vAlign w:val="bottom"/>
          </w:tcPr>
          <w:p>
            <w:pPr>
              <w:jc w:val="right"/>
              <w:spacing w:after="0"/>
              <w:rPr>
                <w:sz w:val="20"/>
                <w:szCs w:val="20"/>
                <w:color w:val="auto"/>
              </w:rPr>
            </w:pPr>
            <w:r>
              <w:rPr>
                <w:rFonts w:ascii="Arial" w:cs="Arial" w:eastAsia="Arial" w:hAnsi="Arial"/>
                <w:sz w:val="18"/>
                <w:szCs w:val="18"/>
                <w:color w:val="auto"/>
              </w:rPr>
              <w:t>0.9</w:t>
            </w:r>
          </w:p>
        </w:tc>
        <w:tc>
          <w:tcPr>
            <w:tcW w:w="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464.9</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469.7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464.2</w:t>
            </w:r>
          </w:p>
        </w:tc>
        <w:tc>
          <w:tcPr>
            <w:tcW w:w="3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40" w:type="dxa"/>
            <w:vAlign w:val="bottom"/>
            <w:gridSpan w:val="2"/>
            <w:vMerge w:val="continue"/>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17.3</w:t>
            </w:r>
          </w:p>
        </w:tc>
        <w:tc>
          <w:tcPr>
            <w:tcW w:w="460" w:type="dxa"/>
            <w:vAlign w:val="bottom"/>
          </w:tcPr>
          <w:p>
            <w:pPr>
              <w:jc w:val="right"/>
              <w:spacing w:after="0"/>
              <w:rPr>
                <w:sz w:val="20"/>
                <w:szCs w:val="20"/>
                <w:color w:val="auto"/>
              </w:rPr>
            </w:pPr>
            <w:r>
              <w:rPr>
                <w:rFonts w:ascii="Arial" w:cs="Arial" w:eastAsia="Arial" w:hAnsi="Arial"/>
                <w:sz w:val="18"/>
                <w:szCs w:val="18"/>
                <w:color w:val="auto"/>
              </w:rPr>
              <w:t>16.5</w:t>
            </w:r>
          </w:p>
        </w:tc>
        <w:tc>
          <w:tcPr>
            <w:tcW w:w="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Number of anti-dilutive potentially issuable shares excluded from diluted common shares</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6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7440" w:type="dxa"/>
            <w:vAlign w:val="bottom"/>
            <w:gridSpan w:val="2"/>
          </w:tcPr>
          <w:p>
            <w:pPr>
              <w:jc w:val="right"/>
              <w:ind w:right="2012"/>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Commitments and Contingencies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We have obtained letters of credit, performance bonds and insurance policies and have established trust funds and issued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to support tax-exempt bonds, contracts, performance of landfill final capping, closure and post-closure requirements, environmental remediation, and other obligations. Letters of credit generally are supported by our revolving credit facility and other credit facilities established for that purpose. We obtain surety bonds and insurance policies from an entity in which we have a noncontrolling financial interest. We also obtain insurance from a wholly-owned insurance company, the sole business of which is to issue policies for us. In those instances where our use of financial assurance from entities we own or have financial interests in is not allowed, we have available alternative financial assurance mechanisms.</w:t>
      </w:r>
    </w:p>
    <w:p>
      <w:pPr>
        <w:spacing w:after="0" w:line="3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 real</w:t>
      </w:r>
      <w:r>
        <w:rPr>
          <w:rFonts w:ascii="Arial" w:cs="Arial" w:eastAsia="Arial" w:hAnsi="Arial"/>
          <w:sz w:val="18"/>
          <w:szCs w:val="18"/>
          <w:i w:val="1"/>
          <w:iCs w:val="1"/>
          <w:color w:val="auto"/>
        </w:rPr>
        <w:t xml:space="preserve"> </w:t>
      </w:r>
      <w:r>
        <w:rPr>
          <w:rFonts w:ascii="Arial" w:cs="Arial" w:eastAsia="Arial" w:hAnsi="Arial"/>
          <w:sz w:val="18"/>
          <w:szCs w:val="18"/>
          <w:color w:val="auto"/>
        </w:rPr>
        <w:t>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have retained a significant portion of the risks related to our automobile, general liability and workers’ compensation claims programs. “General liability” refers to the self-insured portion of specific third party claims made against us that may be covered under our commercial General Liability Insurance Policy.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used. We do not expect the impact of any known casualty, property, environmental or other contingency to have a material impact on our financial condition, results of operations or cash flows.</w:t>
      </w:r>
    </w:p>
    <w:p>
      <w:pPr>
        <w:spacing w:after="0" w:line="6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Guarantees </w:t>
      </w:r>
      <w:r>
        <w:rPr>
          <w:rFonts w:ascii="Arial" w:cs="Arial" w:eastAsia="Arial" w:hAnsi="Arial"/>
          <w:sz w:val="16"/>
          <w:szCs w:val="16"/>
          <w:color w:val="auto"/>
        </w:rPr>
        <w:t>— In the ordinary course of our business, WM and WM Holdings enter into guarantee agreements associated with their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2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also have guaranteed the obligations and certain performance requirements of, and provided indemnification to, third parties in the ordinary course of business for both consolidated and unconsolidated entities. Guarantee agreements outstanding as of September 30, 2012 include (i) guarantees of unconsolidated entities’ financial obligations maturing through 2020 for maximum future payments of $10 million; and (ii) agreements guaranteeing certain market value losses for approximately 850 homeowners’ properties adjacent to or near 20 of our landfills. Our indemnification obligations generally arise from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are achieved post-closing, and we have recognized liabilities for these contingent obligations based on an estimate of the fair value of these contingencies at the time of acquisition. Contingent obligations related to indemnifications arising from our divestitures and contingent consideration provided for by our acquisitions are not expected to be material to our financial position, results of operations or cash flows.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i w:val="1"/>
          <w:iCs w:val="1"/>
          <w:color w:val="auto"/>
        </w:rPr>
        <w:t xml:space="preserve">Environmental Matters </w:t>
      </w:r>
      <w:r>
        <w:rPr>
          <w:rFonts w:ascii="Arial" w:cs="Arial" w:eastAsia="Arial" w:hAnsi="Arial"/>
          <w:sz w:val="15"/>
          <w:szCs w:val="15"/>
          <w:color w:val="auto"/>
        </w:rPr>
        <w:t>— A significant portion of our operating costs and capital expenditures could be characterized as costs of environmental protection</w:t>
      </w:r>
      <w:r>
        <w:rPr>
          <w:rFonts w:ascii="Arial" w:cs="Arial" w:eastAsia="Arial" w:hAnsi="Arial"/>
          <w:sz w:val="15"/>
          <w:szCs w:val="15"/>
          <w:i w:val="1"/>
          <w:iCs w:val="1"/>
          <w:color w:val="auto"/>
        </w:rPr>
        <w:t xml:space="preserve"> </w:t>
      </w:r>
      <w:r>
        <w:rPr>
          <w:rFonts w:ascii="Arial" w:cs="Arial" w:eastAsia="Arial" w:hAnsi="Arial"/>
          <w:sz w:val="15"/>
          <w:szCs w:val="15"/>
          <w:color w:val="auto"/>
        </w:rPr>
        <w:t>as we are subject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and certain legal and consultant fees, as well as incremental internal and external costs directly associated with site investigation and clean-up.</w:t>
      </w:r>
    </w:p>
    <w:p>
      <w:pPr>
        <w:spacing w:after="0" w:line="1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investigation of the extent of environmental impact.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$150 million higher than the $264 million recorded in the Condensed Consolidated Financial Statements as of September 30, 2012.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4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of September 30, 2012, we had been notified that we are a PRP in connection with 80 locations listed on the EPA’s Superfund National Priorities List, or NPL. Of the 80 sites at which claims have been made against us, 16 are sites we own. Each of the NPL sites we own was initially developed as a landfill disposal facility by one or more other parties.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64 NPL sites, which we do not own, are at various procedural stages under the Comprehensive Environmental Response, Compensation and Liability Act of 1980, as amended, known as CERCLA or Superfund.</w:t>
      </w:r>
    </w:p>
    <w:p>
      <w:pPr>
        <w:spacing w:after="0" w:line="3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majority of these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matters are disclosed in accordance with that requirement. We do not currently believe that the eventual outcome of any such matters, individually or in the aggregate, could have a material adverse effect on the Company’s business, financial condition, results of operations or cash flows.</w:t>
      </w:r>
    </w:p>
    <w:p>
      <w:pPr>
        <w:spacing w:after="0" w:line="62" w:lineRule="exact"/>
        <w:rPr>
          <w:sz w:val="20"/>
          <w:szCs w:val="20"/>
          <w:color w:val="auto"/>
        </w:rPr>
      </w:pPr>
    </w:p>
    <w:p>
      <w:pPr>
        <w:jc w:val="both"/>
        <w:ind w:left="460" w:firstLine="438"/>
        <w:spacing w:after="0" w:line="291" w:lineRule="auto"/>
        <w:rPr>
          <w:sz w:val="20"/>
          <w:szCs w:val="20"/>
          <w:color w:val="auto"/>
        </w:rPr>
      </w:pPr>
      <w:r>
        <w:rPr>
          <w:rFonts w:ascii="Arial" w:cs="Arial" w:eastAsia="Arial" w:hAnsi="Arial"/>
          <w:sz w:val="16"/>
          <w:szCs w:val="16"/>
          <w:color w:val="auto"/>
        </w:rPr>
        <w:t>On April 4, 2006, the EPA issued a Notice of Violation (“NOV”) to Waste Management of Hawaii, Inc., an indirect wholly-owned subsidiary of WM, and to the City and County of Honolulu for alleged violations of the federal Clean Air Act, based on alleged failure to submit certain reports and design plans required by the EPA, and the failure to begin and timely complete the installation of a gas collection and control system (“GCCS”) for the Waimanalo Gulch Sanitary Landfill on Oahu. The EPA has also indicated that it will seek penalties and injunctive relief as part of the NOV enforcement for elevated landfill temperatures that were recorded after installation of the GCCS. The parties have been in confidential settlement negotiations. Pursuant to an indemnity agreement, any penalty assessed will be paid by the Company, and not by the City and County of Honolulu.</w:t>
      </w:r>
    </w:p>
    <w:p>
      <w:pPr>
        <w:spacing w:after="0" w:line="39" w:lineRule="exact"/>
        <w:rPr>
          <w:sz w:val="20"/>
          <w:szCs w:val="20"/>
          <w:color w:val="auto"/>
        </w:rPr>
      </w:pPr>
    </w:p>
    <w:p>
      <w:pPr>
        <w:jc w:val="both"/>
        <w:ind w:left="460" w:firstLine="438"/>
        <w:spacing w:after="0" w:line="298" w:lineRule="auto"/>
        <w:rPr>
          <w:sz w:val="20"/>
          <w:szCs w:val="20"/>
          <w:color w:val="auto"/>
        </w:rPr>
      </w:pPr>
      <w:r>
        <w:rPr>
          <w:rFonts w:ascii="Arial" w:cs="Arial" w:eastAsia="Arial" w:hAnsi="Arial"/>
          <w:sz w:val="16"/>
          <w:szCs w:val="16"/>
          <w:color w:val="auto"/>
        </w:rPr>
        <w:t>On December 22, 2011, the Harris County Attorney in Houston, Texas filed suit against McGinnes Industrial Maintenance Corporation (“MIMC”), WM and Waste Management of Texas, Inc., et al, seeking civil penalties and attorneys’ fees for alleged violations of the Texas Water Code and the Texas Health and Safety Code. The County’s Original Petition pending in the District Court of Harris County, Texas alleges the mismanagement of certain waste pits that were operated from 1965 to 1966 by MIMC. In 1998, a predecessor of WM acquired the stock of the parent entity of MIMC.</w:t>
      </w:r>
    </w:p>
    <w:p>
      <w:pPr>
        <w:spacing w:after="0" w:line="32" w:lineRule="exact"/>
        <w:rPr>
          <w:sz w:val="20"/>
          <w:szCs w:val="20"/>
          <w:color w:val="auto"/>
        </w:rPr>
      </w:pPr>
    </w:p>
    <w:p>
      <w:pPr>
        <w:jc w:val="both"/>
        <w:ind w:left="460" w:firstLine="438"/>
        <w:spacing w:after="0" w:line="306" w:lineRule="auto"/>
        <w:rPr>
          <w:sz w:val="20"/>
          <w:szCs w:val="20"/>
          <w:color w:val="auto"/>
        </w:rPr>
      </w:pPr>
      <w:r>
        <w:rPr>
          <w:rFonts w:ascii="Arial" w:cs="Arial" w:eastAsia="Arial" w:hAnsi="Arial"/>
          <w:sz w:val="16"/>
          <w:szCs w:val="16"/>
          <w:color w:val="auto"/>
        </w:rPr>
        <w:t>On April 20, 2012, the Pennsylvania Department of Environmental Protection (“PADEP”) transmitted a proposed Consent Order and Agreement to Waste Management of Pennsylvania, Inc., an indirect wholly-owned subsidiary of WM, for alleged violations of Pennsylvania solid waste regulations, including certain operations failures, at the Northwest Sanitary Landfill. PADEP has indicated that it is seeking penalties and corrective action.</w:t>
      </w:r>
    </w:p>
    <w:p>
      <w:pPr>
        <w:spacing w:after="0" w:line="2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Additionally, the United States Attorney’s Office for the District of Hawaii has commenced an investigation prompted by allegations of violations of the federal Clean Water Act involving discharge of stormwater at the Waimanalo Gulch Sanitary Landfill, located on Oahu, in connection with three major storm events in December 2010 and January 2011. No formal enforcement action has been brought against the Company. While we could potentially be subject to sanctions, including requirements to pay monetary penalties, in connection with a future proceeding that may arise from the investigation, a range of loss cannot currently be estimated because no proceeding has yet commenced and significant factual and legal issues remain. We are cooperating with the U.S. Attorney’s Office.</w:t>
      </w:r>
    </w:p>
    <w:p>
      <w:pPr>
        <w:spacing w:after="0" w:line="6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In April 2002, certain former participants in the ERISA plans of WM Holdings filed a lawsuit in the U.S. District Court for the District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Columbia in a case entitled </w:t>
      </w:r>
      <w:r>
        <w:rPr>
          <w:rFonts w:ascii="Arial" w:cs="Arial" w:eastAsia="Arial" w:hAnsi="Arial"/>
          <w:sz w:val="18"/>
          <w:szCs w:val="18"/>
          <w:i w:val="1"/>
          <w:iCs w:val="1"/>
          <w:color w:val="auto"/>
        </w:rPr>
        <w:t>William S. Harris, et al. v. James E. Koenig, et al</w:t>
      </w:r>
      <w:r>
        <w:rPr>
          <w:rFonts w:ascii="Arial" w:cs="Arial" w:eastAsia="Arial" w:hAnsi="Arial"/>
          <w:sz w:val="18"/>
          <w:szCs w:val="18"/>
          <w:color w:val="auto"/>
        </w:rPr>
        <w:t>. The lawsuit attempts to increase the recovery of a class of ERISA plan participants on behalf of the plan based on allegations related to both the events alleged in, and the settlements relating to, the securities class action against WM Holdings that was settled in 1998, the litigation against WM in Texas that was settled in 2002, as well as the decision to offer WM common stock as an investment option within the plan beginning in 1990, despite alleged knowledge by at least two members of the investment committee of financial misstatement by WM during the relevant time period.</w:t>
      </w:r>
    </w:p>
    <w:p>
      <w:pPr>
        <w:spacing w:after="0" w:line="6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second quarter of 2010, the Court dismissed certain claims against individual defendants, including all claims against each of the current members of our Board of Directors. Previously, plaintiffs dismissed all claims related to the settlement of the securities class action against WM that was settled in 2002,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and the court certified a limited class of participants who may bring claims on behalf of the plan, but not individually. During the third quarter of 2011, the Court ruled in favor of WM and two former employees dismissing all claims brought by the plaintiffs related to the decision to offer WM stock as an investment option within the plan. We have reached a settlement with the plaintiffs on this matter, with a proposed class settlement agreement submitted to the Court on October 17, 2012. We anticipate all the details with respect to the settlement will be resolved and finally approved by the Court within the next few months. We do not believe the settlement could have a material adverse effect on the Company’s business, financial condition, results of operations, or cash flows.</w:t>
      </w:r>
    </w:p>
    <w:p>
      <w:pPr>
        <w:spacing w:after="0" w:line="35"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October 2011 and January 2012, we were named as a defendant in a purported class action in the Circuit Court of Sarasota County, Florida and the Circuit Court of Lawrence County Alabama, respectively. These cases primarily pertain to our fuel and environmental charges included on our invoices, generally alleging that such charges were not properly disclosed, were unfair and were contrary to the customer service contracts. The law firm that filed these lawsuits had filed, in 2008, a purported class action against subsidiaries of WM in Bullock County, Alabama, making similar allegations. The prior Alabama suit was removed to federal court, where the federal court ultimately dismissed the plaintiffs’ national class action claims. The plaintiffs then elected to dismiss the case without prejudice. We will vigorously defend against these pending lawsuits. Given the inherent uncertainties of litigation, including the early stage of these cases, the unknown size of any potential class, and legal and factual issues in dispute, the outcome of these cases cannot be predicted and a range of loss cannot currently be estimated.</w:t>
      </w:r>
    </w:p>
    <w:p>
      <w:pPr>
        <w:spacing w:after="0" w:line="3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contractual arrangements with landowners imposing obligations on us to meet certain regulatory or contractual conditions upon site closure or upon termination of the agreements. Compliance with these arrangements is inherently subject to subjective determinations and may result in disputes, including litigation.</w:t>
      </w:r>
    </w:p>
    <w:p>
      <w:pPr>
        <w:spacing w:after="0" w:line="42"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5"/>
          <w:szCs w:val="15"/>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sales and marketing practices and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could have a material adverse effect on the Company’s business, financial condition, results of operations, or cash flows.</w:t>
      </w:r>
    </w:p>
    <w:p>
      <w:pPr>
        <w:spacing w:after="0" w:line="2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WM’s charter and bylaws provide that WM shall indemnify against all liabilities and expenses, and upon request shall advance expenses to, any person who is subject to a pending or threatened proceeding because such person is a director or officer of the Company. Such indemnification is required to the maximum extent permitted under Delaware law. Accordingly, the director or officer must reimburse the Company for any fees advanced if it is later determined that the director or officer was not entitled to have such fees advanced under Delaware law. Additionally, WM has entered into separate indemnification agreements with each of the members of its Board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of Directors, and the employment agreements between WM and its Chief Executive Officer, Chief Financial Officer and other executive and senior vice presidents contain a direct contractual obligation of the Company to provide indemnification to the executive. The Company may incur substantial expenses in connection with the fulfillment of its advancement of costs and indemnification obligations in connection with current actions involving former officers of the Company or its subsidiaries or other actions or proceedings that may be brought against its former or current officers, directors and employees.</w:t>
      </w:r>
    </w:p>
    <w:p>
      <w:pPr>
        <w:spacing w:after="0" w:line="3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Multiemployer Defined Benefit Pension Plans </w:t>
      </w:r>
      <w:r>
        <w:rPr>
          <w:rFonts w:ascii="Arial" w:cs="Arial" w:eastAsia="Arial" w:hAnsi="Arial"/>
          <w:sz w:val="18"/>
          <w:szCs w:val="18"/>
          <w:color w:val="auto"/>
        </w:rPr>
        <w:t>— About 20% of our workforce is covered by collective bargaining agreements with various union locals</w:t>
      </w:r>
      <w:r>
        <w:rPr>
          <w:rFonts w:ascii="Arial" w:cs="Arial" w:eastAsia="Arial" w:hAnsi="Arial"/>
          <w:sz w:val="18"/>
          <w:szCs w:val="18"/>
          <w:i w:val="1"/>
          <w:iCs w:val="1"/>
          <w:color w:val="auto"/>
        </w:rPr>
        <w:t xml:space="preserve"> </w:t>
      </w:r>
      <w:r>
        <w:rPr>
          <w:rFonts w:ascii="Arial" w:cs="Arial" w:eastAsia="Arial" w:hAnsi="Arial"/>
          <w:sz w:val="18"/>
          <w:szCs w:val="18"/>
          <w:color w:val="auto"/>
        </w:rPr>
        <w:t>across the United States and Canada. As a result of some of these agreements, certain of our subsidiaries are participating employers in a number of trustee-managed multiemployer, defined benefit pension plans for the affected employees. In connection with our ongoing renegotiation of various collective bargaining agreements, we may discuss and negotiate for the complete or partial withdrawal from one or more of these pension plans. A complete or partial withdrawal from a multiemployer pension plan may also occur if employees covered by a collective bargaining agreement vote to decertify a union from continuing to represent them.</w:t>
      </w:r>
    </w:p>
    <w:p>
      <w:pPr>
        <w:spacing w:after="0" w:line="6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One of the most significant multiemployer pension plans in which we have participated is the Central States Southeast and Southwest Areas Pension Plan (“Central States Pension Plan”). The Central States Pension Plan is in “critical status” as defined by the Pension Protection Act of 2006. Since 2008, certain of our affiliates have bargained to remove covered employees from the Central States Pension Plan, resulting in a series of withdrawals. In October 2011, employees at the last of our affiliates with active participants in the Central States Pension Plan voted to decertify the union that represented them, withdrawing themselves from the Central States Pension Plan.</w:t>
      </w:r>
    </w:p>
    <w:p>
      <w:pPr>
        <w:spacing w:after="0" w:line="6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are still negotiating and litigating final resolutions of our withdrawal liability for previous withdrawals, including our recent final withdrawal mentioned above, but we do not believe any additional liability above the charges we have already recognized for such previous withdrawals could be material to the Company’s business, financial condition, results of operations or cash flows. We also do not believe that any future withdrawals, individually or in the aggregate, from the multiemployer plans to which we contribute, could have a material adverse effect on our business, financial condition or liquidity. However, such withdrawals could have a material adverse effect on our results of operations for a particular reporting period, depending on the number of employees withdrawn in any future period and the financial condition of the multiemployer plan(s) at the time of such withdrawal(s).</w:t>
      </w:r>
    </w:p>
    <w:p>
      <w:pPr>
        <w:spacing w:after="0" w:line="3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 We are currently in the examination phase of IRS audits for the tax years 2011 and 2012 and expect these audits to be completed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next three and 15 months, respectively. We participate in the IRS’s Compliance Assurance Program, which means we work with the IRS throughout the year in order to resolve any material issues prior to the filing of our year-end tax return. We are also currently undergoing audits by various state and local jurisdictions that date back to 2000. We have finalized audits in Canada through the 2005 tax year and are not currently under audit for any subsequent tax years in Canada. On July 28, 2011, we acquired Oakleaf, which is subject to IRS examinations for years dating back to 2009 and state income tax examinations for years dating back to 2002. Pursuant to the terms of our acquisition of Oakleaf, we are entitled to indemnification for Oakleaf’s pre-acquisition tax liabilities. We maintain a liability for uncertain tax positions, the balance of which management believes is adequate. Results of audit assessments by taxing authorities are not currently expected to have a material adverse impact on our results of operations or cash flows.</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Segment and Related Information</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Through the third quarter of 2012, we managed and evaluated our operations primarily through our Eastern, Midwest, Southern, Western and Wheelabrator operating Groups. These five Groups are presented below as our reportable segments. Our four geographic operating Groups provide collection, transfer, disposal (in both solid waste and hazardous waste landfills) and recycling services for residential, commercial, industrial and municipal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customers throughout North America. Our fifth Group is the Wheelabrator Group, which provides waste-to-energy services and manages waste-to-energy facilities and independent power production plants in the United States and participates in the design, construction, operation and management of waste-to-energy facilities through investments and consolidated entities in China and Europe. In addition, the Oakleaf operations we acquired on July 28, 2011 represent a separate operating segment; however, they do not meet the criteria to be presented as a separate reportable segment. The operations not managed through our five operating Groups, including the Oakleaf operations, are presented herein as “Other.” See Note 9 for additional information related to our acquisition of Oakleaf.</w:t>
      </w:r>
    </w:p>
    <w:p>
      <w:pPr>
        <w:spacing w:after="0" w:line="19"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July 2012, we announced a reorganization of our operations, designed to streamline management and staff support and reduce our cost structure, while not disrupting our front-line operations. We are in the process of implementing the reorganization, which includes the elimination of our four existing geographic Groups, and we expect it to be completed by the end of 2012. Once the reorganization has been completed, our reportable segments will be realigned to conform with our new management structure. See Note 10 for additional information related to this reorganization.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Summarized financial information concerning our reportable segments for the three and nine months ended September 30 is shown in the following table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w w:val="88"/>
              </w:rPr>
              <w:t>Gross</w:t>
            </w:r>
          </w:p>
        </w:tc>
        <w:tc>
          <w:tcPr>
            <w:tcW w:w="72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Intercompany</w:t>
            </w:r>
          </w:p>
        </w:tc>
        <w:tc>
          <w:tcPr>
            <w:tcW w:w="100" w:type="dxa"/>
            <w:vAlign w:val="bottom"/>
          </w:tcPr>
          <w:p>
            <w:pPr>
              <w:spacing w:after="0"/>
              <w:rPr>
                <w:sz w:val="14"/>
                <w:szCs w:val="14"/>
                <w:color w:val="auto"/>
              </w:rPr>
            </w:pPr>
          </w:p>
        </w:tc>
        <w:tc>
          <w:tcPr>
            <w:tcW w:w="500" w:type="dxa"/>
            <w:vAlign w:val="bottom"/>
          </w:tcPr>
          <w:p>
            <w:pPr>
              <w:jc w:val="right"/>
              <w:ind w:right="113"/>
              <w:spacing w:after="0"/>
              <w:rPr>
                <w:sz w:val="20"/>
                <w:szCs w:val="20"/>
                <w:color w:val="auto"/>
              </w:rPr>
            </w:pPr>
            <w:r>
              <w:rPr>
                <w:rFonts w:ascii="Arial" w:cs="Arial" w:eastAsia="Arial" w:hAnsi="Arial"/>
                <w:sz w:val="14"/>
                <w:szCs w:val="14"/>
                <w:b w:val="1"/>
                <w:bCs w:val="1"/>
                <w:color w:val="auto"/>
              </w:rPr>
              <w:t>Net</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Operating</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7"/>
              </w:rPr>
              <w:t>Operating</w:t>
            </w: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Operating</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Revenues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4"/>
              </w:rPr>
              <w:t>Revenues</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Revenues</w:t>
            </w:r>
          </w:p>
        </w:tc>
        <w:tc>
          <w:tcPr>
            <w:tcW w:w="7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Three Months Ended:</w:t>
            </w:r>
          </w:p>
        </w:tc>
        <w:tc>
          <w:tcPr>
            <w:tcW w:w="39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w w:val="96"/>
              </w:rPr>
              <w:t>September 30, 2012</w:t>
            </w:r>
          </w:p>
        </w:tc>
        <w:tc>
          <w:tcPr>
            <w:tcW w:w="3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Eastern</w:t>
            </w:r>
          </w:p>
        </w:tc>
        <w:tc>
          <w:tcPr>
            <w:tcW w:w="4060" w:type="dxa"/>
            <w:vAlign w:val="bottom"/>
            <w:gridSpan w:val="2"/>
            <w:shd w:val="clear" w:color="auto" w:fill="CCEEFF"/>
          </w:tcPr>
          <w:p>
            <w:pPr>
              <w:ind w:left="39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Midwest</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833</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Southern</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Western</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Wheelabrator</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552</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w w:val="98"/>
              </w:rPr>
              <w:t>Corporate and Other</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166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7"/>
              </w:rPr>
              <w:t>September 30, 2011</w:t>
            </w:r>
          </w:p>
        </w:tc>
        <w:tc>
          <w:tcPr>
            <w:tcW w:w="3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660" w:type="dxa"/>
            <w:vAlign w:val="bottom"/>
            <w:gridSpan w:val="3"/>
            <w:vMerge w:val="continue"/>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Eastern</w:t>
            </w:r>
          </w:p>
        </w:tc>
        <w:tc>
          <w:tcPr>
            <w:tcW w:w="4060" w:type="dxa"/>
            <w:vAlign w:val="bottom"/>
            <w:gridSpan w:val="2"/>
            <w:shd w:val="clear" w:color="auto" w:fill="CCEEFF"/>
          </w:tcPr>
          <w:p>
            <w:pPr>
              <w:ind w:left="39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Midwest</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847</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Southern</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Western</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841</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727</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Wheelabrator</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462</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w w:val="98"/>
              </w:rPr>
              <w:t>Corporate and Other</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
        </w:trPr>
        <w:tc>
          <w:tcPr>
            <w:tcW w:w="166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4"/>
              </w:rPr>
              <w:t>Nine Months Ended:</w:t>
            </w:r>
          </w:p>
        </w:tc>
        <w:tc>
          <w:tcPr>
            <w:tcW w:w="3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660" w:type="dxa"/>
            <w:vAlign w:val="bottom"/>
            <w:gridSpan w:val="3"/>
            <w:vMerge w:val="continue"/>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September 30, 2012</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Eastern</w:t>
            </w:r>
          </w:p>
        </w:tc>
        <w:tc>
          <w:tcPr>
            <w:tcW w:w="4060" w:type="dxa"/>
            <w:vAlign w:val="bottom"/>
            <w:gridSpan w:val="2"/>
          </w:tcPr>
          <w:p>
            <w:pPr>
              <w:ind w:left="39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2,294</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1,860</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Midwest</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Southern</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2,575</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2,189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Western</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631</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11,948</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10,215</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Corporate and Other</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w:t>
            </w:r>
          </w:p>
        </w:tc>
        <w:tc>
          <w:tcPr>
            <w:tcW w:w="3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39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11,948</w:t>
            </w:r>
          </w:p>
        </w:tc>
        <w:tc>
          <w:tcPr>
            <w:tcW w:w="7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10,215</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September 30, 2011</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Eastern</w:t>
            </w:r>
          </w:p>
        </w:tc>
        <w:tc>
          <w:tcPr>
            <w:tcW w:w="4060" w:type="dxa"/>
            <w:vAlign w:val="bottom"/>
            <w:gridSpan w:val="2"/>
          </w:tcPr>
          <w:p>
            <w:pPr>
              <w:ind w:left="39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2,326</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1,939</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Midwest</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Southern</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2,553</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2,246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Western</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664</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575</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11,487</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9,972</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Corporate and Other</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w:t>
            </w:r>
          </w:p>
        </w:tc>
        <w:tc>
          <w:tcPr>
            <w:tcW w:w="3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39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11,487</w:t>
            </w:r>
          </w:p>
        </w:tc>
        <w:tc>
          <w:tcPr>
            <w:tcW w:w="7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9,972</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vMerge w:val="restart"/>
          </w:tcPr>
          <w:p>
            <w:pPr>
              <w:jc w:val="right"/>
              <w:ind w:right="192"/>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and operating segment, changes in commodity prices and by general economic conditions. In addition, our revenues and income from operations typically reflect seasonal patterns. Our operating revenues normally tend to be somewhat higher in the summer months, primarily due to the traditional seasonal increase in the volume of construction and demolition waste. Historically, the volumes of industrial and residential waste in certain regions in which we operate have tended to increase during the summer months. Our second and third quarter revenues and results of operations typically reflect these seasonal trends.</w:t>
      </w:r>
    </w:p>
    <w:p>
      <w:pPr>
        <w:spacing w:after="0" w:line="3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Additionally, certain destructive weather conditions that tend to occur during the second half of the year, such as hurricanes that most often impact our Southern Group, can actually increase our revenues in the areas affected. While weather-related and other “one-time” occurrences can boost revenues through additional work, as a result of significant start-up costs and other factors, such revenue sometimes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14"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Acquisitions</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Oakleaf </w:t>
      </w:r>
      <w:r>
        <w:rPr>
          <w:rFonts w:ascii="Arial" w:cs="Arial" w:eastAsia="Arial" w:hAnsi="Arial"/>
          <w:sz w:val="16"/>
          <w:szCs w:val="16"/>
          <w:color w:val="auto"/>
        </w:rPr>
        <w:t>— On July 28, 2011, we paid $432 million, net of cash received of $4 million and inclusive of certain adjustments, to acquire Oakleaf. Oakleaf</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outsourced waste and recycling services principally through a nationwide network of third-party haulers. The operations we acquired generated approximately $580 million in revenues in 2010. We acquired Oakleaf to advance our growth and transformation strategies and increase our national accounts customer base while enhancing our ability to provide comprehensive environmental solutions. For the year ended December 31, 2011, we incurred $1 million of acquisition-related costs, which were classified as “Selling, general and administrative” expenses. For the three- and nine-month periods ended September 30, 2012, Oakleaf recognized revenues of $143 million and $438 million, respectively, and net losses of $4 million and $8 million, respectively. These amounts are included in our Condensed Consolidated Statement of Operations.</w:t>
      </w:r>
    </w:p>
    <w:p>
      <w:pPr>
        <w:spacing w:after="0" w:line="3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shows adjustments since December 31, 2011 to the allocation of the purchase price of Oakleaf to the assets acquired and liabilities assumed based on their estimated fair value and is final as of September 30, 2012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w w:val="87"/>
              </w:rPr>
              <w:t>December 31,</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9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and other receivables</w:t>
            </w:r>
          </w:p>
        </w:tc>
        <w:tc>
          <w:tcPr>
            <w:tcW w:w="2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9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Other current assets</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Goodwill</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Accounts payable</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920"/>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9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680" w:type="dxa"/>
            <w:vAlign w:val="bottom"/>
            <w:vMerge w:val="restart"/>
          </w:tcPr>
          <w:p>
            <w:pPr>
              <w:ind w:left="220"/>
              <w:spacing w:after="0"/>
              <w:rPr>
                <w:sz w:val="20"/>
                <w:szCs w:val="20"/>
                <w:color w:val="auto"/>
              </w:rPr>
            </w:pPr>
            <w:r>
              <w:rPr>
                <w:rFonts w:ascii="Arial" w:cs="Arial" w:eastAsia="Arial" w:hAnsi="Arial"/>
                <w:sz w:val="18"/>
                <w:szCs w:val="18"/>
                <w:color w:val="auto"/>
              </w:rPr>
              <w:t>Total purchase price</w:t>
            </w:r>
          </w:p>
        </w:tc>
        <w:tc>
          <w:tcPr>
            <w:tcW w:w="2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vMerge w:val="continue"/>
          </w:tcPr>
          <w:p>
            <w:pPr>
              <w:spacing w:after="0"/>
              <w:rPr>
                <w:sz w:val="19"/>
                <w:szCs w:val="19"/>
                <w:color w:val="auto"/>
              </w:rPr>
            </w:pPr>
          </w:p>
        </w:tc>
        <w:tc>
          <w:tcPr>
            <w:tcW w:w="25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432</w:t>
            </w:r>
          </w:p>
        </w:tc>
        <w:tc>
          <w:tcPr>
            <w:tcW w:w="98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320" w:type="dxa"/>
            <w:vAlign w:val="bottom"/>
            <w:vMerge w:val="restart"/>
          </w:tcPr>
          <w:p>
            <w:pPr>
              <w:jc w:val="right"/>
              <w:ind w:right="572"/>
              <w:spacing w:after="0"/>
              <w:rPr>
                <w:sz w:val="20"/>
                <w:szCs w:val="20"/>
                <w:color w:val="auto"/>
              </w:rPr>
            </w:pPr>
            <w:r>
              <w:rPr>
                <w:rFonts w:ascii="Arial" w:cs="Arial" w:eastAsia="Arial" w:hAnsi="Arial"/>
                <w:sz w:val="18"/>
                <w:szCs w:val="18"/>
                <w:color w:val="auto"/>
              </w:rPr>
              <w:t>22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final allocation of the purchase price to other intangible assets (amounts in millions, except for amortization periods):</w:t>
      </w:r>
    </w:p>
    <w:p>
      <w:pPr>
        <w:spacing w:after="0" w:line="9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tcPr>
          <w:p>
            <w:pPr>
              <w:jc w:val="center"/>
              <w:ind w:left="857"/>
              <w:spacing w:after="0" w:line="149" w:lineRule="exact"/>
              <w:rPr>
                <w:sz w:val="20"/>
                <w:szCs w:val="20"/>
                <w:color w:val="auto"/>
              </w:rPr>
            </w:pPr>
            <w:r>
              <w:rPr>
                <w:rFonts w:ascii="Arial" w:cs="Arial" w:eastAsia="Arial" w:hAnsi="Arial"/>
                <w:sz w:val="14"/>
                <w:szCs w:val="14"/>
                <w:b w:val="1"/>
                <w:bCs w:val="1"/>
                <w:color w:val="auto"/>
                <w:w w:val="88"/>
              </w:rPr>
              <w:t>Amortization</w:t>
            </w:r>
          </w:p>
        </w:tc>
      </w:tr>
      <w:tr>
        <w:trPr>
          <w:trHeight w:val="149"/>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Periods</w:t>
            </w:r>
          </w:p>
        </w:tc>
      </w:tr>
      <w:tr>
        <w:trPr>
          <w:trHeight w:val="161"/>
        </w:trPr>
        <w:tc>
          <w:tcPr>
            <w:tcW w:w="6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9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Years)</w:t>
            </w:r>
          </w:p>
        </w:tc>
      </w:tr>
      <w:tr>
        <w:trPr>
          <w:trHeight w:val="210"/>
        </w:trPr>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Vendor relationships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1740" w:type="dxa"/>
            <w:vAlign w:val="bottom"/>
            <w:gridSpan w:val="2"/>
          </w:tcPr>
          <w:p>
            <w:pPr>
              <w:jc w:val="center"/>
              <w:ind w:left="857"/>
              <w:spacing w:after="0"/>
              <w:rPr>
                <w:sz w:val="20"/>
                <w:szCs w:val="20"/>
                <w:color w:val="auto"/>
              </w:rPr>
            </w:pPr>
            <w:r>
              <w:rPr>
                <w:rFonts w:ascii="Arial" w:cs="Arial" w:eastAsia="Arial" w:hAnsi="Arial"/>
                <w:sz w:val="18"/>
                <w:szCs w:val="18"/>
                <w:color w:val="auto"/>
                <w:w w:val="91"/>
              </w:rPr>
              <w:t>10.0</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740" w:type="dxa"/>
            <w:vAlign w:val="bottom"/>
            <w:gridSpan w:val="2"/>
            <w:shd w:val="clear" w:color="auto" w:fill="CCEEFF"/>
          </w:tcPr>
          <w:p>
            <w:pPr>
              <w:jc w:val="center"/>
              <w:ind w:left="857"/>
              <w:spacing w:after="0"/>
              <w:rPr>
                <w:sz w:val="20"/>
                <w:szCs w:val="20"/>
                <w:color w:val="auto"/>
              </w:rPr>
            </w:pPr>
            <w:r>
              <w:rPr>
                <w:rFonts w:ascii="Arial" w:cs="Arial" w:eastAsia="Arial" w:hAnsi="Arial"/>
                <w:sz w:val="18"/>
                <w:szCs w:val="18"/>
                <w:color w:val="auto"/>
                <w:w w:val="91"/>
              </w:rPr>
              <w:t>15.0</w:t>
            </w:r>
          </w:p>
        </w:tc>
      </w:tr>
      <w:tr>
        <w:trPr>
          <w:trHeight w:val="222"/>
        </w:trPr>
        <w:tc>
          <w:tcPr>
            <w:tcW w:w="6440" w:type="dxa"/>
            <w:vAlign w:val="bottom"/>
          </w:tcPr>
          <w:p>
            <w:pPr>
              <w:spacing w:after="0"/>
              <w:rPr>
                <w:sz w:val="19"/>
                <w:szCs w:val="19"/>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740" w:type="dxa"/>
            <w:vAlign w:val="bottom"/>
            <w:gridSpan w:val="2"/>
          </w:tcPr>
          <w:p>
            <w:pPr>
              <w:jc w:val="center"/>
              <w:ind w:left="857"/>
              <w:spacing w:after="0"/>
              <w:rPr>
                <w:sz w:val="20"/>
                <w:szCs w:val="20"/>
                <w:color w:val="auto"/>
              </w:rPr>
            </w:pPr>
            <w:r>
              <w:rPr>
                <w:rFonts w:ascii="Arial" w:cs="Arial" w:eastAsia="Arial" w:hAnsi="Arial"/>
                <w:sz w:val="18"/>
                <w:szCs w:val="18"/>
                <w:color w:val="auto"/>
                <w:w w:val="91"/>
              </w:rPr>
              <w:t>10.5</w:t>
            </w: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Goodwill of $328 million was calculated as the excess of the consideration paid over the net assets recognized and represents the future economic benefits arising from other assets acquired that could not be individually identified and separately recognized. Goodwill is a result of expected synergies from combining the Company’s operations with Oakleaf’s national accounts customer base and vendor network. The vendor-hauler network expands our partnership with third-party service providers. In many cases we can provide vendor-haulers with opportunities to maintain and increase their business by utilizing our extensive post-collection network. We believe this will generate significant benefits for the Company and for the vendor-haulers. Goodwill has been assigned to our four geographic Groups as they are expected to benefit from the synergies of the combination. Goodwill related to this acquisition is not deductible for income tax purposes.</w:t>
      </w:r>
    </w:p>
    <w:p>
      <w:pPr>
        <w:spacing w:after="0" w:line="6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pro forma consolidated results of operations for the three and nine months ended September 30, 2011 have been prepared as if the acquisition of Oakleaf occurred at January 1, 2011 (in millions, except per share amounts):</w:t>
      </w:r>
    </w:p>
    <w:p>
      <w:pPr>
        <w:sectPr>
          <w:pgSz w:w="11900" w:h="16838" w:orient="portrait"/>
          <w:cols w:equalWidth="0" w:num="1">
            <w:col w:w="11420"/>
          </w:cols>
          <w:pgMar w:left="240" w:top="274" w:right="239" w:bottom="1440" w:gutter="0" w:footer="0" w:header="0"/>
        </w:sectPr>
      </w:pPr>
    </w:p>
    <w:p>
      <w:pPr>
        <w:spacing w:after="0" w:line="3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revenues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Net income attributable to Waste Management, Inc.</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earnings per common share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Diluted earnings per common share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0"/>
              </w:rPr>
              <w:t>Three Months Ended</w:t>
            </w:r>
          </w:p>
        </w:tc>
        <w:tc>
          <w:tcPr>
            <w:tcW w:w="130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September 30, 2011</w:t>
            </w:r>
          </w:p>
        </w:tc>
        <w:tc>
          <w:tcPr>
            <w:tcW w:w="130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September 30, 2011</w:t>
            </w:r>
          </w:p>
        </w:tc>
      </w:tr>
      <w:tr>
        <w:trPr>
          <w:trHeight w:val="201"/>
        </w:trPr>
        <w:tc>
          <w:tcPr>
            <w:tcW w:w="4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3,566</w:t>
            </w:r>
          </w:p>
        </w:tc>
        <w:tc>
          <w:tcPr>
            <w:tcW w:w="1300" w:type="dxa"/>
            <w:vAlign w:val="bottom"/>
          </w:tcPr>
          <w:p>
            <w:pPr>
              <w:spacing w:after="0"/>
              <w:rPr>
                <w:sz w:val="17"/>
                <w:szCs w:val="17"/>
                <w:color w:val="auto"/>
              </w:rPr>
            </w:pPr>
          </w:p>
        </w:tc>
        <w:tc>
          <w:tcPr>
            <w:tcW w:w="4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10,287</w:t>
            </w:r>
          </w:p>
        </w:tc>
      </w:tr>
      <w:tr>
        <w:trPr>
          <w:trHeight w:val="216"/>
        </w:trPr>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689</w:t>
            </w:r>
          </w:p>
        </w:tc>
      </w:tr>
      <w:tr>
        <w:trPr>
          <w:trHeight w:val="216"/>
        </w:trPr>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0.58</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22"/>
        </w:trPr>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0.58</w:t>
            </w: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-555625</wp:posOffset>
            </wp:positionV>
            <wp:extent cx="666369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-272415</wp:posOffset>
            </wp:positionV>
            <wp:extent cx="666369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6360" w:space="720"/>
            <w:col w:w="4340"/>
          </w:cols>
          <w:pgMar w:left="240" w:top="274" w:right="239" w:bottom="1440" w:gutter="0" w:footer="0" w:header="0"/>
          <w:type w:val="continuous"/>
        </w:sect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During the nine months ended September 30, 2012, we paid $94 million for interests in oil and gas producing properties through two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purchase price was allocated primarily to “Property and equipment.” Additionally, during the nine months ended September 30, 2012 we acquired 21 other businesses related to our collection and recycling operations.</w:t>
      </w:r>
    </w:p>
    <w:p>
      <w:pPr>
        <w:spacing w:after="0" w:line="13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Restructuring</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2012 Restructurings — </w:t>
      </w:r>
      <w:r>
        <w:rPr>
          <w:rFonts w:ascii="Arial" w:cs="Arial" w:eastAsia="Arial" w:hAnsi="Arial"/>
          <w:sz w:val="16"/>
          <w:szCs w:val="16"/>
          <w:color w:val="auto"/>
        </w:rPr>
        <w:t>In July 2012, we announced a reorganization of operations, designed to streamline management and staff support and reduce our</w:t>
      </w:r>
      <w:r>
        <w:rPr>
          <w:rFonts w:ascii="Arial" w:cs="Arial" w:eastAsia="Arial" w:hAnsi="Arial"/>
          <w:sz w:val="16"/>
          <w:szCs w:val="16"/>
          <w:i w:val="1"/>
          <w:iCs w:val="1"/>
          <w:color w:val="auto"/>
        </w:rPr>
        <w:t xml:space="preserve"> </w:t>
      </w:r>
      <w:r>
        <w:rPr>
          <w:rFonts w:ascii="Arial" w:cs="Arial" w:eastAsia="Arial" w:hAnsi="Arial"/>
          <w:sz w:val="16"/>
          <w:szCs w:val="16"/>
          <w:color w:val="auto"/>
        </w:rPr>
        <w:t>cost structure, while not disrupting our front-line operations. Principal organizational changes being implemented include removal of the management layer consisting of our four existing geographic Groups; consolidation and reduction of the number of Areas managing the core collection, disposal and recycling businesses from 22 to 17; and reduction of corporate support staff in an effort to better align support with the needs of the operating units.</w:t>
      </w:r>
    </w:p>
    <w:p>
      <w:pPr>
        <w:spacing w:after="0" w:line="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in the process of implementing this restructuring plan and we expect it to be completed by the end of 2012. We currently estimate that approximately 700 employee positions throughout the Company, including positions at both the management and support levels, will be eliminated. Voluntary separation arrangements were offered to many in certain levels of management.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type w:val="continuous"/>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Additionally, during the first nine months of 2012, we recognized employee severance and benefits restructuring charges associated with the reorganization of Oakleaf that began in 2011 and certain other actions taken by the Company in early 2012.</w:t>
      </w:r>
    </w:p>
    <w:p>
      <w:pPr>
        <w:spacing w:after="0" w:line="5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During the third quarter of 2012, we recognized pre-tax charges of $44 million associated with these restructuring activities, $39 million of which related to employee severance and benefit costs. The remainder of the charge was primarily related to abandoned operating leases. We currently expect to incur additional restructuring charges in the fourth quarter of 2012, consisting of employee severance and benefits expenses and facility, lease and other related expenses, in the range of $20 million to $30 million. The additional restructuring charges are an estimate, and actual charges may vary materially based on various factors, including the number of employee terminations; facility, lease or other restructuring charges that are not yet estimable; and changes in management’s objectives.</w:t>
      </w:r>
    </w:p>
    <w:p>
      <w:pPr>
        <w:spacing w:after="0" w:line="35" w:lineRule="exact"/>
        <w:rPr>
          <w:sz w:val="20"/>
          <w:szCs w:val="20"/>
          <w:color w:val="auto"/>
        </w:rPr>
      </w:pPr>
    </w:p>
    <w:p>
      <w:pPr>
        <w:jc w:val="both"/>
        <w:ind w:firstLine="456"/>
        <w:spacing w:after="0" w:line="331" w:lineRule="auto"/>
        <w:rPr>
          <w:sz w:val="20"/>
          <w:szCs w:val="20"/>
          <w:color w:val="auto"/>
        </w:rPr>
      </w:pPr>
      <w:r>
        <w:rPr>
          <w:rFonts w:ascii="Arial" w:cs="Arial" w:eastAsia="Arial" w:hAnsi="Arial"/>
          <w:sz w:val="16"/>
          <w:szCs w:val="16"/>
          <w:color w:val="auto"/>
        </w:rPr>
        <w:t>The following table summarizes the employee severance and benefit costs and other charges recognized for these restructuring activities by each of our current reportable segments and our Corporate and Other organizations for the three and nine months ended September 30, 2012 (in millions):</w:t>
      </w:r>
    </w:p>
    <w:tbl>
      <w:tblPr>
        <w:tblLayout w:type="fixed"/>
        <w:tblInd w:w="460" w:type="dxa"/>
        <w:tblCellMar>
          <w:top w:w="0" w:type="dxa"/>
          <w:left w:w="0" w:type="dxa"/>
          <w:bottom w:w="0" w:type="dxa"/>
          <w:right w:w="0" w:type="dxa"/>
        </w:tblCellMar>
      </w:tblPr>
      <w:tr>
        <w:trPr>
          <w:trHeight w:val="150"/>
        </w:trPr>
        <w:tc>
          <w:tcPr>
            <w:tcW w:w="39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040" w:type="dxa"/>
            <w:vAlign w:val="bottom"/>
            <w:gridSpan w:val="3"/>
          </w:tcPr>
          <w:p>
            <w:pPr>
              <w:ind w:left="20"/>
              <w:spacing w:after="0" w:line="150" w:lineRule="exact"/>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3"/>
                <w:szCs w:val="13"/>
                <w:color w:val="auto"/>
              </w:rPr>
            </w:pPr>
          </w:p>
        </w:tc>
        <w:tc>
          <w:tcPr>
            <w:tcW w:w="1300" w:type="dxa"/>
            <w:vAlign w:val="bottom"/>
            <w:gridSpan w:val="3"/>
          </w:tcPr>
          <w:p>
            <w:pPr>
              <w:ind w:left="20"/>
              <w:spacing w:after="0" w:line="150" w:lineRule="exact"/>
              <w:rPr>
                <w:sz w:val="20"/>
                <w:szCs w:val="20"/>
                <w:color w:val="auto"/>
              </w:rPr>
            </w:pPr>
            <w:r>
              <w:rPr>
                <w:rFonts w:ascii="Arial" w:cs="Arial" w:eastAsia="Arial" w:hAnsi="Arial"/>
                <w:sz w:val="14"/>
                <w:szCs w:val="14"/>
                <w:b w:val="1"/>
                <w:bCs w:val="1"/>
                <w:color w:val="auto"/>
                <w:w w:val="96"/>
              </w:rPr>
              <w:t>Nine Months Ended</w:t>
            </w:r>
          </w:p>
        </w:tc>
      </w:tr>
      <w:tr>
        <w:trPr>
          <w:trHeight w:val="161"/>
        </w:trPr>
        <w:tc>
          <w:tcPr>
            <w:tcW w:w="39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4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2012</w:t>
            </w:r>
          </w:p>
        </w:tc>
        <w:tc>
          <w:tcPr>
            <w:tcW w:w="76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September 30, 2012</w:t>
            </w:r>
          </w:p>
        </w:tc>
      </w:tr>
      <w:tr>
        <w:trPr>
          <w:trHeight w:val="210"/>
        </w:trPr>
        <w:tc>
          <w:tcPr>
            <w:tcW w:w="3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Eastern</w:t>
            </w:r>
          </w:p>
        </w:tc>
        <w:tc>
          <w:tcPr>
            <w:tcW w:w="2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Midwest</w:t>
            </w:r>
          </w:p>
        </w:tc>
        <w:tc>
          <w:tcPr>
            <w:tcW w:w="2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Southern</w:t>
            </w:r>
          </w:p>
        </w:tc>
        <w:tc>
          <w:tcPr>
            <w:tcW w:w="2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Western</w:t>
            </w:r>
          </w:p>
        </w:tc>
        <w:tc>
          <w:tcPr>
            <w:tcW w:w="2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9</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2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Corporate and Other</w:t>
            </w:r>
          </w:p>
        </w:tc>
        <w:tc>
          <w:tcPr>
            <w:tcW w:w="24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44</w:t>
            </w:r>
          </w:p>
        </w:tc>
        <w:tc>
          <w:tcPr>
            <w:tcW w:w="13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2011 Restructurings </w:t>
      </w:r>
      <w:r>
        <w:rPr>
          <w:rFonts w:ascii="Arial" w:cs="Arial" w:eastAsia="Arial" w:hAnsi="Arial"/>
          <w:sz w:val="16"/>
          <w:szCs w:val="16"/>
          <w:color w:val="auto"/>
        </w:rPr>
        <w:t>— Beginning in July 2011, we took steps to streamline our organization as part of our cost savings programs. This reorganization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eliminated over 700 employee positions throughout the Company, including approximately 300 open positions. Additionally, subsequent to our acquisition of Oakleaf, we incurred charges in connection with restructuring that organization. During the year ended December 31, 2011, we recognized a total of $19 million of pre-tax restructuring charges, of which $18 million were related to employee severance and benefit costs. The remaining charges were primarily related to operating lease obligations for property that will no longer be utilized.</w:t>
      </w:r>
    </w:p>
    <w:p>
      <w:pPr>
        <w:spacing w:after="0" w:line="3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Through September 30, 2012, we have paid a total of approximately $29 million of the employee severance and benefit costs incurred as a result of these combined 2012 and 2011 restructuring efforts.</w:t>
      </w:r>
    </w:p>
    <w:p>
      <w:pPr>
        <w:spacing w:after="0" w:line="1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Asset Impairments and Unusual Items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(Income) expense from divestitures, asset impairments and unusual items </w:t>
      </w:r>
      <w:r>
        <w:rPr>
          <w:rFonts w:ascii="Arial" w:cs="Arial" w:eastAsia="Arial" w:hAnsi="Arial"/>
          <w:sz w:val="16"/>
          <w:szCs w:val="16"/>
          <w:color w:val="auto"/>
        </w:rPr>
        <w:t>— During the third quarter of 2012, we recognized impairment charges</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aggregating $21 million, relating in large part to (i) the impairment of a note receivable from an entity that we invested in that is now being liquidated (see “</w:t>
      </w:r>
      <w:r>
        <w:rPr>
          <w:rFonts w:ascii="Arial" w:cs="Arial" w:eastAsia="Arial" w:hAnsi="Arial"/>
          <w:sz w:val="16"/>
          <w:szCs w:val="16"/>
          <w:i w:val="1"/>
          <w:iCs w:val="1"/>
          <w:color w:val="auto"/>
        </w:rPr>
        <w:t>Equity in net losses of unconsolidated entities”</w:t>
      </w:r>
      <w:r>
        <w:rPr>
          <w:rFonts w:ascii="Arial" w:cs="Arial" w:eastAsia="Arial" w:hAnsi="Arial"/>
          <w:sz w:val="16"/>
          <w:szCs w:val="16"/>
          <w:color w:val="auto"/>
        </w:rPr>
        <w:t xml:space="preserve"> discussion below), (ii) the impairment of certain related assets due to our decision not to use or develop those assets and (iii) the impairment of an oil and gas well as a result of projected operating losses that caused us to write-down the carrying value of the oil and gas well to its estimated fair value. These charges are included in our “Other” operations in Note 8.</w:t>
      </w:r>
    </w:p>
    <w:p>
      <w:pPr>
        <w:spacing w:after="0" w:line="3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second quarter of 2012, we recognized impairment charges of $34 million, relating primarily to two facilities in our medical waste services business as a result of projected operating losses at each of these facilities. We wrote down the carrying values of the facilities’ operating permits and property, plant and equipment to their estimated fair values. Our medical waste services business is included in our “Other” operations in Note 8.</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third quarter of 2011, we recognized impairment charges relating to two facilities in our medical waste services business, in addition to the two facilities impaired in the second quarter and discussed above, as a result of the closure of one site and as a result of continuing operating losses at the other site. We wrote down the net book values of the sites to their estimated fair values.</w:t>
      </w:r>
    </w:p>
    <w:p>
      <w:pPr>
        <w:spacing w:after="0" w:line="59"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 xml:space="preserve">Equity in net losses of unconsolidated entities </w:t>
      </w:r>
      <w:r>
        <w:rPr>
          <w:rFonts w:ascii="Arial" w:cs="Arial" w:eastAsia="Arial" w:hAnsi="Arial"/>
          <w:sz w:val="18"/>
          <w:szCs w:val="18"/>
          <w:color w:val="auto"/>
        </w:rPr>
        <w:t>— During the third quarter of 2012, we recognized a charge of $10 million related to a payment we made</w:t>
      </w:r>
      <w:r>
        <w:rPr>
          <w:rFonts w:ascii="Arial" w:cs="Arial" w:eastAsia="Arial" w:hAnsi="Arial"/>
          <w:sz w:val="18"/>
          <w:szCs w:val="18"/>
          <w:i w:val="1"/>
          <w:iCs w:val="1"/>
          <w:color w:val="auto"/>
        </w:rPr>
        <w:t xml:space="preserve"> </w:t>
      </w:r>
      <w:r>
        <w:rPr>
          <w:rFonts w:ascii="Arial" w:cs="Arial" w:eastAsia="Arial" w:hAnsi="Arial"/>
          <w:sz w:val="18"/>
          <w:szCs w:val="18"/>
          <w:color w:val="auto"/>
        </w:rPr>
        <w:t>under a guarantee on behalf of an unconsolidated entity accounted for under the equity method.</w:t>
      </w:r>
    </w:p>
    <w:p>
      <w:pPr>
        <w:spacing w:after="0" w:line="5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 During the third quarter of 2012, we recognized an impairment charge of $14 million relating to an other-than-temporary</w:t>
      </w:r>
      <w:r>
        <w:rPr>
          <w:rFonts w:ascii="Arial" w:cs="Arial" w:eastAsia="Arial" w:hAnsi="Arial"/>
          <w:sz w:val="18"/>
          <w:szCs w:val="18"/>
          <w:i w:val="1"/>
          <w:iCs w:val="1"/>
          <w:color w:val="auto"/>
        </w:rPr>
        <w:t xml:space="preserve"> </w:t>
      </w:r>
      <w:r>
        <w:rPr>
          <w:rFonts w:ascii="Arial" w:cs="Arial" w:eastAsia="Arial" w:hAnsi="Arial"/>
          <w:sz w:val="18"/>
          <w:szCs w:val="18"/>
          <w:color w:val="auto"/>
        </w:rPr>
        <w:t>decline in the value of an investment accounted for under the cost method. We wrote down the carrying value of our investment to its fair value based on other third-party investors’ recent transactions in these securities, which are considered to be the best evidence of fair value currently available. This charge is recorded in “Other, net” in our Condensed Consolidated Statement of Operations.</w:t>
      </w:r>
    </w:p>
    <w:p>
      <w:pPr>
        <w:spacing w:after="0" w:line="13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Fair Value Measurements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assets and liabilities that are measured at fair value on a recurring basis include the following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Fair Value Measurements at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September 30, 2012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Quoted</w:t>
            </w:r>
          </w:p>
        </w:tc>
        <w:tc>
          <w:tcPr>
            <w:tcW w:w="760" w:type="dxa"/>
            <w:vAlign w:val="bottom"/>
          </w:tcPr>
          <w:p>
            <w:pPr>
              <w:spacing w:after="0"/>
              <w:rPr>
                <w:sz w:val="11"/>
                <w:szCs w:val="11"/>
                <w:color w:val="auto"/>
              </w:rPr>
            </w:pPr>
          </w:p>
        </w:tc>
        <w:tc>
          <w:tcPr>
            <w:tcW w:w="13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80"/>
        </w:trPr>
        <w:tc>
          <w:tcPr>
            <w:tcW w:w="38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89"/>
              </w:rPr>
              <w:t>Prices in</w:t>
            </w: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gridSpan w:val="2"/>
            <w:vMerge w:val="restart"/>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38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Unobservable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5"/>
              </w:rPr>
              <w:t>Active</w:t>
            </w:r>
          </w:p>
        </w:tc>
        <w:tc>
          <w:tcPr>
            <w:tcW w:w="76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Markets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Total</w:t>
            </w:r>
          </w:p>
        </w:tc>
        <w:tc>
          <w:tcPr>
            <w:tcW w:w="1320" w:type="dxa"/>
            <w:vAlign w:val="bottom"/>
            <w:gridSpan w:val="3"/>
          </w:tcPr>
          <w:p>
            <w:pPr>
              <w:ind w:left="780"/>
              <w:spacing w:after="0"/>
              <w:rPr>
                <w:sz w:val="20"/>
                <w:szCs w:val="20"/>
                <w:color w:val="auto"/>
              </w:rPr>
            </w:pPr>
            <w:r>
              <w:rPr>
                <w:rFonts w:ascii="Arial" w:cs="Arial" w:eastAsia="Arial" w:hAnsi="Arial"/>
                <w:sz w:val="14"/>
                <w:szCs w:val="14"/>
                <w:b w:val="1"/>
                <w:bCs w:val="1"/>
                <w:color w:val="auto"/>
                <w:w w:val="91"/>
              </w:rPr>
              <w:t>(Level 1)</w:t>
            </w:r>
          </w:p>
        </w:tc>
        <w:tc>
          <w:tcPr>
            <w:tcW w:w="760" w:type="dxa"/>
            <w:vAlign w:val="bottom"/>
          </w:tcPr>
          <w:p>
            <w:pPr>
              <w:spacing w:after="0"/>
              <w:rPr>
                <w:sz w:val="14"/>
                <w:szCs w:val="14"/>
                <w:color w:val="auto"/>
              </w:rPr>
            </w:pPr>
          </w:p>
        </w:tc>
        <w:tc>
          <w:tcPr>
            <w:tcW w:w="13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Cash equivalents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270</w:t>
            </w:r>
          </w:p>
        </w:tc>
        <w:tc>
          <w:tcPr>
            <w:tcW w:w="860" w:type="dxa"/>
            <w:vAlign w:val="bottom"/>
            <w:gridSpan w:val="2"/>
          </w:tcPr>
          <w:p>
            <w:pPr>
              <w:ind w:left="78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270</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164</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580"/>
              <w:spacing w:after="0"/>
              <w:rPr>
                <w:sz w:val="20"/>
                <w:szCs w:val="20"/>
                <w:color w:val="auto"/>
              </w:rPr>
            </w:pPr>
            <w:r>
              <w:rPr>
                <w:rFonts w:ascii="Arial" w:cs="Arial" w:eastAsia="Arial" w:hAnsi="Arial"/>
                <w:sz w:val="16"/>
                <w:szCs w:val="16"/>
                <w:color w:val="auto"/>
                <w:w w:val="78"/>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Electricity commodity derivatives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435</w:t>
            </w:r>
          </w:p>
        </w:tc>
        <w:tc>
          <w:tcPr>
            <w:tcW w:w="86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580"/>
              <w:spacing w:after="0"/>
              <w:rPr>
                <w:sz w:val="20"/>
                <w:szCs w:val="20"/>
                <w:color w:val="auto"/>
              </w:rPr>
            </w:pPr>
            <w:r>
              <w:rPr>
                <w:rFonts w:ascii="Arial" w:cs="Arial" w:eastAsia="Arial" w:hAnsi="Arial"/>
                <w:sz w:val="16"/>
                <w:szCs w:val="16"/>
                <w:color w:val="auto"/>
                <w:w w:val="78"/>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8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Foreign exchange derivatives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derivatives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80" w:type="dxa"/>
            <w:vAlign w:val="bottom"/>
            <w:vMerge w:val="continue"/>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860" w:type="dxa"/>
            <w:vAlign w:val="bottom"/>
            <w:gridSpan w:val="2"/>
          </w:tcPr>
          <w:p>
            <w:pPr>
              <w:ind w:left="78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72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0" w:type="dxa"/>
            <w:vAlign w:val="bottom"/>
            <w:vMerge w:val="restart"/>
          </w:tcPr>
          <w:p>
            <w:pPr>
              <w:jc w:val="right"/>
              <w:ind w:right="252"/>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Fair Value Measurements at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December 31, 2011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Quoted</w:t>
            </w:r>
          </w:p>
        </w:tc>
        <w:tc>
          <w:tcPr>
            <w:tcW w:w="760" w:type="dxa"/>
            <w:vAlign w:val="bottom"/>
          </w:tcPr>
          <w:p>
            <w:pPr>
              <w:spacing w:after="0"/>
              <w:rPr>
                <w:sz w:val="11"/>
                <w:szCs w:val="11"/>
                <w:color w:val="auto"/>
              </w:rPr>
            </w:pPr>
          </w:p>
        </w:tc>
        <w:tc>
          <w:tcPr>
            <w:tcW w:w="13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80"/>
        </w:trPr>
        <w:tc>
          <w:tcPr>
            <w:tcW w:w="5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89"/>
              </w:rPr>
              <w:t>Prices in</w:t>
            </w: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gridSpan w:val="2"/>
            <w:vMerge w:val="restart"/>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5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Unobservable</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5"/>
              </w:rPr>
              <w:t>Active</w:t>
            </w:r>
          </w:p>
        </w:tc>
        <w:tc>
          <w:tcPr>
            <w:tcW w:w="76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Markets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568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Total</w:t>
            </w:r>
          </w:p>
        </w:tc>
        <w:tc>
          <w:tcPr>
            <w:tcW w:w="1320" w:type="dxa"/>
            <w:vAlign w:val="bottom"/>
            <w:gridSpan w:val="3"/>
          </w:tcPr>
          <w:p>
            <w:pPr>
              <w:ind w:left="780"/>
              <w:spacing w:after="0"/>
              <w:rPr>
                <w:sz w:val="20"/>
                <w:szCs w:val="20"/>
                <w:color w:val="auto"/>
              </w:rPr>
            </w:pPr>
            <w:r>
              <w:rPr>
                <w:rFonts w:ascii="Arial" w:cs="Arial" w:eastAsia="Arial" w:hAnsi="Arial"/>
                <w:sz w:val="14"/>
                <w:szCs w:val="14"/>
                <w:b w:val="1"/>
                <w:bCs w:val="1"/>
                <w:color w:val="auto"/>
                <w:w w:val="91"/>
              </w:rPr>
              <w:t>(Level 1)</w:t>
            </w:r>
          </w:p>
        </w:tc>
        <w:tc>
          <w:tcPr>
            <w:tcW w:w="760" w:type="dxa"/>
            <w:vAlign w:val="bottom"/>
          </w:tcPr>
          <w:p>
            <w:pPr>
              <w:spacing w:after="0"/>
              <w:rPr>
                <w:sz w:val="14"/>
                <w:szCs w:val="14"/>
                <w:color w:val="auto"/>
              </w:rPr>
            </w:pPr>
          </w:p>
        </w:tc>
        <w:tc>
          <w:tcPr>
            <w:tcW w:w="13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96"/>
        </w:trPr>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20"/>
              <w:spacing w:after="0"/>
              <w:rPr>
                <w:sz w:val="20"/>
                <w:szCs w:val="20"/>
                <w:color w:val="auto"/>
              </w:rPr>
            </w:pPr>
            <w:r>
              <w:rPr>
                <w:rFonts w:ascii="Arial" w:cs="Arial" w:eastAsia="Arial" w:hAnsi="Arial"/>
                <w:sz w:val="18"/>
                <w:szCs w:val="18"/>
                <w:color w:val="auto"/>
              </w:rPr>
              <w:t>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120</w:t>
            </w:r>
          </w:p>
        </w:tc>
        <w:tc>
          <w:tcPr>
            <w:tcW w:w="860" w:type="dxa"/>
            <w:vAlign w:val="bottom"/>
            <w:gridSpan w:val="2"/>
          </w:tcPr>
          <w:p>
            <w:pPr>
              <w:ind w:left="78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120</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179</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580"/>
              <w:spacing w:after="0"/>
              <w:rPr>
                <w:sz w:val="20"/>
                <w:szCs w:val="20"/>
                <w:color w:val="auto"/>
              </w:rPr>
            </w:pPr>
            <w:r>
              <w:rPr>
                <w:rFonts w:ascii="Arial" w:cs="Arial" w:eastAsia="Arial" w:hAnsi="Arial"/>
                <w:sz w:val="16"/>
                <w:szCs w:val="16"/>
                <w:color w:val="auto"/>
                <w:w w:val="78"/>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20"/>
              <w:spacing w:after="0"/>
              <w:rPr>
                <w:sz w:val="20"/>
                <w:szCs w:val="20"/>
                <w:color w:val="auto"/>
              </w:rPr>
            </w:pPr>
            <w:r>
              <w:rPr>
                <w:rFonts w:ascii="Arial" w:cs="Arial" w:eastAsia="Arial" w:hAnsi="Arial"/>
                <w:sz w:val="18"/>
                <w:szCs w:val="18"/>
                <w:color w:val="auto"/>
              </w:rPr>
              <w:t>Interest rate derivatives</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73</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377</w:t>
            </w:r>
          </w:p>
        </w:tc>
        <w:tc>
          <w:tcPr>
            <w:tcW w:w="860" w:type="dxa"/>
            <w:vAlign w:val="bottom"/>
            <w:gridSpan w:val="2"/>
          </w:tcPr>
          <w:p>
            <w:pPr>
              <w:ind w:left="78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274</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78</w:t>
            </w:r>
          </w:p>
        </w:tc>
        <w:tc>
          <w:tcPr>
            <w:tcW w:w="72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58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20"/>
              <w:spacing w:after="0"/>
              <w:rPr>
                <w:sz w:val="20"/>
                <w:szCs w:val="20"/>
                <w:color w:val="auto"/>
              </w:rPr>
            </w:pPr>
            <w:r>
              <w:rPr>
                <w:rFonts w:ascii="Arial" w:cs="Arial" w:eastAsia="Arial" w:hAnsi="Arial"/>
                <w:sz w:val="18"/>
                <w:szCs w:val="18"/>
                <w:color w:val="auto"/>
              </w:rPr>
              <w:t>Interest rate derivatives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74</w:t>
            </w:r>
          </w:p>
        </w:tc>
        <w:tc>
          <w:tcPr>
            <w:tcW w:w="860" w:type="dxa"/>
            <w:vAlign w:val="bottom"/>
            <w:gridSpan w:val="2"/>
          </w:tcPr>
          <w:p>
            <w:pPr>
              <w:ind w:left="78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7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derivatives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76</w:t>
            </w:r>
          </w:p>
        </w:tc>
        <w:tc>
          <w:tcPr>
            <w:tcW w:w="860" w:type="dxa"/>
            <w:vAlign w:val="bottom"/>
            <w:gridSpan w:val="2"/>
          </w:tcPr>
          <w:p>
            <w:pPr>
              <w:ind w:left="78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76</w:t>
            </w:r>
          </w:p>
        </w:tc>
        <w:tc>
          <w:tcPr>
            <w:tcW w:w="72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i w:val="1"/>
          <w:iCs w:val="1"/>
          <w:color w:val="auto"/>
        </w:rPr>
        <w:t xml:space="preserve">Fair Value of Available-for-sale Securities </w:t>
      </w:r>
      <w:r>
        <w:rPr>
          <w:rFonts w:ascii="Arial" w:cs="Arial" w:eastAsia="Arial" w:hAnsi="Arial"/>
          <w:sz w:val="18"/>
          <w:szCs w:val="18"/>
          <w:color w:val="auto"/>
        </w:rPr>
        <w:t>— The available-for-sale securities measured using Level 1 inputs are primarily included in long-term “Other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our Condensed Consolidated Balance Sheets. The fair value of available-for-sale securities measured using Level 3 inputs consists of redeemable preferred stock that was acquired in November 2011 and is included in “Investments in unconsolidated entities” in our Condensed Consolidated Balance Sheets. The redeemable preferred stock is recorded at fair value based on other third-party investors’ recent or pending transactions in these securities, which are considered to be the best evidence of fair value currently available. When this evidence is not available, we use other valuation techniques as appropriate and available. These valuation methodologies may include transactions in similar instruments, discounted cash flow techniques, third-party appraisals or industry multiples and public comparables.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At September 30, 2012, the carrying value of our debt was approximately $10.0 billion compared with $9.8 billion at December 31, 2011. The carrying value of our debt includes adjustments associated with fair value hedge accounting related to our interest rate swaps as discussed in Note 4.</w:t>
      </w:r>
    </w:p>
    <w:p>
      <w:pPr>
        <w:spacing w:after="0" w:line="4"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estimated fair value of our debt was approximately $11.5 billion at September 30, 2012 and approximately $10.8 billion at December 31, 2011. The estimated fair value of our senior notes is based on quoted market prices. The carrying value of remarketable debt and borrowings under our revolving credit facilities approximates fair value due to the short-term nature of the interest rates. The fair value of our other debt is estimated using discounted cash flow analysis, based on current market rates for similar types of instruments. The increase in the fair value of our debt when comparing September 30, 2012 with December 31, 2011 is attributable to net borrowings during 2012, increases in market prices for corporate debt securities and decreases in current market rates on fixed-rate tax-exempt bonds.</w:t>
      </w:r>
    </w:p>
    <w:p>
      <w:pPr>
        <w:spacing w:after="0" w:line="6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Level 2 inputs of the fair value hierarchy available as of September 30, 2012 and December 31, 2011. These amounts have not been revalued since those dates, and current estimates of fair value could differ significantly from the amounts presented.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Variable Interest Entities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Following is a description of our financial interests in variable interest entities that we consider significant, including (i) those for which we have determined that we are the primary beneficiary of the entity and, therefore, have consolidated the entities into our financial statements; and (ii) those that represent a significant interest in an unconsolidated entity.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9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i w:val="1"/>
          <w:iCs w:val="1"/>
          <w:color w:val="auto"/>
        </w:rPr>
        <w:t xml:space="preserve">Waste-to-Energy LLCs </w:t>
      </w:r>
      <w:r>
        <w:rPr>
          <w:rFonts w:ascii="Arial" w:cs="Arial" w:eastAsia="Arial" w:hAnsi="Arial"/>
          <w:sz w:val="18"/>
          <w:szCs w:val="18"/>
          <w:color w:val="auto"/>
        </w:rPr>
        <w:t>— In June 2000, two limited liability companies were established to purchase interests in existing leveraged lease financings at</w:t>
      </w:r>
      <w:r>
        <w:rPr>
          <w:rFonts w:ascii="Arial" w:cs="Arial" w:eastAsia="Arial" w:hAnsi="Arial"/>
          <w:sz w:val="18"/>
          <w:szCs w:val="18"/>
          <w:i w:val="1"/>
          <w:iCs w:val="1"/>
          <w:color w:val="auto"/>
        </w:rPr>
        <w:t xml:space="preserve"> </w:t>
      </w:r>
      <w:r>
        <w:rPr>
          <w:rFonts w:ascii="Arial" w:cs="Arial" w:eastAsia="Arial" w:hAnsi="Arial"/>
          <w:sz w:val="18"/>
          <w:szCs w:val="18"/>
          <w:color w:val="auto"/>
        </w:rPr>
        <w:t>three waste-to-energy facilities that we lease, operate and maintain. We own a 0.5% interest in one of the LLCs (“LLC I”) and a 0.25% interest in the second LLC (“LLC II”). John Hancock Life Insurance Company (“Hancock”) owns 99.5% of LLC I and 99.75% of LLC II is owned by LLC I and the CIT Group (“CIT”). In 2000, Hancock and CIT made an initial investment of $167 million in the LLCs, which was used to purchase the three waste-to-energy facilities and assume the seller’s indebtedness. Under the LLC agreements, the LLCs shall be dissolved upon the occurrence of any of the following events: (i) a written decision of all members of the LLCs; (ii) December 31, 2063; (iii) a court’s dissolution of the LLCs; or (iv) the LLCs ceasing to own any interest in the waste-to-energy facilities.</w:t>
      </w:r>
    </w:p>
    <w:p>
      <w:pPr>
        <w:spacing w:after="0" w:line="6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Income, losses and cash flows of the LLCs are allocated to the members based on their initial capital account balances until Hancock and CIT achieve targeted returns; thereafter, we will receive 80% of the earnings of each of the LLCs and Hancock and CIT will be allocated the remaining 20% proportionate to their respective equity interests. All capital allocations made through September 30, 2012 have been based on initial capital account balances as the target returns have not yet been achieved.</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Our obligations associated with our interests in the LLCs are primarily related to the lease of the facilities. In addition to our minimum lease payment obligations, we are required to make cash payments to the LLCs for differences between fair market rents and our minimum lease payments. These payments are subject to adjustment based on factors that include the fair market value of rents for the facilities and lease payments made through the re-measurement dates. In addition, we may also be required under certain circumstances to make capital contributions to the LLCs based on differences between the fair market value of the facilities and defined termination values as provided for in the underlying lease agreements, although we believe the likelihood of the occurrence of these circumstances is remote.</w:t>
      </w:r>
    </w:p>
    <w:p>
      <w:pPr>
        <w:spacing w:after="0" w:line="6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determined that we are the primary beneficiary of the LLCs and consolidate these entities in our Consolidated Financial Statements because (i) all of the equity owners of the LLCs are considered related parties for purposes of applying this accounting guidance; (ii) the equity owners share power over the significant activities of the LLCs; and (iii) we are the entity within the related party group whose activities are most closely associated with the LLCs.</w:t>
      </w:r>
    </w:p>
    <w:p>
      <w:pPr>
        <w:spacing w:after="0" w:line="2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of September 30, 2012 and December 31, 2011, our Condensed Consolidated Balance Sheets included $299 million and $308 million, respectively, of net property and equipment associated with the LLCs’ waste-to-energy facilities and $250 million and $246 million, respectively, in noncontrolling interests associated with Hancock’s and CIT’s interests in the LLCs. As of September 30, 2012 and December 31, 2011, all debt obligations of the LLCs had been paid in full and, therefore, the LLCs had no liabilities. We recognized reductions in earnings of $9 million and $34 million for the three and nine months ended September 30, 2012 respectively, and $13 million and $38 million for the three and nine months ended September 30, 2011, respectively, for Hancock’s and CIT’s noncontrolling interests in the LLCs’ earnings. The LLCs’ earnings relate to the rental income generated from leasing the facilities to our subsidiaries, reduced by depreciation expense. The LLCs’ rental income is eliminated in WM’s consolidation.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Unconsolidated Variable Interest Entities</w:t>
      </w:r>
    </w:p>
    <w:p>
      <w:pPr>
        <w:spacing w:after="0" w:line="9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i w:val="1"/>
          <w:iCs w:val="1"/>
          <w:color w:val="auto"/>
        </w:rPr>
        <w:t xml:space="preserve">Investment in U.K. Waste-to-Energy and Recycling Entity — </w:t>
      </w:r>
      <w:r>
        <w:rPr>
          <w:rFonts w:ascii="Arial" w:cs="Arial" w:eastAsia="Arial" w:hAnsi="Arial"/>
          <w:sz w:val="16"/>
          <w:szCs w:val="16"/>
          <w:color w:val="auto"/>
        </w:rPr>
        <w:t>In the first quarter of 2012, we established a U.K. limited liability company (the “Ltd.”) along</w:t>
      </w:r>
      <w:r>
        <w:rPr>
          <w:rFonts w:ascii="Arial" w:cs="Arial" w:eastAsia="Arial" w:hAnsi="Arial"/>
          <w:sz w:val="16"/>
          <w:szCs w:val="16"/>
          <w:i w:val="1"/>
          <w:iCs w:val="1"/>
          <w:color w:val="auto"/>
        </w:rPr>
        <w:t xml:space="preserve"> </w:t>
      </w:r>
      <w:r>
        <w:rPr>
          <w:rFonts w:ascii="Arial" w:cs="Arial" w:eastAsia="Arial" w:hAnsi="Arial"/>
          <w:sz w:val="16"/>
          <w:szCs w:val="16"/>
          <w:color w:val="auto"/>
        </w:rPr>
        <w:t>with our joint venture partner, a commercial entity in the waste management industry, to develop, construct, operate and maintain a waste-to-energy and recycling facility in England. We own a 50% interest in this joint venture. The total cost of constructing this facility is expected to be £200 million, or $323 million based on the exchange rate as of September 30, 2012. The Ltd. will be funded primarily through loans from the joint venture partners and loans under the Ltd.’s credit facility agreements with third-party financial institutions. The funds loaned under the credit facility agreements will be used for the development and construction of the facility. We are committed to provide up to £57 million, or $92 million based on the exchange rate as of September 30, 2012, of funding to the Ltd. Our actual commitment may be more or less depending on the actual cost of the facility. Through September 30, 2012, we had funded approximately £7 million, or $11 million, through loans and less than $1 million through equity contributions. These amounts are included in our Condensed Consolidated Balance Sheet as long-term “Other assets” and “Investments in unconsolidated entities,” respectively. In addition to the funding commitments described above, the Ltd. has entered into certain foreign currency and interest rate derivatives at the direction of the authority. The impacts of gains or losses incurred on these derivatives will ultimately be remitted to or recoverable from the authority under the terms of the project, and accordingly, are not reflected in our equity in net losses of unconsolidated entities. We also have guaranteed the performance of certain management services for the project for which our maximum exposure under the guarantee is not material.</w:t>
      </w:r>
    </w:p>
    <w:p>
      <w:pPr>
        <w:spacing w:after="0" w:line="4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addition, a wholly-owned subsidiary of the Company will be responsible for constructing the waste-to-energy facility for the Ltd. under a fixed-price construction contract. Once the facility is constructed, a majority-owned subsidiary of the Company will be responsible for operating and maintaining the facility for the Ltd. under a substantially fixed-price operating and maintenance contract. Under the operating and maintenance contract, we have guaranteed our ability to operate this facility at certain performance levels that we believe are within our control to achieve. We also will be jointly responsible, along with our Ltd. joint venture partner, for the performance of sales and marketing services for the Ltd. through a 50%-owned and unconsolidated entity. The fixed-price components of the above-mentioned contracts were established based on estimates of expected construction, operation and maintenance costs. However, we are subject to variation in our expected profits or potential losses if the actual costs differ from the costs established in the contracts. Our maximum exposure to loss under these contracts cannot be quantified.</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determined that we are not the primary beneficiary of the Ltd. as all decision-making responsibility is shared jointly with our joint venture partner. As such, we do not have the power to individually direct the entity’s activities. Accordingly, we account for this investment under the equity method of accounting and do not consolidate this entity.</w:t>
      </w:r>
    </w:p>
    <w:p>
      <w:pPr>
        <w:spacing w:after="0" w:line="59"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 xml:space="preserve">Investment in Refined Coal Facility </w:t>
      </w:r>
      <w:r>
        <w:rPr>
          <w:rFonts w:ascii="Arial" w:cs="Arial" w:eastAsia="Arial" w:hAnsi="Arial"/>
          <w:sz w:val="16"/>
          <w:szCs w:val="16"/>
          <w:color w:val="auto"/>
        </w:rPr>
        <w:t>— In January 2011, we acquired a noncontrolling interest in a limited liability company, which was established to</w:t>
      </w:r>
      <w:r>
        <w:rPr>
          <w:rFonts w:ascii="Arial" w:cs="Arial" w:eastAsia="Arial" w:hAnsi="Arial"/>
          <w:sz w:val="16"/>
          <w:szCs w:val="16"/>
          <w:i w:val="1"/>
          <w:iCs w:val="1"/>
          <w:color w:val="auto"/>
        </w:rPr>
        <w:t xml:space="preserve"> </w:t>
      </w:r>
      <w:r>
        <w:rPr>
          <w:rFonts w:ascii="Arial" w:cs="Arial" w:eastAsia="Arial" w:hAnsi="Arial"/>
          <w:sz w:val="16"/>
          <w:szCs w:val="16"/>
          <w:color w:val="auto"/>
        </w:rPr>
        <w:t>invest in and manage a refined coal facility. Along with the other equity investor, we support the operations of the entity in exchange for a pro-rata share of the tax credits it generates. Our initial consideration for this investment consisted of a cash payment of $48 million. As of September 30, 2012 and December 31, 2011, our investment balance was $27 million and $35 million, respectively, representing our current maximum pre-tax exposure to loss. Under the terms and conditions of the transaction, we do not believe that we have any material exposure to loss. Future contributions will commence once certain levels of tax credits have been generated and will continue through the expiration of the tax credits under Section 45 of the Internal Revenue Code, which occurs at the end of 2019. We are only obligated to make future contributions to the extent tax credits are generated.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Investment in Federal Low-income Housing Tax Credits </w:t>
      </w:r>
      <w:r>
        <w:rPr>
          <w:rFonts w:ascii="Arial" w:cs="Arial" w:eastAsia="Arial" w:hAnsi="Arial"/>
          <w:sz w:val="16"/>
          <w:szCs w:val="16"/>
          <w:color w:val="auto"/>
        </w:rPr>
        <w:t>— In April 2010, we acquired a noncontrolling interest in a limited liability company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to invest in and manage low-income housing properties. We support the operations of the entity in exchange for a pro-rata share of the tax credits it generates. Our target return on the investment is guaranteed and, therefore, we do not believe that we have any material exposure to loss. Our consideration for this investment totaled $221 million, which was comprised of a $215 million note payable and an initial cash payment of $6 million. As of September 30, 2012 and December 31, 2011, our investment balance was $160 million and $178 million, respectively, and our debt balance was $158 million and $176 million, respectively.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3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Trusts for Final Capping, Closure, Post-Closure or Environmental Remediation Obligations </w:t>
      </w:r>
      <w:r>
        <w:rPr>
          <w:rFonts w:ascii="Arial" w:cs="Arial" w:eastAsia="Arial" w:hAnsi="Arial"/>
          <w:sz w:val="16"/>
          <w:szCs w:val="16"/>
          <w:color w:val="auto"/>
        </w:rPr>
        <w:t>— We have significant financial interests in trust funds that</w:t>
      </w:r>
      <w:r>
        <w:rPr>
          <w:rFonts w:ascii="Arial" w:cs="Arial" w:eastAsia="Arial" w:hAnsi="Arial"/>
          <w:sz w:val="16"/>
          <w:szCs w:val="16"/>
          <w:i w:val="1"/>
          <w:iCs w:val="1"/>
          <w:color w:val="auto"/>
        </w:rPr>
        <w:t xml:space="preserve"> </w:t>
      </w:r>
      <w:r>
        <w:rPr>
          <w:rFonts w:ascii="Arial" w:cs="Arial" w:eastAsia="Arial" w:hAnsi="Arial"/>
          <w:sz w:val="16"/>
          <w:szCs w:val="16"/>
          <w:color w:val="auto"/>
        </w:rPr>
        <w:t>were created to settle certain of our final capping, closure, post-closure or environmental remediation obligations. Generally, we are the sole beneficiary of these restricted balances; however, certain of the funds have been established for the benefit of both the Company and the host community in which we operate. We have determined that these trust funds are variable interest entities; however, we are not the primary beneficiary of these entities because either (i) we do not have the power to direct the significant activities of the trusts or (ii) power over the trusts’ significant activities is shared.</w:t>
      </w:r>
    </w:p>
    <w:p>
      <w:pPr>
        <w:spacing w:after="0" w:line="3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account for the trusts for which we are the sole beneficiary as long-term “Other assets” in our Condensed Consolidated Balance Sheet. These trusts had a fair value of $121 million at September 30, 2012 and $123 million at December 31, 2011. Our interests in the trusts that have been established for the benefit of both the Company and the host community in which we operate are accounted for as investments in unconsolidated entities and receivables. These amounts are recorded in “Other receivables,” “Investments in unconsolidated entities” and long-term “Other assets” in our Condensed Consolidated Balance Sheet, as appropriate. Our investments and receivables related to these trusts had an aggregate carrying value of $111 million as of September 30, 2012 and $107 million as of December 31, 2011. We reflect our interests in the unrealized gains and losses on available-for-sale securities held by these trusts as a component of “Accumulated other comprehensive income.”</w:t>
      </w:r>
    </w:p>
    <w:p>
      <w:pPr>
        <w:spacing w:after="0" w:line="3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the party with primary responsibility to fund the related final capping, closure, post-closure or environmental remediation activities, we are exposed to risk of loss as a result of potential changes in the fair value of the assets of the trust. The fair value of trust assets can fluctuate due to (i) changes in the market value of the investments held by the trusts and (ii) credit risk associated with trust receivables. Although we are exposed to changes in the fair value of the trust assets, we currently expect the trust funds to continue to meet the statutory requirements for which they were established.</w:t>
      </w:r>
    </w:p>
    <w:p>
      <w:pPr>
        <w:spacing w:after="0" w:line="1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Condensed Consolidating Financial Statements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6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WM</w:t>
            </w:r>
          </w:p>
        </w:tc>
        <w:tc>
          <w:tcPr>
            <w:tcW w:w="6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Holdings</w:t>
            </w: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4"/>
              </w:rPr>
              <w:t>Subsidiaries</w:t>
            </w:r>
          </w:p>
        </w:tc>
        <w:tc>
          <w:tcPr>
            <w:tcW w:w="6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Consolidated</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2,261</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12,518</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 affiliates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12,412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16,417</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(32,275)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12,729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16,429</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26,190</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(32,275)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960" w:type="dxa"/>
            <w:vAlign w:val="bottom"/>
          </w:tcPr>
          <w:p>
            <w:pPr>
              <w:spacing w:after="0"/>
              <w:rPr>
                <w:sz w:val="24"/>
                <w:szCs w:val="24"/>
                <w:color w:val="auto"/>
              </w:rPr>
            </w:pPr>
          </w:p>
        </w:tc>
        <w:tc>
          <w:tcPr>
            <w:tcW w:w="2900" w:type="dxa"/>
            <w:vAlign w:val="bottom"/>
            <w:gridSpan w:val="6"/>
          </w:tcPr>
          <w:p>
            <w:pPr>
              <w:jc w:val="right"/>
              <w:ind w:right="53"/>
              <w:spacing w:after="0"/>
              <w:rPr>
                <w:sz w:val="20"/>
                <w:szCs w:val="20"/>
                <w:color w:val="auto"/>
              </w:rPr>
            </w:pPr>
            <w:r>
              <w:rPr>
                <w:rFonts w:ascii="Arial" w:cs="Arial" w:eastAsia="Arial" w:hAnsi="Arial"/>
                <w:sz w:val="18"/>
                <w:szCs w:val="18"/>
                <w:b w:val="1"/>
                <w:bCs w:val="1"/>
                <w:color w:val="auto"/>
              </w:rPr>
              <w:t>LIABILITIES AND EQUITY</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401</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425</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476</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2,706</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less current portion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4,066</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Equity:</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Stockholders’ equity</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15,975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(32,275)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Noncontrolling interests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15,975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(32,275)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660"/>
              <w:spacing w:after="0"/>
              <w:rPr>
                <w:sz w:val="20"/>
                <w:szCs w:val="20"/>
                <w:color w:val="auto"/>
              </w:rPr>
            </w:pPr>
            <w:r>
              <w:rPr>
                <w:rFonts w:ascii="Arial" w:cs="Arial" w:eastAsia="Arial" w:hAnsi="Arial"/>
                <w:sz w:val="18"/>
                <w:szCs w:val="18"/>
                <w:color w:val="auto"/>
              </w:rPr>
              <w:t>Total liabilities and equity</w:t>
            </w:r>
          </w:p>
        </w:tc>
        <w:tc>
          <w:tcPr>
            <w:tcW w:w="10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12,729</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16,429</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26,190</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(32,275)</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23,073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6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WM</w:t>
            </w:r>
          </w:p>
        </w:tc>
        <w:tc>
          <w:tcPr>
            <w:tcW w:w="6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Holdings</w:t>
            </w: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4"/>
              </w:rPr>
              <w:t>Subsidiaries</w:t>
            </w:r>
          </w:p>
        </w:tc>
        <w:tc>
          <w:tcPr>
            <w:tcW w:w="6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Consolidated</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12,242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12,242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 affiliates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12,006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14,905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(29,944)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7,816</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12,251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14,917</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25,345</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(29,944)</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960" w:type="dxa"/>
            <w:vAlign w:val="bottom"/>
          </w:tcPr>
          <w:p>
            <w:pPr>
              <w:spacing w:after="0"/>
              <w:rPr>
                <w:sz w:val="24"/>
                <w:szCs w:val="24"/>
                <w:color w:val="auto"/>
              </w:rPr>
            </w:pPr>
          </w:p>
        </w:tc>
        <w:tc>
          <w:tcPr>
            <w:tcW w:w="2900" w:type="dxa"/>
            <w:vAlign w:val="bottom"/>
            <w:gridSpan w:val="6"/>
          </w:tcPr>
          <w:p>
            <w:pPr>
              <w:jc w:val="right"/>
              <w:ind w:right="53"/>
              <w:spacing w:after="0"/>
              <w:rPr>
                <w:sz w:val="20"/>
                <w:szCs w:val="20"/>
                <w:color w:val="auto"/>
              </w:rPr>
            </w:pPr>
            <w:r>
              <w:rPr>
                <w:rFonts w:ascii="Arial" w:cs="Arial" w:eastAsia="Arial" w:hAnsi="Arial"/>
                <w:sz w:val="18"/>
                <w:szCs w:val="18"/>
                <w:b w:val="1"/>
                <w:bCs w:val="1"/>
                <w:color w:val="auto"/>
              </w:rPr>
              <w:t>LIABILITIES AND EQUITY</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298</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333</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422</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2,633</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less current portion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Equity:</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14,455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(29,944)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14,455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(29,944)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660"/>
              <w:spacing w:after="0"/>
              <w:rPr>
                <w:sz w:val="20"/>
                <w:szCs w:val="20"/>
                <w:color w:val="auto"/>
              </w:rPr>
            </w:pPr>
            <w:r>
              <w:rPr>
                <w:rFonts w:ascii="Arial" w:cs="Arial" w:eastAsia="Arial" w:hAnsi="Arial"/>
                <w:sz w:val="18"/>
                <w:szCs w:val="18"/>
                <w:color w:val="auto"/>
              </w:rPr>
              <w:t>Total liabilities and equity</w:t>
            </w:r>
          </w:p>
        </w:tc>
        <w:tc>
          <w:tcPr>
            <w:tcW w:w="10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12,251</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14,917</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25,345</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(29,944)</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22,569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Three Months Ended September 30,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WM</w:t>
            </w:r>
          </w:p>
        </w:tc>
        <w:tc>
          <w:tcPr>
            <w:tcW w:w="1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WM</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Subsidiaries</w:t>
            </w:r>
          </w:p>
        </w:tc>
        <w:tc>
          <w:tcPr>
            <w:tcW w:w="2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Costs and expenses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(91)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w w:val="79"/>
              </w:rPr>
              <w:t>269</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(543)</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w w:val="79"/>
              </w:rPr>
              <w:t>178</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266</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(543)</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79"/>
              </w:rPr>
              <w:t>178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(36)</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79"/>
              </w:rPr>
              <w:t>214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Less: Net income attributable to noncontrolling interests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attributable to Waste Management, Inc.</w:t>
            </w:r>
          </w:p>
        </w:tc>
        <w:tc>
          <w:tcPr>
            <w:tcW w:w="1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0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w w:val="90"/>
              </w:rPr>
              <w:t>Three Months Ended September 30, 2011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4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WM</w:t>
            </w:r>
          </w:p>
        </w:tc>
        <w:tc>
          <w:tcPr>
            <w:tcW w:w="18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WM</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Subsidiaries</w:t>
            </w:r>
          </w:p>
        </w:tc>
        <w:tc>
          <w:tcPr>
            <w:tcW w:w="2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Costs and expenses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(85)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w w:val="79"/>
              </w:rPr>
              <w:t>323</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(651)</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w w:val="79"/>
              </w:rPr>
              <w:t>238</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320</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(651)</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79"/>
              </w:rPr>
              <w:t>238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(34)</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79"/>
              </w:rPr>
              <w:t>272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Less: Net income attributable to noncontrolling interests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attributable to Waste Management, Inc.</w:t>
            </w:r>
          </w:p>
        </w:tc>
        <w:tc>
          <w:tcPr>
            <w:tcW w:w="1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32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OPERATIONS (Continued)</w:t>
      </w:r>
    </w:p>
    <w:p>
      <w:pPr>
        <w:spacing w:after="0" w:line="15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Nine Months Ended September 30,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6"/>
              </w:rPr>
              <w:t>WM</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10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76"/>
              </w:rPr>
              <w:t>Holdings</w:t>
            </w:r>
          </w:p>
        </w:tc>
        <w:tc>
          <w:tcPr>
            <w:tcW w:w="14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1"/>
              </w:rPr>
              <w:t>Subsidiaries</w:t>
            </w:r>
          </w:p>
        </w:tc>
        <w:tc>
          <w:tcPr>
            <w:tcW w:w="12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4"/>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left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6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lef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Costs and expenses</w:t>
            </w: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8,848</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5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w:t>
            </w:r>
          </w:p>
        </w:tc>
        <w:tc>
          <w:tcPr>
            <w:tcW w:w="23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(267)</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755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(1,525)</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488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(1,525)</w:t>
            </w: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488</w:t>
            </w:r>
          </w:p>
        </w:tc>
        <w:tc>
          <w:tcPr>
            <w:tcW w:w="34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(1,525)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560" w:type="dxa"/>
            <w:vAlign w:val="bottom"/>
          </w:tcPr>
          <w:p>
            <w:pPr>
              <w:spacing w:after="0"/>
              <w:rPr>
                <w:sz w:val="18"/>
                <w:szCs w:val="18"/>
                <w:color w:val="auto"/>
              </w:rPr>
            </w:pPr>
          </w:p>
        </w:tc>
        <w:tc>
          <w:tcPr>
            <w:tcW w:w="760" w:type="dxa"/>
            <w:vAlign w:val="bottom"/>
            <w:gridSpan w:val="4"/>
          </w:tcPr>
          <w:p>
            <w:pPr>
              <w:jc w:val="right"/>
              <w:ind w:right="28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443</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593</w:t>
            </w:r>
          </w:p>
        </w:tc>
        <w:tc>
          <w:tcPr>
            <w:tcW w:w="34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(1,525)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91"/>
              </w:rPr>
              <w:t>Less: Net income attributable to noncontrolling interests</w:t>
            </w: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income attributable to Waste Management, Inc.</w:t>
            </w:r>
          </w:p>
        </w:tc>
        <w:tc>
          <w:tcPr>
            <w:tcW w:w="15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$ 593</w:t>
            </w:r>
          </w:p>
        </w:tc>
        <w:tc>
          <w:tcPr>
            <w:tcW w:w="34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(1,525)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68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87"/>
              </w:rPr>
              <w:t>Nine Months Ended September 30, 2011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320" w:type="dxa"/>
            <w:vAlign w:val="bottom"/>
            <w:gridSpan w:val="5"/>
          </w:tcPr>
          <w:p>
            <w:pPr>
              <w:jc w:val="center"/>
              <w:ind w:left="812"/>
              <w:spacing w:after="0"/>
              <w:rPr>
                <w:sz w:val="20"/>
                <w:szCs w:val="20"/>
                <w:color w:val="auto"/>
              </w:rPr>
            </w:pPr>
            <w:r>
              <w:rPr>
                <w:rFonts w:ascii="Arial" w:cs="Arial" w:eastAsia="Arial" w:hAnsi="Arial"/>
                <w:sz w:val="18"/>
                <w:szCs w:val="18"/>
                <w:b w:val="1"/>
                <w:bCs w:val="1"/>
                <w:color w:val="auto"/>
                <w:w w:val="89"/>
              </w:rPr>
              <w:t>(Unaudited)</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WM</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00" w:type="dxa"/>
            <w:vAlign w:val="bottom"/>
          </w:tcPr>
          <w:p>
            <w:pPr>
              <w:spacing w:after="0"/>
              <w:rPr>
                <w:sz w:val="14"/>
                <w:szCs w:val="1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1"/>
              </w:rPr>
              <w:t>Subsidiaries</w:t>
            </w:r>
          </w:p>
        </w:tc>
        <w:tc>
          <w:tcPr>
            <w:tcW w:w="12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4"/>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6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left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6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lef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Costs and expenses</w:t>
            </w: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8,496</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1,476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w:t>
            </w: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(256)</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850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865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(1,715)</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594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840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(1,715)</w:t>
            </w: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594</w:t>
            </w:r>
          </w:p>
        </w:tc>
        <w:tc>
          <w:tcPr>
            <w:tcW w:w="34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(1,715)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(101)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695</w:t>
            </w:r>
          </w:p>
        </w:tc>
        <w:tc>
          <w:tcPr>
            <w:tcW w:w="34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(1,715)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91"/>
              </w:rPr>
              <w:t>Less: Net income attributable to noncontrolling interests</w:t>
            </w: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income attributable to Waste Management, Inc.</w:t>
            </w:r>
          </w:p>
        </w:tc>
        <w:tc>
          <w:tcPr>
            <w:tcW w:w="162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$ 695</w:t>
            </w:r>
          </w:p>
        </w:tc>
        <w:tc>
          <w:tcPr>
            <w:tcW w:w="34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865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(1,715)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Non-</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Guarantor</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WM</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Holdings</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64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tcBorders>
              <w:top w:val="single" w:sz="8" w:color="CCEEFF"/>
              <w:bottom w:val="single" w:sz="8" w:color="auto"/>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Three Months Ended September 30, 2012</w:t>
            </w:r>
          </w:p>
        </w:tc>
        <w:tc>
          <w:tcPr>
            <w:tcW w:w="208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5"/>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$215</w:t>
            </w:r>
          </w:p>
        </w:tc>
        <w:tc>
          <w:tcPr>
            <w:tcW w:w="720" w:type="dxa"/>
            <w:vAlign w:val="bottom"/>
            <w:gridSpan w:val="3"/>
          </w:tcPr>
          <w:p>
            <w:pPr>
              <w:ind w:left="640"/>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269</w:t>
            </w:r>
          </w:p>
        </w:tc>
        <w:tc>
          <w:tcPr>
            <w:tcW w:w="4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(543)</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Less: Comprehensive income attributable to noncontrolling interests</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gridSpan w:val="6"/>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8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w:t>
            </w:r>
          </w:p>
        </w:tc>
        <w:tc>
          <w:tcPr>
            <w:tcW w:w="720" w:type="dxa"/>
            <w:vAlign w:val="bottom"/>
            <w:gridSpan w:val="3"/>
          </w:tcPr>
          <w:p>
            <w:pPr>
              <w:ind w:left="640"/>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269</w:t>
            </w:r>
          </w:p>
        </w:tc>
        <w:tc>
          <w:tcPr>
            <w:tcW w:w="4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(543)</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18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Three Months Ended September 30, 2011</w:t>
            </w: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Comprehensive income</w:t>
            </w:r>
          </w:p>
        </w:tc>
        <w:tc>
          <w:tcPr>
            <w:tcW w:w="2100" w:type="dxa"/>
            <w:vAlign w:val="bottom"/>
            <w:tcBorders>
              <w:top w:val="single" w:sz="8" w:color="CCEEFF"/>
            </w:tcBorders>
            <w:gridSpan w:val="2"/>
          </w:tcPr>
          <w:p>
            <w:pPr>
              <w:spacing w:after="0"/>
              <w:rPr>
                <w:sz w:val="18"/>
                <w:szCs w:val="18"/>
                <w:color w:val="auto"/>
              </w:rPr>
            </w:pPr>
          </w:p>
        </w:tc>
        <w:tc>
          <w:tcPr>
            <w:tcW w:w="820" w:type="dxa"/>
            <w:vAlign w:val="bottom"/>
            <w:tcBorders>
              <w:top w:val="single" w:sz="8" w:color="CCEEFF"/>
            </w:tcBorders>
            <w:gridSpan w:val="4"/>
          </w:tcPr>
          <w:p>
            <w:pPr>
              <w:jc w:val="right"/>
              <w:spacing w:after="0"/>
              <w:rPr>
                <w:sz w:val="20"/>
                <w:szCs w:val="20"/>
                <w:color w:val="auto"/>
              </w:rPr>
            </w:pPr>
            <w:r>
              <w:rPr>
                <w:rFonts w:ascii="Arial" w:cs="Arial" w:eastAsia="Arial" w:hAnsi="Arial"/>
                <w:sz w:val="18"/>
                <w:szCs w:val="18"/>
                <w:color w:val="auto"/>
              </w:rPr>
              <w:t>$246</w:t>
            </w:r>
          </w:p>
        </w:tc>
        <w:tc>
          <w:tcPr>
            <w:tcW w:w="720" w:type="dxa"/>
            <w:vAlign w:val="bottom"/>
            <w:tcBorders>
              <w:top w:val="single" w:sz="8" w:color="CCEEFF"/>
            </w:tcBorders>
            <w:gridSpan w:val="3"/>
          </w:tcPr>
          <w:p>
            <w:pPr>
              <w:ind w:left="64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CCEEFF"/>
            </w:tcBorders>
            <w:gridSpan w:val="3"/>
          </w:tcPr>
          <w:p>
            <w:pPr>
              <w:jc w:val="right"/>
              <w:ind w:right="300"/>
              <w:spacing w:after="0"/>
              <w:rPr>
                <w:sz w:val="20"/>
                <w:szCs w:val="20"/>
                <w:color w:val="auto"/>
              </w:rPr>
            </w:pPr>
            <w:r>
              <w:rPr>
                <w:rFonts w:ascii="Arial" w:cs="Arial" w:eastAsia="Arial" w:hAnsi="Arial"/>
                <w:sz w:val="18"/>
                <w:szCs w:val="18"/>
                <w:color w:val="auto"/>
              </w:rPr>
              <w:t>323</w:t>
            </w:r>
          </w:p>
        </w:tc>
        <w:tc>
          <w:tcPr>
            <w:tcW w:w="480" w:type="dxa"/>
            <w:vAlign w:val="bottom"/>
            <w:tcBorders>
              <w:top w:val="single" w:sz="8" w:color="CCEEFF"/>
            </w:tcBorders>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252</w:t>
            </w:r>
          </w:p>
        </w:tc>
        <w:tc>
          <w:tcPr>
            <w:tcW w:w="820" w:type="dxa"/>
            <w:vAlign w:val="bottom"/>
            <w:tcBorders>
              <w:top w:val="single" w:sz="8" w:color="CCEEFF"/>
            </w:tcBorders>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3"/>
          </w:tcPr>
          <w:p>
            <w:pPr>
              <w:jc w:val="right"/>
              <w:ind w:right="300"/>
              <w:spacing w:after="0"/>
              <w:rPr>
                <w:sz w:val="20"/>
                <w:szCs w:val="20"/>
                <w:color w:val="auto"/>
              </w:rPr>
            </w:pPr>
            <w:r>
              <w:rPr>
                <w:rFonts w:ascii="Arial" w:cs="Arial" w:eastAsia="Arial" w:hAnsi="Arial"/>
                <w:sz w:val="18"/>
                <w:szCs w:val="18"/>
                <w:color w:val="auto"/>
              </w:rPr>
              <w:t>(651)</w:t>
            </w:r>
          </w:p>
        </w:tc>
        <w:tc>
          <w:tcPr>
            <w:tcW w:w="60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Less: Comprehensive income attributable to noncontrolling interests</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gridSpan w:val="6"/>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8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246</w:t>
            </w:r>
          </w:p>
        </w:tc>
        <w:tc>
          <w:tcPr>
            <w:tcW w:w="720" w:type="dxa"/>
            <w:vAlign w:val="bottom"/>
            <w:gridSpan w:val="3"/>
          </w:tcPr>
          <w:p>
            <w:pPr>
              <w:ind w:left="640"/>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323</w:t>
            </w:r>
          </w:p>
        </w:tc>
        <w:tc>
          <w:tcPr>
            <w:tcW w:w="4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(651)</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Non-</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1"/>
              </w:rPr>
              <w:t>Guarantor</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WM</w:t>
            </w:r>
          </w:p>
        </w:tc>
        <w:tc>
          <w:tcPr>
            <w:tcW w:w="600" w:type="dxa"/>
            <w:vAlign w:val="bottom"/>
          </w:tcPr>
          <w:p>
            <w:pPr>
              <w:spacing w:after="0"/>
              <w:rPr>
                <w:sz w:val="14"/>
                <w:szCs w:val="14"/>
                <w:color w:val="auto"/>
              </w:rPr>
            </w:pPr>
          </w:p>
        </w:tc>
        <w:tc>
          <w:tcPr>
            <w:tcW w:w="860" w:type="dxa"/>
            <w:vAlign w:val="bottom"/>
            <w:gridSpan w:val="5"/>
          </w:tcPr>
          <w:p>
            <w:pPr>
              <w:spacing w:after="0"/>
              <w:rPr>
                <w:sz w:val="20"/>
                <w:szCs w:val="20"/>
                <w:color w:val="auto"/>
              </w:rPr>
            </w:pPr>
            <w:r>
              <w:rPr>
                <w:rFonts w:ascii="Arial" w:cs="Arial" w:eastAsia="Arial" w:hAnsi="Arial"/>
                <w:sz w:val="14"/>
                <w:szCs w:val="14"/>
                <w:b w:val="1"/>
                <w:bCs w:val="1"/>
                <w:color w:val="auto"/>
              </w:rPr>
              <w:t>Holdings</w:t>
            </w:r>
          </w:p>
        </w:tc>
        <w:tc>
          <w:tcPr>
            <w:tcW w:w="300" w:type="dxa"/>
            <w:vAlign w:val="bottom"/>
          </w:tcPr>
          <w:p>
            <w:pPr>
              <w:spacing w:after="0"/>
              <w:rPr>
                <w:sz w:val="14"/>
                <w:szCs w:val="14"/>
                <w:color w:val="auto"/>
              </w:rPr>
            </w:pPr>
          </w:p>
        </w:tc>
        <w:tc>
          <w:tcPr>
            <w:tcW w:w="740" w:type="dxa"/>
            <w:vAlign w:val="bottom"/>
            <w:gridSpan w:val="4"/>
          </w:tcPr>
          <w:p>
            <w:pPr>
              <w:ind w:left="20"/>
              <w:spacing w:after="0"/>
              <w:rPr>
                <w:sz w:val="20"/>
                <w:szCs w:val="20"/>
                <w:color w:val="auto"/>
              </w:rPr>
            </w:pPr>
            <w:r>
              <w:rPr>
                <w:rFonts w:ascii="Arial" w:cs="Arial" w:eastAsia="Arial" w:hAnsi="Arial"/>
                <w:sz w:val="14"/>
                <w:szCs w:val="14"/>
                <w:b w:val="1"/>
                <w:bCs w:val="1"/>
                <w:color w:val="auto"/>
                <w:w w:val="84"/>
              </w:rPr>
              <w:t>Subsidiaries</w:t>
            </w:r>
          </w:p>
        </w:tc>
        <w:tc>
          <w:tcPr>
            <w:tcW w:w="64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Nine Months Ended September 30, 2012</w:t>
            </w:r>
          </w:p>
        </w:tc>
        <w:tc>
          <w:tcPr>
            <w:tcW w:w="21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5"/>
          </w:tcPr>
          <w:p>
            <w:pPr>
              <w:spacing w:after="0"/>
              <w:rPr>
                <w:sz w:val="20"/>
                <w:szCs w:val="20"/>
                <w:color w:val="auto"/>
              </w:rPr>
            </w:pPr>
            <w:r>
              <w:rPr>
                <w:rFonts w:ascii="Arial" w:cs="Arial" w:eastAsia="Arial" w:hAnsi="Arial"/>
                <w:sz w:val="18"/>
                <w:szCs w:val="18"/>
                <w:color w:val="auto"/>
              </w:rPr>
              <w:t>Comprehensive income</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$581</w:t>
            </w:r>
          </w:p>
        </w:tc>
        <w:tc>
          <w:tcPr>
            <w:tcW w:w="60" w:type="dxa"/>
            <w:vAlign w:val="bottom"/>
          </w:tcPr>
          <w:p>
            <w:pPr>
              <w:spacing w:after="0"/>
              <w:rPr>
                <w:sz w:val="18"/>
                <w:szCs w:val="18"/>
                <w:color w:val="auto"/>
              </w:rPr>
            </w:pPr>
          </w:p>
        </w:tc>
        <w:tc>
          <w:tcPr>
            <w:tcW w:w="720" w:type="dxa"/>
            <w:vAlign w:val="bottom"/>
            <w:gridSpan w:val="3"/>
          </w:tcPr>
          <w:p>
            <w:pPr>
              <w:ind w:left="6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755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842</w:t>
            </w:r>
          </w:p>
        </w:tc>
        <w:tc>
          <w:tcPr>
            <w:tcW w:w="20" w:type="dxa"/>
            <w:vAlign w:val="bottom"/>
          </w:tcPr>
          <w:p>
            <w:pPr>
              <w:spacing w:after="0"/>
              <w:rPr>
                <w:sz w:val="18"/>
                <w:szCs w:val="18"/>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(1,525)</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Less: Comprehensive income attributable to noncontrolling interests</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6"/>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4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gridSpan w:val="6"/>
            <w:vMerge w:val="continue"/>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581</w:t>
            </w:r>
          </w:p>
        </w:tc>
        <w:tc>
          <w:tcPr>
            <w:tcW w:w="60" w:type="dxa"/>
            <w:vAlign w:val="bottom"/>
          </w:tcPr>
          <w:p>
            <w:pPr>
              <w:spacing w:after="0"/>
              <w:rPr>
                <w:sz w:val="19"/>
                <w:szCs w:val="19"/>
                <w:color w:val="auto"/>
              </w:rPr>
            </w:pPr>
          </w:p>
        </w:tc>
        <w:tc>
          <w:tcPr>
            <w:tcW w:w="720" w:type="dxa"/>
            <w:vAlign w:val="bottom"/>
            <w:gridSpan w:val="3"/>
          </w:tcPr>
          <w:p>
            <w:pPr>
              <w:ind w:left="6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755</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810</w:t>
            </w:r>
          </w:p>
        </w:tc>
        <w:tc>
          <w:tcPr>
            <w:tcW w:w="20" w:type="dxa"/>
            <w:vAlign w:val="bottom"/>
          </w:tcPr>
          <w:p>
            <w:pPr>
              <w:spacing w:after="0"/>
              <w:rPr>
                <w:sz w:val="19"/>
                <w:szCs w:val="19"/>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(1,525)</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18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Nine Months Ended September 30, 2011</w:t>
            </w: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Comprehensive income</w:t>
            </w:r>
          </w:p>
        </w:tc>
        <w:tc>
          <w:tcPr>
            <w:tcW w:w="2200" w:type="dxa"/>
            <w:vAlign w:val="bottom"/>
            <w:tcBorders>
              <w:top w:val="single" w:sz="8" w:color="CCEEFF"/>
            </w:tcBorders>
            <w:gridSpan w:val="4"/>
          </w:tcPr>
          <w:p>
            <w:pPr>
              <w:spacing w:after="0"/>
              <w:rPr>
                <w:sz w:val="18"/>
                <w:szCs w:val="18"/>
                <w:color w:val="auto"/>
              </w:rPr>
            </w:pPr>
          </w:p>
        </w:tc>
        <w:tc>
          <w:tcPr>
            <w:tcW w:w="76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$667</w:t>
            </w: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gridSpan w:val="3"/>
          </w:tcPr>
          <w:p>
            <w:pPr>
              <w:ind w:left="60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850</w:t>
            </w: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gridSpan w:val="3"/>
          </w:tcPr>
          <w:p>
            <w:pPr>
              <w:ind w:left="3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843</w:t>
            </w: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3"/>
          </w:tcPr>
          <w:p>
            <w:pPr>
              <w:jc w:val="right"/>
              <w:ind w:right="300"/>
              <w:spacing w:after="0"/>
              <w:rPr>
                <w:sz w:val="20"/>
                <w:szCs w:val="20"/>
                <w:color w:val="auto"/>
              </w:rPr>
            </w:pPr>
            <w:r>
              <w:rPr>
                <w:rFonts w:ascii="Arial" w:cs="Arial" w:eastAsia="Arial" w:hAnsi="Arial"/>
                <w:sz w:val="18"/>
                <w:szCs w:val="18"/>
                <w:color w:val="auto"/>
              </w:rPr>
              <w:t>(1,715)</w:t>
            </w:r>
          </w:p>
        </w:tc>
        <w:tc>
          <w:tcPr>
            <w:tcW w:w="60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Less: Comprehensive income attributable to noncontrolling interests</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6"/>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4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gridSpan w:val="6"/>
            <w:vMerge w:val="continue"/>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667</w:t>
            </w:r>
          </w:p>
        </w:tc>
        <w:tc>
          <w:tcPr>
            <w:tcW w:w="60" w:type="dxa"/>
            <w:vAlign w:val="bottom"/>
          </w:tcPr>
          <w:p>
            <w:pPr>
              <w:spacing w:after="0"/>
              <w:rPr>
                <w:sz w:val="19"/>
                <w:szCs w:val="19"/>
                <w:color w:val="auto"/>
              </w:rPr>
            </w:pPr>
          </w:p>
        </w:tc>
        <w:tc>
          <w:tcPr>
            <w:tcW w:w="720" w:type="dxa"/>
            <w:vAlign w:val="bottom"/>
            <w:gridSpan w:val="3"/>
          </w:tcPr>
          <w:p>
            <w:pPr>
              <w:ind w:left="6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850</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807</w:t>
            </w:r>
          </w:p>
        </w:tc>
        <w:tc>
          <w:tcPr>
            <w:tcW w:w="20" w:type="dxa"/>
            <w:vAlign w:val="bottom"/>
          </w:tcPr>
          <w:p>
            <w:pPr>
              <w:spacing w:after="0"/>
              <w:rPr>
                <w:sz w:val="19"/>
                <w:szCs w:val="19"/>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(1,715)</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60" w:type="dxa"/>
            <w:vAlign w:val="bottom"/>
            <w:gridSpan w:val="3"/>
          </w:tcPr>
          <w:p>
            <w:pPr>
              <w:jc w:val="right"/>
              <w:ind w:right="76"/>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Nine Months Ended September 30,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WM</w:t>
            </w:r>
          </w:p>
        </w:tc>
        <w:tc>
          <w:tcPr>
            <w:tcW w:w="32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WM</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4"/>
              </w:rPr>
              <w:t>Subsidiaries</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1460" w:type="dxa"/>
            <w:vAlign w:val="bottom"/>
            <w:gridSpan w:val="3"/>
          </w:tcPr>
          <w:p>
            <w:pPr>
              <w:jc w:val="right"/>
              <w:ind w:right="660"/>
              <w:spacing w:after="0"/>
              <w:rPr>
                <w:sz w:val="20"/>
                <w:szCs w:val="20"/>
                <w:color w:val="auto"/>
              </w:rPr>
            </w:pPr>
            <w:r>
              <w:rPr>
                <w:rFonts w:ascii="Arial" w:cs="Arial" w:eastAsia="Arial" w:hAnsi="Arial"/>
                <w:sz w:val="18"/>
                <w:szCs w:val="18"/>
                <w:color w:val="auto"/>
              </w:rPr>
              <w:t>$ 593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755</w:t>
            </w:r>
          </w:p>
        </w:tc>
        <w:tc>
          <w:tcPr>
            <w:tcW w:w="36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802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(1,525)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1,525</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1,828</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22"/>
        </w:trPr>
        <w:tc>
          <w:tcPr>
            <w:tcW w:w="48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8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(1,132)</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divested) and other sales of assets</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w w:val="98"/>
              </w:rPr>
              <w:t>Net receipts from restricted trust and escrow accounts and</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9"/>
                <w:szCs w:val="19"/>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(1,361)</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22"/>
        </w:trPr>
        <w:tc>
          <w:tcPr>
            <w:tcW w:w="48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4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repurchases</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w:t>
            </w:r>
          </w:p>
        </w:tc>
        <w:tc>
          <w:tcPr>
            <w:tcW w:w="14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1460" w:type="dxa"/>
            <w:vAlign w:val="bottom"/>
            <w:gridSpan w:val="3"/>
          </w:tcPr>
          <w:p>
            <w:pPr>
              <w:jc w:val="right"/>
              <w:ind w:right="6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(Increase) decrease in intercompany and investments, net</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(391)</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238</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19"/>
                <w:szCs w:val="19"/>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5"/>
              </w:rPr>
              <w:t>Effect of exchange rate changes on cash and cash equivalents</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2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151</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gridSpan w:val="2"/>
            <w:vMerge w:val="continue"/>
          </w:tcPr>
          <w:p>
            <w:pPr>
              <w:spacing w:after="0"/>
              <w:rPr>
                <w:sz w:val="19"/>
                <w:szCs w:val="19"/>
                <w:color w:val="auto"/>
              </w:rPr>
            </w:pPr>
          </w:p>
        </w:tc>
        <w:tc>
          <w:tcPr>
            <w:tcW w:w="1460" w:type="dxa"/>
            <w:vAlign w:val="bottom"/>
            <w:gridSpan w:val="3"/>
          </w:tcPr>
          <w:p>
            <w:pPr>
              <w:jc w:val="right"/>
              <w:ind w:right="660"/>
              <w:spacing w:after="0"/>
              <w:rPr>
                <w:sz w:val="20"/>
                <w:szCs w:val="20"/>
                <w:color w:val="auto"/>
              </w:rPr>
            </w:pPr>
            <w:r>
              <w:rPr>
                <w:rFonts w:ascii="Arial" w:cs="Arial" w:eastAsia="Arial" w:hAnsi="Arial"/>
                <w:sz w:val="18"/>
                <w:szCs w:val="18"/>
                <w:color w:val="auto"/>
              </w:rPr>
              <w:t>$ 270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158"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Nine Months Ended September 30, 2011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WM</w:t>
            </w:r>
          </w:p>
        </w:tc>
        <w:tc>
          <w:tcPr>
            <w:tcW w:w="32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WM</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4"/>
              </w:rPr>
              <w:t>Subsidiaries</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1460" w:type="dxa"/>
            <w:vAlign w:val="bottom"/>
            <w:gridSpan w:val="3"/>
          </w:tcPr>
          <w:p>
            <w:pPr>
              <w:jc w:val="right"/>
              <w:ind w:right="660"/>
              <w:spacing w:after="0"/>
              <w:rPr>
                <w:sz w:val="20"/>
                <w:szCs w:val="20"/>
                <w:color w:val="auto"/>
              </w:rPr>
            </w:pPr>
            <w:r>
              <w:rPr>
                <w:rFonts w:ascii="Arial" w:cs="Arial" w:eastAsia="Arial" w:hAnsi="Arial"/>
                <w:sz w:val="18"/>
                <w:szCs w:val="18"/>
                <w:color w:val="auto"/>
              </w:rPr>
              <w:t>$ 695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850</w:t>
            </w:r>
          </w:p>
        </w:tc>
        <w:tc>
          <w:tcPr>
            <w:tcW w:w="36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901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(1,715)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1,715</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1,009</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1,910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22"/>
        </w:trPr>
        <w:tc>
          <w:tcPr>
            <w:tcW w:w="48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(645)</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8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(909)</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divested) and other sales of assets</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w w:val="98"/>
              </w:rPr>
              <w:t>Net receipts from restricted trust and escrow accounts and</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(1,530)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22"/>
        </w:trPr>
        <w:tc>
          <w:tcPr>
            <w:tcW w:w="48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4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893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38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repurchases</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w:t>
            </w:r>
          </w:p>
        </w:tc>
        <w:tc>
          <w:tcPr>
            <w:tcW w:w="14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(Increase) decrease in intercompany and investments, net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9"/>
                <w:szCs w:val="19"/>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5"/>
              </w:rPr>
              <w:t>Effect of exchange rate changes on cash and cash equivalents</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2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9"/>
                <w:szCs w:val="19"/>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gridSpan w:val="2"/>
            <w:vMerge w:val="continue"/>
          </w:tcPr>
          <w:p>
            <w:pPr>
              <w:spacing w:after="0"/>
              <w:rPr>
                <w:sz w:val="19"/>
                <w:szCs w:val="19"/>
                <w:color w:val="auto"/>
              </w:rPr>
            </w:pPr>
          </w:p>
        </w:tc>
        <w:tc>
          <w:tcPr>
            <w:tcW w:w="1460" w:type="dxa"/>
            <w:vAlign w:val="bottom"/>
            <w:gridSpan w:val="3"/>
          </w:tcPr>
          <w:p>
            <w:pPr>
              <w:jc w:val="right"/>
              <w:ind w:right="660"/>
              <w:spacing w:after="0"/>
              <w:rPr>
                <w:sz w:val="20"/>
                <w:szCs w:val="20"/>
                <w:color w:val="auto"/>
              </w:rPr>
            </w:pPr>
            <w:r>
              <w:rPr>
                <w:rFonts w:ascii="Arial" w:cs="Arial" w:eastAsia="Arial" w:hAnsi="Arial"/>
                <w:sz w:val="18"/>
                <w:szCs w:val="18"/>
                <w:color w:val="auto"/>
              </w:rPr>
              <w:t>$ 184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7" w:name="page38"/>
    <w:bookmarkEnd w:id="37"/>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2011.</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similar nature and generally include statements containing:</w:t>
      </w:r>
    </w:p>
    <w:p>
      <w:pPr>
        <w:spacing w:after="0" w:line="62" w:lineRule="exact"/>
        <w:rPr>
          <w:sz w:val="20"/>
          <w:szCs w:val="20"/>
          <w:color w:val="auto"/>
        </w:rPr>
      </w:pPr>
    </w:p>
    <w:p>
      <w:pPr>
        <w:ind w:left="700" w:hanging="24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projections of the amount, timing or impact of cost savings, restructuring actions, workforce reductions or related charges;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You should view these statements with caution. These statements are not guarantees of future performance, circumstances or events. They are based on the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Condensed Consolidated Financial Statements and the notes thereto.</w:t>
      </w:r>
    </w:p>
    <w:p>
      <w:pPr>
        <w:spacing w:after="0" w:line="6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Some of the risks that we believe could affect our financial statements for 2012 and beyond and that could cause actual results to be materially different from those that may be set forth in forward-looking statements made by the Company include the following:</w:t>
      </w:r>
    </w:p>
    <w:p>
      <w:pPr>
        <w:spacing w:after="0" w:line="51" w:lineRule="exact"/>
        <w:rPr>
          <w:sz w:val="20"/>
          <w:szCs w:val="20"/>
          <w:color w:val="auto"/>
        </w:rPr>
      </w:pPr>
    </w:p>
    <w:p>
      <w:pPr>
        <w:ind w:left="700" w:hanging="246"/>
        <w:spacing w:after="0" w:line="332" w:lineRule="auto"/>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pricing strategy may have negative effects on volumes, and inability to execute our pricing strategy in order to retain and attract customers may negatively affect our average yield on collection and disposal business;</w:t>
      </w:r>
    </w:p>
    <w:p>
      <w:pPr>
        <w:spacing w:after="0" w:line="4"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fail in implementing our optimization and growth initiatives and overall business strategy, which could adversely impact our financial performance and growth;</w:t>
      </w:r>
    </w:p>
    <w:p>
      <w:pPr>
        <w:spacing w:after="0" w:line="50" w:lineRule="exact"/>
        <w:rPr>
          <w:rFonts w:ascii="Arial" w:cs="Arial" w:eastAsia="Arial" w:hAnsi="Arial"/>
          <w:sz w:val="18"/>
          <w:szCs w:val="18"/>
          <w:color w:val="auto"/>
        </w:rPr>
      </w:pPr>
    </w:p>
    <w:p>
      <w:pPr>
        <w:ind w:left="700" w:hanging="246"/>
        <w:spacing w:after="0" w:line="332" w:lineRule="auto"/>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restructuring may not achieve the goals and cost savings intended, implementing the restructuring may result in business disruption and employee distraction, and changes in our organizational structure and workforce could result in significant restructuring charges;</w:t>
      </w:r>
    </w:p>
    <w:p>
      <w:pPr>
        <w:spacing w:after="0" w:line="4"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regulations may negatively impact our business by, among other things, restricting our operations, increasing costs of operations or requiring additional capital expenditures;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50"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electricity and other energy-related products marketed and sold by our landfill gas recovery, waste-to-energy and independent power production plant operations; fluctuations in commodity prices may have negative effects on our operating results;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38" w:name="page39"/>
    <w:bookmarkEnd w:id="38"/>
    <w:p>
      <w:pPr>
        <w:jc w:val="both"/>
        <w:ind w:left="246" w:hanging="246"/>
        <w:spacing w:after="0" w:line="259"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increasing customer preference for alternatives to traditional disposal, government mandates requiring recycling and prohibiting disposal of certain types of waste, and overall reduction of waste generated could continue to have a negative effect on volumes of waste going to landfills and waste-to-energy facilities;</w:t>
      </w:r>
    </w:p>
    <w:p>
      <w:pPr>
        <w:spacing w:after="0" w:line="59"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waste-to-energy facilities and our profitability;</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w:t>
      </w:r>
    </w:p>
    <w:p>
      <w:pPr>
        <w:spacing w:after="0" w:line="9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50" w:lineRule="exact"/>
        <w:rPr>
          <w:rFonts w:ascii="Arial" w:cs="Arial" w:eastAsia="Arial" w:hAnsi="Arial"/>
          <w:sz w:val="18"/>
          <w:szCs w:val="18"/>
          <w:color w:val="auto"/>
        </w:rPr>
      </w:pPr>
    </w:p>
    <w:p>
      <w:pPr>
        <w:ind w:left="246" w:right="20"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fuel price increases or fuel supply shortages may increase our expenses and restrict our ability to operate;</w:t>
      </w:r>
    </w:p>
    <w:p>
      <w:pPr>
        <w:spacing w:after="0" w:line="9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w:t>
      </w:r>
    </w:p>
    <w:p>
      <w:pPr>
        <w:spacing w:after="0" w:line="90" w:lineRule="exact"/>
        <w:rPr>
          <w:rFonts w:ascii="Arial" w:cs="Arial" w:eastAsia="Arial" w:hAnsi="Arial"/>
          <w:sz w:val="18"/>
          <w:szCs w:val="18"/>
          <w:color w:val="auto"/>
        </w:rPr>
      </w:pPr>
    </w:p>
    <w:p>
      <w:pPr>
        <w:jc w:val="both"/>
        <w:ind w:left="246" w:hanging="246"/>
        <w:spacing w:after="0" w:line="259"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9" w:lineRule="exact"/>
        <w:rPr>
          <w:rFonts w:ascii="Arial" w:cs="Arial" w:eastAsia="Arial" w:hAnsi="Arial"/>
          <w:sz w:val="18"/>
          <w:szCs w:val="18"/>
          <w:color w:val="auto"/>
        </w:rPr>
      </w:pPr>
    </w:p>
    <w:p>
      <w:pPr>
        <w:ind w:left="246" w:hanging="246"/>
        <w:spacing w:after="0"/>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could face significant liability for withdrawal from multiemployer pension plans;</w:t>
      </w:r>
    </w:p>
    <w:p>
      <w:pPr>
        <w:spacing w:after="0" w:line="90" w:lineRule="exact"/>
        <w:rPr>
          <w:rFonts w:ascii="Arial" w:cs="Arial" w:eastAsia="Arial" w:hAnsi="Arial"/>
          <w:sz w:val="18"/>
          <w:szCs w:val="18"/>
          <w:color w:val="auto"/>
        </w:rPr>
      </w:pPr>
    </w:p>
    <w:p>
      <w:pPr>
        <w:ind w:left="246" w:hanging="246"/>
        <w:spacing w:after="0"/>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operational and safety risks, including the risk of personal injury to employees and others;</w:t>
      </w:r>
    </w:p>
    <w:p>
      <w:pPr>
        <w:spacing w:after="0" w:line="90" w:lineRule="exact"/>
        <w:rPr>
          <w:rFonts w:ascii="Arial" w:cs="Arial" w:eastAsia="Arial" w:hAnsi="Arial"/>
          <w:sz w:val="18"/>
          <w:szCs w:val="18"/>
          <w:color w:val="auto"/>
        </w:rPr>
      </w:pPr>
    </w:p>
    <w:p>
      <w:pPr>
        <w:ind w:left="246" w:hanging="246"/>
        <w:spacing w:after="0"/>
        <w:tabs>
          <w:tab w:leader="none" w:pos="246"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increased costs for financial assurance or the inadequacy of our insurance coverage could negatively impact our liquidity and increase our liabilities;</w:t>
      </w:r>
    </w:p>
    <w:p>
      <w:pPr>
        <w:spacing w:after="0" w:line="113" w:lineRule="exact"/>
        <w:rPr>
          <w:rFonts w:ascii="Arial" w:cs="Arial" w:eastAsia="Arial" w:hAnsi="Arial"/>
          <w:sz w:val="16"/>
          <w:szCs w:val="16"/>
          <w:color w:val="auto"/>
        </w:rPr>
      </w:pPr>
    </w:p>
    <w:p>
      <w:pPr>
        <w:ind w:left="246" w:hanging="246"/>
        <w:spacing w:after="0"/>
        <w:tabs>
          <w:tab w:leader="none" w:pos="246" w:val="left"/>
        </w:tabs>
        <w:numPr>
          <w:ilvl w:val="0"/>
          <w:numId w:val="7"/>
        </w:numPr>
        <w:rPr>
          <w:rFonts w:ascii="Arial" w:cs="Arial" w:eastAsia="Arial" w:hAnsi="Arial"/>
          <w:sz w:val="16"/>
          <w:szCs w:val="16"/>
          <w:color w:val="auto"/>
        </w:rPr>
      </w:pPr>
      <w:r>
        <w:rPr>
          <w:rFonts w:ascii="Arial" w:cs="Arial" w:eastAsia="Arial" w:hAnsi="Arial"/>
          <w:sz w:val="16"/>
          <w:szCs w:val="16"/>
          <w:color w:val="auto"/>
        </w:rPr>
        <w:t>possible charges as a result of shut-down operations, uncompleted development or expansion projects or other events may negatively affect earnings;</w:t>
      </w:r>
    </w:p>
    <w:p>
      <w:pPr>
        <w:spacing w:after="0" w:line="113" w:lineRule="exact"/>
        <w:rPr>
          <w:rFonts w:ascii="Arial" w:cs="Arial" w:eastAsia="Arial" w:hAnsi="Arial"/>
          <w:sz w:val="16"/>
          <w:szCs w:val="16"/>
          <w:color w:val="auto"/>
        </w:rPr>
      </w:pPr>
    </w:p>
    <w:p>
      <w:pPr>
        <w:ind w:left="246"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incur future indebtedness on terms we deem acceptable or to refinance our debt obligations, including near-term maturities, on acceptable terms and higher interest rates and market conditions may increase our expense;</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7"/>
        </w:numPr>
        <w:rPr>
          <w:rFonts w:ascii="Arial" w:cs="Arial" w:eastAsia="Arial" w:hAnsi="Arial"/>
          <w:sz w:val="16"/>
          <w:szCs w:val="16"/>
          <w:color w:val="auto"/>
        </w:rPr>
      </w:pPr>
      <w:r>
        <w:rPr>
          <w:rFonts w:ascii="Arial" w:cs="Arial" w:eastAsia="Arial" w:hAnsi="Arial"/>
          <w:sz w:val="16"/>
          <w:szCs w:val="16"/>
          <w:color w:val="auto"/>
        </w:rPr>
        <w:t>climate change legislation, including possible limits on carbon emissions, may negatively impact our results of operations by increasing expenses;</w:t>
      </w:r>
    </w:p>
    <w:p>
      <w:pPr>
        <w:spacing w:after="0" w:line="18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6"/>
          </w:cols>
          <w:pgMar w:left="694" w:top="280" w:right="239" w:bottom="1440" w:gutter="0" w:footer="0" w:header="0"/>
        </w:sectPr>
      </w:pPr>
    </w:p>
    <w:bookmarkStart w:id="39" w:name="page40"/>
    <w:bookmarkEnd w:id="39"/>
    <w:p>
      <w:pPr>
        <w:ind w:left="700" w:right="20" w:hanging="246"/>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50" w:lineRule="exact"/>
        <w:rPr>
          <w:rFonts w:ascii="Arial" w:cs="Arial" w:eastAsia="Arial" w:hAnsi="Arial"/>
          <w:sz w:val="18"/>
          <w:szCs w:val="18"/>
          <w:color w:val="auto"/>
        </w:rPr>
      </w:pPr>
    </w:p>
    <w:p>
      <w:pPr>
        <w:ind w:left="700" w:right="20" w:hanging="246"/>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principal executive offices are located at 1001 Fannin Street, Suite 4000, Houston, Texas 77002. Our telephone number at that address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the leading provider of comprehensive waste management services in North America. Our subsidiaries provide collection, transfer, recycling and disposal services. We are also a leading developer, operator and owner of waste-to-energy and landfill gas-to-energy facilities in the United States. Our customers include residential, commercial, industrial and municipal customers throughout North America.</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Company is dedicated to three transformational goals that we believe will drive continued growth and leadership in a dynamic industry: know more about our customers and how to service them than anyone else; use conversion and processing technology to extract more value from the materials we manage; and continuously improve our operational efficiency. Our strategy supports diversion from landfills and converting waste into valuable products as customers seek more economically and environmentally sound alternatives. We intend to pursue achievement of our long-term goals in the short-term through efforts to:</w:t>
      </w:r>
    </w:p>
    <w:p>
      <w:pPr>
        <w:spacing w:after="0" w:line="32" w:lineRule="exact"/>
        <w:rPr>
          <w:sz w:val="20"/>
          <w:szCs w:val="20"/>
          <w:color w:val="auto"/>
        </w:rPr>
      </w:pPr>
    </w:p>
    <w:p>
      <w:pPr>
        <w:ind w:left="700" w:hanging="246"/>
        <w:spacing w:after="0" w:line="268"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 our markets by implementing customer-focused growth, through customer segmentation and through strategic acquisitions, while maintaining our pricing discipline and increasing the amount of recyclable materials we manage each year;</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 our customer loyalty;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 into new markets by investing in greener technologies;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pursue initiatives that improve our operations and cost structure.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efforts will be supported by ongoing improvements in information technologies. We believe that execution of our strategy will provide long-term value to our stockholders.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Highlights of our financial results for the current quarter include:</w:t>
      </w:r>
    </w:p>
    <w:p>
      <w:pPr>
        <w:spacing w:after="0" w:line="90" w:lineRule="exact"/>
        <w:rPr>
          <w:sz w:val="20"/>
          <w:szCs w:val="20"/>
          <w:color w:val="auto"/>
        </w:rPr>
      </w:pPr>
    </w:p>
    <w:p>
      <w:pPr>
        <w:ind w:left="700" w:right="20" w:hanging="246"/>
        <w:spacing w:after="0" w:line="268"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Revenues of $3,461 million compared with $3,522 million in the third quarter of 2011, a decrease of $61 million, or 1.7%. This decrease in revenues is primarily attributable to:</w:t>
      </w:r>
    </w:p>
    <w:p>
      <w:pPr>
        <w:spacing w:after="0" w:line="50" w:lineRule="exact"/>
        <w:rPr>
          <w:rFonts w:ascii="Arial" w:cs="Arial" w:eastAsia="Arial" w:hAnsi="Arial"/>
          <w:sz w:val="18"/>
          <w:szCs w:val="18"/>
          <w:color w:val="auto"/>
        </w:rPr>
      </w:pPr>
    </w:p>
    <w:p>
      <w:pPr>
        <w:ind w:left="920" w:hanging="237"/>
        <w:spacing w:after="0"/>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continued decline in recyclable commodity prices which decreased our revenues by $176 million; partially offset by,</w:t>
      </w:r>
    </w:p>
    <w:p>
      <w:pPr>
        <w:spacing w:after="0" w:line="90" w:lineRule="exact"/>
        <w:rPr>
          <w:rFonts w:ascii="Arial" w:cs="Arial" w:eastAsia="Arial" w:hAnsi="Arial"/>
          <w:sz w:val="18"/>
          <w:szCs w:val="18"/>
          <w:color w:val="auto"/>
        </w:rPr>
      </w:pPr>
    </w:p>
    <w:p>
      <w:pPr>
        <w:ind w:left="920" w:hanging="237"/>
        <w:spacing w:after="0"/>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Increases associated with acquired businesses of $95 million;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40" w:name="page41"/>
    <w:bookmarkEnd w:id="40"/>
    <w:p>
      <w:pPr>
        <w:jc w:val="both"/>
        <w:ind w:left="920" w:hanging="237"/>
        <w:spacing w:after="0" w:line="259"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Internal revenue growth from yield on our collection and disposal business of 0.8%, or $22 million, in the current period, including a negative impact of 0.2%, or $5 million, from our waste-to-energy business, primarily as a result of lower disposal rates associated with the expiration and renegotiation of a long-term disposal contracts;</w:t>
      </w:r>
    </w:p>
    <w:p>
      <w:pPr>
        <w:spacing w:after="0" w:line="59"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expenses of $2,229 million, or 64.4% of revenues, compared with $2,261 million, or 64.2% of revenues, in the third quarter of 2011. This decrease of $32 million is due primarily to a decrease in customer rebates because of lower recyclable commodity prices, partially offset by increases due to acquisitions and growth initiatives;</w:t>
      </w:r>
    </w:p>
    <w:p>
      <w:pPr>
        <w:spacing w:after="0" w:line="59"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Selling, general and administrative expenses decreased by $45 million, or 11.8%, from $380 million in the third quarter of 2011 to $335 million in the third quarter of 2012, largely due to reductions in our bonus and long-term incentive plan expenses;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Income from operations of $500 million, or 14.4% of revenues, compared with $543 million, or 15.4% of revenues, in the third quarter of 2011; and</w:t>
      </w:r>
    </w:p>
    <w:p>
      <w:pPr>
        <w:spacing w:after="0" w:line="113"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income attributable to Waste Management, Inc. of $214 million, or $0.46 per diluted share, as compared with $272 million, or $0.58 per diluted share in the third quarter of 2011.</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comparability of our diluted earnings per share has been affected by the following items that occurred in the third quarter of 2012:</w:t>
      </w:r>
    </w:p>
    <w:p>
      <w:pPr>
        <w:spacing w:after="0" w:line="90" w:lineRule="exact"/>
        <w:rPr>
          <w:sz w:val="20"/>
          <w:szCs w:val="20"/>
          <w:color w:val="auto"/>
        </w:rPr>
      </w:pPr>
    </w:p>
    <w:p>
      <w:pPr>
        <w:ind w:left="700" w:hanging="246"/>
        <w:spacing w:after="0" w:line="268"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Pre-tax costs aggregating $47 million related to our July 2012 restructuring and integration costs associated with our acquisition of Oakleaf, which had a negative impact of $0.06 on our diluted earnings per share;</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recognition of impairment charges of $45 million, primarily associated with certain of our investments in unconsolidated entities and related assets, which had an unfavorable impact of $0.08 on our diluted earnings per share; and</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recognition of a pre-tax charge of $6 million resulting from a union labor dispute in our Western Group, which had a negative impact of $0.01 on our diluted earnings per share.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third quarter of 2011 results were affected by the following:</w:t>
      </w:r>
    </w:p>
    <w:p>
      <w:pPr>
        <w:spacing w:after="0" w:line="90" w:lineRule="exact"/>
        <w:rPr>
          <w:sz w:val="20"/>
          <w:szCs w:val="20"/>
          <w:color w:val="auto"/>
        </w:rPr>
      </w:pPr>
    </w:p>
    <w:p>
      <w:pPr>
        <w:jc w:val="both"/>
        <w:ind w:left="700" w:hanging="246"/>
        <w:spacing w:after="0" w:line="259"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recognition of pre-tax restructuring charges, excluding charges recognized in the operating results of Oakleaf, of $14 million related to our cost savings programs. These charges were primarily related to employee severance and benefit costs and had a negative impact of $0.02 on our diluted earnings per share;</w:t>
      </w:r>
    </w:p>
    <w:p>
      <w:pPr>
        <w:spacing w:after="0" w:line="59" w:lineRule="exact"/>
        <w:rPr>
          <w:rFonts w:ascii="Arial" w:cs="Arial" w:eastAsia="Arial" w:hAnsi="Arial"/>
          <w:sz w:val="18"/>
          <w:szCs w:val="18"/>
          <w:color w:val="auto"/>
        </w:rPr>
      </w:pPr>
    </w:p>
    <w:p>
      <w:pPr>
        <w:jc w:val="both"/>
        <w:ind w:left="700" w:hanging="246"/>
        <w:spacing w:after="0" w:line="306"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recognition of net non-cash, pre-tax charges of $8 million arising from the accounting effect of lower ten-year Treasury rates, which are used to discount remediation reserves and related recovery assets at our landfills, offset in part by the favorable impact from a revision to an environmental remediation liability at a closed landfill. The net charges had a negative impact of $0.01 on our diluted earnings per share;</w:t>
      </w:r>
    </w:p>
    <w:p>
      <w:pPr>
        <w:spacing w:after="0" w:line="25" w:lineRule="exact"/>
        <w:rPr>
          <w:rFonts w:ascii="Arial" w:cs="Arial" w:eastAsia="Arial" w:hAnsi="Arial"/>
          <w:sz w:val="16"/>
          <w:szCs w:val="16"/>
          <w:color w:val="auto"/>
        </w:rPr>
      </w:pPr>
    </w:p>
    <w:p>
      <w:pPr>
        <w:ind w:left="700" w:hanging="246"/>
        <w:spacing w:after="0" w:line="332"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reduction in pre-tax earnings of approximately $6 million related to the Oakleaf acquisition, which includes the operating results of Oakleaf and related interest expense and integration costs. These items had a negative impact of $0.01 on our diluted earnings per share;</w:t>
      </w:r>
    </w:p>
    <w:p>
      <w:pPr>
        <w:spacing w:after="0" w:line="4"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recognition of non-cash, pre-tax charges of $6 million related to impairments at two of our medical waste services facilities. The impairment charges had a negative impact of $0.01 on our diluted earnings per share; and</w:t>
      </w:r>
    </w:p>
    <w:p>
      <w:pPr>
        <w:spacing w:after="0" w:line="50" w:lineRule="exact"/>
        <w:rPr>
          <w:rFonts w:ascii="Arial" w:cs="Arial" w:eastAsia="Arial" w:hAnsi="Arial"/>
          <w:sz w:val="18"/>
          <w:szCs w:val="18"/>
          <w:color w:val="auto"/>
        </w:rPr>
      </w:pPr>
    </w:p>
    <w:p>
      <w:pPr>
        <w:ind w:left="700" w:right="20" w:hanging="246"/>
        <w:spacing w:after="0" w:line="26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recognition of a tax benefit of $10 million due to favorable tax audit settlements and favorable adjustments relating to the finalization of our 2010 tax returns. These items had a positive impact of $0.02 on our diluted earnings per share.</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anticipate continued improvement in our pricing and cost savings initiatives, particularly our July 2012 restructuring activities; however, throughout the remainder of 2012, we expect to see a continued year-over-year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1" w:name="page42"/>
    <w:bookmarkEnd w:id="41"/>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decline in recyclable commodity prices and from our waste-to-energy business. Because commodity markets are inherently volatile, this prediction could materially change if markets either improve or deteriorate beyond our current predictions.</w:t>
      </w:r>
    </w:p>
    <w:p>
      <w:pPr>
        <w:spacing w:after="0" w:line="5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Free Cash Flow — </w:t>
      </w:r>
      <w:r>
        <w:rPr>
          <w:rFonts w:ascii="Arial" w:cs="Arial" w:eastAsia="Arial" w:hAnsi="Arial"/>
          <w:sz w:val="16"/>
          <w:szCs w:val="16"/>
          <w:color w:val="auto"/>
        </w:rPr>
        <w:t>As is our practice, we are presenting free cash flow, which is a non-GAAP measure of liquidity, in our disclosures because we use this</w:t>
      </w:r>
      <w:r>
        <w:rPr>
          <w:rFonts w:ascii="Arial" w:cs="Arial" w:eastAsia="Arial" w:hAnsi="Arial"/>
          <w:sz w:val="16"/>
          <w:szCs w:val="16"/>
          <w:i w:val="1"/>
          <w:iCs w:val="1"/>
          <w:color w:val="auto"/>
        </w:rPr>
        <w:t xml:space="preserve"> </w:t>
      </w:r>
      <w:r>
        <w:rPr>
          <w:rFonts w:ascii="Arial" w:cs="Arial" w:eastAsia="Arial" w:hAnsi="Arial"/>
          <w:sz w:val="16"/>
          <w:szCs w:val="16"/>
          <w:color w:val="auto"/>
        </w:rPr>
        <w:t>measure in the evaluation and management of our business. We define free cash flow as net cash provided by operating activities, less capital expenditures, plus proceeds from divestitures of businesses (net of cash divested) and other sales of assets.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we believe free cash flow gives investors useful insight into how we view our liquidity. Nevertheless, the use of free cash flow as a liquidity measure has material limitations because it excludes certain expenditures that are required or that we have committed to, such as declared dividend payments and debt service requirements.</w:t>
      </w:r>
    </w:p>
    <w:p>
      <w:pPr>
        <w:spacing w:after="0" w:line="3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98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9"/>
              </w:rPr>
              <w:t>Three Months</w:t>
            </w:r>
          </w:p>
        </w:tc>
        <w:tc>
          <w:tcPr>
            <w:tcW w:w="80" w:type="dxa"/>
            <w:vAlign w:val="bottom"/>
          </w:tcPr>
          <w:p>
            <w:pPr>
              <w:spacing w:after="0"/>
              <w:rPr>
                <w:sz w:val="14"/>
                <w:szCs w:val="14"/>
                <w:color w:val="auto"/>
              </w:rPr>
            </w:pPr>
          </w:p>
        </w:tc>
        <w:tc>
          <w:tcPr>
            <w:tcW w:w="1140" w:type="dxa"/>
            <w:vAlign w:val="bottom"/>
            <w:gridSpan w:val="4"/>
          </w:tcPr>
          <w:p>
            <w:pPr>
              <w:jc w:val="center"/>
              <w:ind w:left="221"/>
              <w:spacing w:after="0"/>
              <w:rPr>
                <w:sz w:val="20"/>
                <w:szCs w:val="20"/>
                <w:color w:val="auto"/>
              </w:rPr>
            </w:pPr>
            <w:r>
              <w:rPr>
                <w:rFonts w:ascii="Arial" w:cs="Arial" w:eastAsia="Arial" w:hAnsi="Arial"/>
                <w:sz w:val="14"/>
                <w:szCs w:val="14"/>
                <w:b w:val="1"/>
                <w:bCs w:val="1"/>
                <w:color w:val="auto"/>
                <w:w w:val="90"/>
              </w:rPr>
              <w:t>Nine Months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jc w:val="center"/>
              <w:ind w:right="106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123"/>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98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14"/>
                <w:szCs w:val="14"/>
                <w:color w:val="auto"/>
              </w:rPr>
            </w:pPr>
          </w:p>
        </w:tc>
        <w:tc>
          <w:tcPr>
            <w:tcW w:w="1140" w:type="dxa"/>
            <w:vAlign w:val="bottom"/>
            <w:gridSpan w:val="4"/>
          </w:tcPr>
          <w:p>
            <w:pPr>
              <w:jc w:val="center"/>
              <w:ind w:left="241"/>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420" w:type="dxa"/>
            <w:vAlign w:val="bottom"/>
            <w:tcBorders>
              <w:top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96"/>
              </w:rPr>
              <w:t>2012</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6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$ 574</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$ 659</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1,718</w:t>
            </w: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(1,132)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(909)</w:t>
            </w:r>
          </w:p>
        </w:tc>
      </w:tr>
      <w:tr>
        <w:trPr>
          <w:trHeight w:val="208"/>
        </w:trPr>
        <w:tc>
          <w:tcPr>
            <w:tcW w:w="46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divestitures of businesses (net of cash divested) and other sales of</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60" w:type="dxa"/>
            <w:vAlign w:val="bottom"/>
          </w:tcPr>
          <w:p>
            <w:pPr>
              <w:spacing w:after="0"/>
              <w:rPr>
                <w:sz w:val="19"/>
                <w:szCs w:val="19"/>
                <w:color w:val="auto"/>
              </w:rPr>
            </w:pPr>
          </w:p>
        </w:tc>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assets(a)</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r>
      <w:tr>
        <w:trPr>
          <w:trHeight w:val="222"/>
        </w:trPr>
        <w:tc>
          <w:tcPr>
            <w:tcW w:w="7260" w:type="dxa"/>
            <w:vAlign w:val="bottom"/>
            <w:gridSpan w:val="3"/>
          </w:tcPr>
          <w:p>
            <w:pPr>
              <w:ind w:left="460"/>
              <w:spacing w:after="0"/>
              <w:rPr>
                <w:sz w:val="20"/>
                <w:szCs w:val="20"/>
                <w:color w:val="auto"/>
              </w:rPr>
            </w:pPr>
            <w:r>
              <w:rPr>
                <w:rFonts w:ascii="Arial" w:cs="Arial" w:eastAsia="Arial" w:hAnsi="Arial"/>
                <w:sz w:val="18"/>
                <w:szCs w:val="18"/>
                <w:color w:val="auto"/>
              </w:rPr>
              <w:t>Free cash flow</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$ 180</w:t>
            </w: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$ 372</w:t>
            </w:r>
          </w:p>
        </w:tc>
        <w:tc>
          <w:tcPr>
            <w:tcW w:w="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614</w:t>
            </w:r>
          </w:p>
        </w:tc>
        <w:tc>
          <w:tcPr>
            <w:tcW w:w="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867</w:t>
            </w: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46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Proceeds from divestitures of businesses for the three and nine months ended September 30, 2011 includes the receipt of a payment of $17 million related to a note receivable from a prior year divestiture. This receipt is included as a component of “Other” within “Cash flows from investing activities” in our Condensed Consolidated Statement of Cash Flows.</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When comparing our cash flow from operating activities for the three and nine months ended September 30, 2012 to the comparable periods in 2011, the decrease was primarily related to the payment of $59 million to settle the liabilities associated with the termination of forward-starting swaps in September 2012, as well as the impact of lower cash earnings and the unfavorable impacts of working capital changes. These decreases were partially offset by a decrease in tax payments of $70 million for the nine months ended September 30, 2012 as compared with the nine months ended September 30, 2011 and a favorable cash receipt of $72 million resulting from the termination of interest rate swaps in April 2012.</w:t>
      </w:r>
    </w:p>
    <w:p>
      <w:pPr>
        <w:spacing w:after="0" w:line="3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increase in capital expenditures when comparing the nine months ended September 30, 2012 with the prior year period can generally be attributed to increased spending on compressed natural gas vehicles, related fueling infrastructure and growth initiatives, and the impact of timing differences associated with cash payments for the previous years’ fourth quarter capital spending. We generally use a significant portion of our free cash flow on capital spending in the fourth quarter of each year. A more significant portion of our fourth quarter 2011 spending was paid in cash in 2012 than in the preceding year.</w:t>
      </w:r>
    </w:p>
    <w:p>
      <w:pPr>
        <w:spacing w:after="0" w:line="3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Acquisition of Oakleaf — </w:t>
      </w:r>
      <w:r>
        <w:rPr>
          <w:rFonts w:ascii="Arial" w:cs="Arial" w:eastAsia="Arial" w:hAnsi="Arial"/>
          <w:sz w:val="18"/>
          <w:szCs w:val="18"/>
          <w:color w:val="auto"/>
        </w:rPr>
        <w:t>On July 28, 2011, we paid $432 million, net of cash received of $4 million and inclusive of certain adjustments, to acquire</w:t>
      </w:r>
      <w:r>
        <w:rPr>
          <w:rFonts w:ascii="Arial" w:cs="Arial" w:eastAsia="Arial" w:hAnsi="Arial"/>
          <w:sz w:val="18"/>
          <w:szCs w:val="18"/>
          <w:i w:val="1"/>
          <w:iCs w:val="1"/>
          <w:color w:val="auto"/>
        </w:rPr>
        <w:t xml:space="preserve"> </w:t>
      </w:r>
      <w:r>
        <w:rPr>
          <w:rFonts w:ascii="Arial" w:cs="Arial" w:eastAsia="Arial" w:hAnsi="Arial"/>
          <w:sz w:val="18"/>
          <w:szCs w:val="18"/>
          <w:color w:val="auto"/>
        </w:rPr>
        <w:t>Oakleaf. Oakleaf provides outsourced waste and recycling services principally through a nationwide network of third-party haulers. The operations we acquired generated approximately $580 million in revenues in 2010. We acquired Oakleaf to advance our growth and transformation strategies and increase our national accounts customer base while enhancing our ability to provide comprehensive environmental solutions. For the year ended December 31, 2011, we incurred $1 million 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acquisition-related costs, which were classified as “Selling, general and administrative” expenses. For the three- and nine-month periods ended September 30, 2012, Oakleaf recognized revenues of $143 million and $438 million, respectively, and net losses of $4 million and $8 million, respectively. These amounts are included in our Condensed Consolidated Statement of Operations.</w:t>
      </w:r>
    </w:p>
    <w:p>
      <w:pPr>
        <w:spacing w:after="0" w:line="5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pro forma consolidated results of operations for the three and nine months ended September 30, 2011 have been prepared as if the acquisition of Oakleaf occurred at January 1, 2011 (in millions, except per share amounts):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5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9"/>
              </w:rPr>
              <w:t>Three Months</w:t>
            </w:r>
          </w:p>
        </w:tc>
        <w:tc>
          <w:tcPr>
            <w:tcW w:w="7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Nine Months</w:t>
            </w:r>
          </w:p>
        </w:tc>
      </w:tr>
      <w:tr>
        <w:trPr>
          <w:trHeight w:val="149"/>
        </w:trPr>
        <w:tc>
          <w:tcPr>
            <w:tcW w:w="7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Ended</w:t>
            </w:r>
          </w:p>
        </w:tc>
        <w:tc>
          <w:tcPr>
            <w:tcW w:w="7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7280" w:type="dxa"/>
            <w:vAlign w:val="bottom"/>
          </w:tcPr>
          <w:p>
            <w:pPr>
              <w:spacing w:after="0"/>
              <w:rPr>
                <w:sz w:val="12"/>
                <w:szCs w:val="12"/>
                <w:color w:val="auto"/>
              </w:rPr>
            </w:pPr>
          </w:p>
        </w:tc>
        <w:tc>
          <w:tcPr>
            <w:tcW w:w="15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7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7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ind w:right="79"/>
              <w:spacing w:after="0"/>
              <w:rPr>
                <w:sz w:val="20"/>
                <w:szCs w:val="20"/>
                <w:color w:val="auto"/>
              </w:rPr>
            </w:pPr>
            <w:r>
              <w:rPr>
                <w:rFonts w:ascii="Arial" w:cs="Arial" w:eastAsia="Arial" w:hAnsi="Arial"/>
                <w:sz w:val="14"/>
                <w:szCs w:val="14"/>
                <w:b w:val="1"/>
                <w:bCs w:val="1"/>
                <w:color w:val="auto"/>
                <w:w w:val="83"/>
              </w:rPr>
              <w:t>2011</w:t>
            </w:r>
          </w:p>
        </w:tc>
        <w:tc>
          <w:tcPr>
            <w:tcW w:w="720" w:type="dxa"/>
            <w:vAlign w:val="bottom"/>
          </w:tcPr>
          <w:p>
            <w:pPr>
              <w:spacing w:after="0"/>
              <w:rPr>
                <w:sz w:val="14"/>
                <w:szCs w:val="14"/>
                <w:color w:val="auto"/>
              </w:rPr>
            </w:pPr>
          </w:p>
        </w:tc>
        <w:tc>
          <w:tcPr>
            <w:tcW w:w="1540" w:type="dxa"/>
            <w:vAlign w:val="bottom"/>
            <w:gridSpan w:val="2"/>
          </w:tcPr>
          <w:p>
            <w:pPr>
              <w:jc w:val="center"/>
              <w:ind w:left="637"/>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r>
      <w:tr>
        <w:trPr>
          <w:trHeight w:val="210"/>
        </w:trPr>
        <w:tc>
          <w:tcPr>
            <w:tcW w:w="7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7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10,287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6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272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0.58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r>
      <w:tr>
        <w:trPr>
          <w:trHeight w:val="222"/>
        </w:trPr>
        <w:tc>
          <w:tcPr>
            <w:tcW w:w="72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Pr>
          <w:p>
            <w:pPr>
              <w:spacing w:after="0"/>
              <w:rPr>
                <w:sz w:val="19"/>
                <w:szCs w:val="19"/>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0.58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Fair Value Measurement </w:t>
      </w:r>
      <w:r>
        <w:rPr>
          <w:rFonts w:ascii="Arial" w:cs="Arial" w:eastAsia="Arial" w:hAnsi="Arial"/>
          <w:sz w:val="18"/>
          <w:szCs w:val="18"/>
          <w:color w:val="auto"/>
        </w:rPr>
        <w:t>— In May 2011, the Financial Accounting Standards Board (“FASB”) amended authoritative guidance associated with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This amended guidance defines certain requirements for measuring fair value and for disclosing information about fair value measurements in accordance with U.S. generally accepted accounting principles. The amendments to authoritative guidance associated with fair value measurements were effective for the Company on January 1, 2012 and have been applied prospectively. The adoption of this guidance did not have a material impact on our consolidated financial statements.</w:t>
      </w:r>
    </w:p>
    <w:p>
      <w:pPr>
        <w:spacing w:after="0" w:line="6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 In June 2011, the FASB issued amended authoritative guidance associated with comprehensive income, which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to present the total of comprehensive income, the components of net income, and the components of other comprehensive income either in a single continuous statement of comprehensive income or in two separate but consecutive statements. This update eliminates the option to present the components of other comprehensive income as part of the statement of changes in equity. In December 2011, the FASB deferred the effective date of the specific requirement to present items that are reclassified out of accumulated other comprehensive income to net income alongside their respective components of net income and other comprehensive income. The amendments to authoritative guidance associated with comprehensive income were effective for the Company on January 1, 2012 and have been applied retrospectively. The adoption of this guidance did not have a material impact on our consolidated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methods.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as described in Item 7 of our Annual Report on Form 10-K for the year ended December 31, 2011. Actual results could differ materially from the estimates and assumptions that we use in the preparation of our financial statements.</w:t>
      </w:r>
    </w:p>
    <w:p>
      <w:pPr>
        <w:spacing w:after="0" w:line="3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the second quarter of 2012, we believed that the fair value of our Wheelabrator Group could potentially be less than its carrying amount because of the negative effect on our revenues of the continued deterioration of electricity commodity prices, coupled with our continued increased exposure to market prices as a result of the expiration of several long-term, fixed-rate electricity commodity contracts at our waste-to-energy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3" w:name="page44"/>
    <w:bookmarkEnd w:id="43"/>
    <w:p>
      <w:pPr>
        <w:jc w:val="both"/>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power facilities, and the expiration of several long-term disposal contracts at above-market rates. As a result, we performed an interim impairment analysis of our Wheelabrator Group’s goodwill balance, which was $788 million as of June 30, 2012.</w:t>
      </w:r>
    </w:p>
    <w:p>
      <w:pPr>
        <w:spacing w:after="0" w:line="5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performed an interim quantitative assessment using both an income and a market approach, which indicated that the estimated fair value of our Wheelabrator Group exceeded its carrying value; however, the amount by which the fair value exceeded the carrying value declined significantly from the most recent annual impairment test performed at October 1, 2011. At that time, our Wheelabrator Group’s estimated fair value exceeded its carrying value by approximately 30%, as compared with slightly greater than 10% as of the interim impairment test performed in the second quarter of 2012. If market prices for electricity worsen or do not recover as we have projected, if our disposal rates continue to decline, or if our costs and capital expenditures exceed our forecasts, the estimated fair value of our Wheelabrator Group could decrease further and potentially result in an impairment charge in a future period. We continue to monitor our Wheelabrator Group for possible impairment of their goodwill balance.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Through the third quarter of 2012, we managed and evaluated our principal operations through our Eastern, Midwest, Southern, Western and Wheelabrator Groups. These five Groups are our reportable segments. Our four geographic operating Groups provide collection, transfer, disposal (in both solid waste and hazardous waste landfills) and recycling services for residential, commercial, industrial and municipal customers throughout North America. Our fifth Group is the Wheelabrator Group, which provides waste-to-energy services and manages waste-to-energy facilities and independent power production plants in the United States and through investments in China and Europe. In addition, the Oakleaf operations we acquired on July 28, 2011 represent a separate operating segment; however, they do not meet the criteria to be presented as a separate reportable segment.</w:t>
      </w:r>
    </w:p>
    <w:p>
      <w:pPr>
        <w:spacing w:after="0" w:line="39"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also provide additional services that are not managed through our five Groups, including the Oakleaf operations referenced above, recycling brokerage services, electronic recycling services, in-plant services, landfill gas-to-energy services, integrated medical waste services and expanded service offerings and solutions. Part of our expansion of services includes offering portable self-storage services and fluorescent bulb and universal waste mail-back through our LampTracker</w:t>
      </w:r>
      <w:r>
        <w:rPr>
          <w:rFonts w:ascii="Arial" w:cs="Arial" w:eastAsia="Arial" w:hAnsi="Arial"/>
          <w:sz w:val="11"/>
          <w:szCs w:val="11"/>
          <w:color w:val="auto"/>
        </w:rPr>
        <w:t>®</w:t>
      </w:r>
      <w:r>
        <w:rPr>
          <w:rFonts w:ascii="Arial" w:cs="Arial" w:eastAsia="Arial" w:hAnsi="Arial"/>
          <w:sz w:val="18"/>
          <w:szCs w:val="18"/>
          <w:color w:val="auto"/>
        </w:rPr>
        <w:t xml:space="preserve"> program. In addition, we have made investments that involve the acquisition and development of interests in oil and gas producing properties. These operations are presented as “Other” in the table below.</w:t>
      </w:r>
    </w:p>
    <w:p>
      <w:pPr>
        <w:spacing w:after="0" w:line="6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July 2012, we announced a reorganization of our operations, designed to streamline management and staff support and reduce our cost structure, while not disrupting our front-line operations. We are in the process of implementing the reorganization, which includes the elimination of our four existing geographic Groups, and we expect it to be completed by the end of 2012. Once the reorganization has been completed, our reportable segments will be realigned to conform with our new management structure. Refer to Note 10 to the Condensed Consolidated Financial Statements for more information related to this reorganization.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Shown below (in millions) is the contribution to revenues during each period provided by our five Groups and our Other services: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89"/>
              </w:rPr>
              <w:t>Three Months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2012</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2012</w:t>
            </w: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Eastern</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Midwest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833</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847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2,412</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Southern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2,575</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840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841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2,472</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631</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552</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1,564</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(1,733)</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3,461</w:t>
            </w: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3,522</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10,215</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$ 9,972</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mix of operating revenues from our major lines of business is reflected in the table below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17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7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2012</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2012</w:t>
            </w: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Collection:</w:t>
            </w:r>
          </w:p>
        </w:tc>
        <w:tc>
          <w:tcPr>
            <w:tcW w:w="2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440"/>
              <w:spacing w:after="0"/>
              <w:rPr>
                <w:sz w:val="20"/>
                <w:szCs w:val="20"/>
                <w:color w:val="auto"/>
              </w:rPr>
            </w:pPr>
            <w:r>
              <w:rPr>
                <w:rFonts w:ascii="Arial" w:cs="Arial" w:eastAsia="Arial" w:hAnsi="Arial"/>
                <w:sz w:val="18"/>
                <w:szCs w:val="18"/>
                <w:color w:val="auto"/>
              </w:rPr>
              <w:t>Commercial</w:t>
            </w:r>
          </w:p>
        </w:tc>
        <w:tc>
          <w:tcPr>
            <w:tcW w:w="3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851</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885</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2,571</w:t>
            </w:r>
          </w:p>
        </w:tc>
        <w:tc>
          <w:tcPr>
            <w:tcW w:w="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$ 2,620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16"/>
        </w:trPr>
        <w:tc>
          <w:tcPr>
            <w:tcW w:w="3560" w:type="dxa"/>
            <w:vAlign w:val="bottom"/>
          </w:tcPr>
          <w:p>
            <w:pPr>
              <w:ind w:left="440"/>
              <w:spacing w:after="0"/>
              <w:rPr>
                <w:sz w:val="20"/>
                <w:szCs w:val="20"/>
                <w:color w:val="auto"/>
              </w:rPr>
            </w:pPr>
            <w:r>
              <w:rPr>
                <w:rFonts w:ascii="Arial" w:cs="Arial" w:eastAsia="Arial" w:hAnsi="Arial"/>
                <w:sz w:val="18"/>
                <w:szCs w:val="18"/>
                <w:color w:val="auto"/>
              </w:rPr>
              <w:t>Industrial</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1,591</w:t>
            </w:r>
          </w:p>
        </w:tc>
        <w:tc>
          <w:tcPr>
            <w:tcW w:w="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60" w:type="dxa"/>
            <w:vAlign w:val="bottom"/>
          </w:tcPr>
          <w:p>
            <w:pPr>
              <w:ind w:left="880"/>
              <w:spacing w:after="0"/>
              <w:rPr>
                <w:sz w:val="20"/>
                <w:szCs w:val="20"/>
                <w:color w:val="auto"/>
              </w:rPr>
            </w:pPr>
            <w:r>
              <w:rPr>
                <w:rFonts w:ascii="Arial" w:cs="Arial" w:eastAsia="Arial" w:hAnsi="Arial"/>
                <w:sz w:val="18"/>
                <w:szCs w:val="18"/>
                <w:color w:val="auto"/>
              </w:rPr>
              <w:t>Total collection</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2,119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2,150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6,299</w:t>
            </w:r>
          </w:p>
        </w:tc>
        <w:tc>
          <w:tcPr>
            <w:tcW w:w="8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6,287</w:t>
            </w:r>
          </w:p>
        </w:tc>
        <w:tc>
          <w:tcPr>
            <w:tcW w:w="0" w:type="dxa"/>
            <w:vAlign w:val="bottom"/>
          </w:tcPr>
          <w:p>
            <w:pPr>
              <w:spacing w:after="0"/>
              <w:rPr>
                <w:sz w:val="1"/>
                <w:szCs w:val="1"/>
                <w:color w:val="auto"/>
              </w:rPr>
            </w:pPr>
          </w:p>
        </w:tc>
      </w:tr>
      <w:tr>
        <w:trPr>
          <w:trHeight w:val="218"/>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Transfer</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961</w:t>
            </w:r>
          </w:p>
        </w:tc>
        <w:tc>
          <w:tcPr>
            <w:tcW w:w="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Recycling</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1,030</w:t>
            </w:r>
          </w:p>
        </w:tc>
        <w:tc>
          <w:tcPr>
            <w:tcW w:w="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Intercompany</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(622)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(1,733)</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3,461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3,522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10,215</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$ 9,972</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960" w:type="dxa"/>
            <w:vAlign w:val="bottom"/>
            <w:vMerge w:val="restart"/>
          </w:tcPr>
          <w:p>
            <w:pPr>
              <w:jc w:val="right"/>
              <w:ind w:right="1092"/>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6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80" w:right="699" w:bottom="1440" w:gutter="0" w:footer="0" w:header="0"/>
        </w:sectPr>
      </w:pPr>
    </w:p>
    <w:bookmarkStart w:id="45" w:name="page46"/>
    <w:bookmarkEnd w:id="4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details associated with the period-to-period change in revenues (dollars in millions) along with an explanation of the significant components of the current period changes: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0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w w:val="89"/>
              </w:rPr>
              <w:t>Period-to-Period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89"/>
              </w:rPr>
              <w:t>Period-to-Period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gridSpan w:val="3"/>
          </w:tcPr>
          <w:p>
            <w:pPr>
              <w:jc w:val="center"/>
              <w:ind w:right="152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gridSpan w:val="5"/>
          </w:tcPr>
          <w:p>
            <w:pPr>
              <w:jc w:val="center"/>
              <w:ind w:right="108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2"/>
                <w:szCs w:val="12"/>
                <w:color w:val="auto"/>
              </w:rPr>
            </w:pPr>
          </w:p>
        </w:tc>
        <w:tc>
          <w:tcPr>
            <w:tcW w:w="216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gridSpan w:val="3"/>
          </w:tcPr>
          <w:p>
            <w:pPr>
              <w:jc w:val="center"/>
              <w:ind w:right="15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84"/>
              </w:rPr>
              <w:t>2012 vs. 2011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82"/>
              </w:rPr>
              <w:t>2012 vs. 2011</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9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2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9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yield(b)</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(148)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(284)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Volume</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420" w:type="dxa"/>
            <w:vAlign w:val="bottom"/>
            <w:gridSpan w:val="3"/>
          </w:tcPr>
          <w:p>
            <w:pPr>
              <w:jc w:val="right"/>
              <w:ind w:right="90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53</w:t>
            </w:r>
          </w:p>
        </w:tc>
        <w:tc>
          <w:tcPr>
            <w:tcW w:w="1720" w:type="dxa"/>
            <w:vAlign w:val="bottom"/>
            <w:gridSpan w:val="3"/>
          </w:tcPr>
          <w:p>
            <w:pPr>
              <w:jc w:val="right"/>
              <w:ind w:right="2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(153)</w:t>
            </w:r>
          </w:p>
        </w:tc>
        <w:tc>
          <w:tcPr>
            <w:tcW w:w="242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(231)</w:t>
            </w:r>
          </w:p>
        </w:tc>
        <w:tc>
          <w:tcPr>
            <w:tcW w:w="1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8"/>
                <w:szCs w:val="18"/>
                <w:color w:val="auto"/>
              </w:rPr>
            </w:pP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95</w:t>
            </w:r>
          </w:p>
        </w:tc>
        <w:tc>
          <w:tcPr>
            <w:tcW w:w="2420" w:type="dxa"/>
            <w:vAlign w:val="bottom"/>
            <w:gridSpan w:val="3"/>
          </w:tcPr>
          <w:p>
            <w:pPr>
              <w:jc w:val="right"/>
              <w:ind w:right="96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490</w:t>
            </w:r>
          </w:p>
        </w:tc>
        <w:tc>
          <w:tcPr>
            <w:tcW w:w="1720" w:type="dxa"/>
            <w:vAlign w:val="bottom"/>
            <w:gridSpan w:val="3"/>
          </w:tcPr>
          <w:p>
            <w:pPr>
              <w:jc w:val="right"/>
              <w:ind w:right="2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Divestitures</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420" w:type="dxa"/>
            <w:vAlign w:val="bottom"/>
            <w:gridSpan w:val="3"/>
          </w:tcPr>
          <w:p>
            <w:pPr>
              <w:jc w:val="right"/>
              <w:ind w:right="90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720" w:type="dxa"/>
            <w:vAlign w:val="bottom"/>
            <w:gridSpan w:val="3"/>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1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Calculated by dividing the amount of current period increase or decrease by the prior period’s total Company revenue adjusted to exclude the impacts of divestitures for the current period ($3,521 million and $9,970 million for the three- and nine-month periods, respectively).</w:t>
      </w:r>
    </w:p>
    <w:p>
      <w:pPr>
        <w:spacing w:after="0" w:line="23"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We analyze the changes in average yield in terms of related business revenues in order to differentiate the changes in yield attributable to our pricing strategies from the changes that are caused by market-driven price changes in commodities. The following table summarizes changes in revenues from average yield on a related-business basis:</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4"/>
          </w:tcPr>
          <w:p>
            <w:pPr>
              <w:jc w:val="center"/>
              <w:ind w:right="920"/>
              <w:spacing w:after="0"/>
              <w:rPr>
                <w:sz w:val="20"/>
                <w:szCs w:val="20"/>
                <w:color w:val="auto"/>
              </w:rPr>
            </w:pPr>
            <w:r>
              <w:rPr>
                <w:rFonts w:ascii="Arial" w:cs="Arial" w:eastAsia="Arial" w:hAnsi="Arial"/>
                <w:sz w:val="14"/>
                <w:szCs w:val="14"/>
                <w:b w:val="1"/>
                <w:bCs w:val="1"/>
                <w:color w:val="auto"/>
                <w:w w:val="89"/>
              </w:rPr>
              <w:t>Period-to-Period</w:t>
            </w:r>
          </w:p>
        </w:tc>
        <w:tc>
          <w:tcPr>
            <w:tcW w:w="120" w:type="dxa"/>
            <w:vAlign w:val="bottom"/>
          </w:tcPr>
          <w:p>
            <w:pPr>
              <w:spacing w:after="0"/>
              <w:rPr>
                <w:sz w:val="14"/>
                <w:szCs w:val="14"/>
                <w:color w:val="auto"/>
              </w:rPr>
            </w:pPr>
          </w:p>
        </w:tc>
        <w:tc>
          <w:tcPr>
            <w:tcW w:w="19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Period-to-Period</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4"/>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120" w:type="dxa"/>
            <w:vAlign w:val="bottom"/>
          </w:tcPr>
          <w:p>
            <w:pPr>
              <w:spacing w:after="0"/>
              <w:rPr>
                <w:sz w:val="12"/>
                <w:szCs w:val="12"/>
                <w:color w:val="auto"/>
              </w:rPr>
            </w:pPr>
          </w:p>
        </w:tc>
        <w:tc>
          <w:tcPr>
            <w:tcW w:w="19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4"/>
          </w:tcPr>
          <w:p>
            <w:pPr>
              <w:jc w:val="center"/>
              <w:ind w:right="92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2"/>
                <w:szCs w:val="12"/>
                <w:color w:val="auto"/>
              </w:rPr>
            </w:pPr>
          </w:p>
        </w:tc>
        <w:tc>
          <w:tcPr>
            <w:tcW w:w="19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4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3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4"/>
              </w:rPr>
              <w:t>2012 vs. 2011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4"/>
              </w:rPr>
              <w:t>2012 vs. 2011</w:t>
            </w:r>
          </w:p>
        </w:tc>
        <w:tc>
          <w:tcPr>
            <w:tcW w:w="0" w:type="dxa"/>
            <w:vAlign w:val="bottom"/>
          </w:tcPr>
          <w:p>
            <w:pPr>
              <w:spacing w:after="0"/>
              <w:rPr>
                <w:sz w:val="1"/>
                <w:szCs w:val="1"/>
                <w:color w:val="auto"/>
              </w:rPr>
            </w:pPr>
          </w:p>
        </w:tc>
      </w:tr>
      <w:tr>
        <w:trPr>
          <w:trHeight w:val="129"/>
        </w:trPr>
        <w:tc>
          <w:tcPr>
            <w:tcW w:w="39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Related</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Related</w:t>
            </w:r>
          </w:p>
        </w:tc>
        <w:tc>
          <w:tcPr>
            <w:tcW w:w="0" w:type="dxa"/>
            <w:vAlign w:val="bottom"/>
          </w:tcPr>
          <w:p>
            <w:pPr>
              <w:spacing w:after="0"/>
              <w:rPr>
                <w:sz w:val="1"/>
                <w:szCs w:val="1"/>
                <w:color w:val="auto"/>
              </w:rPr>
            </w:pPr>
          </w:p>
        </w:tc>
      </w:tr>
      <w:tr>
        <w:trPr>
          <w:trHeight w:val="161"/>
        </w:trPr>
        <w:tc>
          <w:tcPr>
            <w:tcW w:w="3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4"/>
              </w:rPr>
              <w:t>Business(i)</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Business(i)</w:t>
            </w: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yield:</w:t>
            </w:r>
          </w:p>
        </w:tc>
        <w:tc>
          <w:tcPr>
            <w:tcW w:w="1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Collection, landfill and transfer</w:t>
            </w:r>
          </w:p>
        </w:tc>
        <w:tc>
          <w:tcPr>
            <w:tcW w:w="2080" w:type="dxa"/>
            <w:vAlign w:val="bottom"/>
            <w:gridSpan w:val="2"/>
          </w:tcPr>
          <w:p>
            <w:pPr>
              <w:ind w:left="196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32"/>
              <w:spacing w:after="0"/>
              <w:rPr>
                <w:sz w:val="20"/>
                <w:szCs w:val="20"/>
                <w:color w:val="auto"/>
              </w:rPr>
            </w:pPr>
            <w:r>
              <w:rPr>
                <w:rFonts w:ascii="Arial" w:cs="Arial" w:eastAsia="Arial" w:hAnsi="Arial"/>
                <w:sz w:val="18"/>
                <w:szCs w:val="18"/>
                <w:color w:val="auto"/>
              </w:rPr>
              <w:t>27</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32"/>
              <w:spacing w:after="0"/>
              <w:rPr>
                <w:sz w:val="20"/>
                <w:szCs w:val="20"/>
                <w:color w:val="auto"/>
              </w:rPr>
            </w:pPr>
            <w:r>
              <w:rPr>
                <w:rFonts w:ascii="Arial" w:cs="Arial" w:eastAsia="Arial" w:hAnsi="Arial"/>
                <w:sz w:val="18"/>
                <w:szCs w:val="18"/>
                <w:color w:val="auto"/>
              </w:rPr>
              <w:t>78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Waste-to-energy disposal(ii)</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(5)</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(18)</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Collection and disposal(ii)</w:t>
            </w:r>
          </w:p>
        </w:tc>
        <w:tc>
          <w:tcPr>
            <w:tcW w:w="1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vMerge w:val="restart"/>
          </w:tcPr>
          <w:p>
            <w:pPr>
              <w:jc w:val="right"/>
              <w:ind w:right="80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00" w:type="dxa"/>
            <w:vAlign w:val="bottom"/>
            <w:vMerge w:val="continue"/>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32"/>
              <w:spacing w:after="0"/>
              <w:rPr>
                <w:sz w:val="20"/>
                <w:szCs w:val="20"/>
                <w:color w:val="auto"/>
              </w:rPr>
            </w:pPr>
            <w:r>
              <w:rPr>
                <w:rFonts w:ascii="Arial" w:cs="Arial" w:eastAsia="Arial" w:hAnsi="Arial"/>
                <w:sz w:val="18"/>
                <w:szCs w:val="18"/>
                <w:color w:val="auto"/>
              </w:rPr>
              <w:t>22</w:t>
            </w:r>
          </w:p>
        </w:tc>
        <w:tc>
          <w:tcPr>
            <w:tcW w:w="14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32"/>
              <w:spacing w:after="0"/>
              <w:rPr>
                <w:sz w:val="20"/>
                <w:szCs w:val="20"/>
                <w:color w:val="auto"/>
              </w:rPr>
            </w:pPr>
            <w:r>
              <w:rPr>
                <w:rFonts w:ascii="Arial" w:cs="Arial" w:eastAsia="Arial" w:hAnsi="Arial"/>
                <w:sz w:val="18"/>
                <w:szCs w:val="18"/>
                <w:color w:val="auto"/>
              </w:rPr>
              <w:t>60</w:t>
            </w:r>
          </w:p>
        </w:tc>
        <w:tc>
          <w:tcPr>
            <w:tcW w:w="6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95"/>
              </w:rPr>
              <w:t>(176)</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95"/>
              </w:rPr>
              <w:t>(345)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Electricity(ii)</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72"/>
              <w:spacing w:after="0"/>
              <w:rPr>
                <w:sz w:val="20"/>
                <w:szCs w:val="20"/>
                <w:color w:val="auto"/>
              </w:rPr>
            </w:pPr>
            <w:r>
              <w:rPr>
                <w:rFonts w:ascii="Arial" w:cs="Arial" w:eastAsia="Arial" w:hAnsi="Arial"/>
                <w:sz w:val="18"/>
                <w:szCs w:val="18"/>
                <w:color w:val="auto"/>
              </w:rPr>
              <w:t>(2)</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060" w:type="dxa"/>
            <w:vAlign w:val="bottom"/>
            <w:gridSpan w:val="2"/>
          </w:tcPr>
          <w:p>
            <w:pPr>
              <w:jc w:val="right"/>
              <w:ind w:right="572"/>
              <w:spacing w:after="0"/>
              <w:rPr>
                <w:sz w:val="20"/>
                <w:szCs w:val="20"/>
                <w:color w:val="auto"/>
              </w:rPr>
            </w:pPr>
            <w:r>
              <w:rPr>
                <w:rFonts w:ascii="Arial" w:cs="Arial" w:eastAsia="Arial" w:hAnsi="Arial"/>
                <w:sz w:val="18"/>
                <w:szCs w:val="18"/>
                <w:color w:val="auto"/>
              </w:rPr>
              <w:t>(16)</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8</w:t>
            </w: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vMerge w:val="restart"/>
          </w:tcPr>
          <w:p>
            <w:pPr>
              <w:jc w:val="right"/>
              <w:ind w:right="74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221"/>
        </w:trPr>
        <w:tc>
          <w:tcPr>
            <w:tcW w:w="3900" w:type="dxa"/>
            <w:vAlign w:val="bottom"/>
            <w:vMerge w:val="continue"/>
          </w:tcPr>
          <w:p>
            <w:pPr>
              <w:spacing w:after="0"/>
              <w:rPr>
                <w:sz w:val="19"/>
                <w:szCs w:val="19"/>
                <w:color w:val="auto"/>
              </w:rPr>
            </w:pPr>
          </w:p>
        </w:tc>
        <w:tc>
          <w:tcPr>
            <w:tcW w:w="2080" w:type="dxa"/>
            <w:vAlign w:val="bottom"/>
            <w:gridSpan w:val="2"/>
          </w:tcPr>
          <w:p>
            <w:pPr>
              <w:ind w:left="196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572"/>
              <w:spacing w:after="0"/>
              <w:rPr>
                <w:sz w:val="20"/>
                <w:szCs w:val="20"/>
                <w:color w:val="auto"/>
              </w:rPr>
            </w:pPr>
            <w:r>
              <w:rPr>
                <w:rFonts w:ascii="Arial" w:cs="Arial" w:eastAsia="Arial" w:hAnsi="Arial"/>
                <w:sz w:val="18"/>
                <w:szCs w:val="18"/>
                <w:color w:val="auto"/>
                <w:w w:val="95"/>
              </w:rPr>
              <w:t>(148)</w:t>
            </w:r>
          </w:p>
        </w:tc>
        <w:tc>
          <w:tcPr>
            <w:tcW w:w="144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572"/>
              <w:spacing w:after="0"/>
              <w:rPr>
                <w:sz w:val="20"/>
                <w:szCs w:val="20"/>
                <w:color w:val="auto"/>
              </w:rPr>
            </w:pPr>
            <w:r>
              <w:rPr>
                <w:rFonts w:ascii="Arial" w:cs="Arial" w:eastAsia="Arial" w:hAnsi="Arial"/>
                <w:sz w:val="18"/>
                <w:szCs w:val="18"/>
                <w:color w:val="auto"/>
                <w:w w:val="95"/>
              </w:rPr>
              <w:t>(284)</w:t>
            </w:r>
          </w:p>
        </w:tc>
        <w:tc>
          <w:tcPr>
            <w:tcW w:w="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960" w:type="dxa"/>
            <w:vAlign w:val="bottom"/>
            <w:vMerge w:val="restart"/>
          </w:tcPr>
          <w:p>
            <w:pPr>
              <w:jc w:val="right"/>
              <w:ind w:right="432"/>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6" w:name="page47"/>
    <w:bookmarkEnd w:id="46"/>
    <w:p>
      <w:pPr>
        <w:jc w:val="both"/>
        <w:ind w:left="900" w:hanging="446"/>
        <w:spacing w:after="0" w:line="305"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517525</wp:posOffset>
            </wp:positionH>
            <wp:positionV relativeFrom="page">
              <wp:posOffset>252095</wp:posOffset>
            </wp:positionV>
            <wp:extent cx="9436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43610" cy="8890"/>
                    </a:xfrm>
                    <a:prstGeom prst="rect">
                      <a:avLst/>
                    </a:prstGeom>
                    <a:noFill/>
                  </pic:spPr>
                </pic:pic>
              </a:graphicData>
            </a:graphic>
          </wp:anchor>
        </w:drawing>
        <w:t>Calculated by dividing the increase or decrease for the current period by the prior period’s related business revenue, adjusted to exclude the impacts of divestitures for the current period. The table below summarizes the related business revenues for the three and nine months ended September 30,</w:t>
      </w:r>
    </w:p>
    <w:p>
      <w:pPr>
        <w:ind w:left="900"/>
        <w:spacing w:after="0"/>
        <w:rPr>
          <w:rFonts w:ascii="Arial" w:cs="Arial" w:eastAsia="Arial" w:hAnsi="Arial"/>
          <w:sz w:val="15"/>
          <w:szCs w:val="15"/>
          <w:color w:val="auto"/>
        </w:rPr>
      </w:pPr>
      <w:r>
        <w:rPr>
          <w:rFonts w:ascii="Arial" w:cs="Arial" w:eastAsia="Arial" w:hAnsi="Arial"/>
          <w:sz w:val="18"/>
          <w:szCs w:val="18"/>
          <w:color w:val="auto"/>
        </w:rPr>
        <w:t>2011 adjusted to exclude the impacts of divestitures:</w:t>
      </w:r>
    </w:p>
    <w:p>
      <w:pPr>
        <w:spacing w:after="0" w:line="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Denominator</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94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Nine Months</w:t>
            </w:r>
          </w:p>
        </w:tc>
        <w:tc>
          <w:tcPr>
            <w:tcW w:w="100" w:type="dxa"/>
            <w:vAlign w:val="bottom"/>
          </w:tcPr>
          <w:p>
            <w:pPr>
              <w:spacing w:after="0"/>
              <w:rPr>
                <w:sz w:val="11"/>
                <w:szCs w:val="11"/>
                <w:color w:val="auto"/>
              </w:rPr>
            </w:pPr>
          </w:p>
        </w:tc>
      </w:tr>
      <w:tr>
        <w:trPr>
          <w:trHeight w:val="149"/>
        </w:trPr>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w w:val="98"/>
              </w:rPr>
              <w:t>Ended</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September 30</w:t>
            </w:r>
          </w:p>
        </w:tc>
        <w:tc>
          <w:tcPr>
            <w:tcW w:w="9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September 30</w:t>
            </w:r>
          </w:p>
        </w:tc>
      </w:tr>
      <w:tr>
        <w:trPr>
          <w:trHeight w:val="196"/>
        </w:trPr>
        <w:tc>
          <w:tcPr>
            <w:tcW w:w="782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Related business revenues:</w:t>
            </w: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7700" w:type="dxa"/>
            <w:vAlign w:val="bottom"/>
            <w:gridSpan w:val="2"/>
          </w:tcPr>
          <w:p>
            <w:pPr>
              <w:ind w:left="320"/>
              <w:spacing w:after="0"/>
              <w:rPr>
                <w:sz w:val="20"/>
                <w:szCs w:val="20"/>
                <w:color w:val="auto"/>
              </w:rPr>
            </w:pPr>
            <w:r>
              <w:rPr>
                <w:rFonts w:ascii="Arial" w:cs="Arial" w:eastAsia="Arial" w:hAnsi="Arial"/>
                <w:sz w:val="18"/>
                <w:szCs w:val="18"/>
                <w:color w:val="auto"/>
              </w:rPr>
              <w:t>Collection, landfill and transfer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2,711</w:t>
            </w:r>
          </w:p>
        </w:tc>
        <w:tc>
          <w:tcPr>
            <w:tcW w:w="11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7,697</w:t>
            </w:r>
          </w:p>
        </w:tc>
        <w:tc>
          <w:tcPr>
            <w:tcW w:w="10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Waste-to-energy disposal</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r>
      <w:tr>
        <w:trPr>
          <w:trHeight w:val="221"/>
        </w:trPr>
        <w:tc>
          <w:tcPr>
            <w:tcW w:w="7820" w:type="dxa"/>
            <w:vAlign w:val="bottom"/>
            <w:gridSpan w:val="3"/>
          </w:tcPr>
          <w:p>
            <w:pPr>
              <w:spacing w:after="0"/>
              <w:rPr>
                <w:sz w:val="20"/>
                <w:szCs w:val="20"/>
                <w:color w:val="auto"/>
              </w:rPr>
            </w:pPr>
            <w:r>
              <w:rPr>
                <w:rFonts w:ascii="Arial" w:cs="Arial" w:eastAsia="Arial" w:hAnsi="Arial"/>
                <w:sz w:val="18"/>
                <w:szCs w:val="18"/>
                <w:color w:val="auto"/>
              </w:rPr>
              <w:t>Collection and disposal</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2,832</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8,046</w:t>
            </w:r>
          </w:p>
        </w:tc>
        <w:tc>
          <w:tcPr>
            <w:tcW w:w="100" w:type="dxa"/>
            <w:vAlign w:val="bottom"/>
          </w:tcPr>
          <w:p>
            <w:pPr>
              <w:spacing w:after="0"/>
              <w:rPr>
                <w:sz w:val="19"/>
                <w:szCs w:val="19"/>
                <w:color w:val="auto"/>
              </w:rPr>
            </w:pPr>
          </w:p>
        </w:tc>
      </w:tr>
      <w:tr>
        <w:trPr>
          <w:trHeight w:val="218"/>
        </w:trPr>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Recycling commodity</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18"/>
                <w:szCs w:val="18"/>
                <w:color w:val="auto"/>
              </w:rPr>
            </w:pPr>
          </w:p>
        </w:tc>
      </w:tr>
      <w:tr>
        <w:trPr>
          <w:trHeight w:val="216"/>
        </w:trPr>
        <w:tc>
          <w:tcPr>
            <w:tcW w:w="7820" w:type="dxa"/>
            <w:vAlign w:val="bottom"/>
            <w:gridSpan w:val="3"/>
          </w:tcPr>
          <w:p>
            <w:pPr>
              <w:spacing w:after="0"/>
              <w:rPr>
                <w:sz w:val="20"/>
                <w:szCs w:val="20"/>
                <w:color w:val="auto"/>
              </w:rPr>
            </w:pPr>
            <w:r>
              <w:rPr>
                <w:rFonts w:ascii="Arial" w:cs="Arial" w:eastAsia="Arial" w:hAnsi="Arial"/>
                <w:sz w:val="18"/>
                <w:szCs w:val="18"/>
                <w:color w:val="auto"/>
              </w:rPr>
              <w:t>Electricity</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r>
      <w:tr>
        <w:trPr>
          <w:trHeight w:val="216"/>
        </w:trPr>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r>
      <w:tr>
        <w:trPr>
          <w:trHeight w:val="222"/>
        </w:trPr>
        <w:tc>
          <w:tcPr>
            <w:tcW w:w="120" w:type="dxa"/>
            <w:vAlign w:val="bottom"/>
          </w:tcPr>
          <w:p>
            <w:pPr>
              <w:spacing w:after="0"/>
              <w:rPr>
                <w:sz w:val="19"/>
                <w:szCs w:val="19"/>
                <w:color w:val="auto"/>
              </w:rPr>
            </w:pPr>
          </w:p>
        </w:tc>
        <w:tc>
          <w:tcPr>
            <w:tcW w:w="7700" w:type="dxa"/>
            <w:vAlign w:val="bottom"/>
            <w:gridSpan w:val="2"/>
          </w:tcPr>
          <w:p>
            <w:pPr>
              <w:ind w:left="320"/>
              <w:spacing w:after="0"/>
              <w:rPr>
                <w:sz w:val="20"/>
                <w:szCs w:val="20"/>
                <w:color w:val="auto"/>
              </w:rPr>
            </w:pPr>
            <w:r>
              <w:rPr>
                <w:rFonts w:ascii="Arial" w:cs="Arial" w:eastAsia="Arial" w:hAnsi="Arial"/>
                <w:sz w:val="18"/>
                <w:szCs w:val="18"/>
                <w:color w:val="auto"/>
              </w:rPr>
              <w:t>Total Company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3,521</w:t>
            </w:r>
          </w:p>
        </w:tc>
        <w:tc>
          <w:tcPr>
            <w:tcW w:w="11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9,970</w:t>
            </w:r>
          </w:p>
        </w:tc>
        <w:tc>
          <w:tcPr>
            <w:tcW w:w="10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0"/>
        </w:trPr>
        <w:tc>
          <w:tcPr>
            <w:tcW w:w="120" w:type="dxa"/>
            <w:vAlign w:val="bottom"/>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6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19" w:lineRule="exact"/>
        <w:rPr>
          <w:sz w:val="20"/>
          <w:szCs w:val="20"/>
          <w:color w:val="auto"/>
        </w:rPr>
      </w:pPr>
    </w:p>
    <w:p>
      <w:pPr>
        <w:ind w:left="900" w:right="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revenue growth from yield for “Collection and disposal” excludes all electricity-related revenues generated by our Wheelabrator Group, which are reported as “Electricity” revenues.</w:t>
      </w:r>
    </w:p>
    <w:p>
      <w:pPr>
        <w:spacing w:after="0" w:line="5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revenues decreased $61 million, or 1.7%, during the three months ended September 30, 2012 as compared with the prior year period. This decrease was primarily driven by a decline in recyclable commodity prices, which was partially offset by revenue growth from acquisitions and yield on our collection and disposal lines of business. Our revenue growth from acquisitions includes $44 million from our acquisition of Oakleaf. Note that the overall rate of revenue growth due to acquisitions for the three months ended September 30, 2012 has decreased significantly as compared to previous quarters in 2012 as a result of the anniversary of our Oakleaf acquisition at the end of July 2012.</w:t>
      </w:r>
    </w:p>
    <w:p>
      <w:pPr>
        <w:spacing w:after="0" w:line="3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revenues increased $243 million, or 2.4%, for the nine months ended September 30, 2012 as compared with the prior year period. During the nine-month period, our revenue growth has been driven by (i) acquisitions, particularly the acquisition of Oakleaf, which increased consolidated revenues $314 million for the nine months ended September 30, 2012, (ii) increased collection and disposal average yield, and (iii) increased volume. Offsetting these revenue increases were market factors, including lower recyclable commodity prices, primarily driven by the continued increase in supply and lower demand; lower electricity prices and foreign currency translation. Electricity prices correlate with natural gas prices and cause fluctuations in the rates we receive for electricity under our power purchase contracts and merchant transactions. Foreign currency translation affects revenues from our Canadian operations.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provides further details associated with our period-to-period change in revenues.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Average yield</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Collection and disposal average yield </w:t>
      </w:r>
      <w:r>
        <w:rPr>
          <w:rFonts w:ascii="Arial" w:cs="Arial" w:eastAsia="Arial" w:hAnsi="Arial"/>
          <w:sz w:val="18"/>
          <w:szCs w:val="18"/>
          <w:color w:val="auto"/>
        </w:rPr>
        <w:t>— This measure reflects the effect on our revenue from the pricing activities of our collection, transfer, landfill and</w:t>
      </w:r>
      <w:r>
        <w:rPr>
          <w:rFonts w:ascii="Arial" w:cs="Arial" w:eastAsia="Arial" w:hAnsi="Arial"/>
          <w:sz w:val="18"/>
          <w:szCs w:val="18"/>
          <w:i w:val="1"/>
          <w:iCs w:val="1"/>
          <w:color w:val="auto"/>
        </w:rPr>
        <w:t xml:space="preserve"> </w:t>
      </w:r>
      <w:r>
        <w:rPr>
          <w:rFonts w:ascii="Arial" w:cs="Arial" w:eastAsia="Arial" w:hAnsi="Arial"/>
          <w:sz w:val="18"/>
          <w:szCs w:val="18"/>
          <w:color w:val="auto"/>
        </w:rPr>
        <w:t>waste-to-energy disposal operations, exclusive of volume changes. Revenue growth from collection and disposal average yield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6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revenue growth from yield on our collection and disposal lines of business was $22 million, or 0.8%, and $60 million, or 0.7%, for the three and nine months ended September 30, 2012, respectively. This increase in revenue from yield was primarily driven by our collection operations, particularly in our commercial and industrial lines of business. Our overall revenue growth from yield in our residential line of business improved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82" w:right="239" w:bottom="1440" w:gutter="0" w:footer="0" w:header="0"/>
        </w:sectPr>
      </w:pPr>
    </w:p>
    <w:bookmarkStart w:id="47" w:name="page48"/>
    <w:bookmarkEnd w:id="47"/>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quarter ended September 30, 2012 and was favorable for the first nine months of 2012. However, our Eastern and Southern Groups continued to experience downward pressure on our revenue growth from yield in our residential line of business, where we experienced negative revenue growth from yield for the first nine months of 2012. Due to competition, it is increasingly difficult to retain customers and to win new contracts at current average rates; as a result, in many instances, the Company has offered increased services without a commensurate increase in pricing when bidding on or renewing residential contracts and pursuing residential subscription business. These increased services are principally recycling services, which are typically priced lower than our average rates. This combination of increased competition and bundling of complementary services, such as recycling, in the residential line of business has put added pressure on our revenue growth from yield.</w:t>
      </w:r>
    </w:p>
    <w:p>
      <w:pPr>
        <w:spacing w:after="0" w:line="3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For the three and nine months ended September 30, 2012, our total collection and disposal revenue growth from yield was negatively affected by $7 million and $24 million, respectively, as a result of the expiration and renegotiation of a long-term disposal contract in August 2011 at one of our waste-to-energy facilities in South Florida. Certain of the franchise agreements serviced by our collection companies in South Florida contain specific language that ties a portion of their total rate to the disposal rate charged by this waste-to-energy facility to our collection companies. The expiration and renegotiation of this contract decreased revenues both in our waste-to-energy disposal line of business, by approximately $5 million and $17 million for the three and nine months ended September 30, 2012, and in our collection line of business, by approximately $2 million and $7 million for the three and nine months ended September 30, 2012, respectively. Additionally, for the three and nine months ended September 30, 2012, we experienced further downward pressure on our revenue growth from yield in our waste-to-energy disposal line of business of approximately $2 million and $4 million, respectively, resulting from the expiration and renegotiation of a second similar long-term waste-to-energy disposal contract in South Florida at the end of March 2012.</w:t>
      </w:r>
    </w:p>
    <w:p>
      <w:pPr>
        <w:spacing w:after="0" w:line="3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Revenues from our environmental fee, which are included in average revenue growth from yield on collection and disposal, increased $8 million and $40 million for the three and nine months ended September 30, 2012, respectively. These revenues were $90 million and $257 million for the three and nine months ended September 30, 2012 as compared with $82 million and $217 million for the three and nine months ended September 30, 2011, respectively.</w:t>
      </w:r>
    </w:p>
    <w:p>
      <w:pPr>
        <w:spacing w:after="0" w:line="2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Recycling commodities </w:t>
      </w:r>
      <w:r>
        <w:rPr>
          <w:rFonts w:ascii="Arial" w:cs="Arial" w:eastAsia="Arial" w:hAnsi="Arial"/>
          <w:sz w:val="16"/>
          <w:szCs w:val="16"/>
          <w:color w:val="auto"/>
        </w:rPr>
        <w:t>— Decreases in the prices of recyclable commodities resulted in a decline in revenues of $176 million and $345 million, with an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negative impact on income from operations of approximately $60 million and $100 million, for the three and nine months ended September 30, 2012, respectively. During the fourth quarter of 2011, we saw commodity prices decline 4% as compared with the prior year. During the first nine months of 2012, we saw the downward trend continue as year-over-year commodity prices declined almost 30%, driven by the continued increase in supply and lower demand.</w:t>
      </w:r>
    </w:p>
    <w:p>
      <w:pPr>
        <w:spacing w:after="0" w:line="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Fuel surcharges and mandated fees — </w:t>
      </w:r>
      <w:r>
        <w:rPr>
          <w:rFonts w:ascii="Arial" w:cs="Arial" w:eastAsia="Arial" w:hAnsi="Arial"/>
          <w:sz w:val="16"/>
          <w:szCs w:val="16"/>
          <w:color w:val="auto"/>
        </w:rPr>
        <w:t>These revenues, which are predominantly generated by our fuel surcharge program, increased by $8 million and $17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over the comparable prior year periods during the three and nine months ended September 30, 2012, respectively. This increase is directly attributable to higher national average prices for diesel fuel that we use for our fuel surcharge program and increased mandated fees, which are primarily related to the pass-through of fees and taxes assessed by various state, county and municipal governmental agencies at our landfills and transfer stations.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Volume</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Changes in our volume caused our revenues to decrease $5 million and increase $53 million during the three and nine months ended September 30, 2012, respectively, as compared with the same prior year periods. The current quarter revenue decline due to volume was primarily driven by one less workday in the current period as compared with the prior year period. Nevertheless, this is a notable improvement from 2011 when lower volumes caused our revenue to decrease $64 million and $167 million as compared with the three and nine months ended September 30, 2010,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48" w:name="page49"/>
    <w:bookmarkEnd w:id="48"/>
    <w:p>
      <w:pPr>
        <w:jc w:val="both"/>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total landfill revenues increased $12 million and $42 million for the three and nine months ended September 30, 2012, respectively, over the comparable prior year periods due to higher third-party volumes, primarily driven by higher special waste volumes in our Eastern and Midwest geographic Groups. In addition, revenues increased from year-over-year volume growth in our recycling brokerage business and our material recovery facilities by $13 million and $26 million for the three and nine months ended September 30, 2012, respectively. The additional recycling capacity that we added during 2011 and 2012, as well as our continued pursuit of municipal volumes, contributed to these increases in revenues due to volume.</w:t>
      </w:r>
    </w:p>
    <w:p>
      <w:pPr>
        <w:spacing w:after="0" w:line="3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Volume declines from our collection business accounted for a $35 million revenue decline during the nine months ended September 30, 2012, which we experienced entirely in the second and third quarters of 2012. The decline was primarily driven by our commercial and, to a lesser extent, our residential collection lines of business, which we attribute to the effects of pricing, competition and diversion of waste by customers, as well as the overall continued weakness in the economy. Revenue declines due to lower volumes in these two collection lines of business were offset, in part, by revenue increases in our industrial collection line of business, driven in large part by the growth of our oilfield services business in our Eastern Group. Additionally, during the nine months ended September 30, 2012, revenue increased due to volume growth in our non-traditional collection businesses, as well as in our ancillary services, primarily driven by increases in our medical waste services, our in-plant services and our portable self-storage services businesses.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Revenues increased $95 million and $490 million for the three and nine months ended September 30, 2012, respectively, due to acquisitions. The increase was principally associated with our acquisition of Oakleaf, which is reported in our “Other” line of business. Additionally, acquisitions increased our revenues in the current period in our collection line of business, due in part to our oilfield services business in our Eastern Group, and in our recycling line of business. These acquisitions demonstrate our focus on identifying strategic growth opportunities in new, complementary lines of business. Note that the rate of revenue growth due to acquisitions for the three months ended September 30, 2012 has decreased significantly as compared to previous quarters in 2012 as a result of the anniversary of our Oakleaf acquisition at the end of July 2012.</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operating expenses decreased by $32 million, or 1.4%, and increased by $259 million, or 4.0% for the three and nine months ended September 30, 2012 as compared with the three and nine months ended September 30, 2011, respectively. Our operating expenses as a percentage of revenues increased from 64.2% in the third quarter of 2011 to 64.4% in the current quarter, and increased from 64.1% for the nine months ended September 30, 2011 to 65.1% for the nine months ended September 30, 2012. The changes in our operating expenses during the three and nine months ended September 30, 2012 can largely be attributed to the following:</w:t>
      </w:r>
    </w:p>
    <w:p>
      <w:pPr>
        <w:spacing w:after="0" w:line="62" w:lineRule="exact"/>
        <w:rPr>
          <w:sz w:val="20"/>
          <w:szCs w:val="20"/>
          <w:color w:val="auto"/>
        </w:rPr>
      </w:pPr>
    </w:p>
    <w:p>
      <w:pPr>
        <w:jc w:val="both"/>
        <w:ind w:left="700" w:hanging="246"/>
        <w:spacing w:after="0" w:line="289" w:lineRule="auto"/>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Acquisitions and growth initiatives </w:t>
      </w:r>
      <w:r>
        <w:rPr>
          <w:rFonts w:ascii="Arial" w:cs="Arial" w:eastAsia="Arial" w:hAnsi="Arial"/>
          <w:sz w:val="16"/>
          <w:szCs w:val="16"/>
          <w:color w:val="auto"/>
        </w:rPr>
        <w:t>— We have experienced cost increases attributable to recently acquired businesses and, to a lesser extent, our</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growth and business development initiatives, although much of this impact began to anniversary during the third quarter of 2012. The increase in operating expenses resulting from acquired businesses was more than offset by increased revenues from acquired businesses. Recent acquisitions include Oakleaf, a number of collection operations, including oilfield services in our Eastern Group, and several recycling operations. These cost increases affected each of the operating cost categories identified in the table below and were the main driver of our total increase in operating expenses for the nine months ended September 30, 2012. In particular, the acquisition of Oakleaf increased operating costs by $35 million in the current quarter and $263 million for the nine months ended September 30, 2012, primarily increasing subcontractor costs and, to a lesser extent, the cost of goods sold and other categories;</w:t>
      </w:r>
    </w:p>
    <w:p>
      <w:pPr>
        <w:spacing w:after="0" w:line="37" w:lineRule="exact"/>
        <w:rPr>
          <w:rFonts w:ascii="Arial" w:cs="Arial" w:eastAsia="Arial" w:hAnsi="Arial"/>
          <w:sz w:val="16"/>
          <w:szCs w:val="16"/>
          <w:color w:val="auto"/>
        </w:rPr>
      </w:pPr>
    </w:p>
    <w:p>
      <w:pPr>
        <w:jc w:val="both"/>
        <w:ind w:left="700" w:hanging="246"/>
        <w:spacing w:after="0" w:line="306" w:lineRule="auto"/>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Volume changes </w:t>
      </w:r>
      <w:r>
        <w:rPr>
          <w:rFonts w:ascii="Arial" w:cs="Arial" w:eastAsia="Arial" w:hAnsi="Arial"/>
          <w:sz w:val="16"/>
          <w:szCs w:val="16"/>
          <w:color w:val="auto"/>
        </w:rPr>
        <w:t>— During the three and nine months ended September 30, 2012, we experienced an increase in variable costs attributable to higher</w:t>
      </w:r>
      <w:r>
        <w:rPr>
          <w:rFonts w:ascii="Arial" w:cs="Arial" w:eastAsia="Arial" w:hAnsi="Arial"/>
          <w:sz w:val="16"/>
          <w:szCs w:val="16"/>
          <w:i w:val="1"/>
          <w:iCs w:val="1"/>
          <w:color w:val="auto"/>
        </w:rPr>
        <w:t xml:space="preserve"> </w:t>
      </w:r>
      <w:r>
        <w:rPr>
          <w:rFonts w:ascii="Arial" w:cs="Arial" w:eastAsia="Arial" w:hAnsi="Arial"/>
          <w:sz w:val="16"/>
          <w:szCs w:val="16"/>
          <w:color w:val="auto"/>
        </w:rPr>
        <w:t>volumes in certain lines of business, particularly our recycling, industrial collection and non-traditional collection businesses. In our non-traditional collection businesses, we experienced volume increases primarily in our in-plant services and largely during the first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49" w:name="page50"/>
    <w:bookmarkEnd w:id="49"/>
    <w:p>
      <w:pPr>
        <w:jc w:val="both"/>
        <w:ind w:left="6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quarter. We continue to manage our fixed costs and control our variable costs as we experience volume increases and decreases. Note that during the third quarter 2012, collection volumes decreased slightly and, as a result, we were able to reduce related variable costs as compared with the third quarter of 2011. These cost fluctuations due to volume have impacted each of the operating cost categories identified in the table below; and</w:t>
      </w:r>
    </w:p>
    <w:p>
      <w:pPr>
        <w:spacing w:after="0" w:line="26" w:lineRule="exact"/>
        <w:rPr>
          <w:sz w:val="20"/>
          <w:szCs w:val="20"/>
          <w:color w:val="auto"/>
        </w:rPr>
      </w:pPr>
    </w:p>
    <w:p>
      <w:pPr>
        <w:jc w:val="both"/>
        <w:ind w:left="700" w:hanging="246"/>
        <w:spacing w:after="0" w:line="294"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Lower market prices for recyclable commodities — </w:t>
      </w:r>
      <w:r>
        <w:rPr>
          <w:rFonts w:ascii="Arial" w:cs="Arial" w:eastAsia="Arial" w:hAnsi="Arial"/>
          <w:sz w:val="16"/>
          <w:szCs w:val="16"/>
          <w:color w:val="auto"/>
        </w:rPr>
        <w:t>Overall, market prices for recyclable commodities decreased on a year-over-year basis by</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40% and 30% for the three and nine months ended September 30, 2012, respectively, as a result of the continued decrease in recyclable commodity market prices that began during late 2011 from the near-historic highs reached during the second and third quarters of 2011. This decrease in market prices was the primary driver of the current quarter and year-to-date decrease in cost of goods sold, primarily customer rebates, and has also resulted in decreased revenues and earnings during the current year.</w:t>
      </w:r>
    </w:p>
    <w:p>
      <w:pPr>
        <w:spacing w:after="0" w:line="3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summarizes the major components of our operating expenses, which include the impact of foreign currency translation, for the three-and nine-month periods ended September 30 (dollars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Nine Months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3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jc w:val="center"/>
              <w:ind w:left="218"/>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Period-to-</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3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4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7"/>
              </w:rPr>
              <w:t>Period</w:t>
            </w: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left="177"/>
              <w:spacing w:after="0"/>
              <w:rPr>
                <w:sz w:val="20"/>
                <w:szCs w:val="20"/>
                <w:color w:val="auto"/>
              </w:rPr>
            </w:pPr>
            <w:r>
              <w:rPr>
                <w:rFonts w:ascii="Arial" w:cs="Arial" w:eastAsia="Arial" w:hAnsi="Arial"/>
                <w:sz w:val="14"/>
                <w:szCs w:val="14"/>
                <w:b w:val="1"/>
                <w:bCs w:val="1"/>
                <w:color w:val="auto"/>
                <w:w w:val="87"/>
              </w:rPr>
              <w:t>Period</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96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2012</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Change</w:t>
            </w:r>
          </w:p>
        </w:tc>
        <w:tc>
          <w:tcPr>
            <w:tcW w:w="4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center"/>
              <w:ind w:right="12"/>
              <w:spacing w:after="0" w:line="142" w:lineRule="exact"/>
              <w:rPr>
                <w:sz w:val="20"/>
                <w:szCs w:val="20"/>
                <w:color w:val="auto"/>
              </w:rPr>
            </w:pPr>
            <w:r>
              <w:rPr>
                <w:rFonts w:ascii="Arial" w:cs="Arial" w:eastAsia="Arial" w:hAnsi="Arial"/>
                <w:sz w:val="14"/>
                <w:szCs w:val="14"/>
                <w:b w:val="1"/>
                <w:bCs w:val="1"/>
                <w:color w:val="auto"/>
                <w:w w:val="85"/>
              </w:rPr>
              <w:t>Change</w:t>
            </w:r>
          </w:p>
        </w:tc>
        <w:tc>
          <w:tcPr>
            <w:tcW w:w="200" w:type="dxa"/>
            <w:vAlign w:val="bottom"/>
            <w:tcBorders>
              <w:bottom w:val="single" w:sz="8" w:color="CCEEFF"/>
            </w:tcBorders>
          </w:tcPr>
          <w:p>
            <w:pPr>
              <w:spacing w:after="0"/>
              <w:rPr>
                <w:sz w:val="12"/>
                <w:szCs w:val="12"/>
                <w:color w:val="auto"/>
              </w:rPr>
            </w:pPr>
          </w:p>
        </w:tc>
      </w:tr>
      <w:tr>
        <w:trPr>
          <w:trHeight w:val="210"/>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$1,793</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(0.8)</w:t>
            </w:r>
          </w:p>
        </w:tc>
        <w:tc>
          <w:tcPr>
            <w:tcW w:w="500" w:type="dxa"/>
            <w:vAlign w:val="bottom"/>
          </w:tcPr>
          <w:p>
            <w:pPr>
              <w:jc w:val="right"/>
              <w:spacing w:after="0"/>
              <w:rPr>
                <w:sz w:val="20"/>
                <w:szCs w:val="20"/>
                <w:color w:val="auto"/>
              </w:rPr>
            </w:pPr>
            <w:r>
              <w:rPr>
                <w:rFonts w:ascii="Arial" w:cs="Arial" w:eastAsia="Arial" w:hAnsi="Arial"/>
                <w:sz w:val="18"/>
                <w:szCs w:val="18"/>
                <w:color w:val="auto"/>
              </w:rPr>
              <w:t>712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Subcontractor costs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13.4</w:t>
            </w:r>
          </w:p>
        </w:tc>
        <w:tc>
          <w:tcPr>
            <w:tcW w:w="500" w:type="dxa"/>
            <w:vAlign w:val="bottom"/>
          </w:tcPr>
          <w:p>
            <w:pPr>
              <w:jc w:val="right"/>
              <w:spacing w:after="0"/>
              <w:rPr>
                <w:sz w:val="20"/>
                <w:szCs w:val="20"/>
                <w:color w:val="auto"/>
              </w:rPr>
            </w:pPr>
            <w:r>
              <w:rPr>
                <w:rFonts w:ascii="Arial" w:cs="Arial" w:eastAsia="Arial" w:hAnsi="Arial"/>
                <w:sz w:val="18"/>
                <w:szCs w:val="18"/>
                <w:color w:val="auto"/>
              </w:rPr>
              <w:t>889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231</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35.1</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(82)</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(116)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(14.1)</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Fuel</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(11)</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(15.9)</w:t>
            </w:r>
          </w:p>
        </w:tc>
        <w:tc>
          <w:tcPr>
            <w:tcW w:w="500" w:type="dxa"/>
            <w:vAlign w:val="bottom"/>
          </w:tcPr>
          <w:p>
            <w:pPr>
              <w:jc w:val="right"/>
              <w:spacing w:after="0"/>
              <w:rPr>
                <w:sz w:val="20"/>
                <w:szCs w:val="20"/>
                <w:color w:val="auto"/>
              </w:rPr>
            </w:pPr>
            <w:r>
              <w:rPr>
                <w:rFonts w:ascii="Arial" w:cs="Arial" w:eastAsia="Arial" w:hAnsi="Arial"/>
                <w:sz w:val="18"/>
                <w:szCs w:val="18"/>
                <w:color w:val="auto"/>
              </w:rPr>
              <w:t>168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11.7</w:t>
            </w:r>
          </w:p>
        </w:tc>
        <w:tc>
          <w:tcPr>
            <w:tcW w:w="500" w:type="dxa"/>
            <w:vAlign w:val="bottom"/>
          </w:tcPr>
          <w:p>
            <w:pPr>
              <w:jc w:val="right"/>
              <w:spacing w:after="0"/>
              <w:rPr>
                <w:sz w:val="20"/>
                <w:szCs w:val="20"/>
                <w:color w:val="auto"/>
              </w:rPr>
            </w:pPr>
            <w:r>
              <w:rPr>
                <w:rFonts w:ascii="Arial" w:cs="Arial" w:eastAsia="Arial" w:hAnsi="Arial"/>
                <w:sz w:val="18"/>
                <w:szCs w:val="18"/>
                <w:color w:val="auto"/>
              </w:rPr>
              <w:t>389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45</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r>
      <w:tr>
        <w:trPr>
          <w:trHeight w:val="27"/>
        </w:trPr>
        <w:tc>
          <w:tcPr>
            <w:tcW w:w="3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9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2,229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2,261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(32)</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6,655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6,396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259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0"/>
        </w:trPr>
        <w:tc>
          <w:tcPr>
            <w:tcW w:w="3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significant items noted above, other factors contributing to the changes in our operating expenses are discussed below:</w:t>
      </w:r>
    </w:p>
    <w:p>
      <w:pPr>
        <w:spacing w:after="0" w:line="90" w:lineRule="exact"/>
        <w:rPr>
          <w:sz w:val="20"/>
          <w:szCs w:val="20"/>
          <w:color w:val="auto"/>
        </w:rPr>
      </w:pPr>
    </w:p>
    <w:p>
      <w:pPr>
        <w:jc w:val="both"/>
        <w:ind w:left="700" w:hanging="246"/>
        <w:spacing w:after="0" w:line="289"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Labor and related benefits </w:t>
      </w:r>
      <w:r>
        <w:rPr>
          <w:rFonts w:ascii="Arial" w:cs="Arial" w:eastAsia="Arial" w:hAnsi="Arial"/>
          <w:sz w:val="16"/>
          <w:szCs w:val="16"/>
          <w:color w:val="auto"/>
        </w:rPr>
        <w:t>— The year-to-date increase was largely due to (i) additional employee expenses incurred as a result of acquisitions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growth opportunities; (ii) higher hourly and salaried wages due to merit increases effective April 2011 and increases stipulated in union labor agreements; and (iii) a non-cash charge incurred during the three months ended June 30, 2012 by our Eastern Group as a result of our partial withdrawal from an underfunded multiemployer pension plan in New England. Note that during the current quarter, labor costs were slightly lower than the prior year period, reversing the trend of the year-over-year increases seen in the first and second quarters of 2012. This was partially the result of (i) the anniversary of a number of acquisitions during the current quarter, including Oakleaf, which reduced the impacts of year-over-year cost increases as a result of acquisitions compared to recent quarters, (ii) lower year-to-date bonus expense in 2012 when compared with 2011; and (iii) one less workday in the current quarter than in the third quarter of 2011.</w:t>
      </w:r>
    </w:p>
    <w:p>
      <w:pPr>
        <w:spacing w:after="0" w:line="37" w:lineRule="exact"/>
        <w:rPr>
          <w:rFonts w:ascii="Arial" w:cs="Arial" w:eastAsia="Arial" w:hAnsi="Arial"/>
          <w:sz w:val="16"/>
          <w:szCs w:val="16"/>
          <w:color w:val="auto"/>
        </w:rPr>
      </w:pPr>
    </w:p>
    <w:p>
      <w:pPr>
        <w:jc w:val="both"/>
        <w:ind w:left="700" w:hanging="246"/>
        <w:spacing w:after="0" w:line="255"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Maintenance and repairs </w:t>
      </w:r>
      <w:r>
        <w:rPr>
          <w:rFonts w:ascii="Arial" w:cs="Arial" w:eastAsia="Arial" w:hAnsi="Arial"/>
          <w:sz w:val="18"/>
          <w:szCs w:val="18"/>
          <w:color w:val="auto"/>
        </w:rPr>
        <w:t>— The increase was primarily due to (i) higher costs in our geographic Groups, largely attributable to increased fleet</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costs, (ii) differences in the timing and scope of planned maintenance projects at our waste-to-energy facilities, principally during the first quarter, a portion of which was offset by an increase in revenues related to the reimbursement of certain of these costs by a municipality, and (iii) an increase in container maintenance costs as a result of our third quarter 2011 acquisition of Oakleaf. Our fleet maintenance costs include services provided by third parties, tires,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50" w:name="page51"/>
    <w:bookmarkEnd w:id="50"/>
    <w:p>
      <w:pPr>
        <w:jc w:val="both"/>
        <w:ind w:left="6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parts and internal shop labor costs. The increase in expense for tires and parts reflects the worldwide increase in related commodity prices. Through our Oakleaf acquisition, we operate a nationwide compactor leasing business (Greenleaf Compaction) which has increased our container maintenance costs in the current year when compared with the nine months ended September 30, 2011.</w:t>
      </w:r>
    </w:p>
    <w:p>
      <w:pPr>
        <w:spacing w:after="0" w:line="59" w:lineRule="exact"/>
        <w:rPr>
          <w:sz w:val="20"/>
          <w:szCs w:val="20"/>
          <w:color w:val="auto"/>
        </w:rPr>
      </w:pPr>
    </w:p>
    <w:p>
      <w:pPr>
        <w:ind w:left="700" w:hanging="246"/>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Subcontractor costs </w:t>
      </w:r>
      <w:r>
        <w:rPr>
          <w:rFonts w:ascii="Arial" w:cs="Arial" w:eastAsia="Arial" w:hAnsi="Arial"/>
          <w:sz w:val="16"/>
          <w:szCs w:val="16"/>
          <w:color w:val="auto"/>
        </w:rPr>
        <w:t>— The current year increase in subcontractor costs was primarily a result of the Oakleaf acquisition and, to a much lesser extent,</w:t>
      </w:r>
    </w:p>
    <w:p>
      <w:pPr>
        <w:spacing w:after="0" w:line="38" w:lineRule="exact"/>
        <w:rPr>
          <w:rFonts w:ascii="Arial" w:cs="Arial" w:eastAsia="Arial" w:hAnsi="Arial"/>
          <w:sz w:val="16"/>
          <w:szCs w:val="16"/>
          <w:color w:val="auto"/>
        </w:rPr>
      </w:pPr>
    </w:p>
    <w:p>
      <w:pPr>
        <w:jc w:val="both"/>
        <w:ind w:left="700"/>
        <w:spacing w:after="0" w:line="253" w:lineRule="auto"/>
        <w:rPr>
          <w:rFonts w:ascii="Arial" w:cs="Arial" w:eastAsia="Arial" w:hAnsi="Arial"/>
          <w:sz w:val="16"/>
          <w:szCs w:val="16"/>
          <w:color w:val="auto"/>
        </w:rPr>
      </w:pPr>
      <w:r>
        <w:rPr>
          <w:rFonts w:ascii="Arial" w:cs="Arial" w:eastAsia="Arial" w:hAnsi="Arial"/>
          <w:sz w:val="18"/>
          <w:szCs w:val="18"/>
          <w:color w:val="auto"/>
        </w:rPr>
        <w:t>(i) other recent acquisitions, (ii) our various growth and business development initiatives, primarily associated with servicing our in-plant services and healthcare solutions customers, and (iii) as discussed further below, higher fuel prices, which resulted in an increase in the fuel component of our subcontractor costs during the current year. Oakleaf principally utilizes a nationwide network of third-party haulers to service its customers. As a result, this acquisition increased our subcontractor costs by $32 million and $213 million for the current quarter and year-to-date as compared with the three-and nine-month periods of 2011, respectively.</w:t>
      </w:r>
    </w:p>
    <w:p>
      <w:pPr>
        <w:spacing w:after="0" w:line="64" w:lineRule="exact"/>
        <w:rPr>
          <w:rFonts w:ascii="Arial" w:cs="Arial" w:eastAsia="Arial" w:hAnsi="Arial"/>
          <w:sz w:val="16"/>
          <w:szCs w:val="16"/>
          <w:color w:val="auto"/>
        </w:rPr>
      </w:pPr>
    </w:p>
    <w:p>
      <w:pPr>
        <w:jc w:val="both"/>
        <w:ind w:left="700" w:hanging="246"/>
        <w:spacing w:after="0" w:line="256"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Fuel — </w:t>
      </w:r>
      <w:r>
        <w:rPr>
          <w:rFonts w:ascii="Arial" w:cs="Arial" w:eastAsia="Arial" w:hAnsi="Arial"/>
          <w:sz w:val="18"/>
          <w:szCs w:val="18"/>
          <w:color w:val="auto"/>
        </w:rPr>
        <w:t>On average, diesel fuel prices increased 3.1% from $3.84 per gallon for the nine months ended September 30, 2011 to $3.96 per gallon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2012. Higher fuel costs experienced during the current year caused increases in both our direct fuel costs and in the fuel component of our subcontractor costs as compared with the nine months ended September 30, 2011. Increased revenues attributable to our fuel surcharge largely offset the higher fuel costs incurred during the current year.</w:t>
      </w:r>
    </w:p>
    <w:p>
      <w:pPr>
        <w:spacing w:after="0" w:line="62" w:lineRule="exact"/>
        <w:rPr>
          <w:rFonts w:ascii="Arial" w:cs="Arial" w:eastAsia="Arial" w:hAnsi="Arial"/>
          <w:sz w:val="18"/>
          <w:szCs w:val="18"/>
          <w:color w:val="auto"/>
        </w:rPr>
      </w:pPr>
    </w:p>
    <w:p>
      <w:pPr>
        <w:ind w:left="700" w:hanging="2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Landfill operating costs </w:t>
      </w:r>
      <w:r>
        <w:rPr>
          <w:rFonts w:ascii="Arial" w:cs="Arial" w:eastAsia="Arial" w:hAnsi="Arial"/>
          <w:sz w:val="18"/>
          <w:szCs w:val="18"/>
          <w:color w:val="auto"/>
        </w:rPr>
        <w:t>— The decrease in these costs during the current year was due largely to:</w:t>
      </w:r>
    </w:p>
    <w:p>
      <w:pPr>
        <w:spacing w:after="0" w:line="90" w:lineRule="exact"/>
        <w:rPr>
          <w:rFonts w:ascii="Arial" w:cs="Arial" w:eastAsia="Arial" w:hAnsi="Arial"/>
          <w:sz w:val="18"/>
          <w:szCs w:val="18"/>
          <w:color w:val="auto"/>
        </w:rPr>
      </w:pPr>
    </w:p>
    <w:p>
      <w:pPr>
        <w:jc w:val="both"/>
        <w:ind w:left="920" w:hanging="237"/>
        <w:spacing w:after="0" w:line="259" w:lineRule="auto"/>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prior year recognition of an unfavorable adjustment of $17 million during the three and nine months ended September 30, 2011, due to a decrease from 3.50% to 2.00% in United States Treasury rates used as the discount rate to estimate the present value of our environmental remediation obligations and recovery assets; and</w:t>
      </w:r>
    </w:p>
    <w:p>
      <w:pPr>
        <w:spacing w:after="0" w:line="59" w:lineRule="exact"/>
        <w:rPr>
          <w:rFonts w:ascii="Arial" w:cs="Arial" w:eastAsia="Arial" w:hAnsi="Arial"/>
          <w:sz w:val="18"/>
          <w:szCs w:val="18"/>
          <w:color w:val="auto"/>
        </w:rPr>
      </w:pPr>
    </w:p>
    <w:p>
      <w:pPr>
        <w:jc w:val="both"/>
        <w:ind w:left="920" w:hanging="237"/>
        <w:spacing w:after="0" w:line="259" w:lineRule="auto"/>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Additional landfill site costs experienced along the East Coast during the second and third quarters of 2011, which were due to significant rainfall events, including the effects from spring flooding in the second quarter and Hurricane Irene and Tropical Storm Lee during the third quarter; partially offset by</w:t>
      </w:r>
    </w:p>
    <w:p>
      <w:pPr>
        <w:spacing w:after="0" w:line="59" w:lineRule="exact"/>
        <w:rPr>
          <w:rFonts w:ascii="Arial" w:cs="Arial" w:eastAsia="Arial" w:hAnsi="Arial"/>
          <w:sz w:val="18"/>
          <w:szCs w:val="18"/>
          <w:color w:val="auto"/>
        </w:rPr>
      </w:pPr>
    </w:p>
    <w:p>
      <w:pPr>
        <w:ind w:left="920" w:hanging="237"/>
        <w:spacing w:after="0" w:line="268" w:lineRule="auto"/>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third quarter 2011 recognition of a $9 million favorable revision to an environmental liability at a closed site based on the estimated cost of the remediation alternative selected by the EPA.</w:t>
      </w:r>
    </w:p>
    <w:p>
      <w:pPr>
        <w:spacing w:after="0" w:line="50" w:lineRule="exact"/>
        <w:rPr>
          <w:rFonts w:ascii="Arial" w:cs="Arial" w:eastAsia="Arial" w:hAnsi="Arial"/>
          <w:sz w:val="18"/>
          <w:szCs w:val="18"/>
          <w:color w:val="auto"/>
        </w:rPr>
      </w:pPr>
    </w:p>
    <w:p>
      <w:pPr>
        <w:jc w:val="both"/>
        <w:ind w:left="700" w:hanging="246"/>
        <w:spacing w:after="0" w:line="256"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The current year increase was due to our Oakleaf acquisition, other recent acquisitions and our various growth and business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initiatives. The increase from our various initiatives is associated with the rental of facilities and equipment for these operations. The current quarter included additional costs associated with a union labor dispute in Seattle, which also contributed to the current year increase in this category for the three and nine months ended September 30, 2012.</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selling, general and administrative expenses decreased by $45 million, or 11.8%, and $28 million, or 2.4%, when comparing the three and nine months ended September 30, 2012 with the comparable prior year periods, respectively. As a percentage of revenue, our selling, general and administrative expenses decreased from 10.8% for the third quarter of 2011 to 9.7% for the third quarter of 2012, and decreased from 11.5% for the nine months ended September 30, 2011 to 10.9% for the nine months ended September 30, 2012. The most significant items affecting the year-over-year comparison of selling, general and administrative costs for the three and nine months ended September 30, 2012 include the following:</w:t>
      </w:r>
    </w:p>
    <w:p>
      <w:pPr>
        <w:spacing w:after="0" w:line="35" w:lineRule="exact"/>
        <w:rPr>
          <w:sz w:val="20"/>
          <w:szCs w:val="20"/>
          <w:color w:val="auto"/>
        </w:rPr>
      </w:pPr>
    </w:p>
    <w:p>
      <w:pPr>
        <w:ind w:left="700" w:hanging="246"/>
        <w:spacing w:after="0" w:line="268"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in bonus expense of $44 million and $57 million, respectively, and a decrease in non-cash compensation expense attributable to our long-term incentive plan, or LTIP, of $4 million and $15 million, respectively;</w:t>
      </w:r>
    </w:p>
    <w:p>
      <w:pPr>
        <w:spacing w:after="0" w:line="50"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in consulting costs of $5 million and $26 million, respectively. We incurred higher consulting costs in 2011 during the start-up phase of our company-wide initiatives focusing on procurement, operational and back-office efficiency. However, the decrease in consulting costs was partially offset by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51" w:name="page52"/>
    <w:bookmarkEnd w:id="51"/>
    <w:p>
      <w:pPr>
        <w:ind w:lef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costs associated with our efforts to implement these initiatives. These additional costs were principally labor-related and resulted in increases of $1 million and $10 million for the three- and nine-month comparisons, respectively; and</w:t>
      </w:r>
    </w:p>
    <w:p>
      <w:pPr>
        <w:spacing w:after="0" w:line="51" w:lineRule="exact"/>
        <w:rPr>
          <w:sz w:val="20"/>
          <w:szCs w:val="20"/>
          <w:color w:val="auto"/>
        </w:rPr>
      </w:pPr>
    </w:p>
    <w:p>
      <w:pPr>
        <w:ind w:left="700" w:hanging="246"/>
        <w:spacing w:after="0" w:line="332"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acquisition of Oakleaf, which increased costs by $5 million and $36 million, respectively. The year-over-year impact of Oakleaf has decreased significantly as compared with previous quarters in 2012 as a result of the anniversary of the acquisition at the end of July 2012.</w:t>
      </w:r>
    </w:p>
    <w:p>
      <w:pPr>
        <w:spacing w:after="0" w:line="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addition, in July 2012, we announced a reorganization of our operations, designed to streamline management and staff support and reduce our cost structure, while not disrupting our front-line operations. We are in the process of implementing the reorganization and we expect it to be completed by the end of 2012. During the three and nine months ended September 30, 2012, we realized labor and related benefits cost savings of $6 million.</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major components of our selling, general and administrative expenses for the three- and nine-month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Nine Months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5640" w:type="dxa"/>
            <w:vAlign w:val="bottom"/>
          </w:tcPr>
          <w:p>
            <w:pPr>
              <w:spacing w:after="0"/>
              <w:rPr>
                <w:sz w:val="12"/>
                <w:szCs w:val="12"/>
                <w:color w:val="auto"/>
              </w:rPr>
            </w:pPr>
          </w:p>
        </w:tc>
        <w:tc>
          <w:tcPr>
            <w:tcW w:w="11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4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Period-to-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left="241"/>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5640" w:type="dxa"/>
            <w:vAlign w:val="bottom"/>
          </w:tcPr>
          <w:p>
            <w:pPr>
              <w:spacing w:after="0"/>
              <w:rPr>
                <w:sz w:val="14"/>
                <w:szCs w:val="14"/>
                <w:color w:val="auto"/>
              </w:rPr>
            </w:pPr>
          </w:p>
        </w:tc>
        <w:tc>
          <w:tcPr>
            <w:tcW w:w="1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7"/>
              </w:rPr>
              <w:t>Period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564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3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Borders>
              <w:bottom w:val="single" w:sz="8" w:color="CCEEFF"/>
            </w:tcBorders>
          </w:tcPr>
          <w:p>
            <w:pPr>
              <w:spacing w:after="0"/>
              <w:rPr>
                <w:sz w:val="12"/>
                <w:szCs w:val="12"/>
                <w:color w:val="auto"/>
              </w:rPr>
            </w:pPr>
          </w:p>
        </w:tc>
      </w:tr>
      <w:tr>
        <w:trPr>
          <w:trHeight w:val="210"/>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0"/>
              </w:rPr>
              <w:t>$(46)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0"/>
              </w:rPr>
              <w:t>$(33)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Professional fees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39</w:t>
            </w:r>
          </w:p>
        </w:tc>
        <w:tc>
          <w:tcPr>
            <w:tcW w:w="700" w:type="dxa"/>
            <w:vAlign w:val="bottom"/>
            <w:gridSpan w:val="3"/>
          </w:tcPr>
          <w:p>
            <w:pPr>
              <w:jc w:val="right"/>
              <w:ind w:right="92"/>
              <w:spacing w:after="0"/>
              <w:rPr>
                <w:sz w:val="20"/>
                <w:szCs w:val="20"/>
                <w:color w:val="auto"/>
              </w:rPr>
            </w:pPr>
            <w:r>
              <w:rPr>
                <w:rFonts w:ascii="Arial" w:cs="Arial" w:eastAsia="Arial" w:hAnsi="Arial"/>
                <w:sz w:val="18"/>
                <w:szCs w:val="18"/>
                <w:color w:val="auto"/>
              </w:rPr>
              <w:t>(4)</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146</w:t>
            </w:r>
          </w:p>
        </w:tc>
        <w:tc>
          <w:tcPr>
            <w:tcW w:w="860" w:type="dxa"/>
            <w:vAlign w:val="bottom"/>
            <w:gridSpan w:val="3"/>
          </w:tcPr>
          <w:p>
            <w:pPr>
              <w:jc w:val="right"/>
              <w:ind w:right="92"/>
              <w:spacing w:after="0"/>
              <w:rPr>
                <w:sz w:val="20"/>
                <w:szCs w:val="20"/>
                <w:color w:val="auto"/>
              </w:rPr>
            </w:pPr>
            <w:r>
              <w:rPr>
                <w:rFonts w:ascii="Arial" w:cs="Arial" w:eastAsia="Arial" w:hAnsi="Arial"/>
                <w:sz w:val="18"/>
                <w:szCs w:val="18"/>
                <w:color w:val="auto"/>
              </w:rPr>
              <w:t>(24)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70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31.3</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Other</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93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290</w:t>
            </w:r>
          </w:p>
        </w:tc>
        <w:tc>
          <w:tcPr>
            <w:tcW w:w="860" w:type="dxa"/>
            <w:vAlign w:val="bottom"/>
            <w:gridSpan w:val="3"/>
          </w:tcPr>
          <w:p>
            <w:pPr>
              <w:jc w:val="right"/>
              <w:ind w:right="152"/>
              <w:spacing w:after="0"/>
              <w:rPr>
                <w:sz w:val="20"/>
                <w:szCs w:val="20"/>
                <w:color w:val="auto"/>
              </w:rPr>
            </w:pPr>
            <w:r>
              <w:rPr>
                <w:rFonts w:ascii="Arial" w:cs="Arial" w:eastAsia="Arial" w:hAnsi="Arial"/>
                <w:sz w:val="18"/>
                <w:szCs w:val="18"/>
                <w:color w:val="auto"/>
              </w:rPr>
              <w:t>19</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6.6</w:t>
            </w:r>
          </w:p>
        </w:tc>
      </w:tr>
      <w:tr>
        <w:trPr>
          <w:trHeight w:val="27"/>
        </w:trPr>
        <w:tc>
          <w:tcPr>
            <w:tcW w:w="56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6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335</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380</w:t>
            </w:r>
          </w:p>
        </w:tc>
        <w:tc>
          <w:tcPr>
            <w:tcW w:w="70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1,116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1,144</w:t>
            </w:r>
          </w:p>
        </w:tc>
        <w:tc>
          <w:tcPr>
            <w:tcW w:w="8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0"/>
        </w:trPr>
        <w:tc>
          <w:tcPr>
            <w:tcW w:w="5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Other significant changes in our selling, general and administrative expenses are discussed below:</w:t>
      </w:r>
    </w:p>
    <w:p>
      <w:pPr>
        <w:spacing w:after="0" w:line="90" w:lineRule="exact"/>
        <w:rPr>
          <w:sz w:val="20"/>
          <w:szCs w:val="20"/>
          <w:color w:val="auto"/>
        </w:rPr>
      </w:pPr>
    </w:p>
    <w:p>
      <w:pPr>
        <w:jc w:val="both"/>
        <w:ind w:left="700" w:hanging="246"/>
        <w:spacing w:after="0" w:line="294" w:lineRule="auto"/>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Labor and related benefits </w:t>
      </w:r>
      <w:r>
        <w:rPr>
          <w:rFonts w:ascii="Arial" w:cs="Arial" w:eastAsia="Arial" w:hAnsi="Arial"/>
          <w:sz w:val="16"/>
          <w:szCs w:val="16"/>
          <w:color w:val="auto"/>
        </w:rPr>
        <w:t>— During the three and nine months ended September 30, 2012 we experienced higher expenses associated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salary deferral plan, which are directly affected by equity-market conditions. During the nine months ended September 30, 2012, compensation expense was higher than the same prior year period due to average headcount increases from the acquisition of Oakleaf and the company-wide initiatives mentioned above, as well as our sales and marketing initiatives. However, compensation expense was lower in the third quarter of 2012 as compared with the same prior year period as a result of the savings realized from our July 2012 restructuring activities.</w:t>
      </w:r>
    </w:p>
    <w:p>
      <w:pPr>
        <w:spacing w:after="0" w:line="34" w:lineRule="exact"/>
        <w:rPr>
          <w:rFonts w:ascii="Arial" w:cs="Arial" w:eastAsia="Arial" w:hAnsi="Arial"/>
          <w:sz w:val="16"/>
          <w:szCs w:val="16"/>
          <w:color w:val="auto"/>
        </w:rPr>
      </w:pPr>
    </w:p>
    <w:p>
      <w:pPr>
        <w:jc w:val="both"/>
        <w:ind w:left="700" w:hanging="246"/>
        <w:spacing w:after="0" w:line="255"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Provision for bad debts </w:t>
      </w:r>
      <w:r>
        <w:rPr>
          <w:rFonts w:ascii="Arial" w:cs="Arial" w:eastAsia="Arial" w:hAnsi="Arial"/>
          <w:sz w:val="18"/>
          <w:szCs w:val="18"/>
          <w:color w:val="auto"/>
        </w:rPr>
        <w:t>— During the current quarter, our provision for bad debts decreased due in part to the unfavorable impact of a reserve recorded</w:t>
      </w:r>
      <w:r>
        <w:rPr>
          <w:rFonts w:ascii="Arial" w:cs="Arial" w:eastAsia="Arial" w:hAnsi="Arial"/>
          <w:sz w:val="18"/>
          <w:szCs w:val="18"/>
          <w:i w:val="1"/>
          <w:iCs w:val="1"/>
          <w:color w:val="auto"/>
        </w:rPr>
        <w:t xml:space="preserve"> </w:t>
      </w:r>
      <w:r>
        <w:rPr>
          <w:rFonts w:ascii="Arial" w:cs="Arial" w:eastAsia="Arial" w:hAnsi="Arial"/>
          <w:sz w:val="18"/>
          <w:szCs w:val="18"/>
          <w:color w:val="auto"/>
        </w:rPr>
        <w:t>in 2011 associated with the bankruptcy of one of our recycling paper mill customers. The current quarter decrease was more than offset during the nine months ended September 30, 2012, as a result of (i) increased collection risk resulting from work we are performing in certain new businesses in our Eastern Group; (ii) collection issues we are experiencing in our Puerto Rico operations in our Southern Group; and (iii) increases due to our Oakleaf acquisition.</w:t>
      </w:r>
    </w:p>
    <w:p>
      <w:pPr>
        <w:spacing w:after="0" w:line="61"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In 2012, we experienced increases in our (i) travel and entertainment costs to support our strategic efforts; (ii) building and equipment costs,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 rental and utilities; (iii) computer and telecommunications costs, due in part to improvements we are making to our information technology systems; and (iv) litigation settlement costs, principally noted in the three-month comparison.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52" w:name="page53"/>
    <w:bookmarkEnd w:id="52"/>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Depreciation and Amortization</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components of our depreciation and amortization expense for the three- and nine-month periods ended September 30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8"/>
              </w:rPr>
              <w:t>Nine Months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Period-to-</w:t>
            </w:r>
          </w:p>
        </w:tc>
        <w:tc>
          <w:tcPr>
            <w:tcW w:w="142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260" w:type="dxa"/>
            <w:vAlign w:val="bottom"/>
            <w:gridSpan w:val="4"/>
          </w:tcPr>
          <w:p>
            <w:pPr>
              <w:jc w:val="right"/>
              <w:ind w:right="500"/>
              <w:spacing w:after="0" w:line="149" w:lineRule="exact"/>
              <w:rPr>
                <w:sz w:val="20"/>
                <w:szCs w:val="20"/>
                <w:color w:val="auto"/>
              </w:rPr>
            </w:pPr>
            <w:r>
              <w:rPr>
                <w:rFonts w:ascii="Arial" w:cs="Arial" w:eastAsia="Arial" w:hAnsi="Arial"/>
                <w:sz w:val="14"/>
                <w:szCs w:val="14"/>
                <w:b w:val="1"/>
                <w:bCs w:val="1"/>
                <w:color w:val="auto"/>
              </w:rPr>
              <w:t>Period-to-</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300" w:type="dxa"/>
            <w:vAlign w:val="bottom"/>
          </w:tcPr>
          <w:p>
            <w:pPr>
              <w:spacing w:after="0"/>
              <w:rPr>
                <w:sz w:val="14"/>
                <w:szCs w:val="14"/>
                <w:color w:val="auto"/>
              </w:rPr>
            </w:pPr>
          </w:p>
        </w:tc>
        <w:tc>
          <w:tcPr>
            <w:tcW w:w="15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9"/>
              </w:rPr>
              <w:t>Period-to-Period</w:t>
            </w:r>
          </w:p>
        </w:tc>
        <w:tc>
          <w:tcPr>
            <w:tcW w:w="14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5"/>
              </w:rPr>
              <w:t>September 30,</w:t>
            </w:r>
          </w:p>
        </w:tc>
        <w:tc>
          <w:tcPr>
            <w:tcW w:w="14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256"/>
              <w:spacing w:after="0" w:line="142" w:lineRule="exact"/>
              <w:rPr>
                <w:sz w:val="20"/>
                <w:szCs w:val="20"/>
                <w:color w:val="auto"/>
              </w:rPr>
            </w:pPr>
            <w:r>
              <w:rPr>
                <w:rFonts w:ascii="Arial" w:cs="Arial" w:eastAsia="Arial" w:hAnsi="Arial"/>
                <w:sz w:val="14"/>
                <w:szCs w:val="14"/>
                <w:b w:val="1"/>
                <w:bCs w:val="1"/>
                <w:color w:val="auto"/>
                <w:w w:val="85"/>
              </w:rPr>
              <w:t>Change</w:t>
            </w:r>
          </w:p>
        </w:tc>
        <w:tc>
          <w:tcPr>
            <w:tcW w:w="40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3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tangible property and equipment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$622</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$599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4</w:t>
            </w: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297</w:t>
            </w: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720" w:type="dxa"/>
            <w:vAlign w:val="bottom"/>
            <w:gridSpan w:val="2"/>
          </w:tcPr>
          <w:p>
            <w:pPr>
              <w:jc w:val="right"/>
              <w:ind w:right="372"/>
              <w:spacing w:after="0"/>
              <w:rPr>
                <w:sz w:val="20"/>
                <w:szCs w:val="20"/>
                <w:color w:val="auto"/>
              </w:rPr>
            </w:pPr>
            <w:r>
              <w:rPr>
                <w:rFonts w:ascii="Arial" w:cs="Arial" w:eastAsia="Arial" w:hAnsi="Arial"/>
                <w:sz w:val="18"/>
                <w:szCs w:val="18"/>
                <w:color w:val="auto"/>
              </w:rPr>
              <w:t>(3)</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44.4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4.4%</w:t>
            </w: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line="20" w:lineRule="exact"/>
              <w:rPr>
                <w:sz w:val="1"/>
                <w:szCs w:val="1"/>
                <w:color w:val="auto"/>
              </w:rPr>
            </w:pPr>
          </w:p>
        </w:tc>
      </w:tr>
      <w:tr>
        <w:trPr>
          <w:trHeight w:val="222"/>
        </w:trPr>
        <w:tc>
          <w:tcPr>
            <w:tcW w:w="57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331</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14</w:t>
            </w:r>
          </w:p>
        </w:tc>
        <w:tc>
          <w:tcPr>
            <w:tcW w:w="1220" w:type="dxa"/>
            <w:vAlign w:val="bottom"/>
            <w:gridSpan w:val="2"/>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971</w:t>
            </w:r>
          </w:p>
        </w:tc>
        <w:tc>
          <w:tcPr>
            <w:tcW w:w="106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36</w:t>
            </w:r>
          </w:p>
        </w:tc>
        <w:tc>
          <w:tcPr>
            <w:tcW w:w="50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increase in amortization expense of intangible assets in 2012 is due to our focus on the growth and development of our business through acquisitions and other investments. The increase is primarily related to the amortization of customer lists, which were acquired through our acquisition of Oakleaf and various collection and recycling operations.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Restructuring</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2012 Restructurings—</w:t>
      </w:r>
      <w:r>
        <w:rPr>
          <w:rFonts w:ascii="Arial" w:cs="Arial" w:eastAsia="Arial" w:hAnsi="Arial"/>
          <w:sz w:val="16"/>
          <w:szCs w:val="16"/>
          <w:color w:val="auto"/>
        </w:rPr>
        <w:t>In July 2012, we announced a reorganization of operations, designed to streamline management and staff support and reduce our cost</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structure, while not disrupting our front-line operations. Principal organizational changes being implemented include removal of the management layer consisting of our four existing geographic Groups; consolidation and reduction of the number of Areas managing the core collection, disposal and recycling businesses from 22 to 17; and reduction of corporate support staff in an effort to better align support with the needs of the operating units.</w:t>
      </w:r>
    </w:p>
    <w:p>
      <w:pPr>
        <w:spacing w:after="0" w:line="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in the process of implementing this restructuring plan and we expect it to be completed by the end of 2012. We currently estimate that approximately 700 employee positions throughout the Company, including positions at both the management and support levels, will be eliminated. Voluntary separation arrangements were offered to many in certain levels of management.</w:t>
      </w:r>
    </w:p>
    <w:p>
      <w:pPr>
        <w:spacing w:after="0" w:line="59"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Additionally, during the first nine months of 2012, we recognized employee severance and benefits restructuring charges associated with the reorganization of Oakleaf that began in 2011 and certain other actions taken by the Company in early 2012.</w:t>
      </w:r>
    </w:p>
    <w:p>
      <w:pPr>
        <w:spacing w:after="0" w:line="5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During the third quarter of 2012, we recognized pre-tax charges of $44 million associated with these restructuring activities, $39 million of which related to employee severance and benefit costs. The remainder of the charge was primarily related to abandoned operating leases. We currently expect to incur additional restructuring charges in the fourth quarter of 2012, consisting of employee severance and benefits expenses and facility, lease and other related expenses, in the range of $20 million to $30 million. The additional restructuring charges are an estimate, and actual charges may vary materially based on various factors, including the number of employee terminations; facility, lease or other restructuring charges that are not yet estimable; and changes in management’s objectives.</w:t>
      </w:r>
    </w:p>
    <w:p>
      <w:pPr>
        <w:spacing w:after="0" w:line="3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2011 Restructurings</w:t>
      </w:r>
      <w:r>
        <w:rPr>
          <w:rFonts w:ascii="Arial" w:cs="Arial" w:eastAsia="Arial" w:hAnsi="Arial"/>
          <w:sz w:val="16"/>
          <w:szCs w:val="16"/>
          <w:color w:val="auto"/>
        </w:rPr>
        <w:t>—Beginning in July 2011, we took steps to streamline our organization as part of our cost savings programs. This reorganization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eliminated over 700 employee positions throughout the Company, including approximately 300 open positions. Additionally, subsequent to our acquisition of Oakleaf, we incurred charges in connection with restructuring that organization. During the year ended December 31, 2011, we recognized a total of $19 million of pre-tax restructuring charges, of which $18 million were related to employee severance and benefit costs. The remaining charges were primarily related to operating lease obligations for property that will no longer be utilized.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53" w:name="page54"/>
    <w:bookmarkEnd w:id="53"/>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(Income) Expense from Divestitures, Asset Impairments and Unusual Items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During the third quarter of 2012, we recognized impairment charges aggregating $21 million, relating in large part to (i) the impairment of a note receivable from an entity that we invested in that is now being liquidated (see “</w:t>
      </w:r>
      <w:r>
        <w:rPr>
          <w:rFonts w:ascii="Arial" w:cs="Arial" w:eastAsia="Arial" w:hAnsi="Arial"/>
          <w:sz w:val="18"/>
          <w:szCs w:val="18"/>
          <w:i w:val="1"/>
          <w:iCs w:val="1"/>
          <w:color w:val="auto"/>
        </w:rPr>
        <w:t>Equity in net losses of unconsolidated entities”</w:t>
      </w:r>
      <w:r>
        <w:rPr>
          <w:rFonts w:ascii="Arial" w:cs="Arial" w:eastAsia="Arial" w:hAnsi="Arial"/>
          <w:sz w:val="18"/>
          <w:szCs w:val="18"/>
          <w:color w:val="auto"/>
        </w:rPr>
        <w:t xml:space="preserve"> discussion below), (ii) the impairment of certain related technology assets due to our decision not to use or develop those assets and (iii) the impairment of an oil and gas well as a result of projected operating losses that caused us to write-down the carrying value of the oil and gas well to its estimated fair value. These charges are included in our “Other” operations in Note 8.</w:t>
      </w:r>
    </w:p>
    <w:p>
      <w:pPr>
        <w:spacing w:after="0" w:line="6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Additionally, we are in the process of evaluating opportunities associated with the sale or discontinued use of underperforming assets or assets that may no longer meet our strategic objectives. Accordingly, it is possible that additional impairments may be recorded as assets are sold or become held-for-sale.</w:t>
      </w:r>
    </w:p>
    <w:p>
      <w:pPr>
        <w:spacing w:after="0" w:line="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second quarter of 2012, we recognized impairment charges of $34 million, relating primarily to two facilities in our medical waste services business as a result of projected operating losses at each of these facilities. We wrote down the carrying values of the facilities’ operating permits and property, plant and equipment to their estimated fair values. Our medical waste services business is included in our “Other” operations in Note 8.</w:t>
      </w:r>
    </w:p>
    <w:p>
      <w:pPr>
        <w:spacing w:after="0" w:line="2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third quarter of 2011, we recognized impairment charges relating to two facilities in our medical waste services business, in addition to the two facilities impaired in the second quarter and discussed above, as a result of the closure of one site and as a result of continuing operating losses at the other site. We wrote down the net book values of the sites to their estimated fair values.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from Operations by Reportable Segment</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income from operations by reportable segment for the three- and nine-month periods ended September 30 (dollars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8"/>
              </w:rPr>
              <w:t>Nine Months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center"/>
              <w:ind w:right="200"/>
              <w:spacing w:after="0" w:line="141"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540"/>
              <w:spacing w:after="0" w:line="141" w:lineRule="exact"/>
              <w:rPr>
                <w:sz w:val="20"/>
                <w:szCs w:val="20"/>
                <w:color w:val="auto"/>
              </w:rPr>
            </w:pPr>
            <w:r>
              <w:rPr>
                <w:rFonts w:ascii="Arial" w:cs="Arial" w:eastAsia="Arial" w:hAnsi="Arial"/>
                <w:sz w:val="14"/>
                <w:szCs w:val="14"/>
                <w:b w:val="1"/>
                <w:bCs w:val="1"/>
                <w:color w:val="auto"/>
                <w:w w:val="87"/>
              </w:rPr>
              <w:t>Period-to-</w:t>
            </w:r>
          </w:p>
        </w:tc>
        <w:tc>
          <w:tcPr>
            <w:tcW w:w="100" w:type="dxa"/>
            <w:vAlign w:val="bottom"/>
          </w:tcPr>
          <w:p>
            <w:pPr>
              <w:spacing w:after="0"/>
              <w:rPr>
                <w:sz w:val="14"/>
                <w:szCs w:val="14"/>
                <w:color w:val="auto"/>
              </w:rPr>
            </w:pPr>
          </w:p>
        </w:tc>
        <w:tc>
          <w:tcPr>
            <w:tcW w:w="800" w:type="dxa"/>
            <w:vAlign w:val="bottom"/>
            <w:gridSpan w:val="4"/>
          </w:tcPr>
          <w:p>
            <w:pPr>
              <w:jc w:val="center"/>
              <w:ind w:left="218"/>
              <w:spacing w:after="0" w:line="141"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center"/>
              <w:ind w:right="340"/>
              <w:spacing w:after="0" w:line="141" w:lineRule="exact"/>
              <w:rPr>
                <w:sz w:val="20"/>
                <w:szCs w:val="20"/>
                <w:color w:val="auto"/>
              </w:rPr>
            </w:pPr>
            <w:r>
              <w:rPr>
                <w:rFonts w:ascii="Arial" w:cs="Arial" w:eastAsia="Arial" w:hAnsi="Arial"/>
                <w:sz w:val="14"/>
                <w:szCs w:val="14"/>
                <w:b w:val="1"/>
                <w:bCs w:val="1"/>
                <w:color w:val="auto"/>
                <w:w w:val="87"/>
              </w:rPr>
              <w:t>Period-to-</w:t>
            </w: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center"/>
              <w:ind w:right="540"/>
              <w:spacing w:after="0" w:line="142" w:lineRule="exact"/>
              <w:rPr>
                <w:sz w:val="20"/>
                <w:szCs w:val="20"/>
                <w:color w:val="auto"/>
              </w:rPr>
            </w:pPr>
            <w:r>
              <w:rPr>
                <w:rFonts w:ascii="Arial" w:cs="Arial" w:eastAsia="Arial" w:hAnsi="Arial"/>
                <w:sz w:val="14"/>
                <w:szCs w:val="14"/>
                <w:b w:val="1"/>
                <w:bCs w:val="1"/>
                <w:color w:val="auto"/>
                <w:w w:val="87"/>
              </w:rPr>
              <w:t>Period</w:t>
            </w:r>
          </w:p>
        </w:tc>
        <w:tc>
          <w:tcPr>
            <w:tcW w:w="1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5"/>
          </w:tcPr>
          <w:p>
            <w:pPr>
              <w:jc w:val="center"/>
              <w:ind w:right="14"/>
              <w:spacing w:after="0" w:line="142" w:lineRule="exact"/>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left="217"/>
              <w:spacing w:after="0" w:line="142" w:lineRule="exact"/>
              <w:rPr>
                <w:sz w:val="20"/>
                <w:szCs w:val="20"/>
                <w:color w:val="auto"/>
              </w:rPr>
            </w:pPr>
            <w:r>
              <w:rPr>
                <w:rFonts w:ascii="Arial" w:cs="Arial" w:eastAsia="Arial" w:hAnsi="Arial"/>
                <w:sz w:val="14"/>
                <w:szCs w:val="14"/>
                <w:b w:val="1"/>
                <w:bCs w:val="1"/>
                <w:color w:val="auto"/>
                <w:w w:val="87"/>
              </w:rPr>
              <w:t>Period</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8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center"/>
              <w:ind w:right="540"/>
              <w:spacing w:after="0" w:line="142" w:lineRule="exact"/>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2"/>
                <w:szCs w:val="12"/>
                <w:color w:val="auto"/>
              </w:rPr>
            </w:pPr>
          </w:p>
        </w:tc>
        <w:tc>
          <w:tcPr>
            <w:tcW w:w="400" w:type="dxa"/>
            <w:vAlign w:val="bottom"/>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tcPr>
          <w:p>
            <w:pPr>
              <w:jc w:val="center"/>
              <w:ind w:right="340"/>
              <w:spacing w:after="0" w:line="142"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5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Reportable segments:</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Eastern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$ 142</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$ 146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Midwest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Southern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(14)</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Western</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(25)</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Wheelabrator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(14)</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(44.6)</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221"/>
        </w:trPr>
        <w:tc>
          <w:tcPr>
            <w:tcW w:w="5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(39)</w:t>
            </w: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(147)</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line="20" w:lineRule="exact"/>
              <w:rPr>
                <w:sz w:val="1"/>
                <w:szCs w:val="1"/>
                <w:color w:val="auto"/>
              </w:rPr>
            </w:pPr>
          </w:p>
        </w:tc>
      </w:tr>
      <w:tr>
        <w:trPr>
          <w:trHeight w:val="222"/>
        </w:trPr>
        <w:tc>
          <w:tcPr>
            <w:tcW w:w="5460" w:type="dxa"/>
            <w:vAlign w:val="bottom"/>
            <w:vMerge w:val="continue"/>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$ 500</w:t>
            </w:r>
          </w:p>
        </w:tc>
        <w:tc>
          <w:tcPr>
            <w:tcW w:w="1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$ 543</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(43)</w:t>
            </w:r>
          </w:p>
        </w:tc>
        <w:tc>
          <w:tcPr>
            <w:tcW w:w="9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1,367</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1,476</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(109)</w:t>
            </w: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 xml:space="preserve">Reportable Segments — </w:t>
      </w:r>
      <w:r>
        <w:rPr>
          <w:rFonts w:ascii="Arial" w:cs="Arial" w:eastAsia="Arial" w:hAnsi="Arial"/>
          <w:sz w:val="18"/>
          <w:szCs w:val="18"/>
          <w:color w:val="auto"/>
        </w:rPr>
        <w:t>The most significant items affecting the results of operations of our four geographic Groups during the three and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2012 as compared with the prior year periods are summarized below:</w:t>
      </w:r>
    </w:p>
    <w:p>
      <w:pPr>
        <w:spacing w:after="0" w:line="51" w:lineRule="exact"/>
        <w:rPr>
          <w:sz w:val="20"/>
          <w:szCs w:val="20"/>
          <w:color w:val="auto"/>
        </w:rPr>
      </w:pPr>
    </w:p>
    <w:p>
      <w:pPr>
        <w:ind w:left="700" w:hanging="246"/>
        <w:spacing w:after="0" w:line="268"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in recyclable commodity prices with an estimated impact on income from operations of approximately $60 million and $100 million for the three and nine months ended September 30, 2012, respectively;</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growth from yield on our base business of approximately $91 million, noted particularly in our Midwest and Western Groups and, to a lesser extent, in our Southern Group. Our Eastern Group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54" w:name="page55"/>
    <w:bookmarkEnd w:id="54"/>
    <w:p>
      <w:pPr>
        <w:ind w:lef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experienced favorable revenue growth from yield on its base business during the nine months ended September 30, 2012; however, revenue growth from yield declined slightly during the third quarter of 2012;</w:t>
      </w:r>
    </w:p>
    <w:p>
      <w:pPr>
        <w:spacing w:after="0" w:line="51" w:lineRule="exact"/>
        <w:rPr>
          <w:sz w:val="20"/>
          <w:szCs w:val="20"/>
          <w:color w:val="auto"/>
        </w:rPr>
      </w:pPr>
    </w:p>
    <w:p>
      <w:pPr>
        <w:ind w:left="700" w:hanging="2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accretive benefits of recent acquisitions, particularly in our Eastern Group;</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Restructuring charges recognized during the third quarter of 2012;</w:t>
      </w:r>
    </w:p>
    <w:p>
      <w:pPr>
        <w:spacing w:after="0" w:line="9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maintenance and repair costs of approximately $29 million during the nine months ended September 30, 2012; although the impact in our Eastern Group was principally during the first quarter of 2012;</w:t>
      </w:r>
    </w:p>
    <w:p>
      <w:pPr>
        <w:spacing w:after="0" w:line="50" w:lineRule="exact"/>
        <w:rPr>
          <w:rFonts w:ascii="Arial" w:cs="Arial" w:eastAsia="Arial" w:hAnsi="Arial"/>
          <w:sz w:val="18"/>
          <w:szCs w:val="18"/>
          <w:color w:val="auto"/>
        </w:rPr>
      </w:pPr>
    </w:p>
    <w:p>
      <w:pPr>
        <w:jc w:val="both"/>
        <w:ind w:left="700" w:hanging="246"/>
        <w:spacing w:after="0" w:line="256"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of $14 million in fuel costs during the nine months ended September 30, 2012, consisting of an increase of $18 million in the first quarter of 2012, offset to a small extent by a decrease of $4 million in the second quarter of 2012. This net increase in fuel costs during the first half of 2012 outpaced the related revenue growth from our fuel surcharge program. During the third quarter of 2012, fuel costs were approximately the same as during the third quarter of 2011; and</w:t>
      </w:r>
    </w:p>
    <w:p>
      <w:pPr>
        <w:spacing w:after="0" w:line="62"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salaries and wages due to the transfer of certain field customer service employees from our reportable segments to Corporate and Other. The decreases during the nine months ended September 30, 2012 were offset, in part, by higher salaries and wages during the first quarter of 2012 due to annual merit increases effective April 2011 for salaried and hourly employees</w:t>
      </w:r>
      <w:r>
        <w:rPr>
          <w:rFonts w:ascii="Arial" w:cs="Arial" w:eastAsia="Arial" w:hAnsi="Arial"/>
          <w:sz w:val="18"/>
          <w:szCs w:val="18"/>
          <w:i w:val="1"/>
          <w:iCs w:val="1"/>
          <w:color w:val="auto"/>
        </w:rPr>
        <w:t>.</w:t>
      </w:r>
    </w:p>
    <w:p>
      <w:pPr>
        <w:spacing w:after="0" w:line="5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significant decrease in income from operations of our Wheelabrator Group for the three and nine months ended September 30, 2012 as compared with the respective prior year periods was driven largely by (i) lower revenues due to the expiration of long-term contracts at certain of our waste-to-energy facilities; (ii) lower energy pricing at our merchant facilities; and (iii) increased international development costs.</w:t>
      </w:r>
    </w:p>
    <w:p>
      <w:pPr>
        <w:spacing w:after="0" w:line="5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Other significant items affecting the comparability of our Groups’ results of operations for the three and nine months ended September 30, 2012 and 2011 are summarized below:</w:t>
      </w:r>
    </w:p>
    <w:p>
      <w:pPr>
        <w:spacing w:after="0" w:line="51" w:lineRule="exact"/>
        <w:rPr>
          <w:sz w:val="20"/>
          <w:szCs w:val="20"/>
          <w:color w:val="auto"/>
        </w:rPr>
      </w:pPr>
    </w:p>
    <w:p>
      <w:pPr>
        <w:jc w:val="both"/>
        <w:ind w:left="460" w:firstLine="438"/>
        <w:spacing w:after="0" w:line="289" w:lineRule="auto"/>
        <w:rPr>
          <w:sz w:val="20"/>
          <w:szCs w:val="20"/>
          <w:color w:val="auto"/>
        </w:rPr>
      </w:pPr>
      <w:r>
        <w:rPr>
          <w:rFonts w:ascii="Arial" w:cs="Arial" w:eastAsia="Arial" w:hAnsi="Arial"/>
          <w:sz w:val="16"/>
          <w:szCs w:val="16"/>
          <w:i w:val="1"/>
          <w:iCs w:val="1"/>
          <w:color w:val="auto"/>
        </w:rPr>
        <w:t xml:space="preserve">Eastern — </w:t>
      </w:r>
      <w:r>
        <w:rPr>
          <w:rFonts w:ascii="Arial" w:cs="Arial" w:eastAsia="Arial" w:hAnsi="Arial"/>
          <w:sz w:val="16"/>
          <w:szCs w:val="16"/>
          <w:color w:val="auto"/>
        </w:rPr>
        <w:t>The Eastern Group’s revenues and income from operations for the three and nine months ended September 30, 2012 as compared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prior year periods were favorably affected by the growth of our oilfield services business. These services, which focus principally on the hauling and disposal of drill cuttings and fluids and various well pad services, favorably affected both our landfill and collection lines of business. Further favorably affecting the Group’s income from operations was (i) a decrease in landfill amortization expense, which was principally due to both a decline in rates relating to the addition of expansion airspace at one of our landfills in the third quarter of 2011 and a nonrecurring amortization expense adjustment recognized in the second quarter of 2011 at a separate landfill; and (ii) higher landfill site costs in the prior year for the collection and disposal of leachate, which was largely the result of significant rainfall events during the second and third quarters of 2011. These favorable impacts were offset, in part, by the recognition of a non-cash charge in June 2012 resulting from the partial withdrawal from an underfunded multiemployer pension plan in New England.</w:t>
      </w:r>
    </w:p>
    <w:p>
      <w:pPr>
        <w:spacing w:after="0" w:line="37" w:lineRule="exact"/>
        <w:rPr>
          <w:sz w:val="20"/>
          <w:szCs w:val="20"/>
          <w:color w:val="auto"/>
        </w:rPr>
      </w:pPr>
    </w:p>
    <w:p>
      <w:pPr>
        <w:jc w:val="both"/>
        <w:ind w:left="460" w:firstLine="438"/>
        <w:spacing w:after="0" w:line="268" w:lineRule="auto"/>
        <w:rPr>
          <w:sz w:val="20"/>
          <w:szCs w:val="20"/>
          <w:color w:val="auto"/>
        </w:rPr>
      </w:pPr>
      <w:r>
        <w:rPr>
          <w:rFonts w:ascii="Arial" w:cs="Arial" w:eastAsia="Arial" w:hAnsi="Arial"/>
          <w:sz w:val="18"/>
          <w:szCs w:val="18"/>
          <w:i w:val="1"/>
          <w:iCs w:val="1"/>
          <w:color w:val="auto"/>
        </w:rPr>
        <w:t xml:space="preserve">Midwest — </w:t>
      </w:r>
      <w:r>
        <w:rPr>
          <w:rFonts w:ascii="Arial" w:cs="Arial" w:eastAsia="Arial" w:hAnsi="Arial"/>
          <w:sz w:val="18"/>
          <w:szCs w:val="18"/>
          <w:color w:val="auto"/>
        </w:rPr>
        <w:t>The income from operations for our Midwest Group for the nine months ended September 30, 2012 as compared with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period was driven in part by improvement in landfill special waste volumes experienced during the first quarter of 2012.</w:t>
      </w:r>
    </w:p>
    <w:p>
      <w:pPr>
        <w:spacing w:after="0" w:line="51" w:lineRule="exact"/>
        <w:rPr>
          <w:sz w:val="20"/>
          <w:szCs w:val="20"/>
          <w:color w:val="auto"/>
        </w:rPr>
      </w:pPr>
    </w:p>
    <w:p>
      <w:pPr>
        <w:jc w:val="both"/>
        <w:ind w:left="460" w:firstLine="438"/>
        <w:spacing w:after="0" w:line="290" w:lineRule="auto"/>
        <w:rPr>
          <w:sz w:val="20"/>
          <w:szCs w:val="20"/>
          <w:color w:val="auto"/>
        </w:rPr>
      </w:pPr>
      <w:r>
        <w:rPr>
          <w:rFonts w:ascii="Arial" w:cs="Arial" w:eastAsia="Arial" w:hAnsi="Arial"/>
          <w:sz w:val="16"/>
          <w:szCs w:val="16"/>
          <w:i w:val="1"/>
          <w:iCs w:val="1"/>
          <w:color w:val="auto"/>
        </w:rPr>
        <w:t xml:space="preserve">Southern — </w:t>
      </w:r>
      <w:r>
        <w:rPr>
          <w:rFonts w:ascii="Arial" w:cs="Arial" w:eastAsia="Arial" w:hAnsi="Arial"/>
          <w:sz w:val="16"/>
          <w:szCs w:val="16"/>
          <w:color w:val="auto"/>
        </w:rPr>
        <w:t>The Southern Group’s income from operations was impacted by an improvement in landfill volumes, driven in part by our oilfield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business, and a $3 million increase in bad debt expense recognized during the quarter ended June 30, 2012 as a result of collection issues in Puerto Rico. The comparability of the Group’s year-over-year results was further affected by a charge of $11 million during the nine months ended September 30, 2011 related to a litigation reserve. The litigation reserve was the result of a court judgment issued in a litigation matter related to our Southern Group; however, due to the timing of the judgment, the reserve was recorded after the general ledgers of our operating segments for the year 2010 were closed. As a result, the charge was initially recorded and reported in “Other” and reflected in our consolidated operating measures in the fourth quarter of 2010. In the first quarter of 2011, the charge was reversed out of “Other” and recorded in the appropriate reportable segment.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55" w:name="page56"/>
    <w:bookmarkEnd w:id="55"/>
    <w:p>
      <w:pPr>
        <w:ind w:left="460" w:firstLine="438"/>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Western — </w:t>
      </w:r>
      <w:r>
        <w:rPr>
          <w:rFonts w:ascii="Arial" w:cs="Arial" w:eastAsia="Arial" w:hAnsi="Arial"/>
          <w:sz w:val="18"/>
          <w:szCs w:val="18"/>
          <w:color w:val="auto"/>
        </w:rPr>
        <w:t>The income from operations of our Western Group for the nine months ended September 30, 2012 was negatively affected by $6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of additional operating expenses incurred as a result of a union labor dispute in Seattle.</w:t>
      </w:r>
    </w:p>
    <w:p>
      <w:pPr>
        <w:spacing w:after="0" w:line="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Significant items affecting the comparability of the remaining components of our results of operations for the three and nine months ended September 30, 2012 and 2011 are summarized below:</w:t>
      </w:r>
    </w:p>
    <w:p>
      <w:pPr>
        <w:spacing w:after="0" w:line="5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It is our policy to report adjustments that are recorded after the closing date of our reportable segment ledgers in “Other” when they are initially</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We then report these late adjustments in the appropriate reportable segment in the next reporting period, with a corresponding reversal out of “Other.”</w:t>
      </w:r>
    </w:p>
    <w:p>
      <w:pPr>
        <w:spacing w:after="0" w:line="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favorable change in operating results during the three months ended September 30, 2012 as compared to the prior year period is largely due to a late favorable adjustment recorded in the third quarter of 2012 to reduce bonus expense for our reportable segments. The favorable change during the three months ended September 30, 2012 was offset, in part, by impairment charges associated with a note receivable from an entity that we invested in that is now being liquidated and an oil and gas well.</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unfavorable change in operating results during the nine months ended September 30, 2012 as compared with the prior year period is largely due to</w:t>
      </w:r>
    </w:p>
    <w:p>
      <w:pPr>
        <w:spacing w:after="0" w:line="38" w:lineRule="exact"/>
        <w:rPr>
          <w:sz w:val="20"/>
          <w:szCs w:val="20"/>
          <w:color w:val="auto"/>
        </w:rPr>
      </w:pPr>
    </w:p>
    <w:p>
      <w:pPr>
        <w:jc w:val="both"/>
        <w:ind w:firstLine="8"/>
        <w:spacing w:after="0" w:line="288" w:lineRule="auto"/>
        <w:tabs>
          <w:tab w:leader="none" w:pos="212" w:val="left"/>
        </w:tabs>
        <w:numPr>
          <w:ilvl w:val="0"/>
          <w:numId w:val="27"/>
        </w:numPr>
        <w:rPr>
          <w:rFonts w:ascii="Arial" w:cs="Arial" w:eastAsia="Arial" w:hAnsi="Arial"/>
          <w:sz w:val="16"/>
          <w:szCs w:val="16"/>
          <w:color w:val="auto"/>
        </w:rPr>
      </w:pPr>
      <w:r>
        <w:rPr>
          <w:rFonts w:ascii="Arial" w:cs="Arial" w:eastAsia="Arial" w:hAnsi="Arial"/>
          <w:sz w:val="16"/>
          <w:szCs w:val="16"/>
          <w:color w:val="auto"/>
        </w:rPr>
        <w:t>impairment charges recognized during 2012 relating primarily to two facilities in our medical waste services business, a note receivable from an entity that we invested in that is now being liquidated and an oil and gas well; (ii) costs associated with our Waste Management Sustainability Services business, which includes both our historical national accounts customers and the customers acquired through Oakleaf, and (iii) the reversal in 2011 of expense adjustments related to our reportable segments that were initially reported in “Other” in the fourth quarter of 2010. These expense adjustments were reported in the applicable reportable segment in the first quarter of 2011. The most significant adjustment reversed out of “Other” in the first quarter of 2011 was $11 million of additional expense for litigation reserves in our Southern Group, as discussed above. The unfavorable change during the nine months ended September 30, 2012 was offset, in part, by the favorable effect of late adjustments recorded in the third quarter of 2012 to reduce bonus expense for our reportable segments.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Corporate and Other — </w:t>
      </w:r>
      <w:r>
        <w:rPr>
          <w:rFonts w:ascii="Arial" w:cs="Arial" w:eastAsia="Arial" w:hAnsi="Arial"/>
          <w:sz w:val="15"/>
          <w:szCs w:val="15"/>
          <w:color w:val="auto"/>
        </w:rPr>
        <w:t>The increase in expenses during the three and nine months ended September 30, 2012 is the result of cost increases attributable to</w:t>
      </w:r>
    </w:p>
    <w:p>
      <w:pPr>
        <w:spacing w:after="0" w:line="50" w:lineRule="exact"/>
        <w:rPr>
          <w:sz w:val="20"/>
          <w:szCs w:val="20"/>
          <w:color w:val="auto"/>
        </w:rPr>
      </w:pPr>
    </w:p>
    <w:p>
      <w:pPr>
        <w:jc w:val="both"/>
        <w:ind w:firstLine="8"/>
        <w:spacing w:after="0" w:line="290" w:lineRule="auto"/>
        <w:tabs>
          <w:tab w:leader="none" w:pos="225" w:val="left"/>
        </w:tabs>
        <w:numPr>
          <w:ilvl w:val="0"/>
          <w:numId w:val="28"/>
        </w:numPr>
        <w:rPr>
          <w:rFonts w:ascii="Arial" w:cs="Arial" w:eastAsia="Arial" w:hAnsi="Arial"/>
          <w:sz w:val="16"/>
          <w:szCs w:val="16"/>
          <w:color w:val="auto"/>
        </w:rPr>
      </w:pPr>
      <w:r>
        <w:rPr>
          <w:rFonts w:ascii="Arial" w:cs="Arial" w:eastAsia="Arial" w:hAnsi="Arial"/>
          <w:sz w:val="16"/>
          <w:szCs w:val="16"/>
          <w:color w:val="auto"/>
        </w:rPr>
        <w:t>additional compensation expense due to transfers of certain field customer service employees to our Corporate sales organization; (ii) restructuring charges recognized during the third quarter of 2012; and (iii) headcount increases due to our sales and marketing initiatives and implementation of our company-wide initiatives focusing on procurement, operational and back-office efficiency. These increases were partially offset by (i) a reduction in bonus expense; (ii) a decrease in professional fees, primarily due to the discontinuation of consulting services and related fees incurred during 2011 associated with the start-up phase of our above-mentioned company-wide initiatives; and (iii) lower non-cash compensation expense attributable to our LTIP. Our year-over-year comparisons for the three and nine months ended September 30, 2012 were also affected by the benefits realized as a result of our July 2012 restructuring activities.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Renewable Energy Operations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current operations produce renewable energy through the waste-to-energy facilities that are managed by our Wheelabrator Group and our landfill gas-to-energy operations. We are actively seeking opportunities to enhance our existing renewable energy service offerings so that we can respond to the shifting demands of consumers and act as a leader in environmental stewardship.</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disclosing the following supplemental information related to the operating results of our renewable energy operations for the three and nine months ended September 30, 2012 and 2011 (in millions) because we believe that it provides information about the significance of our current renewable energy operations, the profitability of these operations, and the costs we are incurring to develop these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b w:val="1"/>
                <w:bCs w:val="1"/>
                <w:color w:val="auto"/>
                <w:w w:val="87"/>
              </w:rPr>
              <w:t>Three Months Ended September 30, 2012</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w w:val="88"/>
              </w:rPr>
              <w:t>Nine Months Ended September 30, 2012</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Landfill Gas-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Growth</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Landfill Gas-</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Growth</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w w:val="89"/>
              </w:rPr>
              <w:t>Wheelabrator</w:t>
            </w:r>
          </w:p>
        </w:tc>
        <w:tc>
          <w:tcPr>
            <w:tcW w:w="34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to-Energy(a)</w:t>
            </w:r>
          </w:p>
        </w:tc>
        <w:tc>
          <w:tcPr>
            <w:tcW w:w="1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Opportunities(b)</w:t>
            </w:r>
          </w:p>
        </w:tc>
        <w:tc>
          <w:tcPr>
            <w:tcW w:w="16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1220" w:type="dxa"/>
            <w:vAlign w:val="bottom"/>
            <w:gridSpan w:val="4"/>
          </w:tcPr>
          <w:p>
            <w:pPr>
              <w:ind w:left="380"/>
              <w:spacing w:after="0"/>
              <w:rPr>
                <w:sz w:val="20"/>
                <w:szCs w:val="20"/>
                <w:color w:val="auto"/>
              </w:rPr>
            </w:pPr>
            <w:r>
              <w:rPr>
                <w:rFonts w:ascii="Arial" w:cs="Arial" w:eastAsia="Arial" w:hAnsi="Arial"/>
                <w:sz w:val="14"/>
                <w:szCs w:val="14"/>
                <w:b w:val="1"/>
                <w:bCs w:val="1"/>
                <w:color w:val="auto"/>
                <w:w w:val="91"/>
              </w:rPr>
              <w:t>Wheelabrator</w:t>
            </w:r>
          </w:p>
        </w:tc>
        <w:tc>
          <w:tcPr>
            <w:tcW w:w="3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to-Energy(a)</w:t>
            </w:r>
          </w:p>
        </w:tc>
        <w:tc>
          <w:tcPr>
            <w:tcW w:w="3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Opportunities(b)</w:t>
            </w:r>
          </w:p>
        </w:tc>
        <w:tc>
          <w:tcPr>
            <w:tcW w:w="160" w:type="dxa"/>
            <w:vAlign w:val="bottom"/>
          </w:tcPr>
          <w:p>
            <w:pPr>
              <w:spacing w:after="0"/>
              <w:rPr>
                <w:sz w:val="14"/>
                <w:szCs w:val="14"/>
                <w:color w:val="auto"/>
              </w:rPr>
            </w:pPr>
          </w:p>
        </w:tc>
        <w:tc>
          <w:tcPr>
            <w:tcW w:w="48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Operating revenues (including intercompany)</w:t>
            </w:r>
          </w:p>
        </w:tc>
        <w:tc>
          <w:tcPr>
            <w:tcW w:w="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218</w:t>
            </w:r>
          </w:p>
        </w:tc>
        <w:tc>
          <w:tcPr>
            <w:tcW w:w="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258</w:t>
            </w:r>
          </w:p>
        </w:tc>
        <w:tc>
          <w:tcPr>
            <w:tcW w:w="3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631</w:t>
            </w:r>
          </w:p>
        </w:tc>
        <w:tc>
          <w:tcPr>
            <w:tcW w:w="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w:t>
            </w:r>
          </w:p>
        </w:tc>
        <w:tc>
          <w:tcPr>
            <w:tcW w:w="3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ind w:left="600"/>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743</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line="155" w:lineRule="exact"/>
              <w:rPr>
                <w:sz w:val="20"/>
                <w:szCs w:val="20"/>
                <w:color w:val="auto"/>
              </w:rPr>
            </w:pPr>
            <w:r>
              <w:rPr>
                <w:rFonts w:ascii="Arial" w:cs="Arial" w:eastAsia="Arial" w:hAnsi="Arial"/>
                <w:sz w:val="14"/>
                <w:szCs w:val="14"/>
                <w:color w:val="auto"/>
              </w:rPr>
              <w:t>Costs and expenses:</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Operating</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133</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440</w:t>
            </w: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ind w:left="220"/>
              <w:spacing w:after="0" w:line="149" w:lineRule="exact"/>
              <w:rPr>
                <w:sz w:val="20"/>
                <w:szCs w:val="20"/>
                <w:color w:val="auto"/>
              </w:rPr>
            </w:pPr>
            <w:r>
              <w:rPr>
                <w:rFonts w:ascii="Arial" w:cs="Arial" w:eastAsia="Arial" w:hAnsi="Arial"/>
                <w:sz w:val="14"/>
                <w:szCs w:val="14"/>
                <w:color w:val="auto"/>
              </w:rPr>
              <w:t>Selling, general &amp; administrative</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75</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w:t>
            </w: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ind w:left="220"/>
              <w:spacing w:after="0" w:line="149" w:lineRule="exact"/>
              <w:rPr>
                <w:sz w:val="20"/>
                <w:szCs w:val="20"/>
                <w:color w:val="auto"/>
              </w:rPr>
            </w:pPr>
            <w:r>
              <w:rPr>
                <w:rFonts w:ascii="Arial" w:cs="Arial" w:eastAsia="Arial" w:hAnsi="Arial"/>
                <w:sz w:val="14"/>
                <w:szCs w:val="14"/>
                <w:color w:val="auto"/>
              </w:rPr>
              <w:t>Restructuring and unusual items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569</w:t>
            </w: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4"/>
                <w:szCs w:val="14"/>
                <w:color w:val="auto"/>
              </w:rPr>
              <w:t>Income (loss) from operations</w:t>
            </w: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vMerge w:val="continue"/>
          </w:tcPr>
          <w:p>
            <w:pPr>
              <w:spacing w:after="0"/>
              <w:rPr>
                <w:sz w:val="13"/>
                <w:szCs w:val="13"/>
                <w:color w:val="auto"/>
              </w:rPr>
            </w:pPr>
          </w:p>
        </w:tc>
        <w:tc>
          <w:tcPr>
            <w:tcW w:w="320" w:type="dxa"/>
            <w:vAlign w:val="bottom"/>
            <w:gridSpan w:val="2"/>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43</w:t>
            </w:r>
          </w:p>
        </w:tc>
        <w:tc>
          <w:tcPr>
            <w:tcW w:w="66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16</w:t>
            </w:r>
          </w:p>
        </w:tc>
        <w:tc>
          <w:tcPr>
            <w:tcW w:w="34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(15)</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44</w:t>
            </w:r>
          </w:p>
        </w:tc>
        <w:tc>
          <w:tcPr>
            <w:tcW w:w="720" w:type="dxa"/>
            <w:vAlign w:val="bottom"/>
            <w:gridSpan w:val="2"/>
          </w:tcPr>
          <w:p>
            <w:pPr>
              <w:ind w:left="380"/>
              <w:spacing w:after="0" w:line="155"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62</w:t>
            </w:r>
          </w:p>
        </w:tc>
        <w:tc>
          <w:tcPr>
            <w:tcW w:w="640" w:type="dxa"/>
            <w:vAlign w:val="bottom"/>
            <w:gridSpan w:val="2"/>
          </w:tcPr>
          <w:p>
            <w:pPr>
              <w:ind w:left="320"/>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43</w:t>
            </w:r>
          </w:p>
        </w:tc>
        <w:tc>
          <w:tcPr>
            <w:tcW w:w="540" w:type="dxa"/>
            <w:vAlign w:val="bottom"/>
            <w:gridSpan w:val="2"/>
          </w:tcPr>
          <w:p>
            <w:pPr>
              <w:ind w:left="360"/>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(19)</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86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b w:val="1"/>
                <w:bCs w:val="1"/>
                <w:color w:val="auto"/>
                <w:w w:val="87"/>
              </w:rPr>
              <w:t>Three Months Ended September 30, 2011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87"/>
              </w:rPr>
              <w:t>Nine Months Ended September 30, 2011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Landfill Gas-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Growth</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Landfill Gas-</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Growth</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w w:val="89"/>
              </w:rPr>
              <w:t>Wheelabrator</w:t>
            </w:r>
          </w:p>
        </w:tc>
        <w:tc>
          <w:tcPr>
            <w:tcW w:w="34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to-Energy(a)</w:t>
            </w:r>
          </w:p>
        </w:tc>
        <w:tc>
          <w:tcPr>
            <w:tcW w:w="1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Opportunities(b)</w:t>
            </w:r>
          </w:p>
        </w:tc>
        <w:tc>
          <w:tcPr>
            <w:tcW w:w="16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1220" w:type="dxa"/>
            <w:vAlign w:val="bottom"/>
            <w:gridSpan w:val="4"/>
          </w:tcPr>
          <w:p>
            <w:pPr>
              <w:ind w:left="380"/>
              <w:spacing w:after="0"/>
              <w:rPr>
                <w:sz w:val="20"/>
                <w:szCs w:val="20"/>
                <w:color w:val="auto"/>
              </w:rPr>
            </w:pPr>
            <w:r>
              <w:rPr>
                <w:rFonts w:ascii="Arial" w:cs="Arial" w:eastAsia="Arial" w:hAnsi="Arial"/>
                <w:sz w:val="14"/>
                <w:szCs w:val="14"/>
                <w:b w:val="1"/>
                <w:bCs w:val="1"/>
                <w:color w:val="auto"/>
                <w:w w:val="91"/>
              </w:rPr>
              <w:t>Wheelabrator</w:t>
            </w:r>
          </w:p>
        </w:tc>
        <w:tc>
          <w:tcPr>
            <w:tcW w:w="3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to-Energy(a)</w:t>
            </w:r>
          </w:p>
        </w:tc>
        <w:tc>
          <w:tcPr>
            <w:tcW w:w="3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Opportunities(b)</w:t>
            </w:r>
          </w:p>
        </w:tc>
        <w:tc>
          <w:tcPr>
            <w:tcW w:w="160" w:type="dxa"/>
            <w:vAlign w:val="bottom"/>
          </w:tcPr>
          <w:p>
            <w:pPr>
              <w:spacing w:after="0"/>
              <w:rPr>
                <w:sz w:val="14"/>
                <w:szCs w:val="14"/>
                <w:color w:val="auto"/>
              </w:rPr>
            </w:pPr>
          </w:p>
        </w:tc>
        <w:tc>
          <w:tcPr>
            <w:tcW w:w="48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Operating revenues (including intercompany)</w:t>
            </w:r>
          </w:p>
        </w:tc>
        <w:tc>
          <w:tcPr>
            <w:tcW w:w="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228</w:t>
            </w:r>
          </w:p>
        </w:tc>
        <w:tc>
          <w:tcPr>
            <w:tcW w:w="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264</w:t>
            </w:r>
          </w:p>
        </w:tc>
        <w:tc>
          <w:tcPr>
            <w:tcW w:w="3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664</w:t>
            </w:r>
          </w:p>
        </w:tc>
        <w:tc>
          <w:tcPr>
            <w:tcW w:w="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w:t>
            </w:r>
          </w:p>
        </w:tc>
        <w:tc>
          <w:tcPr>
            <w:tcW w:w="3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ind w:left="600"/>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769</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line="155" w:lineRule="exact"/>
              <w:rPr>
                <w:sz w:val="20"/>
                <w:szCs w:val="20"/>
                <w:color w:val="auto"/>
              </w:rPr>
            </w:pPr>
            <w:r>
              <w:rPr>
                <w:rFonts w:ascii="Arial" w:cs="Arial" w:eastAsia="Arial" w:hAnsi="Arial"/>
                <w:sz w:val="14"/>
                <w:szCs w:val="14"/>
                <w:color w:val="auto"/>
              </w:rPr>
              <w:t>Costs and expenses:</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Operating</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131</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429</w:t>
            </w: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ind w:left="220"/>
              <w:spacing w:after="0" w:line="149" w:lineRule="exact"/>
              <w:rPr>
                <w:sz w:val="20"/>
                <w:szCs w:val="20"/>
                <w:color w:val="auto"/>
              </w:rPr>
            </w:pPr>
            <w:r>
              <w:rPr>
                <w:rFonts w:ascii="Arial" w:cs="Arial" w:eastAsia="Arial" w:hAnsi="Arial"/>
                <w:sz w:val="14"/>
                <w:szCs w:val="14"/>
                <w:color w:val="auto"/>
              </w:rPr>
              <w:t>Selling, general &amp; administrative</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72</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w:t>
            </w: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ind w:left="220"/>
              <w:spacing w:after="0" w:line="149" w:lineRule="exact"/>
              <w:rPr>
                <w:sz w:val="20"/>
                <w:szCs w:val="20"/>
                <w:color w:val="auto"/>
              </w:rPr>
            </w:pPr>
            <w:r>
              <w:rPr>
                <w:rFonts w:ascii="Arial" w:cs="Arial" w:eastAsia="Arial" w:hAnsi="Arial"/>
                <w:sz w:val="14"/>
                <w:szCs w:val="14"/>
                <w:color w:val="auto"/>
              </w:rPr>
              <w:t>Restructuring and unusual items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552</w:t>
            </w: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4"/>
                <w:szCs w:val="14"/>
                <w:color w:val="auto"/>
              </w:rPr>
              <w:t>Income (loss) from operations</w:t>
            </w: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vMerge w:val="continue"/>
          </w:tcPr>
          <w:p>
            <w:pPr>
              <w:spacing w:after="0"/>
              <w:rPr>
                <w:sz w:val="13"/>
                <w:szCs w:val="13"/>
                <w:color w:val="auto"/>
              </w:rPr>
            </w:pPr>
          </w:p>
        </w:tc>
        <w:tc>
          <w:tcPr>
            <w:tcW w:w="320" w:type="dxa"/>
            <w:vAlign w:val="bottom"/>
            <w:gridSpan w:val="2"/>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57</w:t>
            </w:r>
          </w:p>
        </w:tc>
        <w:tc>
          <w:tcPr>
            <w:tcW w:w="66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14</w:t>
            </w:r>
          </w:p>
        </w:tc>
        <w:tc>
          <w:tcPr>
            <w:tcW w:w="34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70</w:t>
            </w:r>
          </w:p>
        </w:tc>
        <w:tc>
          <w:tcPr>
            <w:tcW w:w="720" w:type="dxa"/>
            <w:vAlign w:val="bottom"/>
            <w:gridSpan w:val="2"/>
          </w:tcPr>
          <w:p>
            <w:pPr>
              <w:ind w:left="380"/>
              <w:spacing w:after="0" w:line="155"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112</w:t>
            </w:r>
          </w:p>
        </w:tc>
        <w:tc>
          <w:tcPr>
            <w:tcW w:w="640" w:type="dxa"/>
            <w:vAlign w:val="bottom"/>
            <w:gridSpan w:val="2"/>
          </w:tcPr>
          <w:p>
            <w:pPr>
              <w:ind w:left="320"/>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39</w:t>
            </w:r>
          </w:p>
        </w:tc>
        <w:tc>
          <w:tcPr>
            <w:tcW w:w="540" w:type="dxa"/>
            <w:vAlign w:val="bottom"/>
            <w:gridSpan w:val="2"/>
          </w:tcPr>
          <w:p>
            <w:pPr>
              <w:ind w:left="360"/>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147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jc w:val="both"/>
        <w:ind w:left="460" w:hanging="452"/>
        <w:spacing w:after="0" w:line="256"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landfill gas-to-energy business focuses on generating a renewable energy source from the methane that is produced as waste decomposes. The operating results include the revenues and expenses of landfill gas-to-energy plants that we own and operate, as well as revenues generated from the sale of landfill gas to third-party owner/operators. The operating results of our landfill gas-to-energy business are included within our geographic reportable segments and “Other.”</w:t>
      </w:r>
    </w:p>
    <w:p>
      <w:pPr>
        <w:spacing w:after="0" w:line="35" w:lineRule="exact"/>
        <w:rPr>
          <w:rFonts w:ascii="Arial" w:cs="Arial" w:eastAsia="Arial" w:hAnsi="Arial"/>
          <w:sz w:val="18"/>
          <w:szCs w:val="18"/>
          <w:color w:val="auto"/>
        </w:rPr>
      </w:pPr>
    </w:p>
    <w:p>
      <w:pPr>
        <w:jc w:val="both"/>
        <w:ind w:left="460" w:hanging="452"/>
        <w:spacing w:after="0" w:line="306"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businesses and entities we have acquired or invested in through our Organic Growth Group’s business development efforts. These businesses include a landfill gas-to-LNG facility; landfill gas-to-diesel fuels technologies; organic waste streams-to-fuels technologies; and other engineered fuels technologies. The operating results of our Growth Opportunities are included within “Other” in our assessment of our income from operations by segment.</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interest expense was $123 million during the three months ended September 30, 2012, an increase of $5 million, or 4.2% from the comparable prior year period. For the nine months ended September 30, 2012, interest expense was $366 million compared with $358 million during the nine months ended September 30, 2011, an increase of $8 million, or 2.2%. The year-over-year increases in interest expense are attributable to higher debt balances. Our average debt balances for both the three- and nine-month periods ended September 30, 2012 are over 6% higher than our average debt balances in the prior year periods due to our use of debt to fund spending on acquisitions and investments.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5" w:right="239" w:bottom="1440" w:gutter="0" w:footer="0" w:header="0"/>
        </w:sectPr>
      </w:pPr>
    </w:p>
    <w:bookmarkStart w:id="57" w:name="page58"/>
    <w:bookmarkEnd w:id="57"/>
    <w:p>
      <w:pPr>
        <w:jc w:val="both"/>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increase in interest expense is less significant than the increase in our debt balances due to interest expense reductions resulting from (i) a decrease in our weighted average borrowing rate that has been achieved by issuing new debt at much lower fixed interest rates than debt repaid upon scheduled maturities; and (ii) a decrease in the costs attributable to our revolving credit facility, which was refinanced in May 2011.</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Our “Equity in net losses of unconsolidated entities” is primarily related to our noncontrolling interests in two limited liability companies established to invest in and manage low-income housing properties and a refined coal facility, as well as (i) noncontrolling investments made to support our strategic initiatives and (ii) unconsolidated trusts for final capping, closure, post-closure or environmental obligations. The tax impacts realized as a result of our investments in low-income housing properties and the refined coal facility are discussed below in </w:t>
      </w:r>
      <w:r>
        <w:rPr>
          <w:rFonts w:ascii="Arial" w:cs="Arial" w:eastAsia="Arial" w:hAnsi="Arial"/>
          <w:sz w:val="16"/>
          <w:szCs w:val="16"/>
          <w:i w:val="1"/>
          <w:iCs w:val="1"/>
          <w:color w:val="auto"/>
        </w:rPr>
        <w:t>Provision for Income Taxes.</w:t>
      </w:r>
      <w:r>
        <w:rPr>
          <w:rFonts w:ascii="Arial" w:cs="Arial" w:eastAsia="Arial" w:hAnsi="Arial"/>
          <w:sz w:val="16"/>
          <w:szCs w:val="16"/>
          <w:color w:val="auto"/>
        </w:rPr>
        <w:t xml:space="preserve"> Refer to Notes 5 and 13 to the Condensed Consolidated Financial Statements for more information related to these investments.</w:t>
      </w:r>
    </w:p>
    <w:p>
      <w:pPr>
        <w:spacing w:after="0" w:line="11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During the third quarter of 2012, we recognized a charge of $10 million related to a payment we made under a guarantee on behalf of an unconsolidated entity accounted for under the equity method.</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net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third quarter of 2012, we recognized an impairment charge of $14 million relating to an other-than-temporary decline in the value of an investment accounted for under the cost method. We wrote down the carrying value of our investment to its fair value based on other third-party investors’ recent transactions in these securities, which are considered to be the best evidence of fair value currently available.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recorded a provision for income taxes of $125 million during the third quarter of 2012, representing an effective income tax rate of 36.1%, compared with a provision for income taxes of $136 million during the third quarter of 2011, representing an effective income tax rate of 32.3%. Our effective income tax rate for the nine months ended September 30, 2012 was 34.5% compared with 34.0% for the nine months ended September 30, 2011. The increase in our provision for income taxes when comparing the three months ended September 30, 2012 with the prior year is due primarily to the unfavorable impact of adjustments to our accruals and related deferred taxes due to the filing of our 2011 income tax returns and the tax implications of impairments of unconsolidated investments.</w:t>
      </w:r>
    </w:p>
    <w:p>
      <w:pPr>
        <w:spacing w:after="0" w:line="6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investments in low-income housing properties and the refined coal facility reduced our provision for income taxes by $11 million and $6 million, respectively, for the three months ended September 30, 2012 and by $27 million and $14 million, respectively, for the nine months ended September 30, 2012. These investments reduced our provision for income taxes by $9 million and $4 million, respectively, for the three months ended September 30, 2011 and by $27 million and $11 million, respectively, for the nine months ended September 30, 2011. Refer to Note 5 to the Condensed Consolidated Financial Statements for more information related to these investments.</w:t>
      </w:r>
    </w:p>
    <w:p>
      <w:pPr>
        <w:spacing w:after="0" w:line="6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On July 28, 2011, we acquired Oakleaf and its primary operations. As a result of the acquisition, we received income tax attributes (primarily federal and state net operating losses) and allocated a portion of the purchase price to these acquired assets. At the time of the acquisition, we fully recognized all of the tax attributes identified by the seller and concluded the realization of these attributes would not affect our overall provision for income taxes. In the third quarter of 2012, as a result of new information, we recognized a tax benefit of approximately $8 million related to additional Oakleaf federal net operating losses received in the acquisition. At this time we do not anticipate the remaining tax attributes, when realized, to affect our overall provision for income taxes. While these tax attributes are not expected to affect our provision for income taxes, they will have a favorable impact on our cash taxes, although we do not anticipate the impact to be material to our overall cash flow from operations.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58" w:name="page59"/>
    <w:bookmarkEnd w:id="58"/>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Noncontrolling Interests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Net income attributable to noncontrolling interests was $9 million and $32 million for the three and nine months ended September 30, 2012 and $13 million and $36 million for the three and nine months ended September 30, 2011, respectively. These amounts are principally related to third parties’ equity interests in two limited liability companies that own three waste-to-energy facilities operated by our Wheelabrator Group. Refer to Note 13 to the Condensed Consolidated Financial Statements for information related to the consolidation of these variable interest entities.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our cash and cash equivalents, restricted trust and escrow accounts and debt balances as of September 30,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(dollars in millions):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7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121</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Tax-exempt bond funds</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tcPr>
          <w:p>
            <w:pPr>
              <w:ind w:left="440"/>
              <w:spacing w:after="0"/>
              <w:rPr>
                <w:sz w:val="20"/>
                <w:szCs w:val="20"/>
                <w:color w:val="auto"/>
              </w:rPr>
            </w:pPr>
            <w:r>
              <w:rPr>
                <w:rFonts w:ascii="Arial" w:cs="Arial" w:eastAsia="Arial" w:hAnsi="Arial"/>
                <w:sz w:val="18"/>
                <w:szCs w:val="18"/>
                <w:color w:val="auto"/>
              </w:rPr>
              <w:t>Total restricted trust and escrow accounts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137</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Current portion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826</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9,166</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tcPr>
          <w:p>
            <w:pPr>
              <w:ind w:left="440"/>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9,992</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Increase in carrying value of debt due to hedge accounting for interest rate swaps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September 30, 2012, we had $708 million of debt maturing within the next twelve months, including U.S. $117 million of advances outstanding under our Canadian credit facility, $400 million of 6.375% senior notes that mature in November 2012 and $141 million of tax-exempt bonds. We also had $663 million of tax-exempt borrowings subject to repricing within the next twelve months. We have classified $545 million of these tax-exempt borrowings as long-term based on our intent and ability to fund any failed remarketings with available capacity under our revolving credit facility.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flows for the nine-month periods ended September 30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center"/>
              <w:ind w:left="262"/>
              <w:spacing w:after="0"/>
              <w:rPr>
                <w:sz w:val="20"/>
                <w:szCs w:val="20"/>
                <w:color w:val="auto"/>
              </w:rPr>
            </w:pPr>
            <w:r>
              <w:rPr>
                <w:rFonts w:ascii="Arial" w:cs="Arial" w:eastAsia="Arial" w:hAnsi="Arial"/>
                <w:sz w:val="14"/>
                <w:szCs w:val="14"/>
                <w:b w:val="1"/>
                <w:bCs w:val="1"/>
                <w:color w:val="auto"/>
                <w:w w:val="88"/>
              </w:rPr>
              <w:t>Nine Months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23"/>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4020" w:type="dxa"/>
            <w:vAlign w:val="bottom"/>
            <w:tcBorders>
              <w:bottom w:val="single" w:sz="8" w:color="CCEEFF"/>
            </w:tcBorders>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89"/>
              </w:rPr>
              <w:t>2012</w:t>
            </w:r>
          </w:p>
        </w:tc>
        <w:tc>
          <w:tcPr>
            <w:tcW w:w="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4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1,718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4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20" w:type="dxa"/>
            <w:vAlign w:val="bottom"/>
            <w:vMerge w:val="continue"/>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(1,361)</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(1,535)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660" w:type="dxa"/>
            <w:vAlign w:val="bottom"/>
            <w:vMerge w:val="restart"/>
          </w:tcPr>
          <w:p>
            <w:pPr>
              <w:jc w:val="right"/>
              <w:ind w:right="3252"/>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2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9" w:name="page60"/>
    <w:bookmarkEnd w:id="59"/>
    <w:p>
      <w:pPr>
        <w:jc w:val="both"/>
        <w:ind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Net Cash Provided by Operating Activities </w:t>
      </w:r>
      <w:r>
        <w:rPr>
          <w:rFonts w:ascii="Arial" w:cs="Arial" w:eastAsia="Arial" w:hAnsi="Arial"/>
          <w:sz w:val="18"/>
          <w:szCs w:val="18"/>
          <w:color w:val="auto"/>
        </w:rPr>
        <w:t>— We generated $1,718 million of cash flows from operating activities during the nine-month period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2012 compared with $1,737 million during the nine-month period ended September 30, 2011. The $19 million decrease was primarily driven by the following:</w:t>
      </w:r>
    </w:p>
    <w:p>
      <w:pPr>
        <w:spacing w:after="0" w:line="59" w:lineRule="exact"/>
        <w:rPr>
          <w:sz w:val="20"/>
          <w:szCs w:val="20"/>
          <w:color w:val="auto"/>
        </w:rPr>
      </w:pPr>
    </w:p>
    <w:p>
      <w:pPr>
        <w:jc w:val="both"/>
        <w:ind w:left="700" w:hanging="246"/>
        <w:spacing w:after="0" w:line="259"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Decrease in earnings </w:t>
      </w:r>
      <w:r>
        <w:rPr>
          <w:rFonts w:ascii="Arial" w:cs="Arial" w:eastAsia="Arial" w:hAnsi="Arial"/>
          <w:sz w:val="18"/>
          <w:szCs w:val="18"/>
          <w:color w:val="auto"/>
        </w:rPr>
        <w:t>— Our income from operations, excluding depreciation and amortization, decreased by $73 million on a year-over-year basis.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$73 million decrease are the following offsetting charges and expense reversals that, when combined, had very little impact on the overall decrease in our net cash provided by operating activities:</w:t>
      </w:r>
    </w:p>
    <w:p>
      <w:pPr>
        <w:spacing w:after="0" w:line="59" w:lineRule="exact"/>
        <w:rPr>
          <w:rFonts w:ascii="Arial" w:cs="Arial" w:eastAsia="Arial" w:hAnsi="Arial"/>
          <w:sz w:val="18"/>
          <w:szCs w:val="18"/>
          <w:color w:val="auto"/>
        </w:rPr>
      </w:pPr>
    </w:p>
    <w:p>
      <w:pPr>
        <w:ind w:left="920" w:hanging="237"/>
        <w:spacing w:after="0"/>
        <w:tabs>
          <w:tab w:leader="none" w:pos="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Higher non-cash charges in 2012 related to impairments and restructuring costs of $49 million and $36 million, respectively;</w:t>
      </w:r>
    </w:p>
    <w:p>
      <w:pPr>
        <w:spacing w:after="0" w:line="90" w:lineRule="exact"/>
        <w:rPr>
          <w:rFonts w:ascii="Arial" w:cs="Arial" w:eastAsia="Arial" w:hAnsi="Arial"/>
          <w:sz w:val="18"/>
          <w:szCs w:val="18"/>
          <w:color w:val="auto"/>
        </w:rPr>
      </w:pPr>
    </w:p>
    <w:p>
      <w:pPr>
        <w:ind w:left="920" w:hanging="237"/>
        <w:spacing w:after="0"/>
        <w:tabs>
          <w:tab w:leader="none" w:pos="9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Lower non-cash charges attributable to equity-based compensation expense and interest accretion of $17 million and $19 million, respectively; and</w:t>
      </w:r>
    </w:p>
    <w:p>
      <w:pPr>
        <w:spacing w:after="0" w:line="113" w:lineRule="exact"/>
        <w:rPr>
          <w:rFonts w:ascii="Arial" w:cs="Arial" w:eastAsia="Arial" w:hAnsi="Arial"/>
          <w:sz w:val="16"/>
          <w:szCs w:val="16"/>
          <w:color w:val="auto"/>
        </w:rPr>
      </w:pPr>
    </w:p>
    <w:p>
      <w:pPr>
        <w:ind w:left="920" w:hanging="237"/>
        <w:spacing w:after="0"/>
        <w:tabs>
          <w:tab w:leader="none" w:pos="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Lower year-to-date bonus expense in 2012 when compared with 2011.</w:t>
      </w:r>
    </w:p>
    <w:p>
      <w:pPr>
        <w:spacing w:after="0" w:line="90" w:lineRule="exact"/>
        <w:rPr>
          <w:rFonts w:ascii="Arial" w:cs="Arial" w:eastAsia="Arial" w:hAnsi="Arial"/>
          <w:sz w:val="18"/>
          <w:szCs w:val="18"/>
          <w:color w:val="auto"/>
        </w:rPr>
      </w:pPr>
    </w:p>
    <w:p>
      <w:pPr>
        <w:jc w:val="both"/>
        <w:ind w:left="700" w:hanging="246"/>
        <w:spacing w:after="0" w:line="298" w:lineRule="auto"/>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Forward-starting swaps </w:t>
      </w:r>
      <w:r>
        <w:rPr>
          <w:rFonts w:ascii="Arial" w:cs="Arial" w:eastAsia="Arial" w:hAnsi="Arial"/>
          <w:sz w:val="16"/>
          <w:szCs w:val="16"/>
          <w:color w:val="auto"/>
        </w:rPr>
        <w:t>— During the first quarter of 2011 and the third quarter of 2012, forward-starting interest rate swaps associated with anticipated</w:t>
      </w:r>
      <w:r>
        <w:rPr>
          <w:rFonts w:ascii="Arial" w:cs="Arial" w:eastAsia="Arial" w:hAnsi="Arial"/>
          <w:sz w:val="16"/>
          <w:szCs w:val="16"/>
          <w:i w:val="1"/>
          <w:iCs w:val="1"/>
          <w:color w:val="auto"/>
        </w:rPr>
        <w:t xml:space="preserve"> </w:t>
      </w:r>
      <w:r>
        <w:rPr>
          <w:rFonts w:ascii="Arial" w:cs="Arial" w:eastAsia="Arial" w:hAnsi="Arial"/>
          <w:sz w:val="16"/>
          <w:szCs w:val="16"/>
          <w:color w:val="auto"/>
        </w:rPr>
        <w:t>fixed-rate debt issuances were terminated contemporaneously with the issuance of senior notes and we paid cash of $9 million and $59 million, respectively, to settle the liabilities related to these swap agreements. These cash payments have been classified as a change in “Other liabilities” within “Net cash provided by operating activities” in the Condensed Consolidated Statement of Cash Flows; and</w:t>
      </w:r>
    </w:p>
    <w:p>
      <w:pPr>
        <w:spacing w:after="0" w:line="31" w:lineRule="exact"/>
        <w:rPr>
          <w:rFonts w:ascii="Arial" w:cs="Arial" w:eastAsia="Arial" w:hAnsi="Arial"/>
          <w:sz w:val="16"/>
          <w:szCs w:val="16"/>
          <w:color w:val="auto"/>
        </w:rPr>
      </w:pPr>
    </w:p>
    <w:p>
      <w:pPr>
        <w:jc w:val="both"/>
        <w:ind w:left="700" w:hanging="246"/>
        <w:spacing w:after="0" w:line="256"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Changes in assets and liabilities, net of effects from business acquisitions and divestitures — </w:t>
      </w:r>
      <w:r>
        <w:rPr>
          <w:rFonts w:ascii="Arial" w:cs="Arial" w:eastAsia="Arial" w:hAnsi="Arial"/>
          <w:sz w:val="18"/>
          <w:szCs w:val="18"/>
          <w:color w:val="auto"/>
        </w:rPr>
        <w:t>Our cash flow from operations was unfavorably impacted</w:t>
      </w:r>
      <w:r>
        <w:rPr>
          <w:rFonts w:ascii="Arial" w:cs="Arial" w:eastAsia="Arial" w:hAnsi="Arial"/>
          <w:sz w:val="18"/>
          <w:szCs w:val="18"/>
          <w:i w:val="1"/>
          <w:iCs w:val="1"/>
          <w:color w:val="auto"/>
        </w:rPr>
        <w:t xml:space="preserve"> </w:t>
      </w:r>
      <w:r>
        <w:rPr>
          <w:rFonts w:ascii="Arial" w:cs="Arial" w:eastAsia="Arial" w:hAnsi="Arial"/>
          <w:sz w:val="18"/>
          <w:szCs w:val="18"/>
          <w:color w:val="auto"/>
        </w:rPr>
        <w:t>in 2012 by changes in our working capital accounts. Although our working capital changes may vary from year to year, they are typically driven by changes in accounts receivable, which are affected by both revenue changes and timing of payments received, and accounts payable changes, which are affected by both cost changes and timing of payments; partially offset by,</w:t>
      </w:r>
    </w:p>
    <w:p>
      <w:pPr>
        <w:spacing w:after="0" w:line="62" w:lineRule="exact"/>
        <w:rPr>
          <w:rFonts w:ascii="Arial" w:cs="Arial" w:eastAsia="Arial" w:hAnsi="Arial"/>
          <w:sz w:val="18"/>
          <w:szCs w:val="18"/>
          <w:color w:val="auto"/>
        </w:rPr>
      </w:pPr>
    </w:p>
    <w:p>
      <w:pPr>
        <w:jc w:val="both"/>
        <w:ind w:left="700" w:hanging="246"/>
        <w:spacing w:after="0" w:line="255"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Decreased income tax payments </w:t>
      </w:r>
      <w:r>
        <w:rPr>
          <w:rFonts w:ascii="Arial" w:cs="Arial" w:eastAsia="Arial" w:hAnsi="Arial"/>
          <w:sz w:val="18"/>
          <w:szCs w:val="18"/>
          <w:color w:val="auto"/>
        </w:rPr>
        <w:t>— Cash paid for income taxes, net of excess tax benefits associated with equity-based transactions, was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$70 million lower on a year-over-year basis; however, we currently expect our full year cash tax payments to increase on a year-over-year basis as a result of the decrease in the bonus depreciation allowance from a deduction of 100% of qualifying capital expenditures for property placed in service in 2011 to a deduction of 50% of qualifying capital expenditures for property placed in service in 2012. See </w:t>
      </w:r>
      <w:r>
        <w:rPr>
          <w:rFonts w:ascii="Arial" w:cs="Arial" w:eastAsia="Arial" w:hAnsi="Arial"/>
          <w:sz w:val="18"/>
          <w:szCs w:val="18"/>
          <w:i w:val="1"/>
          <w:iCs w:val="1"/>
          <w:color w:val="auto"/>
        </w:rPr>
        <w:t>Liquidity Impacts of Income Tax Items</w:t>
      </w:r>
      <w:r>
        <w:rPr>
          <w:rFonts w:ascii="Arial" w:cs="Arial" w:eastAsia="Arial" w:hAnsi="Arial"/>
          <w:sz w:val="18"/>
          <w:szCs w:val="18"/>
          <w:color w:val="auto"/>
        </w:rPr>
        <w:t xml:space="preserve"> below for additional information; and</w:t>
      </w:r>
    </w:p>
    <w:p>
      <w:pPr>
        <w:spacing w:after="0" w:line="61" w:lineRule="exact"/>
        <w:rPr>
          <w:rFonts w:ascii="Arial" w:cs="Arial" w:eastAsia="Arial" w:hAnsi="Arial"/>
          <w:sz w:val="18"/>
          <w:szCs w:val="18"/>
          <w:color w:val="auto"/>
        </w:rPr>
      </w:pPr>
    </w:p>
    <w:p>
      <w:pPr>
        <w:jc w:val="both"/>
        <w:ind w:left="700" w:hanging="246"/>
        <w:spacing w:after="0" w:line="298" w:lineRule="auto"/>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interest rate swaps </w:t>
      </w:r>
      <w:r>
        <w:rPr>
          <w:rFonts w:ascii="Arial" w:cs="Arial" w:eastAsia="Arial" w:hAnsi="Arial"/>
          <w:sz w:val="16"/>
          <w:szCs w:val="16"/>
          <w:color w:val="auto"/>
        </w:rPr>
        <w:t>— In April 2012, we elected to terminate our $1 billion interest rate swap portfolio associated with senior notes that</w:t>
      </w:r>
      <w:r>
        <w:rPr>
          <w:rFonts w:ascii="Arial" w:cs="Arial" w:eastAsia="Arial" w:hAnsi="Arial"/>
          <w:sz w:val="16"/>
          <w:szCs w:val="16"/>
          <w:i w:val="1"/>
          <w:iCs w:val="1"/>
          <w:color w:val="auto"/>
        </w:rPr>
        <w:t xml:space="preserve"> </w:t>
      </w:r>
      <w:r>
        <w:rPr>
          <w:rFonts w:ascii="Arial" w:cs="Arial" w:eastAsia="Arial" w:hAnsi="Arial"/>
          <w:sz w:val="16"/>
          <w:szCs w:val="16"/>
          <w:color w:val="auto"/>
        </w:rPr>
        <w:t>were scheduled to mature from November 2012 through March 2018. Upon termination of the swaps, we received $72 million in cash for their fair value. The cash proceeds received from the termination of interest rate swap agreements have been classified as a change in “Other assets” within “Net cash provided by operating activities” in the Condensed Consolidated Statement of Cash Flows.</w:t>
      </w:r>
    </w:p>
    <w:p>
      <w:pPr>
        <w:spacing w:after="0" w:line="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 The most significant items included in our investing cash flows for the nine-month periods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2012 and 2011 are summarized below:</w:t>
      </w:r>
    </w:p>
    <w:p>
      <w:pPr>
        <w:spacing w:after="0" w:line="51" w:lineRule="exact"/>
        <w:rPr>
          <w:sz w:val="20"/>
          <w:szCs w:val="20"/>
          <w:color w:val="auto"/>
        </w:rPr>
      </w:pPr>
    </w:p>
    <w:p>
      <w:pPr>
        <w:jc w:val="both"/>
        <w:ind w:left="700" w:hanging="246"/>
        <w:spacing w:after="0" w:line="294" w:lineRule="auto"/>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 We used $1,132 million during the first nine months of 2012 for capital expenditures compared with $909 million in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of 2011, an increase of $223 million. The increase in capital expenditures in 2012 is a result of our increased spending on compressed natural gas vehicles, related fueling infrastructure and growth initiatives. The comparison was also affected by timing differences associated with cash payments for the previous years’ fourth quarter capital spending. Approximately $244 million of our fourth quarter 2011 spending was paid in cash in the first quarter of 2012 compared with approximately $206 million of our fourth quarter 2010 spending that was paid in the first quarter of 2011.</w:t>
      </w:r>
    </w:p>
    <w:p>
      <w:pPr>
        <w:spacing w:after="0" w:line="34"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Our spending on acquisitions was $178 million in the first nine months of 2012 compared with $645 million in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2011. In 2012, our acquisitions consisted primarily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60" w:name="page61"/>
    <w:bookmarkEnd w:id="60"/>
    <w:p>
      <w:pPr>
        <w:jc w:val="both"/>
        <w:ind w:left="6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interests in oil and gas producing properties through two transactions, for which we paid $94 million. The remainder of our 2012 acquisitions related to collection and recycling operations. In 2011, we paid $432 million, net of cash received of $4 million and inclusive of certain other adjustments, to acquire Oakleaf, which continues to provide outsourced waste and recycling services.</w:t>
      </w:r>
    </w:p>
    <w:p>
      <w:pPr>
        <w:spacing w:after="0" w:line="59" w:lineRule="exact"/>
        <w:rPr>
          <w:sz w:val="20"/>
          <w:szCs w:val="20"/>
          <w:color w:val="auto"/>
        </w:rPr>
      </w:pPr>
    </w:p>
    <w:p>
      <w:pPr>
        <w:jc w:val="both"/>
        <w:ind w:left="700" w:hanging="246"/>
        <w:spacing w:after="0" w:line="298" w:lineRule="auto"/>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Investments in unconsolidated entities </w:t>
      </w:r>
      <w:r>
        <w:rPr>
          <w:rFonts w:ascii="Arial" w:cs="Arial" w:eastAsia="Arial" w:hAnsi="Arial"/>
          <w:sz w:val="16"/>
          <w:szCs w:val="16"/>
          <w:color w:val="auto"/>
        </w:rPr>
        <w:t>— We made $61 million and $92 million of cash investments in unconsolidated entities during the first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of 2012 and 2011, respectively. The investments in 2012 were related to furthering our goal of growing into new markets, while the investments made in 2011 were primarily related to a $48 million payment made to acquire a noncontrolling interest in a limited liability company that generates refined coal tax credits and $43 million of investments in greener technologies related to our growth initiatives.</w:t>
      </w:r>
    </w:p>
    <w:p>
      <w:pPr>
        <w:spacing w:after="0" w:line="31" w:lineRule="exact"/>
        <w:rPr>
          <w:rFonts w:ascii="Arial" w:cs="Arial" w:eastAsia="Arial" w:hAnsi="Arial"/>
          <w:sz w:val="16"/>
          <w:szCs w:val="16"/>
          <w:color w:val="auto"/>
        </w:rPr>
      </w:pPr>
    </w:p>
    <w:p>
      <w:pPr>
        <w:jc w:val="both"/>
        <w:ind w:left="700" w:hanging="246"/>
        <w:spacing w:after="0" w:line="256"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Net cash used by our other investing activities of $33 million during the first nine months of 2012 was primarily associated with the funding of</w:t>
      </w:r>
      <w:r>
        <w:rPr>
          <w:rFonts w:ascii="Arial" w:cs="Arial" w:eastAsia="Arial" w:hAnsi="Arial"/>
          <w:sz w:val="18"/>
          <w:szCs w:val="18"/>
          <w:i w:val="1"/>
          <w:iCs w:val="1"/>
          <w:color w:val="auto"/>
        </w:rPr>
        <w:t xml:space="preserve"> </w:t>
      </w:r>
      <w:r>
        <w:rPr>
          <w:rFonts w:ascii="Arial" w:cs="Arial" w:eastAsia="Arial" w:hAnsi="Arial"/>
          <w:sz w:val="18"/>
          <w:szCs w:val="18"/>
          <w:color w:val="auto"/>
        </w:rPr>
        <w:t>notes receivable associated with our Wheelabrator Group’s investments in Europe. Net cash provided by our other investing activities of $15 million during the first nine months of 2011 was primarily related to the receipt of a payment of $17 million associated with a note receivable from a prior year divestiture.</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 During the nine months ended September 30, 2012, net cash used in financing activities was $219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$459 million during the comparable prior year period. The most significant items affecting the comparison of our financing cash flows for the nine-month periods ended September 30, 2012 and 2011 are summarized below:</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Ÿ  </w:t>
      </w:r>
      <w:r>
        <w:rPr>
          <w:rFonts w:ascii="Arial" w:cs="Arial" w:eastAsia="Arial" w:hAnsi="Arial"/>
          <w:sz w:val="16"/>
          <w:szCs w:val="16"/>
          <w:i w:val="1"/>
          <w:iCs w:val="1"/>
          <w:color w:val="auto"/>
        </w:rPr>
        <w:t>Debt borrowings and repayments</w:t>
      </w:r>
      <w:r>
        <w:rPr>
          <w:rFonts w:ascii="Arial" w:cs="Arial" w:eastAsia="Arial" w:hAnsi="Arial"/>
          <w:sz w:val="16"/>
          <w:szCs w:val="16"/>
          <w:color w:val="auto"/>
        </w:rPr>
        <w:t xml:space="preserve"> — The following summarizes our cash borrowings and debt repayments during each period (in millions):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Borders>
              <w:bottom w:val="single" w:sz="8" w:color="CCEEFF"/>
            </w:tcBorders>
          </w:tcPr>
          <w:p>
            <w:pPr>
              <w:spacing w:after="0"/>
              <w:rPr>
                <w:sz w:val="12"/>
                <w:szCs w:val="12"/>
                <w:color w:val="auto"/>
              </w:rPr>
            </w:pPr>
          </w:p>
        </w:tc>
        <w:tc>
          <w:tcPr>
            <w:tcW w:w="33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3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Revolving credit facility</w:t>
            </w:r>
          </w:p>
        </w:tc>
        <w:tc>
          <w:tcPr>
            <w:tcW w:w="384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Canadian credit facility</w:t>
            </w:r>
          </w:p>
        </w:tc>
        <w:tc>
          <w:tcPr>
            <w:tcW w:w="3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3840" w:type="dxa"/>
            <w:vAlign w:val="bottom"/>
            <w:gridSpan w:val="3"/>
          </w:tcPr>
          <w:p>
            <w:pPr>
              <w:jc w:val="right"/>
              <w:ind w:right="120"/>
              <w:spacing w:after="0"/>
              <w:rPr>
                <w:sz w:val="20"/>
                <w:szCs w:val="20"/>
                <w:color w:val="auto"/>
              </w:rPr>
            </w:pPr>
            <w:r>
              <w:rPr>
                <w:rFonts w:ascii="Arial" w:cs="Arial" w:eastAsia="Arial" w:hAnsi="Arial"/>
                <w:sz w:val="18"/>
                <w:szCs w:val="18"/>
                <w:color w:val="auto"/>
              </w:rPr>
              <w:t>495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leases and other debt</w:t>
            </w:r>
          </w:p>
        </w:tc>
        <w:tc>
          <w:tcPr>
            <w:tcW w:w="3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$ 685</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33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Revolving credit facility</w:t>
            </w:r>
          </w:p>
        </w:tc>
        <w:tc>
          <w:tcPr>
            <w:tcW w:w="384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Canadian credit facility</w:t>
            </w:r>
          </w:p>
        </w:tc>
        <w:tc>
          <w:tcPr>
            <w:tcW w:w="3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33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Tax-exempt bonds</w:t>
            </w:r>
          </w:p>
        </w:tc>
        <w:tc>
          <w:tcPr>
            <w:tcW w:w="3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Tax-exempt project bonds</w:t>
            </w:r>
          </w:p>
        </w:tc>
        <w:tc>
          <w:tcPr>
            <w:tcW w:w="33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leases and other debt</w:t>
            </w:r>
          </w:p>
        </w:tc>
        <w:tc>
          <w:tcPr>
            <w:tcW w:w="3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(473)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borrowings</w:t>
            </w:r>
          </w:p>
        </w:tc>
        <w:tc>
          <w:tcPr>
            <w:tcW w:w="3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$ 212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 to Note 3 to the Condensed Consolidated Financial Statements for additional information related to our debt borrowings and repayments.</w:t>
      </w:r>
    </w:p>
    <w:p>
      <w:pPr>
        <w:spacing w:after="0" w:line="113" w:lineRule="exact"/>
        <w:rPr>
          <w:sz w:val="20"/>
          <w:szCs w:val="20"/>
          <w:color w:val="auto"/>
        </w:rPr>
      </w:pPr>
    </w:p>
    <w:p>
      <w:pPr>
        <w:jc w:val="both"/>
        <w:ind w:left="700" w:hanging="246"/>
        <w:spacing w:after="0" w:line="306" w:lineRule="auto"/>
        <w:tabs>
          <w:tab w:leader="none" w:pos="70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Dividend payments and share repurchases — </w:t>
      </w:r>
      <w:r>
        <w:rPr>
          <w:rFonts w:ascii="Arial" w:cs="Arial" w:eastAsia="Arial" w:hAnsi="Arial"/>
          <w:sz w:val="16"/>
          <w:szCs w:val="16"/>
          <w:color w:val="auto"/>
        </w:rPr>
        <w:t>We paid $493 million in cash dividends in the first nine months of 2012 compared with $481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nine months of 2011. The increase in dividend payments is due to our quarterly per share dividends increasing from $0.34 in 2011 to $0.355 in 2012, partially offset by a reduction in the number of outstanding shares as a result of our share repurchase program in 2011.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61" w:name="page62"/>
    <w:bookmarkEnd w:id="61"/>
    <w:p>
      <w:pPr>
        <w:ind w:left="7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repurchased 16.4 million shares of our common stock for $546 million during the first nine months of 2011, of which approximately $18 million was paid in October 2011. There were no share repurchases during the first nine months of 2012.</w:t>
      </w:r>
    </w:p>
    <w:p>
      <w:pPr>
        <w:spacing w:after="0" w:line="51" w:lineRule="exact"/>
        <w:rPr>
          <w:sz w:val="20"/>
          <w:szCs w:val="20"/>
          <w:color w:val="auto"/>
        </w:rPr>
      </w:pPr>
    </w:p>
    <w:p>
      <w:pPr>
        <w:jc w:val="both"/>
        <w:ind w:left="700" w:hanging="246"/>
        <w:spacing w:after="0" w:line="256"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Net cash provided by our other financing activities was $44 million during the first nine months of 2012 compared with net cash used of</w:t>
      </w:r>
      <w:r>
        <w:rPr>
          <w:rFonts w:ascii="Arial" w:cs="Arial" w:eastAsia="Arial" w:hAnsi="Arial"/>
          <w:sz w:val="18"/>
          <w:szCs w:val="18"/>
          <w:i w:val="1"/>
          <w:iCs w:val="1"/>
          <w:color w:val="auto"/>
        </w:rPr>
        <w:t xml:space="preserve"> </w:t>
      </w:r>
      <w:r>
        <w:rPr>
          <w:rFonts w:ascii="Arial" w:cs="Arial" w:eastAsia="Arial" w:hAnsi="Arial"/>
          <w:sz w:val="18"/>
          <w:szCs w:val="18"/>
          <w:color w:val="auto"/>
        </w:rPr>
        <w:t>$43 million during the first nine months of 2011 (including $7 million of financing costs paid to amend and restate our $2.0 billion revolving credit facility). The remaining use of cash in 2011 and the source of cash in 2012 were driven by changes in our accrued liabilities for checks written in excess of related cash balances due to the timing of cash deposits or payments.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Impacts of Income Tax Items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Recent Legislation </w:t>
      </w:r>
      <w:r>
        <w:rPr>
          <w:rFonts w:ascii="Arial" w:cs="Arial" w:eastAsia="Arial" w:hAnsi="Arial"/>
          <w:sz w:val="18"/>
          <w:szCs w:val="18"/>
          <w:color w:val="auto"/>
        </w:rPr>
        <w:t>— The Tax Relief, Unemployment Insurance Reauthorization, and Job Creation Act, signed into law on December 17, 2010,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an extension of the bonus depreciation allowance through the end of 2012 and increased the amount of qualifying capital expenditures that can be depreciated immediately from 50% to 100%. The 100% depreciation deduction applied to qualifying property placed in service from September 8, 2010 through December 31, 2011. The depreciation deduction for qualifying property placed in service in 2012 has been reduced to 50%. The acceleration of deductions on capital expenditures resulting from the bonus depreciation provisions has no impact on our effective tax rate, but reduces our cash taxes in the periods in which the deductions are taken.</w:t>
      </w:r>
    </w:p>
    <w:p>
      <w:pPr>
        <w:spacing w:after="0" w:line="6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acceleration of depreciation deductions related to qualifying property additions in 2011 decreased our full year 2011 cash taxes by approximately $190 million and, based on our current forecast of 2012 capital expenditures, we estimate a reduction in our full year 2012 cash taxes of approximately $90 million related to qualifying property additions in 2012. However, taking accelerated deductions results in increased cash taxes in subsequent periods when the deductions for these capital expenditures would have otherwise been taken. On a net basis, after taking into account the effect of all applicable years’ bonus depreciation programs, our full year 2011 cash taxes benefitted by approximately $139 million and the deductions taken in previous years from acceleration programs will more than offset the $90 million benefit expected to be received from accelerated depreciation deductions in 2012.</w:t>
      </w:r>
    </w:p>
    <w:p>
      <w:pPr>
        <w:spacing w:after="0" w:line="3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addition, as a result of the application of the depreciation safe harbor provisions of the Income Tax Regulations, our estimated income tax payments during the first nine months of 2012 were lower than the estimated income tax payments made during the first nine months of 2011. However, we currently expect our full year tax payments to be approximately $100 million higher than the full year tax payments made in 2011.</w:t>
      </w:r>
    </w:p>
    <w:p>
      <w:pPr>
        <w:spacing w:after="0" w:line="2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Uncertain Tax Positions </w:t>
      </w:r>
      <w:r>
        <w:rPr>
          <w:rFonts w:ascii="Arial" w:cs="Arial" w:eastAsia="Arial" w:hAnsi="Arial"/>
          <w:sz w:val="16"/>
          <w:szCs w:val="16"/>
          <w:color w:val="auto"/>
        </w:rPr>
        <w:t>— We have liabilities associated with unrecognized tax benefits and related interest. These liabilities are primarily included as a</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long-term “Other liabilities” in our Condensed Consolidated Balance Sheet because the Company generally does not anticipate that settlement of the liabilities will require payment of cash within the next twelve months. We are not able to reasonably estimate when we would make any cash payments required to settle these liabilities, but do not believe that the ultimate settlement of our obligations will materially affect our liquidity. We anticipate that approximately $8 million of liabilities for uncertain tax positions, including accrued interest, and $3 million of related deferred tax assets may be reversed within the next twelve months. The anticipated reversals are related to state tax items, none of which are material, and are expected to result from audit settlements or the expiration of the applicable statute of limitations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We have financial interests in unconsolidated variable interest entities as discussed in Note 13 to the Condensed Consolidated Financial Statements. Additionally, we are party to guarantee arrangements with unconsolidated entities as discussed in the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section of Note 7 to the Condensed Consolidated Financial Statements. These arrangements have not materially affected our financial position, results of operations or liquidity during the nine months ended September 30, 2012, nor are they expected to have a material impact on our future financial position, results of operations or liquidity.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Seasonal Trends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operating revenues normally tend to be somewhat higher in the summer months, primarily due to the traditional seasonal increase in the volume of construction and demolition waste. Historically, the volumes of industrial and residential waste in certain regions in which we operate have tended to increase during the summer months. Our second and third quarter revenues and results of operations typically reflect these seasonal trends.</w:t>
      </w:r>
    </w:p>
    <w:p>
      <w:pPr>
        <w:spacing w:after="0" w:line="2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Additionally, certain destructive weather conditions that tend to occur during the second half of the year, such as the hurricanes that most often impact our Southern Group, can actually increase our revenues in the areas affected. While weather-related and other “one-time” occurrences can boost revenues through additional work, as a result of significant start-up costs and other factors, such revenue sometimes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While inflationary increases in costs, including the cost of diesel fuel, have affected our operating margins in recent years,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4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Information about market risks as of September 30, 2012, does not differ materially from that discussed under Item 7A in our Annual Report on Form 10-K for the year ended December 31, 2011.</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September 30, 2012 (the end of the period covered by this Quarterly Report on Form 10-Q).</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Management, together with our principal executive and financial officers, evaluated the changes in our internal control over financial reporting during the quarter ended September 30, 2012. We determined that there were no changes in our internal control over financial reporting during the quarter ended September 30, 2012 that have materially affected, or are reasonably likely to materially affect, our internal control over financial reporting.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“Environmental Matters” and “Litigation” sections of Note 7,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to the Condensed Consolidated Financial Statements.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have been no material changes from risk factors previously disclosed in our Annual Report on Form 10-K for the year ended December 31, 2011 in response to Item 1A to Part I of Form 10-K.</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800" w:type="dxa"/>
            <w:vAlign w:val="bottom"/>
          </w:tcPr>
          <w:p>
            <w:pPr>
              <w:ind w:left="140"/>
              <w:spacing w:after="0"/>
              <w:rPr>
                <w:sz w:val="20"/>
                <w:szCs w:val="20"/>
                <w:color w:val="auto"/>
              </w:rPr>
            </w:pPr>
            <w:r>
              <w:rPr>
                <w:rFonts w:ascii="Arial" w:cs="Arial" w:eastAsia="Arial" w:hAnsi="Arial"/>
                <w:sz w:val="18"/>
                <w:szCs w:val="18"/>
                <w:b w:val="1"/>
                <w:bCs w:val="1"/>
                <w:i w:val="1"/>
                <w:iCs w:val="1"/>
                <w:color w:val="auto"/>
                <w:w w:val="85"/>
              </w:rPr>
              <w:t>Exhibits.</w:t>
            </w:r>
          </w:p>
        </w:tc>
        <w:tc>
          <w:tcPr>
            <w:tcW w:w="4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219"/>
        </w:trPr>
        <w:tc>
          <w:tcPr>
            <w:tcW w:w="120" w:type="dxa"/>
            <w:vAlign w:val="bottom"/>
          </w:tcPr>
          <w:p>
            <w:pPr>
              <w:spacing w:after="0"/>
              <w:rPr>
                <w:sz w:val="19"/>
                <w:szCs w:val="19"/>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Exhibit</w:t>
            </w:r>
          </w:p>
        </w:tc>
        <w:tc>
          <w:tcPr>
            <w:tcW w:w="8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181"/>
        </w:trPr>
        <w:tc>
          <w:tcPr>
            <w:tcW w:w="12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60" w:type="dxa"/>
            <w:vAlign w:val="bottom"/>
          </w:tcPr>
          <w:p>
            <w:pPr>
              <w:spacing w:after="0"/>
              <w:rPr>
                <w:sz w:val="15"/>
                <w:szCs w:val="15"/>
                <w:color w:val="auto"/>
              </w:rPr>
            </w:pPr>
          </w:p>
        </w:tc>
      </w:tr>
      <w:tr>
        <w:trPr>
          <w:trHeight w:val="195"/>
        </w:trPr>
        <w:tc>
          <w:tcPr>
            <w:tcW w:w="580" w:type="dxa"/>
            <w:vAlign w:val="bottom"/>
            <w:gridSpan w:val="2"/>
          </w:tcPr>
          <w:p>
            <w:pPr>
              <w:spacing w:after="0" w:line="195" w:lineRule="exact"/>
              <w:rPr>
                <w:sz w:val="20"/>
                <w:szCs w:val="20"/>
                <w:color w:val="auto"/>
              </w:rPr>
            </w:pPr>
            <w:r>
              <w:rPr>
                <w:rFonts w:ascii="Arial" w:cs="Arial" w:eastAsia="Arial" w:hAnsi="Arial"/>
                <w:sz w:val="18"/>
                <w:szCs w:val="18"/>
                <w:color w:val="auto"/>
              </w:rPr>
              <w:t>4.1</w:t>
            </w:r>
          </w:p>
        </w:tc>
        <w:tc>
          <w:tcPr>
            <w:tcW w:w="200" w:type="dxa"/>
            <w:vAlign w:val="bottom"/>
          </w:tcPr>
          <w:p>
            <w:pPr>
              <w:spacing w:after="0"/>
              <w:rPr>
                <w:sz w:val="16"/>
                <w:szCs w:val="16"/>
                <w:color w:val="auto"/>
              </w:rPr>
            </w:pPr>
          </w:p>
        </w:tc>
        <w:tc>
          <w:tcPr>
            <w:tcW w:w="10640" w:type="dxa"/>
            <w:vAlign w:val="bottom"/>
            <w:gridSpan w:val="4"/>
          </w:tcPr>
          <w:p>
            <w:pPr>
              <w:ind w:left="400"/>
              <w:spacing w:after="0" w:line="195" w:lineRule="exact"/>
              <w:rPr>
                <w:sz w:val="20"/>
                <w:szCs w:val="20"/>
                <w:color w:val="auto"/>
              </w:rPr>
            </w:pPr>
            <w:r>
              <w:rPr>
                <w:rFonts w:ascii="Arial" w:cs="Arial" w:eastAsia="Arial" w:hAnsi="Arial"/>
                <w:sz w:val="18"/>
                <w:szCs w:val="18"/>
                <w:color w:val="auto"/>
                <w:w w:val="89"/>
              </w:rPr>
              <w:t>—   Officers’ Certificate delivered pursuant to Section 301 of the Indenture dated September 10, 1997 by and between Waste Management, Inc.</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40" w:type="dxa"/>
            <w:vAlign w:val="bottom"/>
            <w:gridSpan w:val="3"/>
          </w:tcPr>
          <w:p>
            <w:pPr>
              <w:ind w:left="40"/>
              <w:spacing w:after="0"/>
              <w:rPr>
                <w:sz w:val="20"/>
                <w:szCs w:val="20"/>
                <w:color w:val="auto"/>
              </w:rPr>
            </w:pPr>
            <w:r>
              <w:rPr>
                <w:rFonts w:ascii="Arial" w:cs="Arial" w:eastAsia="Arial" w:hAnsi="Arial"/>
                <w:sz w:val="18"/>
                <w:szCs w:val="18"/>
                <w:color w:val="auto"/>
                <w:w w:val="92"/>
              </w:rPr>
              <w:t>and The Bank of New York Mellon Trust Company, N.A., as Trustee, establishing the terms and form of the Company’s 2.90% Senior</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40" w:type="dxa"/>
            <w:vAlign w:val="bottom"/>
            <w:gridSpan w:val="3"/>
          </w:tcPr>
          <w:p>
            <w:pPr>
              <w:ind w:left="40"/>
              <w:spacing w:after="0"/>
              <w:rPr>
                <w:sz w:val="20"/>
                <w:szCs w:val="20"/>
                <w:color w:val="auto"/>
              </w:rPr>
            </w:pPr>
            <w:r>
              <w:rPr>
                <w:rFonts w:ascii="Arial" w:cs="Arial" w:eastAsia="Arial" w:hAnsi="Arial"/>
                <w:sz w:val="18"/>
                <w:szCs w:val="18"/>
                <w:color w:val="auto"/>
              </w:rPr>
              <w:t>Notes due 2022.</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10640" w:type="dxa"/>
            <w:vAlign w:val="bottom"/>
            <w:gridSpan w:val="4"/>
          </w:tcPr>
          <w:p>
            <w:pPr>
              <w:ind w:left="400"/>
              <w:spacing w:after="0"/>
              <w:rPr>
                <w:sz w:val="20"/>
                <w:szCs w:val="20"/>
                <w:color w:val="auto"/>
              </w:rPr>
            </w:pPr>
            <w:r>
              <w:rPr>
                <w:rFonts w:ascii="Arial" w:cs="Arial" w:eastAsia="Arial" w:hAnsi="Arial"/>
                <w:sz w:val="18"/>
                <w:szCs w:val="18"/>
                <w:color w:val="auto"/>
                <w:w w:val="92"/>
              </w:rPr>
              <w:t>—   Guarantee Agreement by Waste Management Holdings, Inc. in favor of The Bank of New York Mellon Trust Company, N.A., as Trustee</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40" w:type="dxa"/>
            <w:vAlign w:val="bottom"/>
            <w:gridSpan w:val="3"/>
          </w:tcPr>
          <w:p>
            <w:pPr>
              <w:ind w:left="40"/>
              <w:spacing w:after="0"/>
              <w:rPr>
                <w:sz w:val="20"/>
                <w:szCs w:val="20"/>
                <w:color w:val="auto"/>
              </w:rPr>
            </w:pPr>
            <w:r>
              <w:rPr>
                <w:rFonts w:ascii="Arial" w:cs="Arial" w:eastAsia="Arial" w:hAnsi="Arial"/>
                <w:sz w:val="18"/>
                <w:szCs w:val="18"/>
                <w:color w:val="auto"/>
              </w:rPr>
              <w:t>for the holders of the Company’s 2.90% Senior Notes due 2022.</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10640" w:type="dxa"/>
            <w:vAlign w:val="bottom"/>
            <w:gridSpan w:val="4"/>
          </w:tcPr>
          <w:p>
            <w:pPr>
              <w:ind w:left="400"/>
              <w:spacing w:after="0"/>
              <w:rPr>
                <w:sz w:val="20"/>
                <w:szCs w:val="20"/>
                <w:color w:val="auto"/>
              </w:rPr>
            </w:pPr>
            <w:r>
              <w:rPr>
                <w:rFonts w:ascii="Arial" w:cs="Arial" w:eastAsia="Arial" w:hAnsi="Arial"/>
                <w:sz w:val="18"/>
                <w:szCs w:val="18"/>
                <w:color w:val="auto"/>
              </w:rPr>
              <w:t>—   Separation Agreement between the Company and Grace Cowan dated July 25, 2012.</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10640" w:type="dxa"/>
            <w:vAlign w:val="bottom"/>
            <w:gridSpan w:val="4"/>
          </w:tcPr>
          <w:p>
            <w:pPr>
              <w:ind w:left="400"/>
              <w:spacing w:after="0"/>
              <w:rPr>
                <w:sz w:val="20"/>
                <w:szCs w:val="20"/>
                <w:color w:val="auto"/>
              </w:rPr>
            </w:pPr>
            <w:r>
              <w:rPr>
                <w:rFonts w:ascii="Arial" w:cs="Arial" w:eastAsia="Arial" w:hAnsi="Arial"/>
                <w:sz w:val="18"/>
                <w:szCs w:val="18"/>
                <w:color w:val="auto"/>
              </w:rPr>
              <w:t>—   Separation Agreement between the Company and Brett W. Frazier dated August 17, 2012</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10640" w:type="dxa"/>
            <w:vAlign w:val="bottom"/>
            <w:gridSpan w:val="4"/>
          </w:tcPr>
          <w:p>
            <w:pPr>
              <w:ind w:left="400"/>
              <w:spacing w:after="0"/>
              <w:rPr>
                <w:sz w:val="20"/>
                <w:szCs w:val="20"/>
                <w:color w:val="auto"/>
              </w:rPr>
            </w:pPr>
            <w:r>
              <w:rPr>
                <w:rFonts w:ascii="Arial" w:cs="Arial" w:eastAsia="Arial" w:hAnsi="Arial"/>
                <w:sz w:val="18"/>
                <w:szCs w:val="18"/>
                <w:color w:val="auto"/>
              </w:rPr>
              <w:t>—   Separation Agreement between Waste Management Holdings, Inc. and Cherie C. Rice dated October 12, 2012.</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10640" w:type="dxa"/>
            <w:vAlign w:val="bottom"/>
            <w:gridSpan w:val="4"/>
          </w:tcPr>
          <w:p>
            <w:pPr>
              <w:ind w:left="400"/>
              <w:spacing w:after="0"/>
              <w:rPr>
                <w:sz w:val="20"/>
                <w:szCs w:val="20"/>
                <w:color w:val="auto"/>
              </w:rPr>
            </w:pPr>
            <w:r>
              <w:rPr>
                <w:rFonts w:ascii="Arial" w:cs="Arial" w:eastAsia="Arial" w:hAnsi="Arial"/>
                <w:sz w:val="18"/>
                <w:szCs w:val="18"/>
                <w:color w:val="auto"/>
                <w:w w:val="91"/>
              </w:rPr>
              <w:t>—   Certification Pursuant to Rules 13a - 14(a) and 15d - 14(a) under the Securities Exchange Act of 1934, as amended, of David P. Steiner,</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40" w:type="dxa"/>
            <w:vAlign w:val="bottom"/>
            <w:gridSpan w:val="3"/>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640" w:type="dxa"/>
            <w:vAlign w:val="bottom"/>
            <w:gridSpan w:val="4"/>
          </w:tcPr>
          <w:p>
            <w:pPr>
              <w:ind w:left="400"/>
              <w:spacing w:after="0"/>
              <w:rPr>
                <w:sz w:val="20"/>
                <w:szCs w:val="20"/>
                <w:color w:val="auto"/>
              </w:rPr>
            </w:pPr>
            <w:r>
              <w:rPr>
                <w:rFonts w:ascii="Arial" w:cs="Arial" w:eastAsia="Arial" w:hAnsi="Arial"/>
                <w:sz w:val="18"/>
                <w:szCs w:val="18"/>
                <w:color w:val="auto"/>
                <w:w w:val="90"/>
              </w:rPr>
              <w:t>—   Certification Pursuant to Rules 13a - 14(a) and 15d - 14(a) under the Securities Exchange Act of 1934, as amended, of James C. Fish, Jr.</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40" w:type="dxa"/>
            <w:vAlign w:val="bottom"/>
            <w:gridSpan w:val="3"/>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10640" w:type="dxa"/>
            <w:vAlign w:val="bottom"/>
            <w:gridSpan w:val="4"/>
          </w:tcPr>
          <w:p>
            <w:pPr>
              <w:ind w:left="400"/>
              <w:spacing w:after="0"/>
              <w:rPr>
                <w:sz w:val="20"/>
                <w:szCs w:val="20"/>
                <w:color w:val="auto"/>
              </w:rPr>
            </w:pPr>
            <w:r>
              <w:rPr>
                <w:rFonts w:ascii="Arial" w:cs="Arial" w:eastAsia="Arial" w:hAnsi="Arial"/>
                <w:sz w:val="18"/>
                <w:szCs w:val="18"/>
                <w:color w:val="auto"/>
              </w:rPr>
              <w:t>—   Certification Pursuant to 18 U.S.C. §1350 of David P. Steiner, President and Chief Executive Officer.</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10640" w:type="dxa"/>
            <w:vAlign w:val="bottom"/>
            <w:gridSpan w:val="4"/>
          </w:tcPr>
          <w:p>
            <w:pPr>
              <w:ind w:left="400"/>
              <w:spacing w:after="0"/>
              <w:rPr>
                <w:sz w:val="20"/>
                <w:szCs w:val="20"/>
                <w:color w:val="auto"/>
              </w:rPr>
            </w:pPr>
            <w:r>
              <w:rPr>
                <w:rFonts w:ascii="Arial" w:cs="Arial" w:eastAsia="Arial" w:hAnsi="Arial"/>
                <w:sz w:val="18"/>
                <w:szCs w:val="18"/>
                <w:color w:val="auto"/>
              </w:rPr>
              <w:t>—   Certification Pursuant to 18 U.S.C. §1350 of James C. Fish, Jr. Executive Vice President and Chief Financial Officer.</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4"/>
                <w:szCs w:val="24"/>
                <w:color w:val="auto"/>
              </w:rPr>
            </w:pPr>
          </w:p>
        </w:tc>
        <w:tc>
          <w:tcPr>
            <w:tcW w:w="800" w:type="dxa"/>
            <w:vAlign w:val="bottom"/>
          </w:tcPr>
          <w:p>
            <w:pPr>
              <w:ind w:left="400"/>
              <w:spacing w:after="0"/>
              <w:rPr>
                <w:sz w:val="20"/>
                <w:szCs w:val="20"/>
                <w:color w:val="auto"/>
              </w:rPr>
            </w:pPr>
            <w:r>
              <w:rPr>
                <w:rFonts w:ascii="Arial" w:cs="Arial" w:eastAsia="Arial" w:hAnsi="Arial"/>
                <w:sz w:val="18"/>
                <w:szCs w:val="18"/>
                <w:color w:val="auto"/>
              </w:rPr>
              <w:t>—</w:t>
            </w:r>
          </w:p>
        </w:tc>
        <w:tc>
          <w:tcPr>
            <w:tcW w:w="9840" w:type="dxa"/>
            <w:vAlign w:val="bottom"/>
            <w:gridSpan w:val="3"/>
          </w:tcPr>
          <w:p>
            <w:pPr>
              <w:ind w:left="40"/>
              <w:spacing w:after="0"/>
              <w:rPr>
                <w:sz w:val="20"/>
                <w:szCs w:val="20"/>
                <w:color w:val="auto"/>
              </w:rPr>
            </w:pPr>
            <w:r>
              <w:rPr>
                <w:rFonts w:ascii="Arial" w:cs="Arial" w:eastAsia="Arial" w:hAnsi="Arial"/>
                <w:sz w:val="18"/>
                <w:szCs w:val="18"/>
                <w:color w:val="auto"/>
              </w:rPr>
              <w:t>Mine Safety Disclosures.</w:t>
            </w:r>
          </w:p>
        </w:tc>
      </w:tr>
      <w:tr>
        <w:trPr>
          <w:trHeight w:val="324"/>
        </w:trPr>
        <w:tc>
          <w:tcPr>
            <w:tcW w:w="7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800" w:type="dxa"/>
            <w:vAlign w:val="bottom"/>
          </w:tcPr>
          <w:p>
            <w:pPr>
              <w:ind w:left="400"/>
              <w:spacing w:after="0"/>
              <w:rPr>
                <w:sz w:val="20"/>
                <w:szCs w:val="20"/>
                <w:color w:val="auto"/>
              </w:rPr>
            </w:pPr>
            <w:r>
              <w:rPr>
                <w:rFonts w:ascii="Arial" w:cs="Arial" w:eastAsia="Arial" w:hAnsi="Arial"/>
                <w:sz w:val="18"/>
                <w:szCs w:val="18"/>
                <w:color w:val="auto"/>
              </w:rPr>
              <w:t>—</w:t>
            </w:r>
          </w:p>
        </w:tc>
        <w:tc>
          <w:tcPr>
            <w:tcW w:w="9840" w:type="dxa"/>
            <w:vAlign w:val="bottom"/>
            <w:gridSpan w:val="3"/>
          </w:tcPr>
          <w:p>
            <w:pPr>
              <w:ind w:left="40"/>
              <w:spacing w:after="0"/>
              <w:rPr>
                <w:sz w:val="20"/>
                <w:szCs w:val="20"/>
                <w:color w:val="auto"/>
              </w:rPr>
            </w:pPr>
            <w:r>
              <w:rPr>
                <w:rFonts w:ascii="Arial" w:cs="Arial" w:eastAsia="Arial" w:hAnsi="Arial"/>
                <w:sz w:val="18"/>
                <w:szCs w:val="18"/>
                <w:color w:val="auto"/>
              </w:rPr>
              <w:t>XBRL Instance Document.</w:t>
            </w:r>
          </w:p>
        </w:tc>
      </w:tr>
      <w:tr>
        <w:trPr>
          <w:trHeight w:val="324"/>
        </w:trPr>
        <w:tc>
          <w:tcPr>
            <w:tcW w:w="7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640" w:type="dxa"/>
            <w:vAlign w:val="bottom"/>
            <w:gridSpan w:val="4"/>
          </w:tcPr>
          <w:p>
            <w:pPr>
              <w:ind w:left="400"/>
              <w:spacing w:after="0"/>
              <w:rPr>
                <w:sz w:val="20"/>
                <w:szCs w:val="20"/>
                <w:color w:val="auto"/>
              </w:rPr>
            </w:pPr>
            <w:r>
              <w:rPr>
                <w:rFonts w:ascii="Arial" w:cs="Arial" w:eastAsia="Arial" w:hAnsi="Arial"/>
                <w:sz w:val="18"/>
                <w:szCs w:val="18"/>
                <w:color w:val="auto"/>
              </w:rPr>
              <w:t>—   XBRL Taxonomy Extension Schema Document.</w:t>
            </w:r>
          </w:p>
        </w:tc>
      </w:tr>
      <w:tr>
        <w:trPr>
          <w:trHeight w:val="324"/>
        </w:trPr>
        <w:tc>
          <w:tcPr>
            <w:tcW w:w="7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640" w:type="dxa"/>
            <w:vAlign w:val="bottom"/>
            <w:gridSpan w:val="4"/>
          </w:tcPr>
          <w:p>
            <w:pPr>
              <w:ind w:left="40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324"/>
        </w:trPr>
        <w:tc>
          <w:tcPr>
            <w:tcW w:w="7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640" w:type="dxa"/>
            <w:vAlign w:val="bottom"/>
            <w:gridSpan w:val="4"/>
          </w:tcPr>
          <w:p>
            <w:pPr>
              <w:ind w:left="400"/>
              <w:spacing w:after="0"/>
              <w:rPr>
                <w:sz w:val="20"/>
                <w:szCs w:val="20"/>
                <w:color w:val="auto"/>
              </w:rPr>
            </w:pPr>
            <w:r>
              <w:rPr>
                <w:rFonts w:ascii="Arial" w:cs="Arial" w:eastAsia="Arial" w:hAnsi="Arial"/>
                <w:sz w:val="18"/>
                <w:szCs w:val="18"/>
                <w:color w:val="auto"/>
              </w:rPr>
              <w:t>—   XBRL Taxonomy Extension Definition Linkbase Document.</w:t>
            </w:r>
          </w:p>
        </w:tc>
      </w:tr>
      <w:tr>
        <w:trPr>
          <w:trHeight w:val="324"/>
        </w:trPr>
        <w:tc>
          <w:tcPr>
            <w:tcW w:w="7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640" w:type="dxa"/>
            <w:vAlign w:val="bottom"/>
            <w:gridSpan w:val="4"/>
          </w:tcPr>
          <w:p>
            <w:pPr>
              <w:ind w:left="400"/>
              <w:spacing w:after="0"/>
              <w:rPr>
                <w:sz w:val="20"/>
                <w:szCs w:val="20"/>
                <w:color w:val="auto"/>
              </w:rPr>
            </w:pPr>
            <w:r>
              <w:rPr>
                <w:rFonts w:ascii="Arial" w:cs="Arial" w:eastAsia="Arial" w:hAnsi="Arial"/>
                <w:sz w:val="18"/>
                <w:szCs w:val="18"/>
                <w:color w:val="auto"/>
              </w:rPr>
              <w:t>—   XBRL Taxonomy Extension Label Linkbase Document.</w:t>
            </w:r>
          </w:p>
        </w:tc>
      </w:tr>
      <w:tr>
        <w:trPr>
          <w:trHeight w:val="324"/>
        </w:trPr>
        <w:tc>
          <w:tcPr>
            <w:tcW w:w="7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640" w:type="dxa"/>
            <w:vAlign w:val="bottom"/>
            <w:gridSpan w:val="4"/>
          </w:tcPr>
          <w:p>
            <w:pPr>
              <w:ind w:left="40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80" w:type="dxa"/>
            <w:vAlign w:val="bottom"/>
          </w:tcPr>
          <w:p>
            <w:pPr>
              <w:ind w:left="4040"/>
              <w:spacing w:after="0"/>
              <w:rPr>
                <w:sz w:val="20"/>
                <w:szCs w:val="20"/>
                <w:color w:val="auto"/>
              </w:rPr>
            </w:pPr>
            <w:r>
              <w:rPr>
                <w:rFonts w:ascii="Arial" w:cs="Arial" w:eastAsia="Arial" w:hAnsi="Arial"/>
                <w:sz w:val="18"/>
                <w:szCs w:val="18"/>
                <w:color w:val="auto"/>
              </w:rPr>
              <w:t>63</w:t>
            </w:r>
          </w:p>
        </w:tc>
        <w:tc>
          <w:tcPr>
            <w:tcW w:w="70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261"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200" w:val="left"/>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James C. Fish, Jr.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140" w:val="left"/>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Don P. Carpenter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4.1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WASTE MANAGEMENT,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 Certificate Delivered Pursuant to</w:t>
      </w:r>
    </w:p>
    <w:p>
      <w:pPr>
        <w:jc w:val="center"/>
        <w:spacing w:after="0"/>
        <w:rPr>
          <w:sz w:val="20"/>
          <w:szCs w:val="20"/>
          <w:color w:val="auto"/>
        </w:rPr>
      </w:pPr>
      <w:r>
        <w:rPr>
          <w:rFonts w:ascii="Arial" w:cs="Arial" w:eastAsia="Arial" w:hAnsi="Arial"/>
          <w:sz w:val="22"/>
          <w:szCs w:val="22"/>
          <w:b w:val="1"/>
          <w:bCs w:val="1"/>
          <w:color w:val="auto"/>
        </w:rPr>
        <w:t>Section 301 of the Indenture dated as of September 10, 1997</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the Vice President and Treasurer, and the Corporate Secretary of Waste Management, Inc. (the “Company”), hereby certify that:</w:t>
      </w:r>
    </w:p>
    <w:p>
      <w:pPr>
        <w:spacing w:after="0" w:line="113" w:lineRule="exact"/>
        <w:rPr>
          <w:sz w:val="20"/>
          <w:szCs w:val="20"/>
          <w:color w:val="auto"/>
        </w:rPr>
      </w:pPr>
    </w:p>
    <w:p>
      <w:pPr>
        <w:ind w:right="20" w:firstLine="464"/>
        <w:spacing w:after="0" w:line="298" w:lineRule="auto"/>
        <w:tabs>
          <w:tab w:leader="none" w:pos="63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September 12, 2012 (the “Order”) for the authentication and delivery by the Trustee of $500,000,000 aggregate principal amount of 2.90% Notes due 2022 (the “Notes”).</w:t>
      </w:r>
    </w:p>
    <w:p>
      <w:pPr>
        <w:spacing w:after="0" w:line="31" w:lineRule="exact"/>
        <w:rPr>
          <w:rFonts w:ascii="Arial" w:cs="Arial" w:eastAsia="Arial" w:hAnsi="Arial"/>
          <w:sz w:val="16"/>
          <w:szCs w:val="16"/>
          <w:color w:val="auto"/>
        </w:rPr>
      </w:pPr>
    </w:p>
    <w:p>
      <w:pPr>
        <w:ind w:left="640" w:hanging="17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undersigned have read Sections 102, 103, 301 and 303 of the Indenture and the definitions in the Indenture relating thereto.</w:t>
      </w:r>
    </w:p>
    <w:p>
      <w:pPr>
        <w:spacing w:after="0" w:line="90" w:lineRule="exact"/>
        <w:rPr>
          <w:rFonts w:ascii="Arial" w:cs="Arial" w:eastAsia="Arial" w:hAnsi="Arial"/>
          <w:sz w:val="18"/>
          <w:szCs w:val="18"/>
          <w:color w:val="auto"/>
        </w:rPr>
      </w:pPr>
    </w:p>
    <w:p>
      <w:pPr>
        <w:ind w:right="380" w:firstLine="464"/>
        <w:spacing w:after="0" w:line="332" w:lineRule="auto"/>
        <w:tabs>
          <w:tab w:leader="none" w:pos="63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4" w:lineRule="exact"/>
        <w:rPr>
          <w:rFonts w:ascii="Arial" w:cs="Arial" w:eastAsia="Arial" w:hAnsi="Arial"/>
          <w:sz w:val="16"/>
          <w:szCs w:val="16"/>
          <w:color w:val="auto"/>
        </w:rPr>
      </w:pPr>
    </w:p>
    <w:p>
      <w:pPr>
        <w:ind w:left="640" w:hanging="176"/>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undersigned have examined the Order, and they have examined the covenants, conditions and provisions of the Indenture relating thereto.</w:t>
      </w:r>
    </w:p>
    <w:p>
      <w:pPr>
        <w:spacing w:after="0" w:line="113" w:lineRule="exact"/>
        <w:rPr>
          <w:rFonts w:ascii="Arial" w:cs="Arial" w:eastAsia="Arial" w:hAnsi="Arial"/>
          <w:sz w:val="16"/>
          <w:szCs w:val="16"/>
          <w:color w:val="auto"/>
        </w:rPr>
      </w:pPr>
    </w:p>
    <w:p>
      <w:pPr>
        <w:ind w:right="380" w:firstLine="464"/>
        <w:spacing w:after="0" w:line="332" w:lineRule="auto"/>
        <w:tabs>
          <w:tab w:leader="none" w:pos="632"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the opinion of the persons making this Certificate, they have made such examination or investigation as is necessary to enable them to express an informed opinion as to whether or not all conditions provided for in the Indenture with respect to the Order have been complied with.</w:t>
      </w:r>
    </w:p>
    <w:p>
      <w:pPr>
        <w:spacing w:after="0" w:line="4" w:lineRule="exact"/>
        <w:rPr>
          <w:rFonts w:ascii="Arial" w:cs="Arial" w:eastAsia="Arial" w:hAnsi="Arial"/>
          <w:sz w:val="16"/>
          <w:szCs w:val="16"/>
          <w:color w:val="auto"/>
        </w:rPr>
      </w:pPr>
    </w:p>
    <w:p>
      <w:pPr>
        <w:ind w:right="260" w:firstLine="464"/>
        <w:spacing w:after="0" w:line="268" w:lineRule="auto"/>
        <w:tabs>
          <w:tab w:leader="none" w:pos="6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conditions precedent provided in the Indenture to the authentication by the Trustee of $500,000,000 aggregate principal amount of the Notes have been complied with, and such Notes may be delivered in accordance with the Order as provided in the Indenture.</w:t>
      </w:r>
    </w:p>
    <w:p>
      <w:pPr>
        <w:spacing w:after="0" w:line="50" w:lineRule="exact"/>
        <w:rPr>
          <w:rFonts w:ascii="Arial" w:cs="Arial" w:eastAsia="Arial" w:hAnsi="Arial"/>
          <w:sz w:val="18"/>
          <w:szCs w:val="18"/>
          <w:color w:val="auto"/>
        </w:rPr>
      </w:pPr>
    </w:p>
    <w:p>
      <w:pPr>
        <w:ind w:right="60" w:firstLine="464"/>
        <w:spacing w:after="0" w:line="259" w:lineRule="auto"/>
        <w:tabs>
          <w:tab w:leader="none" w:pos="6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Officers’ Certificate have been approved by officers of the Company as duly authorized by resolutions of the Board of Directors of the Company as of August 20, 2009 and such resolutions, copies of which are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are in full force and effect as of the date hereof.</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WASTE MANAGEMENT, INC.</w:t>
      </w:r>
    </w:p>
    <w:p>
      <w:pPr>
        <w:jc w:val="center"/>
        <w:spacing w:after="0" w:line="221" w:lineRule="auto"/>
        <w:rPr>
          <w:sz w:val="20"/>
          <w:szCs w:val="20"/>
          <w:color w:val="auto"/>
        </w:rPr>
      </w:pPr>
      <w:r>
        <w:rPr>
          <w:rFonts w:ascii="Arial" w:cs="Arial" w:eastAsia="Arial" w:hAnsi="Arial"/>
          <w:sz w:val="14"/>
          <w:szCs w:val="14"/>
          <w:color w:val="auto"/>
        </w:rPr>
        <w:t>Officers’ Certificate Delivered Pursuant to</w:t>
      </w:r>
    </w:p>
    <w:p>
      <w:pPr>
        <w:jc w:val="center"/>
        <w:spacing w:after="0"/>
        <w:rPr>
          <w:sz w:val="20"/>
          <w:szCs w:val="20"/>
          <w:color w:val="auto"/>
        </w:rPr>
      </w:pPr>
      <w:r>
        <w:rPr>
          <w:rFonts w:ascii="Arial" w:cs="Arial" w:eastAsia="Arial" w:hAnsi="Arial"/>
          <w:sz w:val="14"/>
          <w:szCs w:val="14"/>
          <w:color w:val="auto"/>
        </w:rPr>
        <w:t>Section 301 of the Indenture dated as of September 10, 1997</w:t>
      </w:r>
    </w:p>
    <w:p>
      <w:pPr>
        <w:sectPr>
          <w:pgSz w:w="11900" w:h="16838" w:orient="portrait"/>
          <w:cols w:equalWidth="0" w:num="1">
            <w:col w:w="11420"/>
          </w:cols>
          <w:pgMar w:left="240" w:top="125"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hereunto executed as of the date first written above.</w:t>
      </w:r>
    </w:p>
    <w:p>
      <w:pPr>
        <w:spacing w:after="0" w:line="200" w:lineRule="exact"/>
        <w:rPr>
          <w:sz w:val="20"/>
          <w:szCs w:val="20"/>
          <w:color w:val="auto"/>
        </w:rPr>
      </w:pPr>
    </w:p>
    <w:p>
      <w:pPr>
        <w:spacing w:after="0" w:line="22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Devina A. Rankin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5"/>
          <w:szCs w:val="15"/>
          <w:color w:val="auto"/>
        </w:rPr>
        <w:t>Vice President and Treasurer</w:t>
      </w:r>
    </w:p>
    <w:p>
      <w:pPr>
        <w:spacing w:after="0" w:line="2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Linda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Linda J. Smith</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Corporate Secretary</w:t>
      </w:r>
    </w:p>
    <w:p>
      <w:pPr>
        <w:spacing w:after="0" w:line="338" w:lineRule="exact"/>
        <w:rPr>
          <w:sz w:val="20"/>
          <w:szCs w:val="20"/>
          <w:color w:val="auto"/>
        </w:rPr>
      </w:pPr>
    </w:p>
    <w:p>
      <w:pPr>
        <w:jc w:val="center"/>
        <w:ind w:right="-740"/>
        <w:spacing w:after="0"/>
        <w:rPr>
          <w:sz w:val="20"/>
          <w:szCs w:val="20"/>
          <w:color w:val="auto"/>
        </w:rPr>
      </w:pPr>
      <w:r>
        <w:rPr>
          <w:rFonts w:ascii="Arial" w:cs="Arial" w:eastAsia="Arial" w:hAnsi="Arial"/>
          <w:sz w:val="14"/>
          <w:szCs w:val="14"/>
          <w:color w:val="auto"/>
        </w:rPr>
        <w:t>WASTE MANAGEMENT, INC.</w:t>
      </w:r>
    </w:p>
    <w:p>
      <w:pPr>
        <w:jc w:val="center"/>
        <w:ind w:right="-740"/>
        <w:spacing w:after="0" w:line="221" w:lineRule="auto"/>
        <w:rPr>
          <w:sz w:val="20"/>
          <w:szCs w:val="20"/>
          <w:color w:val="auto"/>
        </w:rPr>
      </w:pPr>
      <w:r>
        <w:rPr>
          <w:rFonts w:ascii="Arial" w:cs="Arial" w:eastAsia="Arial" w:hAnsi="Arial"/>
          <w:sz w:val="14"/>
          <w:szCs w:val="14"/>
          <w:color w:val="auto"/>
        </w:rPr>
        <w:t>Officers’ Certificate Delivered Pursuant to</w:t>
      </w:r>
    </w:p>
    <w:p>
      <w:pPr>
        <w:jc w:val="center"/>
        <w:ind w:right="-740"/>
        <w:spacing w:after="0"/>
        <w:rPr>
          <w:sz w:val="20"/>
          <w:szCs w:val="20"/>
          <w:color w:val="auto"/>
        </w:rPr>
      </w:pPr>
      <w:r>
        <w:rPr>
          <w:rFonts w:ascii="Arial" w:cs="Arial" w:eastAsia="Arial" w:hAnsi="Arial"/>
          <w:sz w:val="14"/>
          <w:szCs w:val="14"/>
          <w:color w:val="auto"/>
        </w:rPr>
        <w:t>Section 301 of the Indenture dated as of September 10, 1997</w:t>
      </w:r>
    </w:p>
    <w:p>
      <w:pPr>
        <w:sectPr>
          <w:pgSz w:w="11900" w:h="16838" w:orient="portrait"/>
          <w:cols w:equalWidth="0" w:num="1">
            <w:col w:w="9759"/>
          </w:cols>
          <w:pgMar w:left="700" w:top="280" w:right="1440"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the Notes</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Pursuant to authority granted by the Board of Directors of the Company on August 20, 2009 and the Sole Director of Waste Management Holdings, Inc. on September 4, 2012,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35"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title of the series of Securities shall be “2.90% Senior Notes due 2022” (the “Notes”).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90" w:lineRule="exact"/>
        <w:rPr>
          <w:rFonts w:ascii="Arial" w:cs="Arial" w:eastAsia="Arial" w:hAnsi="Arial"/>
          <w:sz w:val="18"/>
          <w:szCs w:val="18"/>
          <w:color w:val="auto"/>
        </w:rPr>
      </w:pPr>
    </w:p>
    <w:p>
      <w:pPr>
        <w:ind w:left="460" w:right="60" w:hanging="452"/>
        <w:spacing w:after="0" w:line="298"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initial aggregate principal amount of the Notes that may be authenticated and delivered under the Indenture shall be $500,000,000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September 15, 2022.</w:t>
      </w:r>
    </w:p>
    <w:p>
      <w:pPr>
        <w:spacing w:after="0" w:line="90" w:lineRule="exact"/>
        <w:rPr>
          <w:rFonts w:ascii="Arial" w:cs="Arial" w:eastAsia="Arial" w:hAnsi="Arial"/>
          <w:sz w:val="18"/>
          <w:szCs w:val="18"/>
          <w:color w:val="auto"/>
        </w:rPr>
      </w:pPr>
    </w:p>
    <w:p>
      <w:pPr>
        <w:ind w:left="460" w:hanging="452"/>
        <w:spacing w:after="0" w:line="298"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Each Note shall bear interest from September 12, 2012 at the fixed rate of 2.90% per annum; the Interest Payment Dates on which such interest shall be payable shall be March 15 and September 15, of each year, commencing March 15, 2013, until maturity unless such date falls on a day that is not a Business Day, in which case, such payment shall be made on the next day that is a Business Day. The Regular Record Date for the determination of Holders to whom interest is payable shall be March 1 or September 1, respectively, immediately preceding such date, as the case may be.</w:t>
      </w:r>
    </w:p>
    <w:p>
      <w:pPr>
        <w:spacing w:after="0" w:line="31" w:lineRule="exact"/>
        <w:rPr>
          <w:rFonts w:ascii="Arial" w:cs="Arial" w:eastAsia="Arial" w:hAnsi="Arial"/>
          <w:sz w:val="16"/>
          <w:szCs w:val="16"/>
          <w:color w:val="auto"/>
        </w:rPr>
      </w:pPr>
    </w:p>
    <w:p>
      <w:pPr>
        <w:ind w:left="460" w:right="60" w:hanging="452"/>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59" w:lineRule="exact"/>
        <w:rPr>
          <w:rFonts w:ascii="Arial" w:cs="Arial" w:eastAsia="Arial" w:hAnsi="Arial"/>
          <w:sz w:val="18"/>
          <w:szCs w:val="18"/>
          <w:color w:val="auto"/>
        </w:rPr>
      </w:pPr>
    </w:p>
    <w:p>
      <w:pPr>
        <w:ind w:left="460" w:right="40" w:hanging="452"/>
        <w:spacing w:after="0" w:line="256"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ectPr>
          <w:pgSz w:w="11900" w:h="16838" w:orient="portrait"/>
          <w:cols w:equalWidth="0" w:num="1">
            <w:col w:w="11420"/>
          </w:cols>
          <w:pgMar w:left="240" w:top="280" w:right="239" w:bottom="1440" w:gutter="0" w:footer="0" w:header="0"/>
        </w:sectPr>
      </w:pPr>
    </w:p>
    <w:bookmarkStart w:id="68" w:name="page69"/>
    <w:bookmarkEnd w:id="68"/>
    <w:p>
      <w:pPr>
        <w:ind w:left="452" w:right="20" w:hanging="452"/>
        <w:spacing w:after="0" w:line="256" w:lineRule="auto"/>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62" w:lineRule="exact"/>
        <w:rPr>
          <w:rFonts w:ascii="Arial" w:cs="Arial" w:eastAsia="Arial" w:hAnsi="Arial"/>
          <w:sz w:val="18"/>
          <w:szCs w:val="18"/>
          <w:color w:val="auto"/>
        </w:rPr>
      </w:pPr>
    </w:p>
    <w:p>
      <w:pPr>
        <w:ind w:left="452" w:hanging="452"/>
        <w:spacing w:after="0" w:line="289" w:lineRule="auto"/>
        <w:tabs>
          <w:tab w:leader="none" w:pos="452"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Before June 15, 2022, the Notes will be redeemable and repayable, at the option of the Company, at any time in whole, or from time to time in part, at a Redemption Price equal to the greater of (i) 100% of the principal amount of the Notes to be redeemed or (ii) the sum of the present values of the remaining scheduled payments of principal and interest (at the rate in effect on the date of calculation of the Redemption Price) thereon (exclusive of interest accrued to the Redemption Date (as defined in the Notes)) discounted to the Redemption Date on a semi-annual basis (assuming a 360-day year consisting of twelve 30-day months) at the applicable Treasury Yield (as defined in the Notes) plus 20 basis points; plus, in either case, accrued interest to the Redemption Date. On or after June 15, 2022,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w:t>
      </w:r>
    </w:p>
    <w:p>
      <w:pPr>
        <w:spacing w:after="0" w:line="37" w:lineRule="exact"/>
        <w:rPr>
          <w:rFonts w:ascii="Arial" w:cs="Arial" w:eastAsia="Arial" w:hAnsi="Arial"/>
          <w:sz w:val="16"/>
          <w:szCs w:val="16"/>
          <w:color w:val="auto"/>
        </w:rPr>
      </w:pPr>
    </w:p>
    <w:p>
      <w:pPr>
        <w:ind w:left="452" w:right="780" w:hanging="452"/>
        <w:spacing w:after="0" w:line="268" w:lineRule="auto"/>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50" w:lineRule="exact"/>
        <w:rPr>
          <w:rFonts w:ascii="Arial" w:cs="Arial" w:eastAsia="Arial" w:hAnsi="Arial"/>
          <w:sz w:val="18"/>
          <w:szCs w:val="18"/>
          <w:color w:val="auto"/>
        </w:rPr>
      </w:pPr>
    </w:p>
    <w:p>
      <w:pPr>
        <w:ind w:left="452" w:right="60" w:hanging="452"/>
        <w:spacing w:after="0" w:line="268" w:lineRule="auto"/>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serve initially as Security Registrar for the Notes.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90" w:lineRule="exact"/>
        <w:rPr>
          <w:rFonts w:ascii="Arial" w:cs="Arial" w:eastAsia="Arial" w:hAnsi="Arial"/>
          <w:sz w:val="18"/>
          <w:szCs w:val="18"/>
          <w:color w:val="auto"/>
        </w:rPr>
      </w:pPr>
    </w:p>
    <w:p>
      <w:pPr>
        <w:ind w:left="452" w:right="120" w:hanging="452"/>
        <w:spacing w:after="0" w:line="298" w:lineRule="auto"/>
        <w:tabs>
          <w:tab w:leader="none" w:pos="45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Notes will be fully and unconditionally guaranteed on a senior basis by the Company’s wholly owned subsidiary, Waste Management Holdings, Inc., pursuant to the terms and conditions of a Guarantee Agreement dated September 12, 2012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ectPr>
          <w:pgSz w:w="11900" w:h="16838" w:orient="portrait"/>
          <w:cols w:equalWidth="0" w:num="1">
            <w:col w:w="11412"/>
          </w:cols>
          <w:pgMar w:left="248" w:top="280"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NOTES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Note)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BOOK-ENTRY SECURITY</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420"/>
          </w:cols>
          <w:pgMar w:left="240" w:top="274" w:right="2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RGN-1</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w:t>
      </w:r>
    </w:p>
    <w:p>
      <w:pPr>
        <w:spacing w:after="0" w:line="140" w:lineRule="exact"/>
        <w:rPr>
          <w:sz w:val="20"/>
          <w:szCs w:val="20"/>
          <w:color w:val="auto"/>
        </w:rPr>
      </w:pPr>
    </w:p>
    <w:p>
      <w:pPr>
        <w:sectPr>
          <w:pgSz w:w="11900" w:h="16838" w:orient="portrait"/>
          <w:cols w:equalWidth="0" w:num="2">
            <w:col w:w="9440" w:space="720"/>
            <w:col w:w="1260"/>
          </w:cols>
          <w:pgMar w:left="240" w:top="274" w:right="23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WASTE MANAGEMENT, INC.</w:t>
      </w:r>
    </w:p>
    <w:p>
      <w:pPr>
        <w:spacing w:after="0" w:line="20" w:lineRule="exact"/>
        <w:rPr>
          <w:sz w:val="20"/>
          <w:szCs w:val="20"/>
          <w:color w:val="auto"/>
        </w:rPr>
      </w:pPr>
      <w:r>
        <w:rPr>
          <w:sz w:val="20"/>
          <w:szCs w:val="20"/>
          <w:color w:val="auto"/>
        </w:rPr>
        <w:br w:type="column"/>
      </w:r>
    </w:p>
    <w:p>
      <w:pPr>
        <w:jc w:val="right"/>
        <w:spacing w:after="0" w:line="259" w:lineRule="auto"/>
        <w:rPr>
          <w:sz w:val="20"/>
          <w:szCs w:val="20"/>
          <w:color w:val="auto"/>
        </w:rPr>
      </w:pPr>
      <w:r>
        <w:rPr>
          <w:rFonts w:ascii="Arial" w:cs="Arial" w:eastAsia="Arial" w:hAnsi="Arial"/>
          <w:sz w:val="18"/>
          <w:szCs w:val="18"/>
          <w:color w:val="auto"/>
        </w:rPr>
        <w:t>U.S. $500,000,000, which may be decreased by the Schedule of Exchanges of Definitive Security attached hereto</w:t>
      </w:r>
    </w:p>
    <w:p>
      <w:pPr>
        <w:spacing w:after="0" w:line="86" w:lineRule="exact"/>
        <w:rPr>
          <w:sz w:val="20"/>
          <w:szCs w:val="20"/>
          <w:color w:val="auto"/>
        </w:rPr>
      </w:pPr>
    </w:p>
    <w:p>
      <w:pPr>
        <w:sectPr>
          <w:pgSz w:w="11900" w:h="16838" w:orient="portrait"/>
          <w:cols w:equalWidth="0" w:num="2">
            <w:col w:w="7660" w:space="160"/>
            <w:col w:w="3600"/>
          </w:cols>
          <w:pgMar w:left="240" w:top="274" w:right="239" w:bottom="1440" w:gutter="0" w:footer="0" w:header="0"/>
          <w:type w:val="continuous"/>
        </w:sectPr>
      </w:pPr>
    </w:p>
    <w:p>
      <w:pPr>
        <w:ind w:left="5120"/>
        <w:spacing w:after="0"/>
        <w:rPr>
          <w:sz w:val="20"/>
          <w:szCs w:val="20"/>
          <w:color w:val="auto"/>
        </w:rPr>
      </w:pPr>
      <w:r>
        <w:rPr>
          <w:rFonts w:ascii="Arial" w:cs="Arial" w:eastAsia="Arial" w:hAnsi="Arial"/>
          <w:sz w:val="18"/>
          <w:szCs w:val="18"/>
          <w:color w:val="auto"/>
        </w:rPr>
        <w:t>2.90% SENIOR NOTES DUE 2022</w:t>
      </w:r>
    </w:p>
    <w:p>
      <w:pPr>
        <w:spacing w:after="0" w:line="117" w:lineRule="exact"/>
        <w:rPr>
          <w:sz w:val="20"/>
          <w:szCs w:val="20"/>
          <w:color w:val="auto"/>
        </w:rPr>
      </w:pPr>
    </w:p>
    <w:p>
      <w:pPr>
        <w:ind w:left="10000"/>
        <w:spacing w:after="0"/>
        <w:rPr>
          <w:sz w:val="20"/>
          <w:szCs w:val="20"/>
          <w:color w:val="auto"/>
        </w:rPr>
      </w:pPr>
      <w:r>
        <w:rPr>
          <w:rFonts w:ascii="Arial" w:cs="Arial" w:eastAsia="Arial" w:hAnsi="Arial"/>
          <w:sz w:val="16"/>
          <w:szCs w:val="16"/>
          <w:color w:val="auto"/>
        </w:rPr>
        <w:t>CUSIP 94106LAY5</w:t>
      </w:r>
    </w:p>
    <w:p>
      <w:pPr>
        <w:sectPr>
          <w:pgSz w:w="11900" w:h="16838" w:orient="portrait"/>
          <w:cols w:equalWidth="0" w:num="1">
            <w:col w:w="11420"/>
          </w:cols>
          <w:pgMar w:left="240" w:top="274" w:right="239" w:bottom="1440" w:gutter="0" w:footer="0" w:header="0"/>
          <w:type w:val="continuous"/>
        </w:sectPr>
      </w:pPr>
    </w:p>
    <w:p>
      <w:pPr>
        <w:spacing w:after="0" w:line="19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 Five Hundred Million ($500,000,000) U.S. dollars, or such lesser principal sum as is shown on the attached Schedule of Exchanges of Definitive Security, on September 15, 2022 in such coin or currency of the United States of America as at the time of payment shall be legal tender for the payment of public and private debts, and to pay interest at an annual rate of 2.90% payable on March 15 and September 15 of each year, to the person in whose name this</w:t>
      </w:r>
    </w:p>
    <w:p>
      <w:pPr>
        <w:sectPr>
          <w:pgSz w:w="11900" w:h="16838" w:orient="portrait"/>
          <w:cols w:equalWidth="0" w:num="1">
            <w:col w:w="11420"/>
          </w:cols>
          <w:pgMar w:left="240" w:top="274" w:right="239" w:bottom="1440" w:gutter="0" w:footer="0" w:header="0"/>
          <w:type w:val="continuous"/>
        </w:sectPr>
      </w:pPr>
    </w:p>
    <w:bookmarkStart w:id="70" w:name="page71"/>
    <w:bookmarkEnd w:id="70"/>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is registered at the close of business on the record date for such interest, which shall be the preceding March 1 or September 1, respectively, payable commencing March 15, 2013, with interest consisting of interest accrued from September 12, 2012.</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This Security is issued in respect of a series of Securities of an initial aggregate of U.S. $500,000,000 in principal amount designated as the 2.90% Senior Notes due 2022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4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hereby irrevocably undertakes to the Holder hereof to exchange this Security in accordance with the terms of the Indenture without charge.</w:t>
      </w:r>
    </w:p>
    <w:p>
      <w:pPr>
        <w:sectPr>
          <w:pgSz w:w="11900" w:h="16838" w:orient="portrait"/>
          <w:cols w:equalWidth="0" w:num="1">
            <w:col w:w="11400"/>
          </w:cols>
          <w:pgMar w:left="240" w:top="280" w:right="259" w:bottom="1440" w:gutter="0" w:footer="0" w:header="0"/>
        </w:sectPr>
      </w:pPr>
    </w:p>
    <w:bookmarkStart w:id="71" w:name="page72"/>
    <w:bookmarkEnd w:id="71"/>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Security shall not be valid or become obligatory for any purpose until the Certificate of Authentication hereon shall have been manually signed by the Trustee under the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Dated: September 12, 2012</w:t>
            </w:r>
          </w:p>
        </w:tc>
        <w:tc>
          <w:tcPr>
            <w:tcW w:w="7500" w:type="dxa"/>
            <w:vAlign w:val="bottom"/>
            <w:gridSpan w:val="2"/>
          </w:tcPr>
          <w:p>
            <w:pPr>
              <w:ind w:left="2000"/>
              <w:spacing w:after="0"/>
              <w:rPr>
                <w:sz w:val="20"/>
                <w:szCs w:val="20"/>
                <w:color w:val="auto"/>
              </w:rPr>
            </w:pPr>
            <w:r>
              <w:rPr>
                <w:rFonts w:ascii="Arial" w:cs="Arial" w:eastAsia="Arial" w:hAnsi="Arial"/>
                <w:sz w:val="18"/>
                <w:szCs w:val="18"/>
                <w:color w:val="auto"/>
              </w:rPr>
              <w:t>WASTE MANAGEMENT, INC.,</w:t>
            </w:r>
          </w:p>
        </w:tc>
      </w:tr>
      <w:tr>
        <w:trPr>
          <w:trHeight w:val="222"/>
        </w:trPr>
        <w:tc>
          <w:tcPr>
            <w:tcW w:w="3920" w:type="dxa"/>
            <w:vAlign w:val="bottom"/>
          </w:tcPr>
          <w:p>
            <w:pPr>
              <w:spacing w:after="0"/>
              <w:rPr>
                <w:sz w:val="19"/>
                <w:szCs w:val="19"/>
                <w:color w:val="auto"/>
              </w:rPr>
            </w:pPr>
          </w:p>
        </w:tc>
        <w:tc>
          <w:tcPr>
            <w:tcW w:w="7500" w:type="dxa"/>
            <w:vAlign w:val="bottom"/>
            <w:gridSpan w:val="2"/>
          </w:tcPr>
          <w:p>
            <w:pPr>
              <w:ind w:left="2000"/>
              <w:spacing w:after="0"/>
              <w:rPr>
                <w:sz w:val="20"/>
                <w:szCs w:val="20"/>
                <w:color w:val="auto"/>
              </w:rPr>
            </w:pPr>
            <w:r>
              <w:rPr>
                <w:rFonts w:ascii="Arial" w:cs="Arial" w:eastAsia="Arial" w:hAnsi="Arial"/>
                <w:sz w:val="18"/>
                <w:szCs w:val="18"/>
                <w:color w:val="auto"/>
              </w:rPr>
              <w:t>a Delaware corporation</w:t>
            </w:r>
          </w:p>
        </w:tc>
      </w:tr>
      <w:tr>
        <w:trPr>
          <w:trHeight w:val="447"/>
        </w:trPr>
        <w:tc>
          <w:tcPr>
            <w:tcW w:w="3920" w:type="dxa"/>
            <w:vAlign w:val="bottom"/>
          </w:tcPr>
          <w:p>
            <w:pPr>
              <w:spacing w:after="0"/>
              <w:rPr>
                <w:sz w:val="24"/>
                <w:szCs w:val="24"/>
                <w:color w:val="auto"/>
              </w:rPr>
            </w:pPr>
          </w:p>
        </w:tc>
        <w:tc>
          <w:tcPr>
            <w:tcW w:w="7500" w:type="dxa"/>
            <w:vAlign w:val="bottom"/>
            <w:gridSpan w:val="2"/>
          </w:tcPr>
          <w:p>
            <w:pPr>
              <w:ind w:left="2000"/>
              <w:spacing w:after="0"/>
              <w:rPr>
                <w:sz w:val="20"/>
                <w:szCs w:val="20"/>
                <w:color w:val="auto"/>
              </w:rPr>
            </w:pPr>
            <w:r>
              <w:rPr>
                <w:rFonts w:ascii="Arial" w:cs="Arial" w:eastAsia="Arial" w:hAnsi="Arial"/>
                <w:sz w:val="18"/>
                <w:szCs w:val="18"/>
                <w:color w:val="auto"/>
              </w:rPr>
              <w:t>By:</w:t>
            </w:r>
          </w:p>
        </w:tc>
      </w:tr>
      <w:tr>
        <w:trPr>
          <w:trHeight w:val="202"/>
        </w:trPr>
        <w:tc>
          <w:tcPr>
            <w:tcW w:w="39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Devina A. Rankin</w:t>
            </w:r>
          </w:p>
        </w:tc>
      </w:tr>
      <w:tr>
        <w:trPr>
          <w:trHeight w:val="222"/>
        </w:trPr>
        <w:tc>
          <w:tcPr>
            <w:tcW w:w="39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 and Treasurer</w:t>
            </w:r>
          </w:p>
        </w:tc>
      </w:tr>
      <w:tr>
        <w:trPr>
          <w:trHeight w:val="540"/>
        </w:trPr>
        <w:tc>
          <w:tcPr>
            <w:tcW w:w="3920" w:type="dxa"/>
            <w:vAlign w:val="bottom"/>
          </w:tcPr>
          <w:p>
            <w:pPr>
              <w:spacing w:after="0"/>
              <w:rPr>
                <w:sz w:val="24"/>
                <w:szCs w:val="24"/>
                <w:color w:val="auto"/>
              </w:rPr>
            </w:pPr>
          </w:p>
        </w:tc>
        <w:tc>
          <w:tcPr>
            <w:tcW w:w="7500" w:type="dxa"/>
            <w:vAlign w:val="bottom"/>
            <w:gridSpan w:val="2"/>
          </w:tcPr>
          <w:p>
            <w:pPr>
              <w:ind w:left="2000"/>
              <w:spacing w:after="0"/>
              <w:rPr>
                <w:sz w:val="20"/>
                <w:szCs w:val="20"/>
                <w:color w:val="auto"/>
              </w:rPr>
            </w:pPr>
            <w:r>
              <w:rPr>
                <w:rFonts w:ascii="Arial" w:cs="Arial" w:eastAsia="Arial" w:hAnsi="Arial"/>
                <w:sz w:val="18"/>
                <w:szCs w:val="18"/>
                <w:color w:val="auto"/>
              </w:rPr>
              <w:t>Attest:</w:t>
            </w:r>
          </w:p>
        </w:tc>
      </w:tr>
      <w:tr>
        <w:trPr>
          <w:trHeight w:val="433"/>
        </w:trPr>
        <w:tc>
          <w:tcPr>
            <w:tcW w:w="3920" w:type="dxa"/>
            <w:vAlign w:val="bottom"/>
          </w:tcPr>
          <w:p>
            <w:pPr>
              <w:spacing w:after="0"/>
              <w:rPr>
                <w:sz w:val="24"/>
                <w:szCs w:val="24"/>
                <w:color w:val="auto"/>
              </w:rPr>
            </w:pPr>
          </w:p>
        </w:tc>
        <w:tc>
          <w:tcPr>
            <w:tcW w:w="7500" w:type="dxa"/>
            <w:vAlign w:val="bottom"/>
            <w:gridSpan w:val="2"/>
          </w:tcPr>
          <w:p>
            <w:pPr>
              <w:ind w:left="2000"/>
              <w:spacing w:after="0"/>
              <w:rPr>
                <w:sz w:val="20"/>
                <w:szCs w:val="20"/>
                <w:color w:val="auto"/>
              </w:rPr>
            </w:pPr>
            <w:r>
              <w:rPr>
                <w:rFonts w:ascii="Arial" w:cs="Arial" w:eastAsia="Arial" w:hAnsi="Arial"/>
                <w:sz w:val="18"/>
                <w:szCs w:val="18"/>
                <w:color w:val="auto"/>
              </w:rPr>
              <w:t>By:</w:t>
            </w:r>
          </w:p>
        </w:tc>
      </w:tr>
      <w:tr>
        <w:trPr>
          <w:trHeight w:val="202"/>
        </w:trPr>
        <w:tc>
          <w:tcPr>
            <w:tcW w:w="39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Linda J. Smith</w:t>
            </w:r>
          </w:p>
        </w:tc>
      </w:tr>
      <w:tr>
        <w:trPr>
          <w:trHeight w:val="222"/>
        </w:trPr>
        <w:tc>
          <w:tcPr>
            <w:tcW w:w="39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Secretary</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AUTHENTICATION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Date of Authentication: September 12, 2012</w:t>
            </w:r>
          </w:p>
        </w:tc>
        <w:tc>
          <w:tcPr>
            <w:tcW w:w="6900" w:type="dxa"/>
            <w:vAlign w:val="bottom"/>
            <w:gridSpan w:val="2"/>
          </w:tcPr>
          <w:p>
            <w:pPr>
              <w:ind w:left="1400"/>
              <w:spacing w:after="0"/>
              <w:rPr>
                <w:sz w:val="20"/>
                <w:szCs w:val="20"/>
                <w:color w:val="auto"/>
              </w:rPr>
            </w:pPr>
            <w:r>
              <w:rPr>
                <w:rFonts w:ascii="Arial" w:cs="Arial" w:eastAsia="Arial" w:hAnsi="Arial"/>
                <w:sz w:val="18"/>
                <w:szCs w:val="18"/>
                <w:color w:val="auto"/>
              </w:rPr>
              <w:t>The Bank of New York Mellon Trust</w:t>
            </w:r>
          </w:p>
        </w:tc>
      </w:tr>
      <w:tr>
        <w:trPr>
          <w:trHeight w:val="222"/>
        </w:trPr>
        <w:tc>
          <w:tcPr>
            <w:tcW w:w="4520" w:type="dxa"/>
            <w:vAlign w:val="bottom"/>
          </w:tcPr>
          <w:p>
            <w:pPr>
              <w:spacing w:after="0"/>
              <w:rPr>
                <w:sz w:val="19"/>
                <w:szCs w:val="19"/>
                <w:color w:val="auto"/>
              </w:rPr>
            </w:pPr>
          </w:p>
        </w:tc>
        <w:tc>
          <w:tcPr>
            <w:tcW w:w="6900" w:type="dxa"/>
            <w:vAlign w:val="bottom"/>
            <w:gridSpan w:val="2"/>
          </w:tcPr>
          <w:p>
            <w:pPr>
              <w:ind w:left="1400"/>
              <w:spacing w:after="0"/>
              <w:rPr>
                <w:sz w:val="20"/>
                <w:szCs w:val="20"/>
                <w:color w:val="auto"/>
              </w:rPr>
            </w:pPr>
            <w:r>
              <w:rPr>
                <w:rFonts w:ascii="Arial" w:cs="Arial" w:eastAsia="Arial" w:hAnsi="Arial"/>
                <w:sz w:val="18"/>
                <w:szCs w:val="18"/>
                <w:color w:val="auto"/>
              </w:rPr>
              <w:t>Company N.A., as Trustee</w:t>
            </w:r>
          </w:p>
        </w:tc>
      </w:tr>
      <w:tr>
        <w:trPr>
          <w:trHeight w:val="447"/>
        </w:trPr>
        <w:tc>
          <w:tcPr>
            <w:tcW w:w="4520" w:type="dxa"/>
            <w:vAlign w:val="bottom"/>
          </w:tcPr>
          <w:p>
            <w:pPr>
              <w:spacing w:after="0"/>
              <w:rPr>
                <w:sz w:val="24"/>
                <w:szCs w:val="24"/>
                <w:color w:val="auto"/>
              </w:rPr>
            </w:pPr>
          </w:p>
        </w:tc>
        <w:tc>
          <w:tcPr>
            <w:tcW w:w="6900" w:type="dxa"/>
            <w:vAlign w:val="bottom"/>
            <w:gridSpan w:val="2"/>
          </w:tcPr>
          <w:p>
            <w:pPr>
              <w:ind w:left="1400"/>
              <w:spacing w:after="0"/>
              <w:rPr>
                <w:sz w:val="20"/>
                <w:szCs w:val="20"/>
                <w:color w:val="auto"/>
              </w:rPr>
            </w:pPr>
            <w:r>
              <w:rPr>
                <w:rFonts w:ascii="Arial" w:cs="Arial" w:eastAsia="Arial" w:hAnsi="Arial"/>
                <w:sz w:val="18"/>
                <w:szCs w:val="18"/>
                <w:color w:val="auto"/>
              </w:rPr>
              <w:t>By:</w:t>
            </w:r>
          </w:p>
        </w:tc>
      </w:tr>
      <w:tr>
        <w:trPr>
          <w:trHeight w:val="202"/>
        </w:trPr>
        <w:tc>
          <w:tcPr>
            <w:tcW w:w="4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Julie Hoffman-Ramos</w:t>
            </w:r>
          </w:p>
        </w:tc>
      </w:tr>
      <w:tr>
        <w:trPr>
          <w:trHeight w:val="222"/>
        </w:trPr>
        <w:tc>
          <w:tcPr>
            <w:tcW w:w="4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420"/>
          </w:cols>
          <w:pgMar w:left="240" w:top="280"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BOOK-ENTRY SECURITY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2.90% SENIOR NOTES DUE 2022</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2.90% Senior Notes due 2022 of the Company, in initial aggregate principal amount of $500,000,000 (the “Securities”).</w:t>
      </w:r>
    </w:p>
    <w:p>
      <w:pPr>
        <w:spacing w:after="0" w:line="269" w:lineRule="exact"/>
        <w:rPr>
          <w:sz w:val="20"/>
          <w:szCs w:val="20"/>
          <w:color w:val="auto"/>
        </w:rPr>
      </w:pPr>
    </w:p>
    <w:p>
      <w:pPr>
        <w:ind w:left="1480" w:hanging="567"/>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promises to pay interest on the principal amount of this Security at the rate of 2.90% per annum.</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will pay interest semi-annually on March 15 and September 15 of each year (each an “Interest Payment Date”), commencing March 15, 2013. Interest on the Securities will accrue from the most recent date to which interest has been paid or, if no interest has been paid on the Securities, from September 12, 2012.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2.90% per annum, in each case to the extent lawful.</w:t>
      </w:r>
    </w:p>
    <w:p>
      <w:pPr>
        <w:spacing w:after="0" w:line="237" w:lineRule="exact"/>
        <w:rPr>
          <w:sz w:val="20"/>
          <w:szCs w:val="20"/>
          <w:color w:val="auto"/>
        </w:rPr>
      </w:pPr>
    </w:p>
    <w:p>
      <w:pPr>
        <w:ind w:left="1480" w:hanging="567"/>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ectPr>
          <w:pgSz w:w="11900" w:h="16838" w:orient="portrait"/>
          <w:cols w:equalWidth="0" w:num="1">
            <w:col w:w="11420"/>
          </w:cols>
          <w:pgMar w:left="240" w:top="280" w:right="239" w:bottom="1440" w:gutter="0" w:footer="0" w:header="0"/>
        </w:sectPr>
      </w:pPr>
    </w:p>
    <w:bookmarkStart w:id="73" w:name="page74"/>
    <w:bookmarkEnd w:id="73"/>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64" w:lineRule="exact"/>
        <w:rPr>
          <w:sz w:val="20"/>
          <w:szCs w:val="20"/>
          <w:color w:val="auto"/>
        </w:rPr>
      </w:pPr>
    </w:p>
    <w:p>
      <w:pPr>
        <w:ind w:left="1480" w:hanging="567"/>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262" w:lineRule="exact"/>
        <w:rPr>
          <w:sz w:val="20"/>
          <w:szCs w:val="20"/>
          <w:color w:val="auto"/>
        </w:rPr>
      </w:pPr>
    </w:p>
    <w:p>
      <w:pPr>
        <w:ind w:left="1480" w:hanging="567"/>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Security is one of a duly authorized issue of Debt Securities of the Company issued and to be issued in one or more series under the Indenture.</w:t>
      </w:r>
    </w:p>
    <w:p>
      <w:pPr>
        <w:spacing w:after="0" w:line="19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20, 2009 (the “Resolutions”) and the written consent of the Sole Director of Waste Management Holdings, Inc. on September 4, 2012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$500,000,000.</w:t>
      </w:r>
    </w:p>
    <w:p>
      <w:pPr>
        <w:spacing w:after="0" w:line="240" w:lineRule="exact"/>
        <w:rPr>
          <w:sz w:val="20"/>
          <w:szCs w:val="20"/>
          <w:color w:val="auto"/>
        </w:rPr>
      </w:pPr>
    </w:p>
    <w:p>
      <w:pPr>
        <w:ind w:left="1480" w:hanging="567"/>
        <w:spacing w:after="0"/>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Redemption.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Before June 15, 2022, the Securities will be redeemable and repayable,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(at the rate in effect on the date of calculation of the Redemption Price) on the Securities (exclusive of interest accrued to the Redemption Date) discounted to the Redemption Date on a semi-annual basis (assuming a 360-day year consisting of twelve 30-day months) at the applicable Treasury Yield plus 20 basis points; plus, in either case, accrued interest to the Redemption Date.</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or after June 15, 2022,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ectPr>
          <w:pgSz w:w="11900" w:h="16838" w:orient="portrait"/>
          <w:cols w:equalWidth="0" w:num="1">
            <w:col w:w="11400"/>
          </w:cols>
          <w:pgMar w:left="240" w:top="280" w:right="259" w:bottom="1440" w:gutter="0" w:footer="0" w:header="0"/>
        </w:sectPr>
      </w:pPr>
    </w:p>
    <w:bookmarkStart w:id="74" w:name="page75"/>
    <w:bookmarkEnd w:id="74"/>
    <w:p>
      <w:pPr>
        <w:ind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that would be utilized, at the time of selection and in accordance with customary financial practice, in pricing new issues of corporate debt securities of comparable maturity to the remaining term of the Securities.</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“Independent Investment Banker” means any of Barclays Capital Inc., BNP Paribas Securities Corp. and Merrill Lynch, Pierce, Fenner &amp; Smith Incorporated (and their respective successors), or, if all such firms are unwilling or unable to select the applicable Comparable Treasury Issue, an independent investment banking institution of national standing appointed by the Trustee and reasonably acceptable to the Company.</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“Comparable Treasury Price” means, with respect to any Redemption Date,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10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“Reference Treasury Dealer” means (i) each of Barclays Capital Inc., BNP Paribas Securities Corp. and Merrill Lynch, Pierce, Fenner &amp; Smith Incorporated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ectPr>
          <w:pgSz w:w="11900" w:h="16838" w:orient="portrait"/>
          <w:cols w:equalWidth="0" w:num="1">
            <w:col w:w="11380"/>
          </w:cols>
          <w:pgMar w:left="240" w:top="280" w:right="279" w:bottom="1440" w:gutter="0" w:footer="0" w:header="0"/>
        </w:sectPr>
      </w:pPr>
    </w:p>
    <w:bookmarkStart w:id="75" w:name="page76"/>
    <w:bookmarkEnd w:id="75"/>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 Treasury Dealer Quotations” means, with respect to each Reference Treasury Dealer and any Redemption Date for the Securities, an average, as determined by the Trustee, of the bid and asked prices for the Comparable Treasury Issue for the Securities (expressed in each case as a percentage of its principal amount) quoted in writing to the Trustee by such Reference Treasury Dealer at 5:00 p.m., New York City time, on the third Business Day preceding such Redemption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set forth above, the Securities will not be redeemable prior to their Stated Maturity and will not be entitled to the benefit of any sinking fund.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may be redeemed in part in a minimum principal amount of $2,000, or any integral multiple of $1,000 in excess thereof.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93" w:lineRule="exact"/>
        <w:rPr>
          <w:sz w:val="20"/>
          <w:szCs w:val="20"/>
          <w:color w:val="auto"/>
        </w:rPr>
      </w:pPr>
    </w:p>
    <w:p>
      <w:pPr>
        <w:ind w:left="1480" w:hanging="567"/>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90" w:lineRule="exact"/>
        <w:rPr>
          <w:sz w:val="20"/>
          <w:szCs w:val="20"/>
          <w:color w:val="auto"/>
        </w:rPr>
      </w:pPr>
    </w:p>
    <w:p>
      <w:pPr>
        <w:ind w:left="660" w:hanging="206"/>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accept for payment all Securities or portions of Securities properly tendered and not withdrawn pursuant to the Change of Control Offer;</w:t>
      </w:r>
    </w:p>
    <w:p>
      <w:pPr>
        <w:spacing w:after="0" w:line="113"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ectPr>
          <w:pgSz w:w="11900" w:h="16838" w:orient="portrait"/>
          <w:cols w:equalWidth="0" w:num="1">
            <w:col w:w="11420"/>
          </w:cols>
          <w:pgMar w:left="240" w:top="280" w:right="239" w:bottom="1440" w:gutter="0" w:footer="0" w:header="0"/>
        </w:sectPr>
      </w:pPr>
    </w:p>
    <w:bookmarkStart w:id="76" w:name="page77"/>
    <w:bookmarkEnd w:id="76"/>
    <w:p>
      <w:pPr>
        <w:ind w:left="660" w:right="420" w:hanging="206"/>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 or cause to be delivered to the Trustee the Securities properly accepted together with an Officers’ Certificate stating the aggregate principal amount of Securities or portions of Securities being repurchased.</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may comply with those securities laws and regulations and, if so, will not be deemed to have breached its obligations under the Change of Control Offer provisions of this Security by virtue of any such conflict.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the Board of Directors of the Company are not Continuing Directors; or (5) the adoption of a plan relating to the liquidation or dissolution of the Company.</w:t>
      </w:r>
    </w:p>
    <w:p>
      <w:pPr>
        <w:sectPr>
          <w:pgSz w:w="11900" w:h="16838" w:orient="portrait"/>
          <w:cols w:equalWidth="0" w:num="1">
            <w:col w:w="11400"/>
          </w:cols>
          <w:pgMar w:left="240" w:top="280" w:right="259" w:bottom="1440" w:gutter="0" w:footer="0" w:header="0"/>
        </w:sectPr>
      </w:pPr>
    </w:p>
    <w:bookmarkStart w:id="77" w:name="page78"/>
    <w:bookmarkEnd w:id="77"/>
    <w:p>
      <w:pPr>
        <w:ind w:right="420"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w:t>
      </w:r>
    </w:p>
    <w:p>
      <w:pPr>
        <w:spacing w:after="0" w:line="1" w:lineRule="exact"/>
        <w:rPr>
          <w:sz w:val="20"/>
          <w:szCs w:val="20"/>
          <w:color w:val="auto"/>
        </w:rPr>
      </w:pPr>
    </w:p>
    <w:p>
      <w:pPr>
        <w:ind w:right="60" w:firstLine="8"/>
        <w:spacing w:after="0" w:line="255" w:lineRule="auto"/>
        <w:tabs>
          <w:tab w:leader="none" w:pos="278"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“Continuing Directors” means, as of any date of determination, any member of the Board of Directors of the Company who (1) was a member of such Board of Directors on the date the Securities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“Fitch” means Fitch Inc. and its successors.</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“S&amp;P” means Standard &amp; Poor’s Ratings Services, a division of The McGraw-Hill Companies, Inc., and its successors.</w:t>
      </w:r>
    </w:p>
    <w:p>
      <w:pPr>
        <w:sectPr>
          <w:pgSz w:w="11900" w:h="16838" w:orient="portrait"/>
          <w:cols w:equalWidth="0" w:num="1">
            <w:col w:w="11400"/>
          </w:cols>
          <w:pgMar w:left="240" w:top="280" w:right="259" w:bottom="1440" w:gutter="0" w:footer="0" w:header="0"/>
        </w:sectPr>
      </w:pPr>
    </w:p>
    <w:bookmarkStart w:id="78" w:name="page79"/>
    <w:bookmarkEnd w:id="78"/>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254" w:lineRule="exact"/>
        <w:rPr>
          <w:sz w:val="20"/>
          <w:szCs w:val="20"/>
          <w:color w:val="auto"/>
        </w:rPr>
      </w:pPr>
    </w:p>
    <w:p>
      <w:pPr>
        <w:ind w:left="1480" w:hanging="567"/>
        <w:spacing w:after="0"/>
        <w:tabs>
          <w:tab w:leader="none" w:pos="14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28" w:lineRule="exact"/>
        <w:rPr>
          <w:sz w:val="20"/>
          <w:szCs w:val="20"/>
          <w:color w:val="auto"/>
        </w:rPr>
      </w:pPr>
    </w:p>
    <w:p>
      <w:pPr>
        <w:ind w:left="1480" w:hanging="567"/>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93" w:lineRule="exact"/>
        <w:rPr>
          <w:sz w:val="20"/>
          <w:szCs w:val="20"/>
          <w:color w:val="auto"/>
        </w:rPr>
      </w:pPr>
    </w:p>
    <w:p>
      <w:pPr>
        <w:ind w:left="1480" w:hanging="567"/>
        <w:spacing w:after="0"/>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certain exceptions, the Indenture may be amended or supplemented, and any existing Event of Default or compliance with any provision may be waived, with the consent of the Holders of a majority in principal amount of the Outstanding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242" w:lineRule="exact"/>
        <w:rPr>
          <w:sz w:val="20"/>
          <w:szCs w:val="20"/>
          <w:color w:val="auto"/>
        </w:rPr>
      </w:pPr>
    </w:p>
    <w:p>
      <w:pPr>
        <w:ind w:left="1480" w:hanging="567"/>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w:t>
      </w:r>
    </w:p>
    <w:p>
      <w:pPr>
        <w:sectPr>
          <w:pgSz w:w="11900" w:h="16838" w:orient="portrait"/>
          <w:cols w:equalWidth="0" w:num="1">
            <w:col w:w="11420"/>
          </w:cols>
          <w:pgMar w:left="240" w:top="280" w:right="239" w:bottom="1440" w:gutter="0" w:footer="0" w:header="0"/>
        </w:sectPr>
      </w:pPr>
    </w:p>
    <w:bookmarkStart w:id="79" w:name="page80"/>
    <w:bookmarkEnd w:id="79"/>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64" w:lineRule="exact"/>
        <w:rPr>
          <w:sz w:val="20"/>
          <w:szCs w:val="20"/>
          <w:color w:val="auto"/>
        </w:rPr>
      </w:pPr>
    </w:p>
    <w:p>
      <w:pPr>
        <w:ind w:left="1480" w:hanging="567"/>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90"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4" w:lineRule="exact"/>
        <w:rPr>
          <w:sz w:val="20"/>
          <w:szCs w:val="20"/>
          <w:color w:val="auto"/>
        </w:rPr>
      </w:pPr>
    </w:p>
    <w:p>
      <w:pPr>
        <w:ind w:left="1480" w:hanging="567"/>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Security shall not be valid until the Trustee or authenticating agent signs the certificate of authentication on the other side of this Security.</w:t>
      </w:r>
    </w:p>
    <w:p>
      <w:pPr>
        <w:spacing w:after="0" w:line="316" w:lineRule="exact"/>
        <w:rPr>
          <w:sz w:val="20"/>
          <w:szCs w:val="20"/>
          <w:color w:val="auto"/>
        </w:rPr>
      </w:pPr>
    </w:p>
    <w:p>
      <w:pPr>
        <w:ind w:left="1480" w:hanging="56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90" w:lineRule="exact"/>
        <w:rPr>
          <w:sz w:val="20"/>
          <w:szCs w:val="20"/>
          <w:color w:val="auto"/>
        </w:rPr>
      </w:pPr>
    </w:p>
    <w:p>
      <w:pPr>
        <w:jc w:val="both"/>
        <w:ind w:right="40" w:firstLine="456"/>
        <w:spacing w:after="0" w:line="332" w:lineRule="auto"/>
        <w:rPr>
          <w:sz w:val="20"/>
          <w:szCs w:val="20"/>
          <w:color w:val="auto"/>
        </w:rPr>
      </w:pPr>
      <w:r>
        <w:rPr>
          <w:rFonts w:ascii="Arial" w:cs="Arial" w:eastAsia="Arial" w:hAnsi="Arial"/>
          <w:sz w:val="16"/>
          <w:szCs w:val="16"/>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207" w:lineRule="exact"/>
        <w:rPr>
          <w:sz w:val="20"/>
          <w:szCs w:val="20"/>
          <w:color w:val="auto"/>
        </w:rPr>
      </w:pPr>
    </w:p>
    <w:p>
      <w:pPr>
        <w:ind w:left="1480" w:hanging="567"/>
        <w:spacing w:after="0"/>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262" w:lineRule="exact"/>
        <w:rPr>
          <w:sz w:val="20"/>
          <w:szCs w:val="20"/>
          <w:color w:val="auto"/>
        </w:rPr>
      </w:pPr>
    </w:p>
    <w:p>
      <w:pPr>
        <w:ind w:left="1480" w:hanging="567"/>
        <w:spacing w:after="0"/>
        <w:tabs>
          <w:tab w:leader="none" w:pos="14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62" w:lineRule="exact"/>
        <w:rPr>
          <w:sz w:val="20"/>
          <w:szCs w:val="20"/>
          <w:color w:val="auto"/>
        </w:rPr>
      </w:pPr>
    </w:p>
    <w:p>
      <w:pPr>
        <w:ind w:left="1480" w:hanging="567"/>
        <w:spacing w:after="0"/>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w:t>
      </w:r>
    </w:p>
    <w:p>
      <w:pPr>
        <w:sectPr>
          <w:pgSz w:w="11900" w:h="16838" w:orient="portrait"/>
          <w:cols w:equalWidth="0" w:num="1">
            <w:col w:w="11420"/>
          </w:cols>
          <w:pgMar w:left="240" w:top="280" w:right="239" w:bottom="1440" w:gutter="0" w:footer="0" w:header="0"/>
        </w:sectPr>
      </w:pPr>
    </w:p>
    <w:bookmarkStart w:id="80" w:name="page81"/>
    <w:bookmarkEnd w:id="80"/>
    <w:p>
      <w:pPr>
        <w:jc w:val="both"/>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262" w:lineRule="exact"/>
        <w:rPr>
          <w:sz w:val="20"/>
          <w:szCs w:val="20"/>
          <w:color w:val="auto"/>
        </w:rPr>
      </w:pPr>
    </w:p>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293" w:lineRule="exact"/>
        <w:rPr>
          <w:sz w:val="20"/>
          <w:szCs w:val="20"/>
          <w:color w:val="auto"/>
        </w:rPr>
      </w:pPr>
    </w:p>
    <w:p>
      <w:pPr>
        <w:ind w:left="1480" w:hanging="567"/>
        <w:spacing w:after="0"/>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 owned subsidiary, Waste Management Holdings, Inc., pursuant to the terms and conditions of a Guarantee Agreement dated September 12, 2012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ectPr>
          <w:pgSz w:w="11900" w:h="16838" w:orient="portrait"/>
          <w:cols w:equalWidth="0" w:num="1">
            <w:col w:w="11380"/>
          </w:cols>
          <w:pgMar w:left="240" w:top="280" w:right="279" w:bottom="1440" w:gutter="0" w:footer="0" w:header="0"/>
        </w:sectPr>
      </w:pPr>
    </w:p>
    <w:bookmarkStart w:id="81" w:name="page82"/>
    <w:bookmarkEnd w:id="81"/>
    <w:p>
      <w:pPr>
        <w:ind w:left="460" w:right="3460" w:firstLine="3009"/>
        <w:spacing w:after="0" w:line="51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DEFINITIVE SECURITY The following exchanges of a part of this Book-Entry Security for definitive Securities have been made:</w:t>
      </w:r>
    </w:p>
    <w:tbl>
      <w:tblPr>
        <w:tblLayout w:type="fixed"/>
        <w:tblInd w:w="0" w:type="dxa"/>
        <w:tblCellMar>
          <w:top w:w="0" w:type="dxa"/>
          <w:left w:w="0" w:type="dxa"/>
          <w:bottom w:w="0" w:type="dxa"/>
          <w:right w:w="0" w:type="dxa"/>
        </w:tblCellMar>
      </w:tblPr>
      <w:tr>
        <w:trPr>
          <w:trHeight w:val="150"/>
        </w:trPr>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96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84"/>
              </w:rPr>
              <w:t>Amount of decrease in</w:t>
            </w:r>
          </w:p>
        </w:tc>
        <w:tc>
          <w:tcPr>
            <w:tcW w:w="26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5"/>
              </w:rPr>
              <w:t>Amount of increase in</w:t>
            </w:r>
          </w:p>
        </w:tc>
        <w:tc>
          <w:tcPr>
            <w:tcW w:w="1900" w:type="dxa"/>
            <w:vAlign w:val="bottom"/>
            <w:gridSpan w:val="2"/>
          </w:tcPr>
          <w:p>
            <w:pPr>
              <w:jc w:val="center"/>
              <w:ind w:right="480"/>
              <w:spacing w:after="0" w:line="150" w:lineRule="exact"/>
              <w:rPr>
                <w:sz w:val="20"/>
                <w:szCs w:val="20"/>
                <w:color w:val="auto"/>
              </w:rPr>
            </w:pPr>
            <w:r>
              <w:rPr>
                <w:rFonts w:ascii="Arial" w:cs="Arial" w:eastAsia="Arial" w:hAnsi="Arial"/>
                <w:sz w:val="14"/>
                <w:szCs w:val="14"/>
                <w:b w:val="1"/>
                <w:bCs w:val="1"/>
                <w:color w:val="auto"/>
                <w:w w:val="87"/>
              </w:rPr>
              <w:t>Principal Amount of this</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2600" w:type="dxa"/>
            <w:vAlign w:val="bottom"/>
            <w:gridSpan w:val="2"/>
            <w:vMerge w:val="continue"/>
          </w:tcPr>
          <w:p>
            <w:pPr>
              <w:spacing w:after="0"/>
              <w:rPr>
                <w:sz w:val="11"/>
                <w:szCs w:val="11"/>
                <w:color w:val="auto"/>
              </w:rPr>
            </w:pPr>
          </w:p>
        </w:tc>
        <w:tc>
          <w:tcPr>
            <w:tcW w:w="190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9"/>
              </w:rPr>
              <w:t>Book-Entry Security</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Signature of authorized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9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Principal Amount of this</w:t>
            </w:r>
          </w:p>
        </w:tc>
        <w:tc>
          <w:tcPr>
            <w:tcW w:w="26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Principal Amount of this</w:t>
            </w:r>
          </w:p>
        </w:tc>
        <w:tc>
          <w:tcPr>
            <w:tcW w:w="19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following such decrease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officer of Trustee or</w:t>
            </w:r>
          </w:p>
        </w:tc>
        <w:tc>
          <w:tcPr>
            <w:tcW w:w="0" w:type="dxa"/>
            <w:vAlign w:val="bottom"/>
          </w:tcPr>
          <w:p>
            <w:pPr>
              <w:spacing w:after="0"/>
              <w:rPr>
                <w:sz w:val="1"/>
                <w:szCs w:val="1"/>
                <w:color w:val="auto"/>
              </w:rPr>
            </w:pPr>
          </w:p>
        </w:tc>
      </w:tr>
      <w:tr>
        <w:trPr>
          <w:trHeight w:val="168"/>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Date of Exchange</w:t>
            </w:r>
          </w:p>
        </w:tc>
        <w:tc>
          <w:tcPr>
            <w:tcW w:w="152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Book-Entry Security</w:t>
            </w:r>
          </w:p>
        </w:tc>
        <w:tc>
          <w:tcPr>
            <w:tcW w:w="840" w:type="dxa"/>
            <w:vAlign w:val="bottom"/>
          </w:tcPr>
          <w:p>
            <w:pPr>
              <w:spacing w:after="0"/>
              <w:rPr>
                <w:sz w:val="14"/>
                <w:szCs w:val="1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Book-Entry Security</w:t>
            </w:r>
          </w:p>
        </w:tc>
        <w:tc>
          <w:tcPr>
            <w:tcW w:w="38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(or increase)</w:t>
            </w:r>
          </w:p>
        </w:tc>
        <w:tc>
          <w:tcPr>
            <w:tcW w:w="4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Security Custodian</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B</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Waste Management, Inc.</w:t>
      </w:r>
    </w:p>
    <w:p>
      <w:pPr>
        <w:spacing w:after="0" w:line="15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September 22, 2006, Waste Management, Inc. (the “Company”) filed with the Securities Exchange Commission (the “SEC”) an automatic</w:t>
      </w:r>
      <w:r>
        <w:rPr>
          <w:rFonts w:ascii="Arial" w:cs="Arial" w:eastAsia="Arial" w:hAnsi="Arial"/>
          <w:sz w:val="18"/>
          <w:szCs w:val="18"/>
          <w:b w:val="1"/>
          <w:bCs w:val="1"/>
          <w:color w:val="auto"/>
        </w:rPr>
        <w:t xml:space="preserve"> </w:t>
      </w:r>
      <w:r>
        <w:rPr>
          <w:rFonts w:ascii="Arial" w:cs="Arial" w:eastAsia="Arial" w:hAnsi="Arial"/>
          <w:sz w:val="18"/>
          <w:szCs w:val="18"/>
          <w:color w:val="auto"/>
        </w:rPr>
        <w:t>shelf registration statement on Form S-3, File No. 333-137526 (the “Automatic Shelf”), which registered the offer and sale by the Company from time to time of common stock; senior and subordinated debt securities; preferred stock; warrants; units; and guarantees by Waste Management Holdings, Inc., a wholly-owned subsidiary of the Company (“WMHI”), with respect to debt securities, in one or more classes or series in amounts as may be determined at the time of any offering; and</w:t>
      </w:r>
    </w:p>
    <w:p>
      <w:pPr>
        <w:spacing w:after="0" w:line="139"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rules and regulations promulgated by SEC, the Automatic Shelf expires, by its terms, on September 22, 2009, three years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of the Automatic Shelf; and</w:t>
      </w:r>
    </w:p>
    <w:p>
      <w:pPr>
        <w:spacing w:after="0" w:line="120"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and finds it in the best interests of the Company, to file a new automatic shelf registration statement on Form S-3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facilitate any future offerings of securities by the Company or any selling security holders.</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color w:val="auto"/>
        </w:rPr>
        <w:t>NOW, THEREFORE, BE IT RESOLVED</w:t>
      </w:r>
      <w:r>
        <w:rPr>
          <w:rFonts w:ascii="Arial" w:cs="Arial" w:eastAsia="Arial" w:hAnsi="Arial"/>
          <w:sz w:val="16"/>
          <w:szCs w:val="16"/>
          <w:color w:val="auto"/>
        </w:rPr>
        <w:t>, that the Company is hereby authorized to prepare and file with the SEC an automatic shelf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on Form S-3 (the “New Automatic Shelf”), pursuant to the Securities Act of 1933, as amended, and the rules and regulations promulgated thereunder (the “Securities Act”), which New Automatic Shelf may cover, among other things, unsecured senior or subordinated debentures, notes or other evidences of indebtedness of the Company (collectively “Debt Securities”); shares of common stock, par value $0.01 per share, of the Company (the “Common Stock”); warrants to purchase shares of Common Stock; shares of preferred stock in such series with such designations, powers, preferences and relative and other special rights and qualifications, limitations and restrictions as the Board of Directors may from time to time authorize; guarantees of securities by Waste Management Holdings, Inc., a wholly-owned subsidiary of the Company; and any units consisting of one or more of the foregoing (the Debt Securities, Common Stock, warrants, preferred stock, guarantees and units collectively referred to herein as the “Securities”), to be issued from time to time;</w:t>
      </w:r>
    </w:p>
    <w:p>
      <w:pPr>
        <w:spacing w:after="0" w:line="112" w:lineRule="exact"/>
        <w:rPr>
          <w:sz w:val="20"/>
          <w:szCs w:val="20"/>
          <w:color w:val="auto"/>
        </w:rPr>
      </w:pPr>
    </w:p>
    <w:p>
      <w:pPr>
        <w:jc w:val="both"/>
        <w:ind w:right="520" w:firstLine="456"/>
        <w:spacing w:after="0" w:line="262"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(as established pursuant to these resolutions) be, and they hereby are, authorized, in their sole and</w:t>
      </w:r>
      <w:r>
        <w:rPr>
          <w:rFonts w:ascii="Arial" w:cs="Arial" w:eastAsia="Arial" w:hAnsi="Arial"/>
          <w:sz w:val="18"/>
          <w:szCs w:val="18"/>
          <w:b w:val="1"/>
          <w:bCs w:val="1"/>
          <w:color w:val="auto"/>
        </w:rPr>
        <w:t xml:space="preserve"> </w:t>
      </w:r>
      <w:r>
        <w:rPr>
          <w:rFonts w:ascii="Arial" w:cs="Arial" w:eastAsia="Arial" w:hAnsi="Arial"/>
          <w:sz w:val="18"/>
          <w:szCs w:val="18"/>
          <w:color w:val="auto"/>
        </w:rPr>
        <w:t>absolute discretion, subject to any limitations set forth in these resolutions, to cause the Company to offer and sell up to an aggregate of $3,000,000,000 of Securities without further approval of the Board of Directors;</w:t>
      </w:r>
    </w:p>
    <w:p>
      <w:pPr>
        <w:spacing w:after="0" w:line="132" w:lineRule="exact"/>
        <w:rPr>
          <w:sz w:val="20"/>
          <w:szCs w:val="20"/>
          <w:color w:val="auto"/>
        </w:rPr>
      </w:pPr>
    </w:p>
    <w:p>
      <w:pPr>
        <w:ind w:right="80" w:firstLine="456"/>
        <w:spacing w:after="0" w:line="320" w:lineRule="auto"/>
        <w:rPr>
          <w:sz w:val="20"/>
          <w:szCs w:val="20"/>
          <w:color w:val="auto"/>
        </w:rPr>
      </w:pPr>
      <w:r>
        <w:rPr>
          <w:rFonts w:ascii="Arial" w:cs="Arial" w:eastAsia="Arial" w:hAnsi="Arial"/>
          <w:sz w:val="15"/>
          <w:szCs w:val="15"/>
          <w:b w:val="1"/>
          <w:bCs w:val="1"/>
          <w:color w:val="auto"/>
        </w:rPr>
        <w:t>RESOLVED FURTHER</w:t>
      </w:r>
      <w:r>
        <w:rPr>
          <w:rFonts w:ascii="Arial" w:cs="Arial" w:eastAsia="Arial" w:hAnsi="Arial"/>
          <w:sz w:val="15"/>
          <w:szCs w:val="15"/>
          <w:color w:val="auto"/>
        </w:rPr>
        <w:t>, that the proper officers and the authorized employees (as established pursuant to these resolutions) be, and each of them hereby</w:t>
      </w:r>
      <w:r>
        <w:rPr>
          <w:rFonts w:ascii="Arial" w:cs="Arial" w:eastAsia="Arial" w:hAnsi="Arial"/>
          <w:sz w:val="15"/>
          <w:szCs w:val="15"/>
          <w:b w:val="1"/>
          <w:bCs w:val="1"/>
          <w:color w:val="auto"/>
        </w:rPr>
        <w:t xml:space="preserve"> </w:t>
      </w:r>
      <w:r>
        <w:rPr>
          <w:rFonts w:ascii="Arial" w:cs="Arial" w:eastAsia="Arial" w:hAnsi="Arial"/>
          <w:sz w:val="15"/>
          <w:szCs w:val="15"/>
          <w:color w:val="auto"/>
        </w:rPr>
        <w:t>is, authorized, in the name and on behalf of the Company, to execute and cause to be filed with the SEC any and all amendments (including, without limitation, post-effective amendments) or supplements to the New Automatic Shelf and any prospectus included therein and any additional documents which such officer or employee may deem necessary or desirable with respect to the registration and offering of the Securities, and such amendments, supplements, registration statements and documents to be in such form as the officer or employee executing the same may approve, as conclusively evidenced by his execution thereof;</w:t>
      </w:r>
    </w:p>
    <w:p>
      <w:pPr>
        <w:sectPr>
          <w:pgSz w:w="11900" w:h="16838" w:orient="portrait"/>
          <w:cols w:equalWidth="0" w:num="1">
            <w:col w:w="11420"/>
          </w:cols>
          <w:pgMar w:left="240" w:top="280" w:right="239" w:bottom="1440" w:gutter="0" w:footer="0" w:header="0"/>
        </w:sectPr>
      </w:pPr>
    </w:p>
    <w:bookmarkStart w:id="83" w:name="page84"/>
    <w:bookmarkEnd w:id="83"/>
    <w:p>
      <w:pPr>
        <w:jc w:val="both"/>
        <w:ind w:right="6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RESOLVED FURTHER</w:t>
      </w:r>
      <w:r>
        <w:rPr>
          <w:rFonts w:ascii="Arial" w:cs="Arial" w:eastAsia="Arial" w:hAnsi="Arial"/>
          <w:sz w:val="18"/>
          <w:szCs w:val="18"/>
          <w:color w:val="auto"/>
        </w:rPr>
        <w:t>, that the General Counsel of the Company be, and he hereby is, designated and appointed the agent for service of process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the Securities Act in connection with the New Automatic Shelf and any and all amendments and supplements thereto, with all powers incident to such appointment;</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and authorized employees be and hereby are authorized and directed in the name and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take any and all action which they may deem 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4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form of any additional resolutions required in connection with the appropriate qualification or registration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with the same force and effect as if set out verbatim herein;</w:t>
      </w:r>
    </w:p>
    <w:p>
      <w:pPr>
        <w:spacing w:after="0" w:line="13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any of the proper officers or authorized employees be, and each of them hereby is, authorized to approve at any time and</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one or more forms of underwriting agreements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proper officers to approve any individual agreement pursuant to which Securities are to be sold if the form thereof has previously been approved as provided in this resolution;</w:t>
      </w:r>
    </w:p>
    <w:p>
      <w:pPr>
        <w:sectPr>
          <w:pgSz w:w="11900" w:h="16838" w:orient="portrait"/>
          <w:cols w:equalWidth="0" w:num="1">
            <w:col w:w="11420"/>
          </w:cols>
          <w:pgMar w:left="240" w:top="274" w:right="239" w:bottom="1440" w:gutter="0" w:footer="0" w:header="0"/>
        </w:sectPr>
      </w:pPr>
    </w:p>
    <w:bookmarkStart w:id="84" w:name="page85"/>
    <w:bookmarkEnd w:id="84"/>
    <w:p>
      <w:pPr>
        <w:ind w:right="20" w:firstLine="456"/>
        <w:spacing w:after="0" w:line="306"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RESOLVED FURTHER</w:t>
      </w:r>
      <w:r>
        <w:rPr>
          <w:rFonts w:ascii="Arial" w:cs="Arial" w:eastAsia="Arial" w:hAnsi="Arial"/>
          <w:sz w:val="15"/>
          <w:szCs w:val="15"/>
          <w:color w:val="auto"/>
        </w:rPr>
        <w:t>, that any of the proper officers be, and each of them hereby is, authorized, at any time and from time to time, on behalf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(i) to determine, within any limits that may be set by the Board of Directors, the number of shares of Common Stock, preferred stock or other equity securities to be offered and sold by the Company pursuant to the New Automatic Shelf, including any shares underlying warrants or convertible Debt Securities,</w:t>
      </w:r>
    </w:p>
    <w:p>
      <w:pPr>
        <w:spacing w:after="0" w:line="1" w:lineRule="exact"/>
        <w:rPr>
          <w:sz w:val="20"/>
          <w:szCs w:val="20"/>
          <w:color w:val="auto"/>
        </w:rPr>
      </w:pPr>
    </w:p>
    <w:p>
      <w:pPr>
        <w:jc w:val="both"/>
        <w:ind w:right="60" w:firstLine="8"/>
        <w:spacing w:after="0" w:line="302" w:lineRule="auto"/>
        <w:tabs>
          <w:tab w:leader="none" w:pos="258"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New Automatic Shelf and the applicable purchase agreement, which action could be taken or which things could be done by the Board of Directors of the Company;</w:t>
      </w:r>
    </w:p>
    <w:p>
      <w:pPr>
        <w:spacing w:after="0" w:line="10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 the proper officers may, at any time and from time to time, on behalf of the Company, authorize the issuance of one</w:t>
      </w:r>
      <w:r>
        <w:rPr>
          <w:rFonts w:ascii="Arial" w:cs="Arial" w:eastAsia="Arial" w:hAnsi="Arial"/>
          <w:sz w:val="18"/>
          <w:szCs w:val="18"/>
          <w:b w:val="1"/>
          <w:bCs w:val="1"/>
          <w:color w:val="auto"/>
        </w:rPr>
        <w:t xml:space="preserve"> </w:t>
      </w:r>
      <w:r>
        <w:rPr>
          <w:rFonts w:ascii="Arial" w:cs="Arial" w:eastAsia="Arial" w:hAnsi="Arial"/>
          <w:sz w:val="18"/>
          <w:szCs w:val="18"/>
          <w:color w:val="auto"/>
        </w:rPr>
        <w:t>or more series of Securities under the Company’s 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139"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in connection with any such series of Securities (but without limiting the authority hereinafter in these resolutions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with respect to the issuance of Securities of a series which 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 Securities of such series and to sell Securities of such series in accordance with any applicable purchase agreement or other agreement(s);</w:t>
      </w:r>
    </w:p>
    <w:p>
      <w:pPr>
        <w:spacing w:after="0" w:line="108"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in connection with the issuance of Securities of any series which may not be originally issued at one time (except as may</w:t>
      </w:r>
      <w:r>
        <w:rPr>
          <w:rFonts w:ascii="Arial" w:cs="Arial" w:eastAsia="Arial" w:hAnsi="Arial"/>
          <w:sz w:val="16"/>
          <w:szCs w:val="16"/>
          <w:b w:val="1"/>
          <w:bCs w:val="1"/>
          <w:color w:val="auto"/>
        </w:rPr>
        <w:t xml:space="preserve"> </w:t>
      </w:r>
      <w:r>
        <w:rPr>
          <w:rFonts w:ascii="Arial" w:cs="Arial" w:eastAsia="Arial" w:hAnsi="Arial"/>
          <w:sz w:val="16"/>
          <w:szCs w:val="16"/>
          <w:color w:val="auto"/>
        </w:rPr>
        <w:t>be inconsistent with any action taken by any of the proper officers, as hereinabove provided, in connection with such series), any of the proper officers may delegate any of its authority pursuant to these resolutions to any officer of the Company, including authority to fix the terms of such Securities;</w:t>
      </w:r>
    </w:p>
    <w:p>
      <w:pPr>
        <w:spacing w:after="0" w:line="97" w:lineRule="exact"/>
        <w:rPr>
          <w:sz w:val="20"/>
          <w:szCs w:val="20"/>
          <w:color w:val="auto"/>
        </w:rPr>
      </w:pPr>
    </w:p>
    <w:p>
      <w:pPr>
        <w:ind w:right="300" w:firstLine="456"/>
        <w:spacing w:after="0" w:line="310"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in connection with any such series of Securities, any of the proper officers is authorized to approve any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 or supplement to the Company’s indentures and that any proper officer be, and each of them hereby is, authorized to execute and deliver, in the name and on behalf of the Company, any such amendment, modification or supplement, substantially in the form approved by any proper officer;</w:t>
      </w:r>
    </w:p>
    <w:p>
      <w:pPr>
        <w:spacing w:after="0" w:line="97"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and authorized employees be, and each of them hereby is, authorized, in the name and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ectPr>
          <w:pgSz w:w="11900" w:h="16838" w:orient="portrait"/>
          <w:cols w:equalWidth="0" w:num="1">
            <w:col w:w="11300"/>
          </w:cols>
          <w:pgMar w:left="240" w:top="274" w:right="359" w:bottom="1440" w:gutter="0" w:footer="0" w:header="0"/>
        </w:sectPr>
      </w:pPr>
    </w:p>
    <w:bookmarkStart w:id="85" w:name="page86"/>
    <w:bookmarkEnd w:id="85"/>
    <w:p>
      <w:pPr>
        <w:ind w:firstLine="456"/>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RESOLVED FURTHER</w:t>
      </w:r>
      <w:r>
        <w:rPr>
          <w:rFonts w:ascii="Arial" w:cs="Arial" w:eastAsia="Arial" w:hAnsi="Arial"/>
          <w:sz w:val="16"/>
          <w:szCs w:val="16"/>
          <w:color w:val="auto"/>
        </w:rPr>
        <w:t>, that the proper officers be, and each of them hereby is, authorized, subject to and in accordance with the Company’s indentures</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action taken by any of the proper officers in 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 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11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and authorized employees be, and each of them hereby is, authorized, in the name and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make application to such securities exchange or exchanges as the persons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115"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be, and each of them hereby is, authorized, in the name and on behalf of the Company,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to the SEC for registration of any series of the Securities under Section 12 or other applicable section of the Securities Exchange Act of 1934, and the proper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10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officers and authorized employees of the Company be, and each of them hereby is, authorized to take, or cause to be</w:t>
      </w:r>
      <w:r>
        <w:rPr>
          <w:rFonts w:ascii="Arial" w:cs="Arial" w:eastAsia="Arial" w:hAnsi="Arial"/>
          <w:sz w:val="18"/>
          <w:szCs w:val="18"/>
          <w:b w:val="1"/>
          <w:bCs w:val="1"/>
          <w:color w:val="auto"/>
        </w:rPr>
        <w:t xml:space="preserve"> </w:t>
      </w:r>
      <w:r>
        <w:rPr>
          <w:rFonts w:ascii="Arial" w:cs="Arial" w:eastAsia="Arial" w:hAnsi="Arial"/>
          <w:sz w:val="18"/>
          <w:szCs w:val="18"/>
          <w:color w:val="auto"/>
        </w:rPr>
        <w:t>taken, any and all action which any such officer may deem necessary or desirable in order to carry out the purpose and intent of the foregoing resolutions or in order to perform, or cause to be performed, the obligations of the Company under the Securities, the New Automatic Shelf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or authorized employee may deem necessary or appropriate;</w:t>
      </w:r>
    </w:p>
    <w:p>
      <w:pPr>
        <w:sectPr>
          <w:pgSz w:w="11900" w:h="16838" w:orient="portrait"/>
          <w:cols w:equalWidth="0" w:num="1">
            <w:col w:w="11420"/>
          </w:cols>
          <w:pgMar w:left="240" w:top="274" w:right="239" w:bottom="1440" w:gutter="0" w:footer="0" w:header="0"/>
        </w:sectPr>
      </w:pPr>
    </w:p>
    <w:bookmarkStart w:id="86" w:name="page87"/>
    <w:bookmarkEnd w:id="86"/>
    <w:p>
      <w:pPr>
        <w:ind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RESOLVED FURTHER</w:t>
      </w:r>
      <w:r>
        <w:rPr>
          <w:rFonts w:ascii="Arial" w:cs="Arial" w:eastAsia="Arial" w:hAnsi="Arial"/>
          <w:sz w:val="16"/>
          <w:szCs w:val="16"/>
          <w:color w:val="auto"/>
        </w:rPr>
        <w:t>, that for purposes of these resolutions, the term “proper officer” shall mean any or all of the Chief Executive Officer,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the General Counsel, the Chief Accounting Officer and the Treasurer of the Company and the term “authorized employees” shall mean either or both of the Vice President and Assistant General Counsel — Corporate and Securities and the Senior Counsel — Corporate &amp; Securities of the Company;</w:t>
      </w:r>
    </w:p>
    <w:p>
      <w:pPr>
        <w:spacing w:after="0" w:line="97" w:lineRule="exact"/>
        <w:rPr>
          <w:sz w:val="20"/>
          <w:szCs w:val="20"/>
          <w:color w:val="auto"/>
        </w:rPr>
      </w:pPr>
    </w:p>
    <w:p>
      <w:pPr>
        <w:jc w:val="both"/>
        <w:ind w:right="60" w:firstLine="456"/>
        <w:spacing w:after="0" w:line="301"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form of any additional resolutions required in connection with the foregoing resolutions be and hereby is approved and</w:t>
      </w:r>
      <w:r>
        <w:rPr>
          <w:rFonts w:ascii="Arial" w:cs="Arial" w:eastAsia="Arial" w:hAnsi="Arial"/>
          <w:sz w:val="16"/>
          <w:szCs w:val="16"/>
          <w:b w:val="1"/>
          <w:bCs w:val="1"/>
          <w:color w:val="auto"/>
        </w:rPr>
        <w:t xml:space="preserve"> </w:t>
      </w:r>
      <w:r>
        <w:rPr>
          <w:rFonts w:ascii="Arial" w:cs="Arial" w:eastAsia="Arial" w:hAnsi="Arial"/>
          <w:sz w:val="16"/>
          <w:szCs w:val="16"/>
          <w:color w:val="auto"/>
        </w:rPr>
        <w:t>adopted, provided the proper officers of the Company, on the advice of counsel, consider the adoption thereof necessary or advisable, in which case the Secretary or any Assistant Secretary of the Company is hereby directed to insert as an appendix hereto a copy of such resolutions, which shall, upon execution, be deemed to have been adopted by this Board with the same force and effect as if set out verbatim herein; and</w:t>
      </w:r>
    </w:p>
    <w:p>
      <w:pPr>
        <w:spacing w:after="0" w:line="103"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any officer of the Company is hereby authorized and directed to make, provide, execute, and deliver any and all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applications, certificates, representations, payments, notices, receipts, and other instruments and documents and take any and all other actions which in the opinion of such officer is or may be necessary or appropriate in connection with or to consummate any of the matters covered by the foregoing resolutions.</w:t>
      </w:r>
    </w:p>
    <w:p>
      <w:pPr>
        <w:sectPr>
          <w:pgSz w:w="11900" w:h="16838" w:orient="portrait"/>
          <w:cols w:equalWidth="0" w:num="1">
            <w:col w:w="11400"/>
          </w:cols>
          <w:pgMar w:left="240" w:top="274" w:right="25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4.2</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GUARANTEE</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WASTE MANAGEMENT HOLDINGS, INC.</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(formerly known as Waste Management, Inc.)</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Favor of The Bank of New York Mellon Trust Company, N.A., as Trustee for the Holders of Certain Debt Securities of</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WASTE MANAGEMENT, INC.</w:t>
      </w:r>
    </w:p>
    <w:p>
      <w:pPr>
        <w:spacing w:after="0" w:line="9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$500,000,000</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2.90% Senior Notes due 2022</w:t>
      </w:r>
    </w:p>
    <w:p>
      <w:pPr>
        <w:spacing w:after="0" w:line="8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September 12, 2012</w:t>
      </w:r>
    </w:p>
    <w:p>
      <w:pPr>
        <w:sectPr>
          <w:pgSz w:w="11900" w:h="16838" w:orient="portrait"/>
          <w:cols w:equalWidth="0" w:num="1">
            <w:col w:w="10220"/>
          </w:cols>
          <w:pgMar w:left="1440" w:top="125" w:right="239" w:bottom="1440" w:gutter="0" w:footer="0" w:header="0"/>
        </w:sectPr>
      </w:pPr>
    </w:p>
    <w:bookmarkStart w:id="88" w:name="page89"/>
    <w:bookmarkEnd w:id="88"/>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 dated as of September 12, 2012 (as amended from time to time, this “Guarantee”), made by Waste Management Holdings, Inc. (formerly known as Waste Management, Inc.), a Delaware corporation (the “Guarantor”), in favor of The Bank of New York Mellon Trust Company, N.A., as trustee for the holders of the $500 million 2.90% Senior Notes due 2022 (the “Debt Securities”) of Waste Management, Inc. (formerly known as USA Waste Services, Inc.), a Delaware corporation (the “Issuer”).</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p>
    <w:p>
      <w:pPr>
        <w:spacing w:after="0" w:line="90" w:lineRule="exact"/>
        <w:rPr>
          <w:sz w:val="20"/>
          <w:szCs w:val="20"/>
          <w:color w:val="auto"/>
        </w:rPr>
      </w:pPr>
    </w:p>
    <w:p>
      <w:pPr>
        <w:ind w:right="20" w:firstLine="921"/>
        <w:spacing w:after="0" w:line="255" w:lineRule="auto"/>
        <w:tabs>
          <w:tab w:leader="none" w:pos="11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Guarantor hereby unconditionally guarantees the punctual payment when due, whether at stated maturity, by acceleration or otherwise, of the principal of, premium, if any, and interest on the Debt Securities (the “Obligations”), according to the terms of the Debt Securities and as more fully described in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w:t>
      </w:r>
    </w:p>
    <w:p>
      <w:pPr>
        <w:spacing w:after="0" w:line="61" w:lineRule="exact"/>
        <w:rPr>
          <w:rFonts w:ascii="Arial" w:cs="Arial" w:eastAsia="Arial" w:hAnsi="Arial"/>
          <w:sz w:val="18"/>
          <w:szCs w:val="18"/>
          <w:color w:val="auto"/>
        </w:rPr>
      </w:pPr>
    </w:p>
    <w:p>
      <w:pPr>
        <w:ind w:right="160" w:firstLine="921"/>
        <w:spacing w:after="0" w:line="291" w:lineRule="auto"/>
        <w:tabs>
          <w:tab w:leader="none" w:pos="1162" w:val="left"/>
        </w:tabs>
        <w:numPr>
          <w:ilvl w:val="0"/>
          <w:numId w:val="60"/>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201"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Guarantee Absolute</w:t>
      </w:r>
      <w:r>
        <w:rPr>
          <w:rFonts w:ascii="Arial" w:cs="Arial" w:eastAsia="Arial" w:hAnsi="Arial"/>
          <w:sz w:val="16"/>
          <w:szCs w:val="16"/>
          <w:color w:val="auto"/>
        </w:rPr>
        <w:t xml:space="preserve">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26" w:lineRule="exact"/>
        <w:rPr>
          <w:sz w:val="20"/>
          <w:szCs w:val="20"/>
          <w:color w:val="auto"/>
        </w:rPr>
      </w:pPr>
    </w:p>
    <w:p>
      <w:pPr>
        <w:ind w:left="1120" w:hanging="217"/>
        <w:spacing w:after="0"/>
        <w:tabs>
          <w:tab w:leader="none" w:pos="11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lack of validity or enforceability of the Indenture, the Debt Securities or any other agreement or instrument relating thereto;</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5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2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ectPr>
          <w:pgSz w:w="11900" w:h="16838" w:orient="portrait"/>
          <w:cols w:equalWidth="0" w:num="1">
            <w:col w:w="11420"/>
          </w:cols>
          <w:pgMar w:left="240" w:top="334" w:right="239" w:bottom="1440" w:gutter="0" w:footer="0" w:header="0"/>
        </w:sectPr>
      </w:pPr>
    </w:p>
    <w:bookmarkStart w:id="89" w:name="page90"/>
    <w:bookmarkEnd w:id="89"/>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(iv) any other circumstance which might otherwise constitute a defense available to, or a discharge of, the Issuer or a guarantor.</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p>
    <w:p>
      <w:pPr>
        <w:spacing w:after="0" w:line="90" w:lineRule="exact"/>
        <w:rPr>
          <w:sz w:val="20"/>
          <w:szCs w:val="20"/>
          <w:color w:val="auto"/>
        </w:rPr>
      </w:pPr>
    </w:p>
    <w:p>
      <w:pPr>
        <w:jc w:val="both"/>
        <w:ind w:firstLine="921"/>
        <w:spacing w:after="0" w:line="259" w:lineRule="auto"/>
        <w:tabs>
          <w:tab w:leader="none" w:pos="11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40" w:lineRule="exact"/>
        <w:rPr>
          <w:rFonts w:ascii="Arial" w:cs="Arial" w:eastAsia="Arial" w:hAnsi="Arial"/>
          <w:sz w:val="18"/>
          <w:szCs w:val="18"/>
          <w:color w:val="auto"/>
        </w:rPr>
      </w:pPr>
    </w:p>
    <w:p>
      <w:pPr>
        <w:ind w:right="180" w:firstLine="921"/>
        <w:spacing w:after="0" w:line="306" w:lineRule="auto"/>
        <w:tabs>
          <w:tab w:leader="none" w:pos="116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0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Continuing Guarantee; Transfer of Interest</w:t>
      </w:r>
      <w:r>
        <w:rPr>
          <w:rFonts w:ascii="Arial" w:cs="Arial" w:eastAsia="Arial" w:hAnsi="Arial"/>
          <w:sz w:val="16"/>
          <w:szCs w:val="16"/>
          <w:color w:val="auto"/>
        </w:rPr>
        <w:t xml:space="preserve"> .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Amended and Restated Revolving Credit Agreement dated May 9, 2011, by and among the Issuer, the Guarantor (as guarantor), Bank of America, N.A., as administrative agent, J.P. Morgan Securities LLC, Merrill Lynch, Pierce, Fenner &amp; Smith Incorporated and Barclays Capital, as lead arrangers and joint book runners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9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ectPr>
          <w:pgSz w:w="11900" w:h="16838" w:orient="portrait"/>
          <w:cols w:equalWidth="0" w:num="1">
            <w:col w:w="11360"/>
          </w:cols>
          <w:pgMar w:left="240" w:top="334" w:right="299" w:bottom="1440" w:gutter="0" w:footer="0" w:header="0"/>
        </w:sectPr>
      </w:pPr>
    </w:p>
    <w:bookmarkStart w:id="90" w:name="page91"/>
    <w:bookmarkEnd w:id="90"/>
    <w:p>
      <w:pPr>
        <w:ind w:right="2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19685</wp:posOffset>
            </wp:positionV>
            <wp:extent cx="27184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Devina A. Rankin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Treasurer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19685</wp:posOffset>
            </wp:positionV>
            <wp:extent cx="27184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 P. Carpenter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 Controller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Guarantee</w:t>
      </w:r>
    </w:p>
    <w:p>
      <w:pPr>
        <w:sectPr>
          <w:pgSz w:w="11900" w:h="16838" w:orient="portrait"/>
          <w:cols w:equalWidth="0" w:num="1">
            <w:col w:w="11420"/>
          </w:cols>
          <w:pgMar w:left="240" w:top="280"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10.1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AGREEMENT</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THIS SEPARATION AGREEMENT (“Agreement”) is entered into on this 25th day of July, 2012 between Waste Management, Inc. (the “Company”) and Grace Cowan (the “Executive”).</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This Agreement is binding upon, and extends to, the parties and their past and present officers, directors, employees, shareholders, parent corporations, subsidiaries, affiliates, partners, agents, representatives, heirs, executors, assigns, administrators, successors, predecessors, family members, d/b/a’s, assumed names, and insurers, whether specifically mentioned hereafter or not. A reference to a party in this Agreement necessarily includes those persons and/or entities described in the foregoing sentence.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REAMBLE</w:t>
      </w:r>
    </w:p>
    <w:p>
      <w:pPr>
        <w:spacing w:after="0" w:line="177" w:lineRule="exact"/>
        <w:rPr>
          <w:sz w:val="20"/>
          <w:szCs w:val="20"/>
          <w:color w:val="auto"/>
        </w:rPr>
      </w:pPr>
    </w:p>
    <w:p>
      <w:pPr>
        <w:ind w:left="460" w:right="220"/>
        <w:spacing w:after="0" w:line="493" w:lineRule="auto"/>
        <w:rPr>
          <w:sz w:val="20"/>
          <w:szCs w:val="20"/>
          <w:color w:val="auto"/>
        </w:rPr>
      </w:pPr>
      <w:r>
        <w:rPr>
          <w:rFonts w:ascii="Arial" w:cs="Arial" w:eastAsia="Arial" w:hAnsi="Arial"/>
          <w:sz w:val="16"/>
          <w:szCs w:val="16"/>
          <w:i w:val="1"/>
          <w:iCs w:val="1"/>
          <w:color w:val="auto"/>
        </w:rPr>
        <w:t xml:space="preserve">WHEREAS, </w:t>
      </w:r>
      <w:r>
        <w:rPr>
          <w:rFonts w:ascii="Arial" w:cs="Arial" w:eastAsia="Arial" w:hAnsi="Arial"/>
          <w:sz w:val="16"/>
          <w:szCs w:val="16"/>
          <w:color w:val="auto"/>
        </w:rPr>
        <w:t>the Company and Executive previously entered into that certain Employment Agreement in February 2011 (the “Employment Agreement”);</w:t>
      </w:r>
      <w:r>
        <w:rPr>
          <w:rFonts w:ascii="Arial" w:cs="Arial" w:eastAsia="Arial" w:hAnsi="Arial"/>
          <w:sz w:val="16"/>
          <w:szCs w:val="16"/>
          <w:i w:val="1"/>
          <w:iCs w:val="1"/>
          <w:color w:val="auto"/>
        </w:rPr>
        <w:t xml:space="preserve"> WHEREAS, </w:t>
      </w:r>
      <w:r>
        <w:rPr>
          <w:rFonts w:ascii="Arial" w:cs="Arial" w:eastAsia="Arial" w:hAnsi="Arial"/>
          <w:sz w:val="16"/>
          <w:szCs w:val="16"/>
          <w:color w:val="auto"/>
        </w:rPr>
        <w:t>pursuant to such Employment Agreement, Executive has been continuously employed by the Company;</w:t>
      </w:r>
    </w:p>
    <w:p>
      <w:pPr>
        <w:ind w:right="580" w:firstLine="456"/>
        <w:spacing w:after="0" w:line="268"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the Company has notified Executive that her employment is being terminated pursuant to Section 5(e) of said Employment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August 31, 2012;</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the Employment Agreement states that upon a termination pursuant to Section 5(e), Executive will receive certain severance benefits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in Section 6(e) upon her execution of a waiver and release of claims;</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the Company and Executive now jointly desire to enter into this Agreement to supplement the continuing provisions of said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as set forth below;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NOW, THEREFORE, </w:t>
      </w:r>
      <w:r>
        <w:rPr>
          <w:rFonts w:ascii="Arial" w:cs="Arial" w:eastAsia="Arial" w:hAnsi="Arial"/>
          <w:sz w:val="16"/>
          <w:szCs w:val="16"/>
          <w:color w:val="auto"/>
        </w:rPr>
        <w:t>in consideration of the premises and agreements contained herein, and for other good and valuable consideration, the Company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hereby agree as follows:</w:t>
      </w:r>
    </w:p>
    <w:p>
      <w:pPr>
        <w:spacing w:after="0" w:line="78" w:lineRule="exact"/>
        <w:rPr>
          <w:sz w:val="20"/>
          <w:szCs w:val="20"/>
          <w:color w:val="auto"/>
        </w:rPr>
      </w:pPr>
    </w:p>
    <w:p>
      <w:pPr>
        <w:ind w:right="200" w:firstLine="464"/>
        <w:spacing w:after="0" w:line="275" w:lineRule="auto"/>
        <w:tabs>
          <w:tab w:leader="none" w:pos="63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The employment of Executive is terminated, effective August 31, 2012 (“Employment Termination Date”).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agree that Executive’s employment is being terminated pursuant to Section 5(e) of the Employment Agreement.</w:t>
      </w:r>
    </w:p>
    <w:p>
      <w:pPr>
        <w:spacing w:after="0" w:line="12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Executive is entitled to the certain compensation and benefits set forth in Section 6(e) (i) and (ii) of the Employment Agreement without her execution of a release, as more specifically detailed in Exhibit A to this Agreement. </w:t>
      </w:r>
      <w:r>
        <w:rPr>
          <w:rFonts w:ascii="Arial" w:cs="Arial" w:eastAsia="Arial" w:hAnsi="Arial"/>
          <w:sz w:val="18"/>
          <w:szCs w:val="18"/>
          <w:u w:val="single" w:color="auto"/>
          <w:color w:val="auto"/>
        </w:rPr>
        <w:t>It is expressly agreed to and acknowledged by the parties that Executive is entitled to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compensation and benefits set forth in Exhibit A whether or not she executes this Agreement.</w:t>
      </w:r>
    </w:p>
    <w:p>
      <w:pPr>
        <w:sectPr>
          <w:pgSz w:w="11900" w:h="16838" w:orient="portrait"/>
          <w:cols w:equalWidth="0" w:num="1">
            <w:col w:w="11420"/>
          </w:cols>
          <w:pgMar w:left="240" w:top="125" w:right="239" w:bottom="1440" w:gutter="0" w:footer="0" w:header="0"/>
        </w:sectPr>
      </w:pPr>
    </w:p>
    <w:bookmarkStart w:id="92" w:name="page93"/>
    <w:bookmarkEnd w:id="92"/>
    <w:p>
      <w:pPr>
        <w:ind w:firstLine="464"/>
        <w:spacing w:after="0" w:line="293" w:lineRule="auto"/>
        <w:tabs>
          <w:tab w:leader="none" w:pos="632"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Payment of Additional Consideration. </w:t>
      </w:r>
      <w:r>
        <w:rPr>
          <w:rFonts w:ascii="Arial" w:cs="Arial" w:eastAsia="Arial" w:hAnsi="Arial"/>
          <w:sz w:val="16"/>
          <w:szCs w:val="16"/>
          <w:color w:val="auto"/>
        </w:rPr>
        <w:t>In consideration of the premises and promises herein contained, and subject to Executive executing and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revoking this Agreement, it is agreed that the Company will provide Executive those certain benefits specifically detailed in Exhibit B to this Agreement. The benefits set forth in Exhibit B include those that Executive will receive under Section 6(e) (iii) (iv) and (v) of the Employment Agreement and an additional separation bonus upon the execution of a waiver and release of claims. </w:t>
      </w:r>
      <w:r>
        <w:rPr>
          <w:rFonts w:ascii="Arial" w:cs="Arial" w:eastAsia="Arial" w:hAnsi="Arial"/>
          <w:sz w:val="16"/>
          <w:szCs w:val="16"/>
          <w:u w:val="single" w:color="auto"/>
          <w:color w:val="auto"/>
        </w:rPr>
        <w:t>It is expressly agreed to and acknowledged by the parties that Executive is not entitled to</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benefits set forth in Exhibit B until such time as she executes and does not revoke this Agreement</w:t>
      </w:r>
      <w:r>
        <w:rPr>
          <w:rFonts w:ascii="Arial" w:cs="Arial" w:eastAsia="Arial" w:hAnsi="Arial"/>
          <w:sz w:val="16"/>
          <w:szCs w:val="16"/>
          <w:color w:val="auto"/>
        </w:rPr>
        <w:t>. The Company shall withhold, or cause to be withheld, from said payments all amounts required to be withheld pursuant to federal, state or local tax laws.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consideration set forth in this Paragraph 2 is in full, final and complete settlement of any and all claims which Executive could make in any complaint, charge, or civil action, whether for actual, nominal, compensatory, or punitive damages (including attorneys’ fees). Executive acknowledges that such consideration is being made as consideration for the releases set forth in Paragraphs 4 and 5. Executive further acknowledges that the consideration set forth in this Paragraph 2 are separate and distinct of and from each other, and that either payment is independent valuable consideration for the release and waiver set forth in Paragraphs 4 and 5.</w:t>
      </w:r>
    </w:p>
    <w:p>
      <w:pPr>
        <w:spacing w:after="0" w:line="56" w:lineRule="exact"/>
        <w:rPr>
          <w:sz w:val="20"/>
          <w:szCs w:val="20"/>
          <w:color w:val="auto"/>
        </w:rPr>
      </w:pPr>
    </w:p>
    <w:p>
      <w:pPr>
        <w:ind w:right="100" w:firstLine="464"/>
        <w:spacing w:after="0" w:line="289" w:lineRule="auto"/>
        <w:tabs>
          <w:tab w:leader="none" w:pos="632"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Post-Notification Employment With The Company. </w:t>
      </w:r>
      <w:r>
        <w:rPr>
          <w:rFonts w:ascii="Arial" w:cs="Arial" w:eastAsia="Arial" w:hAnsi="Arial"/>
          <w:sz w:val="16"/>
          <w:szCs w:val="16"/>
          <w:color w:val="auto"/>
        </w:rPr>
        <w:t>From now until Executive’s August 31, 2012 termination, the Company shall continue to</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Executive, and Executive shall continue to be employed by the Company upon the terms and subject to the conditions set forth in this Agreement. The period of Executive’s continued employment with the Company under this Agreement shall commence immediately and shall continue until August 31, 2012 (“Continued Employment Period”). During the Continued Employment Period, Executive shall perform such duties and have such responsibilities as may be assigned to her from time to time by the Company’s Chief Executive Officer. It is expressly agreed that Executive’s duties and responsibilities during such Continued Employment Period shall be limited to providing advice and consulting support on the Company’s Customer Experience projects as requested. Executive will not be expected to manage the day-to-day activities of the Customer Experience Department. Executive is not required to be present at the Company’s offices unless specifically requested. The Company will reimburse Executive for all reasonable pre-approved out-of-pocket business expenses incurred by Executive in accordance with the Company’s customary practices and policies.</w:t>
      </w:r>
    </w:p>
    <w:p>
      <w:pPr>
        <w:spacing w:after="0" w:line="31" w:lineRule="exact"/>
        <w:rPr>
          <w:rFonts w:ascii="Arial" w:cs="Arial" w:eastAsia="Arial" w:hAnsi="Arial"/>
          <w:sz w:val="16"/>
          <w:szCs w:val="16"/>
          <w:b w:val="1"/>
          <w:bCs w:val="1"/>
          <w:color w:val="auto"/>
        </w:rPr>
      </w:pPr>
    </w:p>
    <w:p>
      <w:pPr>
        <w:ind w:right="80" w:firstLine="464"/>
        <w:spacing w:after="0" w:line="296" w:lineRule="auto"/>
        <w:tabs>
          <w:tab w:leader="none" w:pos="632"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Release. </w:t>
      </w:r>
      <w:r>
        <w:rPr>
          <w:rFonts w:ascii="Arial" w:cs="Arial" w:eastAsia="Arial" w:hAnsi="Arial"/>
          <w:sz w:val="16"/>
          <w:szCs w:val="16"/>
          <w:color w:val="auto"/>
        </w:rPr>
        <w:t>In exchange for the first payment made to Executive pursuant to Paragraph 2, Executive releases and discharges Waste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its past and present parent, subsidiary and affiliated companies, agents, directors, officers, employees, and representatives, and all persons acting by, through, under or in concert with Waste Management (collectively referred to as the “Released Parties”), from any and all causes of action, claims, liabilities, obligations, promises, agreements, controversies, damages, and expenses, known or unknown, which Executive ever had, or now has, against the Released Parties to the date of this Agreement. The claims Executive releases include, but are not limited to, claims that the Released Parties: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93" w:name="page94"/>
    <w:bookmarkEnd w:id="93"/>
    <w:p>
      <w:pPr>
        <w:ind w:left="900" w:right="20" w:hanging="325"/>
        <w:spacing w:after="0" w:line="256"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discriminated against Executive on the basis of her race, color, sex (including sexual harassment), national origin, ancestry, disability, religion, sexual orientation, marital status, parental status, veteran status, source of income, entitlement to benefits, union activities, </w:t>
      </w:r>
      <w:r>
        <w:rPr>
          <w:rFonts w:ascii="Arial" w:cs="Arial" w:eastAsia="Arial" w:hAnsi="Arial"/>
          <w:sz w:val="18"/>
          <w:szCs w:val="18"/>
          <w:u w:val="single" w:color="auto"/>
          <w:color w:val="auto"/>
        </w:rPr>
        <w:t>age or any other claim or right</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Executive may have under the Age Discrimination in Employment Act (“ADEA”)</w:t>
      </w:r>
      <w:r>
        <w:rPr>
          <w:rFonts w:ascii="Arial" w:cs="Arial" w:eastAsia="Arial" w:hAnsi="Arial"/>
          <w:sz w:val="18"/>
          <w:szCs w:val="18"/>
          <w:color w:val="auto"/>
        </w:rPr>
        <w:t>, or any other status protected by local, state or federal laws, constitutions, regulations, ordinances or executive orders; or</w:t>
      </w:r>
    </w:p>
    <w:p>
      <w:pPr>
        <w:spacing w:after="0" w:line="62"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failed to give proper notice of this employment termination under the Workers Adjustment and Retraining Notification Act (“WARN”), or any similar state or local statute or ordinance; or</w:t>
      </w:r>
    </w:p>
    <w:p>
      <w:pPr>
        <w:spacing w:after="0" w:line="5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violated any other federal, state, or local employment statute, such as the Employee Retirement Income Security Act of 1974, which, among other things, protects employee benefits; the Fair Labor Standards Act, which regulates wage and hour matters; the Family and Medical Leave Act, which requires employers to provide leaves of absence under certain circumstances; Title VII of the Civil Rights Act of 1964; the Older Workers Benefits Protection Act; the Americans With Disabilities Act; the Rehabilitation Act; OSHA; and any other laws relating to employment; or</w:t>
      </w:r>
    </w:p>
    <w:p>
      <w:pPr>
        <w:spacing w:after="0" w:line="31"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violated its personnel policies, handbooks, any covenant of good faith and fair dealing, or any contract of employment between Executive and any of the Released Parties; or</w:t>
      </w:r>
    </w:p>
    <w:p>
      <w:pPr>
        <w:spacing w:after="0" w:line="50" w:lineRule="exact"/>
        <w:rPr>
          <w:rFonts w:ascii="Arial" w:cs="Arial" w:eastAsia="Arial" w:hAnsi="Arial"/>
          <w:sz w:val="18"/>
          <w:szCs w:val="18"/>
          <w:color w:val="auto"/>
        </w:rPr>
      </w:pPr>
    </w:p>
    <w:p>
      <w:pPr>
        <w:ind w:left="900" w:right="160" w:hanging="325"/>
        <w:spacing w:after="0" w:line="306"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violated public policy or common law, including claims for: personal injury, invasion of privacy, retaliatory discharge, negligent hiring, retention or supervision, defamation, intentional or negligent infliction of emotional distress and/or mental anguish, intentional interference with contract, negligence, detrimental reliance, loss of consortium to Executive or any member of Executive’s family, and/or promissory estoppel; or</w:t>
      </w:r>
    </w:p>
    <w:p>
      <w:pPr>
        <w:spacing w:after="0" w:line="25"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is in any way obligated for any reason to pay your damages, expenses, litigation costs (including attorneys’ fees), bonuses, commissions, disability benefits, compensatory damages, punitive damages, and/or interest.</w:t>
      </w:r>
    </w:p>
    <w:p>
      <w:pPr>
        <w:spacing w:after="0" w:line="132"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 xml:space="preserve">Executive is </w:t>
      </w:r>
      <w:r>
        <w:rPr>
          <w:rFonts w:ascii="Arial" w:cs="Arial" w:eastAsia="Arial" w:hAnsi="Arial"/>
          <w:sz w:val="15"/>
          <w:szCs w:val="15"/>
          <w:u w:val="single" w:color="auto"/>
          <w:color w:val="auto"/>
        </w:rPr>
        <w:t>not</w:t>
      </w:r>
      <w:r>
        <w:rPr>
          <w:rFonts w:ascii="Arial" w:cs="Arial" w:eastAsia="Arial" w:hAnsi="Arial"/>
          <w:sz w:val="15"/>
          <w:szCs w:val="15"/>
          <w:color w:val="auto"/>
        </w:rPr>
        <w:t xml:space="preserve"> prohibited from making or asserting (a) any claim or right under state workers’ compensation or unemployment laws, or (b) any claim or right which by law cannot be waived. Executive waives, however, the right to recover money if any federal, state or local government agency pursues a claim on Executive’s behalf or on behalf of a class to which Executive may belong that arises out of or relates to Executive’s employment or termination of employment.</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the purpose of giving a full and complete release, Executive covenants and agrees that she has no pending claims or charges against the Release Parties, and if she does so have, Executive agrees to promptly file all appropriate papers requesting withdrawal and dismissal of such claims and for charges. Executive understands and agrees that this Agreement includes all claims that Executive may have and that Executive does not now know or suspect to exist in Executive’s favor against the Released Parties, and that this Agreement extinguishes those claims.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94" w:name="page95"/>
    <w:bookmarkEnd w:id="94"/>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Nothing in this Agreement shall affect the U.S. Equal Employment Opportunity Commission’s (“EEOC”) rights and responsibilities to enforce the Civil Rights Act of 1964, as amended, the Age Discrimination in Employment Act of 1967 (“ADEA”), as amended, or any other applicable law. Further, nothing in this Agreement shall be construed as a basis for interfering with Executive’s protected right to challenge the waiver of an ADEA claim under the Older Workers Benefit Protection Act, or to file a charge with, or participate in an investigation or proceeding conducted by, the EEOC, or any other state, federal or local government entity; provided, however, if the EEOC or any other state, federal or local government entity commences an investigation on Executive’s behalf, Executive specifically waives and releases her right, if any, to recover any monetary or other benefits of any sort whatsoever arising from any such investigation, nor will she seek reinstatement to her former position with the Company. Nothing in this Agreement shall be construed to waive a claim or right that cannot be lawfully waived through private agreement.</w:t>
      </w:r>
    </w:p>
    <w:p>
      <w:pPr>
        <w:spacing w:after="0" w:line="118" w:lineRule="exact"/>
        <w:rPr>
          <w:sz w:val="20"/>
          <w:szCs w:val="20"/>
          <w:color w:val="auto"/>
        </w:rPr>
      </w:pPr>
    </w:p>
    <w:p>
      <w:pPr>
        <w:ind w:right="340" w:firstLine="456"/>
        <w:spacing w:after="0" w:line="330" w:lineRule="auto"/>
        <w:rPr>
          <w:sz w:val="20"/>
          <w:szCs w:val="20"/>
          <w:color w:val="auto"/>
        </w:rPr>
      </w:pPr>
      <w:r>
        <w:rPr>
          <w:rFonts w:ascii="Arial" w:cs="Arial" w:eastAsia="Arial" w:hAnsi="Arial"/>
          <w:sz w:val="16"/>
          <w:szCs w:val="16"/>
          <w:color w:val="auto"/>
        </w:rPr>
        <w:t>Executive is not being asked to release any claims or rights under ADEA that may arise after Executive executes this Agreement. However, any claims surrounding the Company’s decision to end Executive’s employment are specifically released and waived under the terms of this Agreement.</w:t>
      </w:r>
    </w:p>
    <w:p>
      <w:pPr>
        <w:spacing w:after="0" w:line="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5</w:t>
      </w:r>
      <w:r>
        <w:rPr>
          <w:rFonts w:ascii="Arial" w:cs="Arial" w:eastAsia="Arial" w:hAnsi="Arial"/>
          <w:sz w:val="16"/>
          <w:szCs w:val="16"/>
          <w:color w:val="auto"/>
        </w:rPr>
        <w:t>.</w:t>
      </w:r>
      <w:r>
        <w:rPr>
          <w:rFonts w:ascii="Arial" w:cs="Arial" w:eastAsia="Arial" w:hAnsi="Arial"/>
          <w:sz w:val="16"/>
          <w:szCs w:val="16"/>
          <w:b w:val="1"/>
          <w:bCs w:val="1"/>
          <w:color w:val="auto"/>
        </w:rPr>
        <w:t xml:space="preserve"> Covenant Not to Sue. </w:t>
      </w:r>
      <w:r>
        <w:rPr>
          <w:rFonts w:ascii="Arial" w:cs="Arial" w:eastAsia="Arial" w:hAnsi="Arial"/>
          <w:sz w:val="16"/>
          <w:szCs w:val="16"/>
          <w:color w:val="auto"/>
        </w:rPr>
        <w:t>Executive agrees not to sue any of the Released Parties or become a party to a lawsuit on the basis of any claims of any type to</w:t>
      </w:r>
      <w:r>
        <w:rPr>
          <w:rFonts w:ascii="Arial" w:cs="Arial" w:eastAsia="Arial" w:hAnsi="Arial"/>
          <w:sz w:val="16"/>
          <w:szCs w:val="16"/>
          <w:b w:val="1"/>
          <w:bCs w:val="1"/>
          <w:color w:val="auto"/>
        </w:rPr>
        <w:t xml:space="preserve"> </w:t>
      </w:r>
      <w:r>
        <w:rPr>
          <w:rFonts w:ascii="Arial" w:cs="Arial" w:eastAsia="Arial" w:hAnsi="Arial"/>
          <w:sz w:val="16"/>
          <w:szCs w:val="16"/>
          <w:color w:val="auto"/>
        </w:rPr>
        <w:t>date that arise out of any aspect of Executive’s employment or termination of employment. Executive understands that this is an affirmative promise by Executive not to sue any of the Released Parties, which is in addition to Executive’s general release and waiver of claims in Paragraphs 3 and 4. However, nothing in this Agreement prevents Executive from bringing an action challenging the validity of this Agreement. If Executive breaches this Agreement by suing any of the Released Parties in violation of this Covenant Not to Sue, Executive understands that (i) the Released Parties will be entitled to apply for and receive an injunction to restrain any violation of this paragraph, and (ii) Executive will be required to pay the Released Parties’ legal costs and expenses, including reasonable attorney fees, associated with defending against the lawsuit and enforcing the terms of this Agreement.</w:t>
      </w:r>
    </w:p>
    <w:p>
      <w:pPr>
        <w:spacing w:after="0" w:line="32" w:lineRule="exact"/>
        <w:rPr>
          <w:sz w:val="20"/>
          <w:szCs w:val="20"/>
          <w:color w:val="auto"/>
        </w:rPr>
      </w:pPr>
    </w:p>
    <w:p>
      <w:pPr>
        <w:ind w:right="60" w:firstLine="464"/>
        <w:spacing w:after="0" w:line="334" w:lineRule="auto"/>
        <w:tabs>
          <w:tab w:leader="none" w:pos="632"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Application to all Forms of Relief. </w:t>
      </w:r>
      <w:r>
        <w:rPr>
          <w:rFonts w:ascii="Arial" w:cs="Arial" w:eastAsia="Arial" w:hAnsi="Arial"/>
          <w:sz w:val="16"/>
          <w:szCs w:val="16"/>
          <w:color w:val="auto"/>
        </w:rPr>
        <w:t>This Agreement applies to any relief no matter how called, including without limitation, wages, back pay, front pay,</w:t>
      </w:r>
      <w:r>
        <w:rPr>
          <w:rFonts w:ascii="Arial" w:cs="Arial" w:eastAsia="Arial" w:hAnsi="Arial"/>
          <w:sz w:val="16"/>
          <w:szCs w:val="16"/>
          <w:b w:val="1"/>
          <w:bCs w:val="1"/>
          <w:color w:val="auto"/>
        </w:rPr>
        <w:t xml:space="preserve"> </w:t>
      </w:r>
      <w:r>
        <w:rPr>
          <w:rFonts w:ascii="Arial" w:cs="Arial" w:eastAsia="Arial" w:hAnsi="Arial"/>
          <w:sz w:val="16"/>
          <w:szCs w:val="16"/>
          <w:color w:val="auto"/>
        </w:rPr>
        <w:t>reinstatement, compensatory damages, liquidated damages, punitive damages for pain or suffering, costs and attorney’s fees and expenses.</w:t>
      </w:r>
    </w:p>
    <w:p>
      <w:pPr>
        <w:spacing w:after="0" w:line="1" w:lineRule="exact"/>
        <w:rPr>
          <w:rFonts w:ascii="Arial" w:cs="Arial" w:eastAsia="Arial" w:hAnsi="Arial"/>
          <w:sz w:val="16"/>
          <w:szCs w:val="16"/>
          <w:b w:val="1"/>
          <w:bCs w:val="1"/>
          <w:color w:val="auto"/>
        </w:rPr>
      </w:pPr>
    </w:p>
    <w:p>
      <w:pPr>
        <w:ind w:right="100" w:firstLine="464"/>
        <w:spacing w:after="0" w:line="258" w:lineRule="auto"/>
        <w:tabs>
          <w:tab w:leader="none" w:pos="63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No Admissions, Complaints or Other Claims</w:t>
      </w:r>
      <w:r>
        <w:rPr>
          <w:rFonts w:ascii="Arial" w:cs="Arial" w:eastAsia="Arial" w:hAnsi="Arial"/>
          <w:sz w:val="18"/>
          <w:szCs w:val="18"/>
          <w:color w:val="auto"/>
        </w:rPr>
        <w:t>. The Executive acknowledges and agrees that this Agreement is not to be construed in any way as an</w:t>
      </w:r>
      <w:r>
        <w:rPr>
          <w:rFonts w:ascii="Arial" w:cs="Arial" w:eastAsia="Arial" w:hAnsi="Arial"/>
          <w:sz w:val="18"/>
          <w:szCs w:val="18"/>
          <w:b w:val="1"/>
          <w:bCs w:val="1"/>
          <w:color w:val="auto"/>
        </w:rPr>
        <w:t xml:space="preserve"> </w:t>
      </w:r>
      <w:r>
        <w:rPr>
          <w:rFonts w:ascii="Arial" w:cs="Arial" w:eastAsia="Arial" w:hAnsi="Arial"/>
          <w:sz w:val="18"/>
          <w:szCs w:val="18"/>
          <w:color w:val="auto"/>
        </w:rPr>
        <w:t>admission of any liability whatsoever by any Released Party, any such liability being expressly denied. The Executive also acknowledges and agrees that she has not, with respect to any transaction or state of facts existing prior to the date hereof, filed any Actions against any Released Party with any governmental agency, court or tribunal.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95" w:name="page96"/>
    <w:bookmarkEnd w:id="95"/>
    <w:p>
      <w:pPr>
        <w:ind w:right="320" w:firstLine="464"/>
        <w:spacing w:after="0" w:line="262" w:lineRule="auto"/>
        <w:tabs>
          <w:tab w:leader="none" w:pos="632"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Acknowledgments. </w:t>
      </w:r>
      <w:r>
        <w:rPr>
          <w:rFonts w:ascii="Arial" w:cs="Arial" w:eastAsia="Arial" w:hAnsi="Arial"/>
          <w:sz w:val="18"/>
          <w:szCs w:val="18"/>
          <w:color w:val="auto"/>
        </w:rPr>
        <w:t>Executive has fully reviewed the terms of this Agreement, acknowledges that she understands its terms, and states that she is</w:t>
      </w:r>
      <w:r>
        <w:rPr>
          <w:rFonts w:ascii="Arial" w:cs="Arial" w:eastAsia="Arial" w:hAnsi="Arial"/>
          <w:sz w:val="18"/>
          <w:szCs w:val="18"/>
          <w:b w:val="1"/>
          <w:bCs w:val="1"/>
          <w:color w:val="auto"/>
        </w:rPr>
        <w:t xml:space="preserve"> </w:t>
      </w:r>
      <w:r>
        <w:rPr>
          <w:rFonts w:ascii="Arial" w:cs="Arial" w:eastAsia="Arial" w:hAnsi="Arial"/>
          <w:sz w:val="18"/>
          <w:szCs w:val="18"/>
          <w:color w:val="auto"/>
        </w:rPr>
        <w:t>entering into this Agreement knowingly, voluntarily, and in full settlement of all claims which existed in the past or which currently exist, that arise out of her employment with Waste Management or the termination of her employment.</w:t>
      </w:r>
    </w:p>
    <w:p>
      <w:pPr>
        <w:spacing w:after="0" w:line="13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Executive acknowledges that she has had at least forty-five (45) days to consider this General Release Agreement thoroughly, and Executive understands that she has the right to consult with an attorney, before she signs below and is advised to do so.</w:t>
      </w:r>
    </w:p>
    <w:p>
      <w:pPr>
        <w:spacing w:after="0" w:line="132" w:lineRule="exact"/>
        <w:rPr>
          <w:sz w:val="20"/>
          <w:szCs w:val="20"/>
          <w:color w:val="auto"/>
        </w:rPr>
      </w:pPr>
    </w:p>
    <w:p>
      <w:pPr>
        <w:jc w:val="both"/>
        <w:ind w:right="240" w:firstLine="456"/>
        <w:spacing w:after="0" w:line="335" w:lineRule="auto"/>
        <w:rPr>
          <w:sz w:val="20"/>
          <w:szCs w:val="20"/>
          <w:color w:val="auto"/>
        </w:rPr>
      </w:pPr>
      <w:r>
        <w:rPr>
          <w:rFonts w:ascii="Arial" w:cs="Arial" w:eastAsia="Arial" w:hAnsi="Arial"/>
          <w:sz w:val="15"/>
          <w:szCs w:val="15"/>
          <w:color w:val="auto"/>
        </w:rPr>
        <w:t>If Executive signs and returns this General Release Agreement before the end of the 45-day period, she certifies that her acceptance of a shortened time period is knowing and voluntary, and the Company did not — through fraud, misrepresentation, a threat to withdraw or alter the offer before the 45-day period expires, or by providing different terms to other employees who sign the release before such time period expires — improperly encourage Executive to sign.</w:t>
      </w:r>
    </w:p>
    <w:p>
      <w:pPr>
        <w:spacing w:after="0" w:line="8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Executive understands that she may revoke this General Release Agreement within seven (7) days after she signs it. Executive’s revocation must be in writing and submitted within the seven (7) day period to Mark Schwartz, via hand delivery or via electronic delivery at: MarkSchwartz@wm.com. If Executive does not revoke this General Release Agreement within the seven (7) day period, it becomes irrevocable. Executive further understands that if she revokes this General Release Agreement, she will not be eligible to receive the benefits described in Exhibit B. All benefits described in Exhibit B will be processed as soon as administratively possible after the end of this seven (7) day period.</w:t>
      </w:r>
    </w:p>
    <w:p>
      <w:pPr>
        <w:spacing w:after="0" w:line="1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Executive agrees and accepts that the termination of her employment giving rise to her eligibility for benefits described above will not be construed to provide or trigger any enhanced benefits under any equity-based compensation awards previously granted to her, including, but not limited to, stock option awards, restricted stock awards, restricted stock unit awards and/or performance share unit awards. Such forms of enhanced benefits include, without limitation, vesting beyond the date of termination of employment and/or an extended period in which to exercise equity-based awards resulting from a termination of employment by reason of retirement or resignation, as such terms are contemplated with respect to each such award. Executive further agrees and accepts that the terms and conditions of each equity-based incentive award shall govern those awards, not withstanding any other representation, whether written or oral, to the contrary.</w:t>
      </w:r>
    </w:p>
    <w:p>
      <w:pPr>
        <w:spacing w:after="0" w:line="60" w:lineRule="exact"/>
        <w:rPr>
          <w:sz w:val="20"/>
          <w:szCs w:val="20"/>
          <w:color w:val="auto"/>
        </w:rPr>
      </w:pPr>
    </w:p>
    <w:p>
      <w:pPr>
        <w:ind w:firstLine="464"/>
        <w:spacing w:after="0" w:line="293" w:lineRule="auto"/>
        <w:tabs>
          <w:tab w:leader="none" w:pos="632"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Settlement and Acquisition of Goodwill. </w:t>
      </w:r>
      <w:r>
        <w:rPr>
          <w:rFonts w:ascii="Arial" w:cs="Arial" w:eastAsia="Arial" w:hAnsi="Arial"/>
          <w:sz w:val="16"/>
          <w:szCs w:val="16"/>
          <w:color w:val="auto"/>
        </w:rPr>
        <w:t>Executive waives and releases any and all claims that the restrictive covenants contained in Paragraph 10 of</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Employment Agreement (the “Employment Agreement Restrictive Covenants”) are not enforceable or are against public policy. Executive covenants not to file a lawsuit or arbitration proceeding, pursue declaratory relief, or otherwise take any legal action to challenge the enforceability of the Employment Agreement Restrictive Covenants. The parties agree that the promise of continued employment and the compensation and benefits associated with same referred to in Exhibit B are, in part, consideration of the settlement of all disputes regarding the enforceability and application of goodwill, trade secrets, and confidential information developed by Executive in the course of her employment with the Company. To help preserve the value of the goodwill, trade secrets,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96" w:name="page97"/>
    <w:bookmarkEnd w:id="96"/>
    <w:p>
      <w:pPr>
        <w:ind w:right="4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information acquired herewith, it is agreed that Executive will comply with the Employment Agreement Restrictive Covenants (incorporated herein by reference) for the periods of time set forth therein. It is specifically agreed that the two-year Restricted Term set forth in Paragraph 10 of the Employment Agreement and the restriction provided for therein shall commence upon Executive’s termination of employment with the Company. In the event that the Company, in its sole discretion, determines that Executive has engaged in activities that violate the Employment Agreement Restrictive Covenants, the Company shall have the right to discontinue and terminate Executive’s employment. Such Termination of employment shall be in addition to and shall not limit injunctive relief and/or any and all other rights and remedies that the Company may have against Executive under the Employment Agreement or this Agreement.</w:t>
      </w:r>
    </w:p>
    <w:p>
      <w:pPr>
        <w:spacing w:after="0" w:line="18" w:lineRule="exact"/>
        <w:rPr>
          <w:sz w:val="20"/>
          <w:szCs w:val="20"/>
          <w:color w:val="auto"/>
        </w:rPr>
      </w:pPr>
    </w:p>
    <w:p>
      <w:pPr>
        <w:ind w:right="80" w:firstLine="464"/>
        <w:spacing w:after="0" w:line="290" w:lineRule="auto"/>
        <w:tabs>
          <w:tab w:leader="none" w:pos="72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Assistance and Cooperation. </w:t>
      </w:r>
      <w:r>
        <w:rPr>
          <w:rFonts w:ascii="Arial" w:cs="Arial" w:eastAsia="Arial" w:hAnsi="Arial"/>
          <w:sz w:val="16"/>
          <w:szCs w:val="16"/>
          <w:color w:val="auto"/>
        </w:rPr>
        <w:t>Executive agrees that she will cooperate fully with the Company and its counsel, upon their request,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 (including any litigation, arbitration, regulatory proceeding, investigation or governmental action) that relates to matters with which Executive was involved while she was an employee of the Company or with which she has knowledge. Executive agrees to render such cooperation in a timely fashion and to provide Company personnel and the company’s counsel with the full benefit of her knowledge with respect to any such matter. The Company shall reimburse Executive for actual and reasonable costs and expenses, including reasonable attorney’s fees, related to her assistance in such matters. Executive will remain an elected officer of the Company until the Employment Termination Date. Accordingly, Executive will be entitled to benefit of the indemnity and expense reimbursement provisions in Article Eighth of the Company’s Third Amended and Restated Certification of Incorporation and Article X of the Company’s Bylaws, all subject to the provisions thereof and to applicable Delaware law.</w:t>
      </w:r>
    </w:p>
    <w:p>
      <w:pPr>
        <w:spacing w:after="0" w:line="31" w:lineRule="exact"/>
        <w:rPr>
          <w:rFonts w:ascii="Arial" w:cs="Arial" w:eastAsia="Arial" w:hAnsi="Arial"/>
          <w:sz w:val="16"/>
          <w:szCs w:val="16"/>
          <w:b w:val="1"/>
          <w:bCs w:val="1"/>
          <w:color w:val="auto"/>
        </w:rPr>
      </w:pPr>
    </w:p>
    <w:p>
      <w:pPr>
        <w:ind w:firstLine="464"/>
        <w:spacing w:after="0" w:line="310" w:lineRule="auto"/>
        <w:tabs>
          <w:tab w:leader="none" w:pos="71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Choice of Laws. </w:t>
      </w:r>
      <w:r>
        <w:rPr>
          <w:rFonts w:ascii="Arial" w:cs="Arial" w:eastAsia="Arial" w:hAnsi="Arial"/>
          <w:sz w:val="16"/>
          <w:szCs w:val="16"/>
          <w:color w:val="auto"/>
        </w:rPr>
        <w:t>This Agreement is made and entered into in the State of Texas, and shall in all respects be interpreted, enforced and governed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laws of the State of Texas. The language of all parts of this Agreement shall in all cases be construed as a whole, according to its fair meaning, and not strictly for or against any of the parties.</w:t>
      </w:r>
    </w:p>
    <w:p>
      <w:pPr>
        <w:spacing w:after="0" w:line="16" w:lineRule="exact"/>
        <w:rPr>
          <w:rFonts w:ascii="Arial" w:cs="Arial" w:eastAsia="Arial" w:hAnsi="Arial"/>
          <w:sz w:val="16"/>
          <w:szCs w:val="16"/>
          <w:b w:val="1"/>
          <w:bCs w:val="1"/>
          <w:color w:val="auto"/>
        </w:rPr>
      </w:pPr>
    </w:p>
    <w:p>
      <w:pPr>
        <w:ind w:right="180" w:firstLine="464"/>
        <w:spacing w:after="0" w:line="334" w:lineRule="auto"/>
        <w:tabs>
          <w:tab w:leader="none" w:pos="72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Should any provision of this Agreement be declared or be determined by any court to be illegal or invalid, the validity of the remaining</w:t>
      </w:r>
      <w:r>
        <w:rPr>
          <w:rFonts w:ascii="Arial" w:cs="Arial" w:eastAsia="Arial" w:hAnsi="Arial"/>
          <w:sz w:val="16"/>
          <w:szCs w:val="16"/>
          <w:b w:val="1"/>
          <w:bCs w:val="1"/>
          <w:color w:val="auto"/>
        </w:rPr>
        <w:t xml:space="preserve"> </w:t>
      </w:r>
      <w:r>
        <w:rPr>
          <w:rFonts w:ascii="Arial" w:cs="Arial" w:eastAsia="Arial" w:hAnsi="Arial"/>
          <w:sz w:val="16"/>
          <w:szCs w:val="16"/>
          <w:color w:val="auto"/>
        </w:rPr>
        <w:t>parts, terms or provisions shall not be affected thereby and said illegal or invalid part, term, or provision shall be deemed not to be a part of this Agreement.</w:t>
      </w:r>
    </w:p>
    <w:p>
      <w:pPr>
        <w:spacing w:after="0" w:line="1" w:lineRule="exact"/>
        <w:rPr>
          <w:rFonts w:ascii="Arial" w:cs="Arial" w:eastAsia="Arial" w:hAnsi="Arial"/>
          <w:sz w:val="16"/>
          <w:szCs w:val="16"/>
          <w:b w:val="1"/>
          <w:bCs w:val="1"/>
          <w:color w:val="auto"/>
        </w:rPr>
      </w:pPr>
    </w:p>
    <w:p>
      <w:pPr>
        <w:ind w:right="20" w:firstLine="464"/>
        <w:spacing w:after="0" w:line="262" w:lineRule="auto"/>
        <w:tabs>
          <w:tab w:leader="none" w:pos="7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Complete Agreement. </w:t>
      </w:r>
      <w:r>
        <w:rPr>
          <w:rFonts w:ascii="Arial" w:cs="Arial" w:eastAsia="Arial" w:hAnsi="Arial"/>
          <w:sz w:val="18"/>
          <w:szCs w:val="18"/>
          <w:color w:val="auto"/>
        </w:rPr>
        <w:t>The parties hereto agree that the February 2011 Employment Agreement (including any other amendments thereto) as modified</w:t>
      </w:r>
      <w:r>
        <w:rPr>
          <w:rFonts w:ascii="Arial" w:cs="Arial" w:eastAsia="Arial" w:hAnsi="Arial"/>
          <w:sz w:val="18"/>
          <w:szCs w:val="18"/>
          <w:b w:val="1"/>
          <w:bCs w:val="1"/>
          <w:color w:val="auto"/>
        </w:rPr>
        <w:t xml:space="preserve"> </w:t>
      </w:r>
      <w:r>
        <w:rPr>
          <w:rFonts w:ascii="Arial" w:cs="Arial" w:eastAsia="Arial" w:hAnsi="Arial"/>
          <w:sz w:val="18"/>
          <w:szCs w:val="18"/>
          <w:color w:val="auto"/>
        </w:rPr>
        <w:t>by this Agreement, contains the full and final expression of their agreements with respect to the matters contained therein, and acknowledge that no other promises have been made to or by any of the parties that are not set forth in these Agreements.</w:t>
      </w:r>
    </w:p>
    <w:p>
      <w:pPr>
        <w:spacing w:after="0" w:line="13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u w:val="single" w:color="auto"/>
          <w:color w:val="auto"/>
        </w:rPr>
        <w:t>The parties agree that neither the offer of, nor the execution of, this Agreement will be construed as an admission of wrongdoing by anyone. Instead, this Agreement is to be construed solely as a reflection of the parties’ desire to facilitate a peaceful separation of employment and to make sure there are no unresolved issued between them.</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97" w:name="page98"/>
    <w:bookmarkEnd w:id="9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Agreement is EXECUTED and EFFECTIVE as of the day set forth above.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40" w:type="dxa"/>
            <w:vAlign w:val="bottom"/>
          </w:tcPr>
          <w:p>
            <w:pPr>
              <w:spacing w:after="0"/>
              <w:rPr>
                <w:sz w:val="20"/>
                <w:szCs w:val="20"/>
                <w:color w:val="auto"/>
              </w:rPr>
            </w:pPr>
            <w:r>
              <w:rPr>
                <w:rFonts w:ascii="Arial" w:cs="Arial" w:eastAsia="Arial" w:hAnsi="Arial"/>
                <w:sz w:val="18"/>
                <w:szCs w:val="18"/>
                <w:b w:val="1"/>
                <w:bCs w:val="1"/>
                <w:color w:val="auto"/>
              </w:rPr>
              <w:t>GRACE COWAN</w:t>
            </w:r>
          </w:p>
        </w:tc>
        <w:tc>
          <w:tcPr>
            <w:tcW w:w="6180" w:type="dxa"/>
            <w:vAlign w:val="bottom"/>
            <w:gridSpan w:val="2"/>
          </w:tcPr>
          <w:p>
            <w:pPr>
              <w:ind w:left="680"/>
              <w:spacing w:after="0"/>
              <w:rPr>
                <w:sz w:val="20"/>
                <w:szCs w:val="20"/>
                <w:color w:val="auto"/>
              </w:rPr>
            </w:pPr>
            <w:r>
              <w:rPr>
                <w:rFonts w:ascii="Arial" w:cs="Arial" w:eastAsia="Arial" w:hAnsi="Arial"/>
                <w:sz w:val="18"/>
                <w:szCs w:val="18"/>
                <w:b w:val="1"/>
                <w:bCs w:val="1"/>
                <w:color w:val="auto"/>
              </w:rPr>
              <w:t>WASTE MANAGEMENT, INC.</w:t>
            </w:r>
          </w:p>
        </w:tc>
        <w:tc>
          <w:tcPr>
            <w:tcW w:w="0" w:type="dxa"/>
            <w:vAlign w:val="bottom"/>
          </w:tcPr>
          <w:p>
            <w:pPr>
              <w:spacing w:after="0"/>
              <w:rPr>
                <w:sz w:val="1"/>
                <w:szCs w:val="1"/>
                <w:color w:val="auto"/>
              </w:rPr>
            </w:pP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(“Executive”)</w:t>
            </w:r>
          </w:p>
        </w:tc>
        <w:tc>
          <w:tcPr>
            <w:tcW w:w="6180" w:type="dxa"/>
            <w:vAlign w:val="bottom"/>
            <w:gridSpan w:val="2"/>
          </w:tcPr>
          <w:p>
            <w:pPr>
              <w:ind w:left="680"/>
              <w:spacing w:after="0"/>
              <w:rPr>
                <w:sz w:val="20"/>
                <w:szCs w:val="20"/>
                <w:color w:val="auto"/>
              </w:rPr>
            </w:pPr>
            <w:r>
              <w:rPr>
                <w:rFonts w:ascii="Arial" w:cs="Arial" w:eastAsia="Arial" w:hAnsi="Arial"/>
                <w:sz w:val="18"/>
                <w:szCs w:val="18"/>
                <w:color w:val="auto"/>
              </w:rPr>
              <w:t>(The “Company”)</w:t>
            </w:r>
          </w:p>
        </w:tc>
        <w:tc>
          <w:tcPr>
            <w:tcW w:w="0" w:type="dxa"/>
            <w:vAlign w:val="bottom"/>
          </w:tcPr>
          <w:p>
            <w:pPr>
              <w:spacing w:after="0"/>
              <w:rPr>
                <w:sz w:val="1"/>
                <w:szCs w:val="1"/>
                <w:color w:val="auto"/>
              </w:rPr>
            </w:pPr>
          </w:p>
        </w:tc>
      </w:tr>
      <w:tr>
        <w:trPr>
          <w:trHeight w:val="447"/>
        </w:trPr>
        <w:tc>
          <w:tcPr>
            <w:tcW w:w="5240" w:type="dxa"/>
            <w:vAlign w:val="bottom"/>
            <w:vMerge w:val="restart"/>
          </w:tcPr>
          <w:p>
            <w:pPr>
              <w:spacing w:after="0"/>
              <w:rPr>
                <w:sz w:val="20"/>
                <w:szCs w:val="20"/>
                <w:color w:val="auto"/>
              </w:rPr>
            </w:pPr>
            <w:r>
              <w:rPr>
                <w:rFonts w:ascii="Arial" w:cs="Arial" w:eastAsia="Arial" w:hAnsi="Arial"/>
                <w:sz w:val="18"/>
                <w:szCs w:val="18"/>
                <w:color w:val="auto"/>
              </w:rPr>
              <w:t>/s/ Grace Cowan</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By:</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P. Steiner</w:t>
            </w:r>
          </w:p>
        </w:tc>
        <w:tc>
          <w:tcPr>
            <w:tcW w:w="0" w:type="dxa"/>
            <w:vAlign w:val="bottom"/>
          </w:tcPr>
          <w:p>
            <w:pPr>
              <w:spacing w:after="0"/>
              <w:rPr>
                <w:sz w:val="1"/>
                <w:szCs w:val="1"/>
                <w:color w:val="auto"/>
              </w:rPr>
            </w:pPr>
          </w:p>
        </w:tc>
      </w:tr>
      <w:tr>
        <w:trPr>
          <w:trHeight w:val="201"/>
        </w:trPr>
        <w:tc>
          <w:tcPr>
            <w:tcW w:w="5240" w:type="dxa"/>
            <w:vAlign w:val="bottom"/>
            <w:tcBorders>
              <w:bottom w:val="single" w:sz="8" w:color="auto"/>
            </w:tcBorders>
            <w:vMerge w:val="continue"/>
          </w:tcPr>
          <w:p>
            <w:pPr>
              <w:spacing w:after="0"/>
              <w:rPr>
                <w:sz w:val="17"/>
                <w:szCs w:val="17"/>
                <w:color w:val="auto"/>
              </w:rPr>
            </w:pPr>
          </w:p>
        </w:tc>
        <w:tc>
          <w:tcPr>
            <w:tcW w:w="9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40" w:type="dxa"/>
            <w:vAlign w:val="bottom"/>
          </w:tcPr>
          <w:p>
            <w:pPr>
              <w:spacing w:after="0"/>
              <w:rPr>
                <w:sz w:val="20"/>
                <w:szCs w:val="20"/>
                <w:color w:val="auto"/>
              </w:rPr>
            </w:pPr>
            <w:r>
              <w:rPr>
                <w:rFonts w:ascii="Arial" w:cs="Arial" w:eastAsia="Arial" w:hAnsi="Arial"/>
                <w:sz w:val="18"/>
                <w:szCs w:val="18"/>
                <w:color w:val="auto"/>
              </w:rPr>
              <w:t>Grace Cowan</w:t>
            </w:r>
          </w:p>
        </w:tc>
        <w:tc>
          <w:tcPr>
            <w:tcW w:w="940" w:type="dxa"/>
            <w:vAlign w:val="bottom"/>
            <w:vMerge w:val="restart"/>
          </w:tcPr>
          <w:p>
            <w:pPr>
              <w:ind w:left="680"/>
              <w:spacing w:after="0"/>
              <w:rPr>
                <w:sz w:val="20"/>
                <w:szCs w:val="20"/>
                <w:color w:val="auto"/>
              </w:rPr>
            </w:pPr>
            <w:r>
              <w:rPr>
                <w:rFonts w:ascii="Arial" w:cs="Arial" w:eastAsia="Arial" w:hAnsi="Arial"/>
                <w:sz w:val="18"/>
                <w:szCs w:val="18"/>
                <w:color w:val="auto"/>
                <w:w w:val="99"/>
              </w:rPr>
              <w:t>Its:</w:t>
            </w:r>
          </w:p>
        </w:tc>
        <w:tc>
          <w:tcPr>
            <w:tcW w:w="5240" w:type="dxa"/>
            <w:vAlign w:val="bottom"/>
            <w:vMerge w:val="restart"/>
          </w:tcPr>
          <w:p>
            <w:pPr>
              <w:ind w:left="10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08"/>
        </w:trPr>
        <w:tc>
          <w:tcPr>
            <w:tcW w:w="5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5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24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18"/>
                <w:szCs w:val="18"/>
                <w:color w:val="auto"/>
              </w:rPr>
              <w:t>7</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98" w:name="page99"/>
    <w:bookmarkEnd w:id="98"/>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17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employment of Executive is terminated, effective August 31, 2012 (the “Employment Termination Date”). Executive is therefore, entitled to the payments and benefits listed below and detailed in under Section 6(e) (i) and (ii) of the Employment Agreement whether or not she signs this Agreement.</w:t>
      </w:r>
    </w:p>
    <w:p>
      <w:pPr>
        <w:spacing w:after="0" w:line="4"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 salary and benefits up to and including the Employment Termination Date;</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Reimbursement for all expenses incurred on behalf of the Company up to the Employment Termination Date and paid in accordance with Company policy;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Payment for vacation days accrued but unused in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applicable withholdings will be deducted from payments described herein.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is entitled to the benefits described above in this Exhibit A whether or not she executes this Separation Agreement.</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80"/>
          </w:cols>
          <w:pgMar w:left="240" w:top="274" w:right="379" w:bottom="1440" w:gutter="0" w:footer="0" w:header="0"/>
        </w:sectPr>
      </w:pPr>
    </w:p>
    <w:bookmarkStart w:id="99" w:name="page100"/>
    <w:bookmarkEnd w:id="9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B</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employment of Executive is terminated, effective August 31, 2012 (the “Employment Termination Date”). As Executive’s employment is being terminated pursuant to Section 5(e) of the Employment Agreement, Executive is entitled to certain compensation and benefits set forth in Section 6(e) (iii) (iv) and (v) of the Employment Agreement </w:t>
      </w:r>
      <w:r>
        <w:rPr>
          <w:rFonts w:ascii="Arial" w:cs="Arial" w:eastAsia="Arial" w:hAnsi="Arial"/>
          <w:sz w:val="18"/>
          <w:szCs w:val="18"/>
          <w:u w:val="single" w:color="auto"/>
          <w:color w:val="auto"/>
        </w:rPr>
        <w:t>only</w:t>
      </w:r>
      <w:r>
        <w:rPr>
          <w:rFonts w:ascii="Arial" w:cs="Arial" w:eastAsia="Arial" w:hAnsi="Arial"/>
          <w:sz w:val="18"/>
          <w:szCs w:val="18"/>
          <w:color w:val="auto"/>
        </w:rPr>
        <w:t xml:space="preserve"> after she executes and does not revoke this Separation Agreement.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 consideration of the premises and promises herein contained, it is agreed that the Company will provide Executive the following benefits if she executes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 and does not revoke it. The payments and benefits to be provided are as follows:</w:t>
      </w:r>
    </w:p>
    <w:p>
      <w:pPr>
        <w:spacing w:after="0" w:line="84" w:lineRule="exact"/>
        <w:rPr>
          <w:sz w:val="20"/>
          <w:szCs w:val="20"/>
          <w:color w:val="auto"/>
        </w:rPr>
      </w:pPr>
    </w:p>
    <w:p>
      <w:pPr>
        <w:ind w:left="900" w:right="340" w:hanging="446"/>
        <w:spacing w:after="0" w:line="332"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payment under the Company’s 2012 Annual Incentive Plan (AIP) on the same basis and to the same extent payments are made to other senior executives of the Company. Executive will receive 8/12 of any such calculated payment on or about March 15, 2013.</w:t>
      </w:r>
    </w:p>
    <w:p>
      <w:pPr>
        <w:spacing w:after="0" w:line="4" w:lineRule="exact"/>
        <w:rPr>
          <w:rFonts w:ascii="Arial" w:cs="Arial" w:eastAsia="Arial" w:hAnsi="Arial"/>
          <w:sz w:val="16"/>
          <w:szCs w:val="16"/>
          <w:color w:val="auto"/>
        </w:rPr>
      </w:pPr>
    </w:p>
    <w:p>
      <w:pPr>
        <w:ind w:left="900" w:right="20" w:hanging="446"/>
        <w:spacing w:after="0" w:line="298"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severance payment in the gross amount of One Million Two Hundred Thousand Dollars and No Cents ($1,200,000.00), approximately equal to two times the sum of Executive’s base salary ($375,000.00) and her Target Bonus ($225,000.00). This severance amount will be paid as follows: Six Hundred Thousand Dollars and No Cents ($600,000.00) shall be paid no later than 10 days after Executive executes and does not revoke this Agreement; and the remaining Six Hundred Thousand Dollars and No Cents ($600,000.00) will be paid on or about December 28, 2012.</w:t>
      </w:r>
    </w:p>
    <w:p>
      <w:pPr>
        <w:spacing w:after="0" w:line="31" w:lineRule="exact"/>
        <w:rPr>
          <w:rFonts w:ascii="Arial" w:cs="Arial" w:eastAsia="Arial" w:hAnsi="Arial"/>
          <w:sz w:val="16"/>
          <w:szCs w:val="16"/>
          <w:color w:val="auto"/>
        </w:rPr>
      </w:pPr>
    </w:p>
    <w:p>
      <w:pPr>
        <w:ind w:left="900" w:right="40" w:hanging="446"/>
        <w:spacing w:after="0" w:line="291"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Twenty-four months of continued group health and/or dental insurance coverage that Executive participated of her Employment Termination Date. Executive must entirely elect COBRA coverage and the Company will pay for 18 months or until Executive’s death or eligibility for coverage by a subsequent employer, the portion of the COBRA premium in excess of the regular employee premium contribution required of similarly situated active employees of the Company. Thereafter, Executive will have no additional COBRA coverage, but if Executive has not obtained coverage from a subsequent employer, the Company will provide up to six months additional medical and dental coverage and Executive will only be required to pay an amount equal to premiums required of similarly situated active employees.</w:t>
      </w:r>
    </w:p>
    <w:p>
      <w:pPr>
        <w:spacing w:after="0" w:line="39"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lump sum separation bonus in the amount of Six Hundred Fifty Thousand Dollars and No Cents ($650,000.00), payable on or about December 28, 2012.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Applicable withholdings will be deducted from all payments described herein.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C</w:t>
      </w:r>
    </w:p>
    <w:p>
      <w:pPr>
        <w:spacing w:after="0" w:line="1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Executive’s employment as the Company’s Senior Vice President, Customer Experience is being terminated effective August 31, 2012. As a result, Executive is being offered certain consideration as described in Executive’s Employment Agreement, plus an additional separation bonus, in exchange for executing and not revoking the general release contained in this Agreement. There are no similarly situated employees to Executive; her duties and responsibilities will be distributed to others.</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Although there is no comparable position to Executive’s, as she reports directly to the Chief Executive Officer of the Company, below is a chart showing the other positions reporting directly to the Chief Executive Officer, annotated by age and whether they are separating and will be offered consideration in exchange for a release (“Selected”) or there are no current plans to separate to their employment (“Not Selected”). The chart was prepared as of July 25, 2012.</w:t>
      </w:r>
    </w:p>
    <w:p>
      <w:pPr>
        <w:spacing w:after="0" w:line="10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This data is subject to change, and may be affected by future employment decisions. If you have any questions about this information, contact Mark Schwartz at (713) 265-1608.</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Job Title</w:t>
            </w:r>
          </w:p>
        </w:tc>
        <w:tc>
          <w:tcPr>
            <w:tcW w:w="36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9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75"/>
              </w:rPr>
              <w:t>Age</w:t>
            </w: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3"/>
              </w:rPr>
              <w:t>Selected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Not Selected</w:t>
            </w:r>
          </w:p>
        </w:tc>
      </w:tr>
      <w:tr>
        <w:trPr>
          <w:trHeight w:val="203"/>
        </w:trPr>
        <w:tc>
          <w:tcPr>
            <w:tcW w:w="4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EVP, Growth, Innovation &amp; Field Support</w:t>
            </w:r>
          </w:p>
        </w:tc>
        <w:tc>
          <w:tcPr>
            <w:tcW w:w="27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59</w:t>
            </w:r>
          </w:p>
        </w:tc>
        <w:tc>
          <w:tcPr>
            <w:tcW w:w="6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X</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Director, Aviation</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SVP, Government Affairs &amp; Corp Communications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Corp VP, Business Partner</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SVP General Counsel &amp; CCO</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Chief Strategy Officer</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 Executive Assistant - CEO</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SVP, Chief Information Officer</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SVP, Customer Experience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9"/>
              </w:rPr>
              <w:t>X</w:t>
            </w:r>
          </w:p>
        </w:tc>
        <w:tc>
          <w:tcPr>
            <w:tcW w:w="720" w:type="dxa"/>
            <w:vAlign w:val="bottom"/>
            <w:shd w:val="clear" w:color="auto" w:fill="CCEEFF"/>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EVP, Fin, Recycling &amp;Energy Services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SVP, Eastern Group</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SVP, Midwestern Group</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SVP, Southern Group</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9"/>
              </w:rPr>
              <w:t>X</w:t>
            </w:r>
          </w:p>
        </w:tc>
        <w:tc>
          <w:tcPr>
            <w:tcW w:w="720" w:type="dxa"/>
            <w:vAlign w:val="bottom"/>
            <w:shd w:val="clear" w:color="auto" w:fill="CCEEFF"/>
          </w:tcPr>
          <w:p>
            <w:pPr>
              <w:spacing w:after="0"/>
              <w:rPr>
                <w:sz w:val="18"/>
                <w:szCs w:val="18"/>
                <w:color w:val="auto"/>
              </w:rPr>
            </w:pPr>
          </w:p>
        </w:tc>
      </w:tr>
      <w:tr>
        <w:trPr>
          <w:trHeight w:val="222"/>
        </w:trPr>
        <w:tc>
          <w:tcPr>
            <w:tcW w:w="4160" w:type="dxa"/>
            <w:vAlign w:val="bottom"/>
            <w:gridSpan w:val="2"/>
          </w:tcPr>
          <w:p>
            <w:pPr>
              <w:spacing w:after="0"/>
              <w:rPr>
                <w:sz w:val="20"/>
                <w:szCs w:val="20"/>
                <w:color w:val="auto"/>
              </w:rPr>
            </w:pPr>
            <w:r>
              <w:rPr>
                <w:rFonts w:ascii="Arial" w:cs="Arial" w:eastAsia="Arial" w:hAnsi="Arial"/>
                <w:sz w:val="18"/>
                <w:szCs w:val="18"/>
                <w:color w:val="auto"/>
              </w:rPr>
              <w:t>SVP, Western Group</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680" w:type="dxa"/>
            <w:vAlign w:val="bottom"/>
          </w:tcPr>
          <w:p>
            <w:pPr>
              <w:spacing w:after="0"/>
              <w:rPr>
                <w:sz w:val="19"/>
                <w:szCs w:val="19"/>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8"/>
                <w:szCs w:val="18"/>
                <w:color w:val="auto"/>
                <w:w w:val="99"/>
              </w:rPr>
              <w:t>X</w:t>
            </w:r>
          </w:p>
        </w:tc>
        <w:tc>
          <w:tcPr>
            <w:tcW w:w="720" w:type="dxa"/>
            <w:vAlign w:val="bottom"/>
          </w:tcPr>
          <w:p>
            <w:pPr>
              <w:spacing w:after="0"/>
              <w:rPr>
                <w:sz w:val="19"/>
                <w:szCs w:val="19"/>
                <w:color w:val="auto"/>
              </w:rPr>
            </w:pPr>
          </w:p>
        </w:tc>
      </w:tr>
      <w:tr>
        <w:trPr>
          <w:trHeight w:val="356"/>
        </w:trPr>
        <w:tc>
          <w:tcPr>
            <w:tcW w:w="5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740" w:type="dxa"/>
            <w:vAlign w:val="bottom"/>
          </w:tcPr>
          <w:p>
            <w:pPr>
              <w:jc w:val="right"/>
              <w:ind w:right="1932"/>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10.2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EMPLOYMENT</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THIS SEPARATION AGREEMENT (“Agreement”) is entered into on this 17th day of August, 2012 between Waste Management, Inc. (the “Company”) and Brett W. Frazier (the “Executive”).</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This Agreement is binding upon, and extends to, the parties and their past and present officers, directors, employees, shareholders, parent corporations, subsidiaries, affiliates, partners, agents, representatives, heirs, executors, assigns, administrators, successors, predecessors, family members, d/b/a’s, assumed names, and insurers, whether specifically mentioned hereafter or not. A reference to a party in this Agreement necessarily includes those persons and/or entities described in the foregoing sentence.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REAMBLE</w:t>
      </w:r>
    </w:p>
    <w:p>
      <w:pPr>
        <w:spacing w:after="0" w:line="177" w:lineRule="exact"/>
        <w:rPr>
          <w:sz w:val="20"/>
          <w:szCs w:val="20"/>
          <w:color w:val="auto"/>
        </w:rPr>
      </w:pPr>
    </w:p>
    <w:p>
      <w:pPr>
        <w:ind w:left="460" w:right="260"/>
        <w:spacing w:after="0" w:line="440" w:lineRule="auto"/>
        <w:rPr>
          <w:sz w:val="20"/>
          <w:szCs w:val="20"/>
          <w:color w:val="auto"/>
        </w:rPr>
      </w:pPr>
      <w:r>
        <w:rPr>
          <w:rFonts w:ascii="Arial" w:cs="Arial" w:eastAsia="Arial" w:hAnsi="Arial"/>
          <w:sz w:val="16"/>
          <w:szCs w:val="16"/>
          <w:i w:val="1"/>
          <w:iCs w:val="1"/>
          <w:color w:val="auto"/>
        </w:rPr>
        <w:t xml:space="preserve">WHEREAS, </w:t>
      </w:r>
      <w:r>
        <w:rPr>
          <w:rFonts w:ascii="Arial" w:cs="Arial" w:eastAsia="Arial" w:hAnsi="Arial"/>
          <w:sz w:val="16"/>
          <w:szCs w:val="16"/>
          <w:color w:val="auto"/>
        </w:rPr>
        <w:t>the Company and Executive previously entered into that certain Employment Agreement on July 13, 2007 (the “Employment Agreement”);</w:t>
      </w:r>
      <w:r>
        <w:rPr>
          <w:rFonts w:ascii="Arial" w:cs="Arial" w:eastAsia="Arial" w:hAnsi="Arial"/>
          <w:sz w:val="16"/>
          <w:szCs w:val="16"/>
          <w:i w:val="1"/>
          <w:iCs w:val="1"/>
          <w:color w:val="auto"/>
        </w:rPr>
        <w:t xml:space="preserve"> WHEREAS, </w:t>
      </w:r>
      <w:r>
        <w:rPr>
          <w:rFonts w:ascii="Arial" w:cs="Arial" w:eastAsia="Arial" w:hAnsi="Arial"/>
          <w:sz w:val="16"/>
          <w:szCs w:val="16"/>
          <w:color w:val="auto"/>
        </w:rPr>
        <w:t>pursuant to such Employment Agreement, Executive has been continuously employed by the Company;</w:t>
      </w:r>
    </w:p>
    <w:p>
      <w:pPr>
        <w:spacing w:after="0" w:line="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Executive has elected to participate in the Company’s Voluntary Early retirement program (VERP) and his employment is being terminated</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August 17, 2012;</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the Parties agree that upon his separation, Executive will receive certain benefits described in Section 6(e) of his Employment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VERP upon his execution of a waiver and release of claims;</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the Company and Executive now jointly desire to enter into this Agreement to supplement the continuing provisions of said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as set forth below;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NOW, THEREFORE, </w:t>
      </w:r>
      <w:r>
        <w:rPr>
          <w:rFonts w:ascii="Arial" w:cs="Arial" w:eastAsia="Arial" w:hAnsi="Arial"/>
          <w:sz w:val="16"/>
          <w:szCs w:val="16"/>
          <w:color w:val="auto"/>
        </w:rPr>
        <w:t>in consideration of the premises and agreements contained herein, and for other good and valuable consideration, the Company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hereby agree as follows:</w:t>
      </w:r>
    </w:p>
    <w:p>
      <w:pPr>
        <w:spacing w:after="0" w:line="78" w:lineRule="exact"/>
        <w:rPr>
          <w:sz w:val="20"/>
          <w:szCs w:val="20"/>
          <w:color w:val="auto"/>
        </w:rPr>
      </w:pPr>
    </w:p>
    <w:p>
      <w:pPr>
        <w:jc w:val="both"/>
        <w:ind w:right="180" w:firstLine="464"/>
        <w:spacing w:after="0" w:line="301" w:lineRule="auto"/>
        <w:tabs>
          <w:tab w:leader="none" w:pos="632"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The employment of Executive will terminate on August 17, 2012 (“Employment Termination Date”). The parties agree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that Executive is entitled to the certain compensation and benefits set forth in Section 6(e) (i) and (ii) of the Employment Agreement without his execution of a release, as more specifically detailed in Exhibit A to this Agreement. </w:t>
      </w:r>
      <w:r>
        <w:rPr>
          <w:rFonts w:ascii="Arial" w:cs="Arial" w:eastAsia="Arial" w:hAnsi="Arial"/>
          <w:sz w:val="16"/>
          <w:szCs w:val="16"/>
          <w:u w:val="single" w:color="auto"/>
          <w:color w:val="auto"/>
        </w:rPr>
        <w:t>It is expressly agreed to and acknowledged by the parties that Executive is entitled to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compensation and benefits set forth in Exhibit A whether or not he executes this Agreement.</w:t>
      </w:r>
    </w:p>
    <w:p>
      <w:pPr>
        <w:sectPr>
          <w:pgSz w:w="11900" w:h="16838" w:orient="portrait"/>
          <w:cols w:equalWidth="0" w:num="1">
            <w:col w:w="11420"/>
          </w:cols>
          <w:pgMar w:left="240" w:top="125" w:right="239" w:bottom="1440" w:gutter="0" w:footer="0" w:header="0"/>
        </w:sectPr>
      </w:pPr>
    </w:p>
    <w:bookmarkStart w:id="102" w:name="page103"/>
    <w:bookmarkEnd w:id="102"/>
    <w:p>
      <w:pPr>
        <w:ind w:right="100" w:firstLine="464"/>
        <w:spacing w:after="0" w:line="293" w:lineRule="auto"/>
        <w:tabs>
          <w:tab w:leader="none" w:pos="632"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Payment of Additional Consideration. </w:t>
      </w:r>
      <w:r>
        <w:rPr>
          <w:rFonts w:ascii="Arial" w:cs="Arial" w:eastAsia="Arial" w:hAnsi="Arial"/>
          <w:sz w:val="16"/>
          <w:szCs w:val="16"/>
          <w:color w:val="auto"/>
        </w:rPr>
        <w:t>In consideration of the premises and promises herein contained, and subject to Executive executing and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revoking this Agreement, it is agreed that the Company will provide Executive those certain benefits specifically detailed in Exhibit B to this Agreement. The benefits set forth in Exhibit B include those that Executive will receive under Section 6(e) (iii) (iv) and (v) of the Employment Agreement and an additional separation bonus pursuant to the terms of the VERP. </w:t>
      </w:r>
      <w:r>
        <w:rPr>
          <w:rFonts w:ascii="Arial" w:cs="Arial" w:eastAsia="Arial" w:hAnsi="Arial"/>
          <w:sz w:val="16"/>
          <w:szCs w:val="16"/>
          <w:u w:val="single" w:color="auto"/>
          <w:color w:val="auto"/>
        </w:rPr>
        <w:t>It is expressly agreed to and acknowledged by the parties that Executive is not entitled to the benefits set</w:t>
      </w:r>
      <w:r>
        <w:rPr>
          <w:rFonts w:ascii="Arial" w:cs="Arial" w:eastAsia="Arial" w:hAnsi="Arial"/>
          <w:sz w:val="16"/>
          <w:szCs w:val="16"/>
          <w:color w:val="auto"/>
        </w:rPr>
        <w:t xml:space="preserve"> </w:t>
      </w:r>
      <w:r>
        <w:rPr>
          <w:rFonts w:ascii="Arial" w:cs="Arial" w:eastAsia="Arial" w:hAnsi="Arial"/>
          <w:sz w:val="16"/>
          <w:szCs w:val="16"/>
          <w:u w:val="single" w:color="auto"/>
          <w:color w:val="auto"/>
        </w:rPr>
        <w:t>forth in Exhibit B until such time as he executes and does not revoke this Agreement</w:t>
      </w:r>
      <w:r>
        <w:rPr>
          <w:rFonts w:ascii="Arial" w:cs="Arial" w:eastAsia="Arial" w:hAnsi="Arial"/>
          <w:sz w:val="16"/>
          <w:szCs w:val="16"/>
          <w:color w:val="auto"/>
        </w:rPr>
        <w:t>. The Company shall withhold, or cause to be withheld, from said payments all amounts required to be withheld pursuant to federal, state or local tax laws.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consideration set forth in this Paragraph 2 is in full, final and complete settlement of any and all claims which Executive could make in any complaint, charge, or civil action, whether for actual, nominal, compensatory, or punitive damages (including attorneys’ fees). Executive acknowledges that such consideration is being made as consideration for the releases set forth in Paragraphs 3 and 4. Executive further acknowledges that the consideration set forth in this Paragraph 2 are separate and distinct of and from each other, and that either payment is independent valuable consideration for the release and waiver set forth in Paragraphs 3 and 4.</w:t>
      </w:r>
    </w:p>
    <w:p>
      <w:pPr>
        <w:spacing w:after="0" w:line="56" w:lineRule="exact"/>
        <w:rPr>
          <w:sz w:val="20"/>
          <w:szCs w:val="20"/>
          <w:color w:val="auto"/>
        </w:rPr>
      </w:pPr>
    </w:p>
    <w:p>
      <w:pPr>
        <w:ind w:right="60" w:firstLine="464"/>
        <w:spacing w:after="0" w:line="296" w:lineRule="auto"/>
        <w:tabs>
          <w:tab w:leader="none" w:pos="632"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Release. </w:t>
      </w:r>
      <w:r>
        <w:rPr>
          <w:rFonts w:ascii="Arial" w:cs="Arial" w:eastAsia="Arial" w:hAnsi="Arial"/>
          <w:sz w:val="16"/>
          <w:szCs w:val="16"/>
          <w:color w:val="auto"/>
        </w:rPr>
        <w:t>In exchange for the first payment made to Executive pursuant to Paragraph 2, Executive releases and discharges Waste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its past and present parent, subsidiary and affiliated companies, agents, directors, officers, employees, and representatives, and all persons acting by, through, under or in concert with Waste Management (collectively referred to as the “Released Parties”), from any and all causes of action, claims, liabilities, obligations, promises, agreements, controversies, damages, and expenses, known or unknown, which Executive ever had, or now has, against the Released Parties to the date of this Agreement. The claims Executive releases include, but are not limited to, claims that the Released Parties:</w:t>
      </w:r>
    </w:p>
    <w:p>
      <w:pPr>
        <w:spacing w:after="0" w:line="32" w:lineRule="exact"/>
        <w:rPr>
          <w:rFonts w:ascii="Arial" w:cs="Arial" w:eastAsia="Arial" w:hAnsi="Arial"/>
          <w:sz w:val="16"/>
          <w:szCs w:val="16"/>
          <w:b w:val="1"/>
          <w:bCs w:val="1"/>
          <w:color w:val="auto"/>
        </w:rPr>
      </w:pPr>
    </w:p>
    <w:p>
      <w:pPr>
        <w:ind w:left="900" w:hanging="325"/>
        <w:spacing w:after="0" w:line="256"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discriminated against Executive on the basis of his race, color, sex (including sexual harassment), national origin, ancestry, disability, religion, sexual orientation, marital status, parental status, veteran status, source of income, entitlement to benefits, union activities, </w:t>
      </w:r>
      <w:r>
        <w:rPr>
          <w:rFonts w:ascii="Arial" w:cs="Arial" w:eastAsia="Arial" w:hAnsi="Arial"/>
          <w:sz w:val="18"/>
          <w:szCs w:val="18"/>
          <w:u w:val="single" w:color="auto"/>
          <w:color w:val="auto"/>
        </w:rPr>
        <w:t>age or any other claim or right</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Executive may have under the Age Discrimination in Employment Act (“ADEA”)</w:t>
      </w:r>
      <w:r>
        <w:rPr>
          <w:rFonts w:ascii="Arial" w:cs="Arial" w:eastAsia="Arial" w:hAnsi="Arial"/>
          <w:sz w:val="18"/>
          <w:szCs w:val="18"/>
          <w:color w:val="auto"/>
        </w:rPr>
        <w:t>, or any other status protected by local, state or federal laws, constitutions, regulations, ordinances or executive orders; or</w:t>
      </w:r>
    </w:p>
    <w:p>
      <w:pPr>
        <w:spacing w:after="0" w:line="62" w:lineRule="exact"/>
        <w:rPr>
          <w:rFonts w:ascii="Arial" w:cs="Arial" w:eastAsia="Arial" w:hAnsi="Arial"/>
          <w:sz w:val="18"/>
          <w:szCs w:val="18"/>
          <w:color w:val="auto"/>
        </w:rPr>
      </w:pPr>
    </w:p>
    <w:p>
      <w:pPr>
        <w:ind w:left="900" w:right="480" w:hanging="325"/>
        <w:spacing w:after="0" w:line="268"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failed to give proper notice of this employment termination under the Workers Adjustment and Retraining Notification Act (“WARN”), or any similar state or local statute or ordinance; or</w:t>
      </w:r>
    </w:p>
    <w:p>
      <w:pPr>
        <w:spacing w:after="0" w:line="50" w:lineRule="exact"/>
        <w:rPr>
          <w:rFonts w:ascii="Arial" w:cs="Arial" w:eastAsia="Arial" w:hAnsi="Arial"/>
          <w:sz w:val="18"/>
          <w:szCs w:val="18"/>
          <w:color w:val="auto"/>
        </w:rPr>
      </w:pPr>
    </w:p>
    <w:p>
      <w:pPr>
        <w:ind w:left="900" w:right="60" w:hanging="325"/>
        <w:spacing w:after="0" w:line="298" w:lineRule="auto"/>
        <w:tabs>
          <w:tab w:leader="none" w:pos="9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violated any other federal, state, or local employment statute, such as the Employee Retirement Income Security Act of 1974, which, among other things, protects employee benefits; the Fair Labor Standards Act, which regulates wage and hour matters; the Family and Medical Leave Act, which requires employers to provide leaves of absence under certain circumstances; Title VII of the Civil Rights Act of 1964; the Older Workers Benefits Protection Act; the Americans With Disabilities Act; the Rehabilitation Act; OSHA; and any other laws relating to employment; 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03" w:name="page104"/>
    <w:bookmarkEnd w:id="103"/>
    <w:p>
      <w:pPr>
        <w:ind w:left="900" w:right="6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violated its personnel policies, handbooks, any covenant of good faith and fair dealing, or any contract of employment between Executive and any of the Released Parties; or</w:t>
      </w:r>
    </w:p>
    <w:p>
      <w:pPr>
        <w:spacing w:after="0" w:line="50" w:lineRule="exact"/>
        <w:rPr>
          <w:rFonts w:ascii="Arial" w:cs="Arial" w:eastAsia="Arial" w:hAnsi="Arial"/>
          <w:sz w:val="18"/>
          <w:szCs w:val="18"/>
          <w:color w:val="auto"/>
        </w:rPr>
      </w:pPr>
    </w:p>
    <w:p>
      <w:pPr>
        <w:ind w:left="900" w:right="160" w:hanging="325"/>
        <w:spacing w:after="0" w:line="306"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violated public policy or common law, including claims for: personal injury, invasion of privacy, retaliatory discharge, negligent hiring, retention or supervision, defamation, intentional or negligent infliction of emotional distress and/or mental anguish, intentional interference with contract, negligence, detrimental reliance, loss of consortium to Executive or any member of Executive’s family, and/or promissory estoppel; or</w:t>
      </w:r>
    </w:p>
    <w:p>
      <w:pPr>
        <w:spacing w:after="0" w:line="25"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is in any way obligated for any reason to pay your damages, expenses, litigation costs (including attorneys’ fees), bonuses, commissions, disability benefits, compensatory damages, punitive damages, and/or interest.</w:t>
      </w:r>
    </w:p>
    <w:p>
      <w:pPr>
        <w:spacing w:after="0" w:line="132"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 xml:space="preserve">Executive is </w:t>
      </w:r>
      <w:r>
        <w:rPr>
          <w:rFonts w:ascii="Arial" w:cs="Arial" w:eastAsia="Arial" w:hAnsi="Arial"/>
          <w:sz w:val="15"/>
          <w:szCs w:val="15"/>
          <w:u w:val="single" w:color="auto"/>
          <w:color w:val="auto"/>
        </w:rPr>
        <w:t>not</w:t>
      </w:r>
      <w:r>
        <w:rPr>
          <w:rFonts w:ascii="Arial" w:cs="Arial" w:eastAsia="Arial" w:hAnsi="Arial"/>
          <w:sz w:val="15"/>
          <w:szCs w:val="15"/>
          <w:color w:val="auto"/>
        </w:rPr>
        <w:t xml:space="preserve"> prohibited from making or asserting (a) any claim or right under state workers’ compensation or unemployment laws, or (b) any claim or right which by law cannot be waived. Executive waives, however, the right to recover money if any federal, state or local government agency pursues a claim on Executive’s behalf or on behalf of a class to which Executive may belong that arises out of or relates to Executive’s employment or termination of employment.</w:t>
      </w:r>
    </w:p>
    <w:p>
      <w:pPr>
        <w:spacing w:after="0" w:line="8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For the purpose of giving a full and complete release, Executive covenants and agrees that he has no pending claims or charges against the Release Parties, and if he does so have, Executive agrees to promptly file all appropriate papers requesting withdrawal and dismissal of such claims and for charges. Executive understands and agrees that this Agreement includes all claims that Executive may have and that Executive does not now know or suspect to exist in Executive’s favor against the Released Parties, and that this Agreement extinguishes those claims.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Nothing in this Agreement shall affect the U.S. Equal Employment Opportunity Commission’s (“EEOC”) rights and responsibilities to enforce the Civil Rights Act of 1964, as amended, the Age Discrimination in Employment Act of 1967 (“ADEA”), as amended, or any other applicable law. Further, nothing in this Agreement shall be construed as a basis for interfering with Executive’s protected right to challenge the waiver of an ADEA claim under the Older Workers Benefit Protection Act, or to file a charge with, or participate in an investigation or proceeding conducted by, the EEOC, or any other state, federal or local government entity; provided, however, if the EEOC or any other state, federal or local government entity commences an investigation on Executive’s behalf, Executive specifically waives and releases his right, if any, to recover any monetary or other benefits of any sort whatsoever arising from any such investigation, nor will he seek reinstatement to his former position with the Company. Nothing in this Agreement shall be construed to waive a claim or right that cannot be lawfully waived through private agreement.</w:t>
      </w:r>
    </w:p>
    <w:p>
      <w:pPr>
        <w:spacing w:after="0" w:line="11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Executive is not being asked to release any claims or rights under ADEA that may arise after Executive executes this Agreement. However, any claims surrounding the Company’s decision to end Executive’s employment are specifically released and waived under the terms of this Agreement.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04" w:name="page105"/>
    <w:bookmarkEnd w:id="104"/>
    <w:p>
      <w:pPr>
        <w:ind w:firstLine="464"/>
        <w:spacing w:after="0" w:line="291" w:lineRule="auto"/>
        <w:tabs>
          <w:tab w:leader="none" w:pos="632"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Covenant Not to Sue. </w:t>
      </w:r>
      <w:r>
        <w:rPr>
          <w:rFonts w:ascii="Arial" w:cs="Arial" w:eastAsia="Arial" w:hAnsi="Arial"/>
          <w:sz w:val="16"/>
          <w:szCs w:val="16"/>
          <w:color w:val="auto"/>
        </w:rPr>
        <w:t>Executive agrees not to sue any of the Released Parties or become a party to a lawsuit on the basis of any claims of any type to</w:t>
      </w:r>
      <w:r>
        <w:rPr>
          <w:rFonts w:ascii="Arial" w:cs="Arial" w:eastAsia="Arial" w:hAnsi="Arial"/>
          <w:sz w:val="16"/>
          <w:szCs w:val="16"/>
          <w:b w:val="1"/>
          <w:bCs w:val="1"/>
          <w:color w:val="auto"/>
        </w:rPr>
        <w:t xml:space="preserve"> </w:t>
      </w:r>
      <w:r>
        <w:rPr>
          <w:rFonts w:ascii="Arial" w:cs="Arial" w:eastAsia="Arial" w:hAnsi="Arial"/>
          <w:sz w:val="16"/>
          <w:szCs w:val="16"/>
          <w:color w:val="auto"/>
        </w:rPr>
        <w:t>date that arise out of any aspect of Executive’s employment or termination of employment. Executive understands that this is an affirmative promise by Executive not to sue any of the Released Parties, which is in addition to Executive’s general release and waiver of claims in Paragraphs 3 and 4. However, nothing in this Agreement prevents Executive from bringing an action challenging the validity of this Agreement. If Executive breaches this Agreement by suing any of the Released Parties in violation of this Covenant Not to Sue, Executive understands that (i) the Released Parties will be entitled to apply for and receive an injunction to restrain any violation of this paragraph, and (ii) Executive will be required to pay the Released Parties’ legal costs and expenses, including reasonable attorney fees, associated with defending against the lawsuit and enforcing the terms of this Agreement.</w:t>
      </w:r>
    </w:p>
    <w:p>
      <w:pPr>
        <w:spacing w:after="0" w:line="32" w:lineRule="exact"/>
        <w:rPr>
          <w:rFonts w:ascii="Arial" w:cs="Arial" w:eastAsia="Arial" w:hAnsi="Arial"/>
          <w:sz w:val="16"/>
          <w:szCs w:val="16"/>
          <w:b w:val="1"/>
          <w:bCs w:val="1"/>
          <w:color w:val="auto"/>
        </w:rPr>
      </w:pPr>
    </w:p>
    <w:p>
      <w:pPr>
        <w:ind w:right="40" w:firstLine="464"/>
        <w:spacing w:after="0" w:line="334" w:lineRule="auto"/>
        <w:tabs>
          <w:tab w:leader="none" w:pos="632"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Application to all Forms of Relief. </w:t>
      </w:r>
      <w:r>
        <w:rPr>
          <w:rFonts w:ascii="Arial" w:cs="Arial" w:eastAsia="Arial" w:hAnsi="Arial"/>
          <w:sz w:val="16"/>
          <w:szCs w:val="16"/>
          <w:color w:val="auto"/>
        </w:rPr>
        <w:t>This Agreement applies to any relief no matter how called, including without limitation, wages, back pay, front pay,</w:t>
      </w:r>
      <w:r>
        <w:rPr>
          <w:rFonts w:ascii="Arial" w:cs="Arial" w:eastAsia="Arial" w:hAnsi="Arial"/>
          <w:sz w:val="16"/>
          <w:szCs w:val="16"/>
          <w:b w:val="1"/>
          <w:bCs w:val="1"/>
          <w:color w:val="auto"/>
        </w:rPr>
        <w:t xml:space="preserve"> </w:t>
      </w:r>
      <w:r>
        <w:rPr>
          <w:rFonts w:ascii="Arial" w:cs="Arial" w:eastAsia="Arial" w:hAnsi="Arial"/>
          <w:sz w:val="16"/>
          <w:szCs w:val="16"/>
          <w:color w:val="auto"/>
        </w:rPr>
        <w:t>reinstatement, compensatory damages, liquidated damages, punitive damages for pain or suffering, costs and attorney’s fees and expenses.</w:t>
      </w:r>
    </w:p>
    <w:p>
      <w:pPr>
        <w:spacing w:after="0" w:line="1" w:lineRule="exact"/>
        <w:rPr>
          <w:rFonts w:ascii="Arial" w:cs="Arial" w:eastAsia="Arial" w:hAnsi="Arial"/>
          <w:sz w:val="16"/>
          <w:szCs w:val="16"/>
          <w:b w:val="1"/>
          <w:bCs w:val="1"/>
          <w:color w:val="auto"/>
        </w:rPr>
      </w:pPr>
    </w:p>
    <w:p>
      <w:pPr>
        <w:ind w:right="100" w:firstLine="464"/>
        <w:spacing w:after="0" w:line="258" w:lineRule="auto"/>
        <w:tabs>
          <w:tab w:leader="none" w:pos="63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No Admissions, Complaints or Other Claims</w:t>
      </w:r>
      <w:r>
        <w:rPr>
          <w:rFonts w:ascii="Arial" w:cs="Arial" w:eastAsia="Arial" w:hAnsi="Arial"/>
          <w:sz w:val="18"/>
          <w:szCs w:val="18"/>
          <w:color w:val="auto"/>
        </w:rPr>
        <w:t>. The Executive acknowledges and agrees that this Agreement is not to be construed in any way as an</w:t>
      </w:r>
      <w:r>
        <w:rPr>
          <w:rFonts w:ascii="Arial" w:cs="Arial" w:eastAsia="Arial" w:hAnsi="Arial"/>
          <w:sz w:val="18"/>
          <w:szCs w:val="18"/>
          <w:b w:val="1"/>
          <w:bCs w:val="1"/>
          <w:color w:val="auto"/>
        </w:rPr>
        <w:t xml:space="preserve"> </w:t>
      </w:r>
      <w:r>
        <w:rPr>
          <w:rFonts w:ascii="Arial" w:cs="Arial" w:eastAsia="Arial" w:hAnsi="Arial"/>
          <w:sz w:val="18"/>
          <w:szCs w:val="18"/>
          <w:color w:val="auto"/>
        </w:rPr>
        <w:t>admission of any liability whatsoever by any Released Party, any such liability being expressly denied. The Executive also acknowledges and agrees that he has not, with respect to any transaction or state of facts existing prior to the date hereof, filed any Actions against any Released Party with any governmental agency, court or tribunal.</w:t>
      </w:r>
    </w:p>
    <w:p>
      <w:pPr>
        <w:spacing w:after="0" w:line="55" w:lineRule="exact"/>
        <w:rPr>
          <w:rFonts w:ascii="Arial" w:cs="Arial" w:eastAsia="Arial" w:hAnsi="Arial"/>
          <w:sz w:val="18"/>
          <w:szCs w:val="18"/>
          <w:b w:val="1"/>
          <w:bCs w:val="1"/>
          <w:color w:val="auto"/>
        </w:rPr>
      </w:pPr>
    </w:p>
    <w:p>
      <w:pPr>
        <w:jc w:val="both"/>
        <w:ind w:right="20" w:firstLine="464"/>
        <w:spacing w:after="0" w:line="262" w:lineRule="auto"/>
        <w:tabs>
          <w:tab w:leader="none" w:pos="62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Acknowledgments. </w:t>
      </w:r>
      <w:r>
        <w:rPr>
          <w:rFonts w:ascii="Arial" w:cs="Arial" w:eastAsia="Arial" w:hAnsi="Arial"/>
          <w:sz w:val="18"/>
          <w:szCs w:val="18"/>
          <w:color w:val="auto"/>
        </w:rPr>
        <w:t>Executive has fully reviewed the terms of this Agreement, acknowledges that he understands its terms, and states that he is entering</w:t>
      </w:r>
      <w:r>
        <w:rPr>
          <w:rFonts w:ascii="Arial" w:cs="Arial" w:eastAsia="Arial" w:hAnsi="Arial"/>
          <w:sz w:val="18"/>
          <w:szCs w:val="18"/>
          <w:b w:val="1"/>
          <w:bCs w:val="1"/>
          <w:color w:val="auto"/>
        </w:rPr>
        <w:t xml:space="preserve"> </w:t>
      </w:r>
      <w:r>
        <w:rPr>
          <w:rFonts w:ascii="Arial" w:cs="Arial" w:eastAsia="Arial" w:hAnsi="Arial"/>
          <w:sz w:val="18"/>
          <w:szCs w:val="18"/>
          <w:color w:val="auto"/>
        </w:rPr>
        <w:t>into this Agreement knowingly, voluntarily, and in full settlement of all claims which existed in the past or which currently exist, that arise out of his employment with Waste Management or the termination of his employment.</w:t>
      </w:r>
    </w:p>
    <w:p>
      <w:pPr>
        <w:spacing w:after="0" w:line="13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Executive acknowledges that he has had at least forty-five (45) days to consider this General Release Agreement thoroughly, and Executive understands that he has the right to consult with an attorney, before he signs below and is advised to do so.</w:t>
      </w:r>
    </w:p>
    <w:p>
      <w:pPr>
        <w:spacing w:after="0" w:line="132"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If Executive signs and returns this General Release Agreement before the end of the 45-day period, he certifies that his acceptance of a shortened time period is knowing and voluntary, and the Company did not — through fraud, misrepresentation, a threat to withdraw or alter the offer before the 45-day period expires, or by providing different terms to other employees who sign the release before such time period expires — improperly encourage Executive to sign.</w:t>
      </w:r>
    </w:p>
    <w:p>
      <w:pPr>
        <w:spacing w:after="0" w:line="8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Executive understands that he may revoke this General Release Agreement within seven (7) days after he signs it. Executive’s revocation must be in writing and submitted within the seven (7) day period to Mark Schwartz, via hand delivery or via electronic delivery at: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28" w:right="259" w:bottom="1440" w:gutter="0" w:footer="0" w:header="0"/>
        </w:sectPr>
      </w:pPr>
    </w:p>
    <w:bookmarkStart w:id="105" w:name="page106"/>
    <w:bookmarkEnd w:id="105"/>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MarkSchwartz@wm.com. If Executive does not revoke this General Release Agreement within the seven (7) day period, it becomes irrevocable. Executive further understands that if he revokes this General Release Agreement, he will not be eligible to receive the benefits described in Exhibit B. All benefits described in Exhibit B will be processed as soon as administratively possible after the end of this seven (7) day period.</w:t>
      </w:r>
    </w:p>
    <w:p>
      <w:pPr>
        <w:spacing w:after="0" w:line="107"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Executive also acknowledges that before signing this Agreement, Executive received certain information about eligibility for the benefits available under this Agreement and the persons affected by this employment termination program, including the job titles and ages of both the persons selected and not selected to receive the benefits available under this Agreement. This information is attached to this Agreement as Exhibit C.</w:t>
      </w:r>
    </w:p>
    <w:p>
      <w:pPr>
        <w:spacing w:after="0" w:line="20" w:lineRule="exact"/>
        <w:rPr>
          <w:sz w:val="20"/>
          <w:szCs w:val="20"/>
          <w:color w:val="auto"/>
        </w:rPr>
      </w:pPr>
    </w:p>
    <w:p>
      <w:pPr>
        <w:ind w:firstLine="464"/>
        <w:spacing w:after="0" w:line="289" w:lineRule="auto"/>
        <w:tabs>
          <w:tab w:leader="none" w:pos="632"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Settlement and Acquisition of Goodwill. </w:t>
      </w:r>
      <w:r>
        <w:rPr>
          <w:rFonts w:ascii="Arial" w:cs="Arial" w:eastAsia="Arial" w:hAnsi="Arial"/>
          <w:sz w:val="16"/>
          <w:szCs w:val="16"/>
          <w:color w:val="auto"/>
        </w:rPr>
        <w:t>Executive waives and releases any and all claims that the restrictive covenants contained in Paragraph 10 of</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Employment Agreement (the “Employment Agreement Restrictive Covenants”) are not enforceable or are against public policy. Executive covenants not to file a lawsuit or arbitration proceeding, pursue declaratory relief, or otherwise take any legal action to challenge the enforceability of the Employment Agreement Restrictive Covenants. The parties agree that the promise of continued employment and the compensation and benefits associated with same referred to in Exhibit B are, in part, consideration of the settlement of all disputes regarding the enforceability and application of goodwill, trade secrets, and confidential information developed by Executive in the course of his employment with the Company. To help preserve the value of the goodwill, trade secrets, and confidential information acquired herewith, it is agreed that Executive will comply with the Employment Agreement Restrictive Covenants (incorporated herein by reference) for the periods of time set forth therein. It is specifically agreed that the two-year Restricted Term set forth in Paragraph 10 of the Employment Agreement and the restriction provided for therein shall commence upon Executive’s termination of employment with the Company.</w:t>
      </w:r>
    </w:p>
    <w:p>
      <w:pPr>
        <w:spacing w:after="0" w:line="31" w:lineRule="exact"/>
        <w:rPr>
          <w:rFonts w:ascii="Arial" w:cs="Arial" w:eastAsia="Arial" w:hAnsi="Arial"/>
          <w:sz w:val="16"/>
          <w:szCs w:val="16"/>
          <w:b w:val="1"/>
          <w:bCs w:val="1"/>
          <w:color w:val="auto"/>
        </w:rPr>
      </w:pPr>
    </w:p>
    <w:p>
      <w:pPr>
        <w:ind w:right="240" w:firstLine="464"/>
        <w:spacing w:after="0" w:line="290" w:lineRule="auto"/>
        <w:tabs>
          <w:tab w:leader="none" w:pos="632"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Assistance and Cooperation. </w:t>
      </w:r>
      <w:r>
        <w:rPr>
          <w:rFonts w:ascii="Arial" w:cs="Arial" w:eastAsia="Arial" w:hAnsi="Arial"/>
          <w:sz w:val="16"/>
          <w:szCs w:val="16"/>
          <w:color w:val="auto"/>
        </w:rPr>
        <w:t>Executive agrees that he will cooperate fully with the Company and its counsel, upon their request,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 (including any litigation, arbitration, regulatory proceeding, investigation or governmental action) that relates to matters with which Executive was involved while he was an employee of the Company or with which he has knowledge. Executive agrees to render such cooperation in a timely fashion and to provide Company personnel and the company’s counsel with the full benefit of his knowledge with respect to any such matter. The Company shall reimburse Executive for actual and reasonable costs and expenses, including reasonable attorney’s fees, related to his assistance in such matters. Executive will remain an elected officer of the Company until the Employment Termination Date. Accordingly, Executive will be entitled to benefit of the indemnity and expense reimbursement provisions in Article Eighth of the Company’s Third Amended and Restated Certification of Incorporation and Article X of the Company’s Bylaws, all subject to the provisions thereof and to applicable Delaware law.</w:t>
      </w:r>
    </w:p>
    <w:p>
      <w:pPr>
        <w:spacing w:after="0" w:line="31" w:lineRule="exact"/>
        <w:rPr>
          <w:rFonts w:ascii="Arial" w:cs="Arial" w:eastAsia="Arial" w:hAnsi="Arial"/>
          <w:sz w:val="16"/>
          <w:szCs w:val="16"/>
          <w:b w:val="1"/>
          <w:bCs w:val="1"/>
          <w:color w:val="auto"/>
        </w:rPr>
      </w:pPr>
    </w:p>
    <w:p>
      <w:pPr>
        <w:ind w:right="40" w:firstLine="464"/>
        <w:spacing w:after="0" w:line="262" w:lineRule="auto"/>
        <w:tabs>
          <w:tab w:leader="none" w:pos="7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Choice of Laws. </w:t>
      </w:r>
      <w:r>
        <w:rPr>
          <w:rFonts w:ascii="Arial" w:cs="Arial" w:eastAsia="Arial" w:hAnsi="Arial"/>
          <w:sz w:val="18"/>
          <w:szCs w:val="18"/>
          <w:color w:val="auto"/>
        </w:rPr>
        <w:t>This Agreement is made and entered into in the State of Texas, and shall in all respects be interpreted, enforced and governed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the State of Texas. The language of all parts of this Agreement shall in all cases be construed as a whole, according to its fair meaning, and not strictly for or against any of the parties.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06" w:name="page107"/>
    <w:bookmarkEnd w:id="106"/>
    <w:p>
      <w:pPr>
        <w:ind w:right="220" w:firstLine="464"/>
        <w:spacing w:after="0" w:line="339" w:lineRule="auto"/>
        <w:tabs>
          <w:tab w:leader="none" w:pos="71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Severability. </w:t>
      </w:r>
      <w:r>
        <w:rPr>
          <w:rFonts w:ascii="Arial" w:cs="Arial" w:eastAsia="Arial" w:hAnsi="Arial"/>
          <w:sz w:val="16"/>
          <w:szCs w:val="16"/>
          <w:color w:val="auto"/>
        </w:rPr>
        <w:t>Should any provision of this Agreement be declared or be determined by any court to be illegal or invalid, the validity of the remaining</w:t>
      </w:r>
      <w:r>
        <w:rPr>
          <w:rFonts w:ascii="Arial" w:cs="Arial" w:eastAsia="Arial" w:hAnsi="Arial"/>
          <w:sz w:val="16"/>
          <w:szCs w:val="16"/>
          <w:b w:val="1"/>
          <w:bCs w:val="1"/>
          <w:color w:val="auto"/>
        </w:rPr>
        <w:t xml:space="preserve"> </w:t>
      </w:r>
      <w:r>
        <w:rPr>
          <w:rFonts w:ascii="Arial" w:cs="Arial" w:eastAsia="Arial" w:hAnsi="Arial"/>
          <w:sz w:val="16"/>
          <w:szCs w:val="16"/>
          <w:color w:val="auto"/>
        </w:rPr>
        <w:t>parts, terms or provisions shall not be affected thereby and said illegal or invalid part, term, or provision shall be deemed not to be a part of this Agreement.</w:t>
      </w:r>
    </w:p>
    <w:p>
      <w:pPr>
        <w:spacing w:after="0" w:line="74" w:lineRule="exact"/>
        <w:rPr>
          <w:rFonts w:ascii="Arial" w:cs="Arial" w:eastAsia="Arial" w:hAnsi="Arial"/>
          <w:sz w:val="16"/>
          <w:szCs w:val="16"/>
          <w:b w:val="1"/>
          <w:bCs w:val="1"/>
          <w:color w:val="auto"/>
        </w:rPr>
      </w:pPr>
    </w:p>
    <w:p>
      <w:pPr>
        <w:ind w:right="120" w:firstLine="464"/>
        <w:spacing w:after="0" w:line="310" w:lineRule="auto"/>
        <w:tabs>
          <w:tab w:leader="none" w:pos="72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Complete Agreement. </w:t>
      </w:r>
      <w:r>
        <w:rPr>
          <w:rFonts w:ascii="Arial" w:cs="Arial" w:eastAsia="Arial" w:hAnsi="Arial"/>
          <w:sz w:val="16"/>
          <w:szCs w:val="16"/>
          <w:color w:val="auto"/>
        </w:rPr>
        <w:t>The parties hereto agree that the July 13, 2007 Employment Agreement (including any other amendments thereto) as modified</w:t>
      </w:r>
      <w:r>
        <w:rPr>
          <w:rFonts w:ascii="Arial" w:cs="Arial" w:eastAsia="Arial" w:hAnsi="Arial"/>
          <w:sz w:val="16"/>
          <w:szCs w:val="16"/>
          <w:b w:val="1"/>
          <w:bCs w:val="1"/>
          <w:color w:val="auto"/>
        </w:rPr>
        <w:t xml:space="preserve"> </w:t>
      </w:r>
      <w:r>
        <w:rPr>
          <w:rFonts w:ascii="Arial" w:cs="Arial" w:eastAsia="Arial" w:hAnsi="Arial"/>
          <w:sz w:val="16"/>
          <w:szCs w:val="16"/>
          <w:color w:val="auto"/>
        </w:rPr>
        <w:t>by this Separation Agreement, contains the full and final expression of their agreements with respect to the matters contained therein, and acknowledge that no other promises have been made to or by any of the parties that are not set forth in these Agreements.</w:t>
      </w:r>
    </w:p>
    <w:p>
      <w:pPr>
        <w:spacing w:after="0" w:line="10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u w:val="single" w:color="auto"/>
          <w:color w:val="auto"/>
        </w:rPr>
        <w:t>The parties agree that neither the offer of, nor the execution of, this Agreement will be construed as an admission of wrongdoing by anyone. Instead, this Agreement is to be construed solely as a reflection of the parties’ desire to facilitate a peaceful separation of employment and to make sure there are no unresolved issued between them.</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this Agreement is EXECUTED and EFFECTIVE as of the day set forth above.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40" w:type="dxa"/>
            <w:vAlign w:val="bottom"/>
          </w:tcPr>
          <w:p>
            <w:pPr>
              <w:spacing w:after="0"/>
              <w:rPr>
                <w:sz w:val="20"/>
                <w:szCs w:val="20"/>
                <w:color w:val="auto"/>
              </w:rPr>
            </w:pPr>
            <w:r>
              <w:rPr>
                <w:rFonts w:ascii="Arial" w:cs="Arial" w:eastAsia="Arial" w:hAnsi="Arial"/>
                <w:sz w:val="18"/>
                <w:szCs w:val="18"/>
                <w:b w:val="1"/>
                <w:bCs w:val="1"/>
                <w:color w:val="auto"/>
              </w:rPr>
              <w:t>BRETT W. FRAZIER</w:t>
            </w:r>
          </w:p>
        </w:tc>
        <w:tc>
          <w:tcPr>
            <w:tcW w:w="6180" w:type="dxa"/>
            <w:vAlign w:val="bottom"/>
            <w:gridSpan w:val="2"/>
          </w:tcPr>
          <w:p>
            <w:pPr>
              <w:ind w:left="680"/>
              <w:spacing w:after="0"/>
              <w:rPr>
                <w:sz w:val="20"/>
                <w:szCs w:val="20"/>
                <w:color w:val="auto"/>
              </w:rPr>
            </w:pPr>
            <w:r>
              <w:rPr>
                <w:rFonts w:ascii="Arial" w:cs="Arial" w:eastAsia="Arial" w:hAnsi="Arial"/>
                <w:sz w:val="18"/>
                <w:szCs w:val="18"/>
                <w:b w:val="1"/>
                <w:bCs w:val="1"/>
                <w:color w:val="auto"/>
              </w:rPr>
              <w:t>WASTE MANAGEMENT, INC.</w:t>
            </w:r>
          </w:p>
        </w:tc>
        <w:tc>
          <w:tcPr>
            <w:tcW w:w="0" w:type="dxa"/>
            <w:vAlign w:val="bottom"/>
          </w:tcPr>
          <w:p>
            <w:pPr>
              <w:spacing w:after="0"/>
              <w:rPr>
                <w:sz w:val="1"/>
                <w:szCs w:val="1"/>
                <w:color w:val="auto"/>
              </w:rPr>
            </w:pP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(“Executive”)</w:t>
            </w:r>
          </w:p>
        </w:tc>
        <w:tc>
          <w:tcPr>
            <w:tcW w:w="6180" w:type="dxa"/>
            <w:vAlign w:val="bottom"/>
            <w:gridSpan w:val="2"/>
          </w:tcPr>
          <w:p>
            <w:pPr>
              <w:ind w:left="680"/>
              <w:spacing w:after="0"/>
              <w:rPr>
                <w:sz w:val="20"/>
                <w:szCs w:val="20"/>
                <w:color w:val="auto"/>
              </w:rPr>
            </w:pPr>
            <w:r>
              <w:rPr>
                <w:rFonts w:ascii="Arial" w:cs="Arial" w:eastAsia="Arial" w:hAnsi="Arial"/>
                <w:sz w:val="18"/>
                <w:szCs w:val="18"/>
                <w:color w:val="auto"/>
              </w:rPr>
              <w:t>(The “Company”)</w:t>
            </w:r>
          </w:p>
        </w:tc>
        <w:tc>
          <w:tcPr>
            <w:tcW w:w="0" w:type="dxa"/>
            <w:vAlign w:val="bottom"/>
          </w:tcPr>
          <w:p>
            <w:pPr>
              <w:spacing w:after="0"/>
              <w:rPr>
                <w:sz w:val="1"/>
                <w:szCs w:val="1"/>
                <w:color w:val="auto"/>
              </w:rPr>
            </w:pPr>
          </w:p>
        </w:tc>
      </w:tr>
      <w:tr>
        <w:trPr>
          <w:trHeight w:val="447"/>
        </w:trPr>
        <w:tc>
          <w:tcPr>
            <w:tcW w:w="5240" w:type="dxa"/>
            <w:vAlign w:val="bottom"/>
            <w:vMerge w:val="restart"/>
          </w:tcPr>
          <w:p>
            <w:pPr>
              <w:spacing w:after="0"/>
              <w:rPr>
                <w:sz w:val="20"/>
                <w:szCs w:val="20"/>
                <w:color w:val="auto"/>
              </w:rPr>
            </w:pPr>
            <w:r>
              <w:rPr>
                <w:rFonts w:ascii="Arial" w:cs="Arial" w:eastAsia="Arial" w:hAnsi="Arial"/>
                <w:sz w:val="18"/>
                <w:szCs w:val="18"/>
                <w:color w:val="auto"/>
              </w:rPr>
              <w:t>/s/ Brett W. Frazier</w:t>
            </w:r>
          </w:p>
        </w:tc>
        <w:tc>
          <w:tcPr>
            <w:tcW w:w="6180" w:type="dxa"/>
            <w:vAlign w:val="bottom"/>
            <w:gridSpan w:val="2"/>
          </w:tcPr>
          <w:p>
            <w:pPr>
              <w:ind w:left="680"/>
              <w:spacing w:after="0"/>
              <w:rPr>
                <w:sz w:val="20"/>
                <w:szCs w:val="20"/>
                <w:color w:val="auto"/>
              </w:rPr>
            </w:pPr>
            <w:r>
              <w:rPr>
                <w:rFonts w:ascii="Arial" w:cs="Arial" w:eastAsia="Arial" w:hAnsi="Arial"/>
                <w:sz w:val="18"/>
                <w:szCs w:val="18"/>
                <w:color w:val="auto"/>
              </w:rPr>
              <w:t>By: /s/Mark Schwartz</w:t>
            </w:r>
          </w:p>
        </w:tc>
        <w:tc>
          <w:tcPr>
            <w:tcW w:w="0" w:type="dxa"/>
            <w:vAlign w:val="bottom"/>
          </w:tcPr>
          <w:p>
            <w:pPr>
              <w:spacing w:after="0"/>
              <w:rPr>
                <w:sz w:val="1"/>
                <w:szCs w:val="1"/>
                <w:color w:val="auto"/>
              </w:rPr>
            </w:pPr>
          </w:p>
        </w:tc>
      </w:tr>
      <w:tr>
        <w:trPr>
          <w:trHeight w:val="201"/>
        </w:trPr>
        <w:tc>
          <w:tcPr>
            <w:tcW w:w="5240" w:type="dxa"/>
            <w:vAlign w:val="bottom"/>
            <w:tcBorders>
              <w:bottom w:val="single" w:sz="8" w:color="auto"/>
            </w:tcBorders>
            <w:vMerge w:val="continue"/>
          </w:tcPr>
          <w:p>
            <w:pPr>
              <w:spacing w:after="0"/>
              <w:rPr>
                <w:sz w:val="17"/>
                <w:szCs w:val="17"/>
                <w:color w:val="auto"/>
              </w:rPr>
            </w:pPr>
          </w:p>
        </w:tc>
        <w:tc>
          <w:tcPr>
            <w:tcW w:w="940" w:type="dxa"/>
            <w:vAlign w:val="bottom"/>
          </w:tcPr>
          <w:p>
            <w:pPr>
              <w:spacing w:after="0"/>
              <w:rPr>
                <w:sz w:val="17"/>
                <w:szCs w:val="17"/>
                <w:color w:val="auto"/>
              </w:rPr>
            </w:pPr>
          </w:p>
        </w:tc>
        <w:tc>
          <w:tcPr>
            <w:tcW w:w="5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40" w:type="dxa"/>
            <w:vAlign w:val="bottom"/>
          </w:tcPr>
          <w:p>
            <w:pPr>
              <w:spacing w:after="0"/>
              <w:rPr>
                <w:sz w:val="20"/>
                <w:szCs w:val="20"/>
                <w:color w:val="auto"/>
              </w:rPr>
            </w:pPr>
            <w:r>
              <w:rPr>
                <w:rFonts w:ascii="Arial" w:cs="Arial" w:eastAsia="Arial" w:hAnsi="Arial"/>
                <w:sz w:val="18"/>
                <w:szCs w:val="18"/>
                <w:color w:val="auto"/>
              </w:rPr>
              <w:t>Brett W. Frazier</w:t>
            </w:r>
          </w:p>
        </w:tc>
        <w:tc>
          <w:tcPr>
            <w:tcW w:w="6180" w:type="dxa"/>
            <w:vAlign w:val="bottom"/>
            <w:gridSpan w:val="2"/>
            <w:vMerge w:val="restart"/>
          </w:tcPr>
          <w:p>
            <w:pPr>
              <w:ind w:left="680"/>
              <w:spacing w:after="0"/>
              <w:rPr>
                <w:sz w:val="20"/>
                <w:szCs w:val="20"/>
                <w:color w:val="auto"/>
              </w:rPr>
            </w:pPr>
            <w:r>
              <w:rPr>
                <w:rFonts w:ascii="Arial" w:cs="Arial" w:eastAsia="Arial" w:hAnsi="Arial"/>
                <w:sz w:val="18"/>
                <w:szCs w:val="18"/>
                <w:color w:val="auto"/>
              </w:rPr>
              <w:t>Its:  Senior Vice President, Human Resources</w:t>
            </w:r>
          </w:p>
        </w:tc>
        <w:tc>
          <w:tcPr>
            <w:tcW w:w="0" w:type="dxa"/>
            <w:vAlign w:val="bottom"/>
          </w:tcPr>
          <w:p>
            <w:pPr>
              <w:spacing w:after="0"/>
              <w:rPr>
                <w:sz w:val="1"/>
                <w:szCs w:val="1"/>
                <w:color w:val="auto"/>
              </w:rPr>
            </w:pPr>
          </w:p>
        </w:tc>
      </w:tr>
      <w:tr>
        <w:trPr>
          <w:trHeight w:val="208"/>
        </w:trPr>
        <w:tc>
          <w:tcPr>
            <w:tcW w:w="5240" w:type="dxa"/>
            <w:vAlign w:val="bottom"/>
          </w:tcPr>
          <w:p>
            <w:pPr>
              <w:spacing w:after="0"/>
              <w:rPr>
                <w:sz w:val="18"/>
                <w:szCs w:val="18"/>
                <w:color w:val="auto"/>
              </w:rPr>
            </w:pPr>
          </w:p>
        </w:tc>
        <w:tc>
          <w:tcPr>
            <w:tcW w:w="6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24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18"/>
                <w:szCs w:val="18"/>
                <w:color w:val="auto"/>
              </w:rPr>
              <w:t>6</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8" w:right="239" w:bottom="1440" w:gutter="0" w:footer="0" w:header="0"/>
        </w:sectPr>
      </w:pPr>
    </w:p>
    <w:bookmarkStart w:id="107" w:name="page108"/>
    <w:bookmarkEnd w:id="107"/>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17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employment of Executive is terminated, effective August 17, 2012 (the “Employment Termination Date”). Executive is therefore, entitled to the payments and benefits listed below and detailed in under Section 6(e) (i) and (ii) of the Employment Agreement whether or not he signs this Agreement.</w:t>
      </w:r>
    </w:p>
    <w:p>
      <w:pPr>
        <w:spacing w:after="0" w:line="4"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 salary and benefits up to and including the Employment Termination Date;</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Reimbursement for all expenses incurred on behalf of the Company up to the Employment Termination Date and paid in accordance with Company policy;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Payment for vacation days accrued but unused in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applicable withholdings will be deducted from payments described herein.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is entitled to the benefits described above in this Exhibit A whether or not he executes this Separation Agreement.</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240" w:top="355" w:right="379" w:bottom="1440" w:gutter="0" w:footer="0" w:header="0"/>
        </w:sectPr>
      </w:pPr>
    </w:p>
    <w:bookmarkStart w:id="108" w:name="page109"/>
    <w:bookmarkEnd w:id="10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B</w:t>
      </w:r>
    </w:p>
    <w:p>
      <w:pPr>
        <w:spacing w:after="0" w:line="177"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 xml:space="preserve">The employment of Executive is terminated, effective August 17, 2012 (the “Employment Termination Date”) under the terms of the Company’s Voluntary Early Retirement Program (VERP). As a result, Executive is entitled to certain compensation and benefits set forth in Section 6(e) (iii) (iv) and (v) of the Employment Agreement and those benefits provided by the VERP </w:t>
      </w:r>
      <w:r>
        <w:rPr>
          <w:rFonts w:ascii="Arial" w:cs="Arial" w:eastAsia="Arial" w:hAnsi="Arial"/>
          <w:sz w:val="16"/>
          <w:szCs w:val="16"/>
          <w:u w:val="single" w:color="auto"/>
          <w:color w:val="auto"/>
        </w:rPr>
        <w:t>only</w:t>
      </w:r>
      <w:r>
        <w:rPr>
          <w:rFonts w:ascii="Arial" w:cs="Arial" w:eastAsia="Arial" w:hAnsi="Arial"/>
          <w:sz w:val="16"/>
          <w:szCs w:val="16"/>
          <w:color w:val="auto"/>
        </w:rPr>
        <w:t xml:space="preserve"> after he executes and doesn’t revoke this Separation Agreement.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In consideration of the premises and promises herein contained, it is agreed that the Company will provide Executive the following benefits if he executes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 and does not revoke it. The payments and benefits to be provided are as follows:</w:t>
      </w:r>
    </w:p>
    <w:p>
      <w:pPr>
        <w:spacing w:after="0" w:line="84" w:lineRule="exact"/>
        <w:rPr>
          <w:sz w:val="20"/>
          <w:szCs w:val="20"/>
          <w:color w:val="auto"/>
        </w:rPr>
      </w:pPr>
    </w:p>
    <w:p>
      <w:pPr>
        <w:ind w:left="900" w:right="340" w:hanging="446"/>
        <w:spacing w:after="0" w:line="332"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payment under the Company’s 2012 Annual Incentive Plan (AIP) on the same basis and to the same extent payments are made to other senior executives of the Company. Executive will receive 8/12 of any such calculated payment on or about March 15, 2013.</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severance payment in the gross amount of One Million Eight Hundred Seventy-Two Thousand Five Hundred Dollars and No Cents</w:t>
      </w:r>
    </w:p>
    <w:p>
      <w:pPr>
        <w:spacing w:after="0" w:line="38" w:lineRule="exact"/>
        <w:rPr>
          <w:rFonts w:ascii="Arial" w:cs="Arial" w:eastAsia="Arial" w:hAnsi="Arial"/>
          <w:sz w:val="16"/>
          <w:szCs w:val="16"/>
          <w:color w:val="auto"/>
        </w:rPr>
      </w:pPr>
    </w:p>
    <w:p>
      <w:pPr>
        <w:ind w:left="900"/>
        <w:spacing w:after="0" w:line="292" w:lineRule="auto"/>
        <w:rPr>
          <w:rFonts w:ascii="Arial" w:cs="Arial" w:eastAsia="Arial" w:hAnsi="Arial"/>
          <w:sz w:val="16"/>
          <w:szCs w:val="16"/>
          <w:color w:val="auto"/>
        </w:rPr>
      </w:pPr>
      <w:r>
        <w:rPr>
          <w:rFonts w:ascii="Arial" w:cs="Arial" w:eastAsia="Arial" w:hAnsi="Arial"/>
          <w:sz w:val="16"/>
          <w:szCs w:val="16"/>
          <w:color w:val="auto"/>
        </w:rPr>
        <w:t>($1,872,500.00), approximately equal to two times the sum of Executive’s base salary ($535,000.00) and Target Bonus ($401,250.00). This severance amount will be paid as follows: Nine Hundred Thirty-Six Thousand Two Hundred Fifty Dollars and No Cents ($936,250.00) shall be paid no later than 10 days after Executive executes and does not revoke this Agreement; and the remaining Nine Hundred Thirty-Six Thousand Two Hundred Fifty Dollars and No Cents ($936,250.00) will be paid out at the same time and in the same manner as if Executive had remained employed for the two year period following Executive’s Employment Termination Date.</w:t>
      </w:r>
    </w:p>
    <w:p>
      <w:pPr>
        <w:spacing w:after="0" w:line="35" w:lineRule="exact"/>
        <w:rPr>
          <w:rFonts w:ascii="Arial" w:cs="Arial" w:eastAsia="Arial" w:hAnsi="Arial"/>
          <w:sz w:val="16"/>
          <w:szCs w:val="16"/>
          <w:color w:val="auto"/>
        </w:rPr>
      </w:pPr>
    </w:p>
    <w:p>
      <w:pPr>
        <w:ind w:left="900" w:right="180" w:hanging="446"/>
        <w:spacing w:after="0" w:line="298"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Twenty-four months of continued group health and/or dental insurance coverage that Executive participated of his Employment Termination Date. Executive must timely elect COBRA coverage and the Company will pay for 18 months or until Executive’s death or eligibility for coverage by a subsequent employer, the entire COBRA premium. Thereafter, Executive will have no additional COBRA coverage, but if Executive has not obtained coverage from a subsequent employer, the Company will provide up to six months additional medical and dental coverage.</w:t>
      </w:r>
    </w:p>
    <w:p>
      <w:pPr>
        <w:spacing w:after="0" w:line="31" w:lineRule="exact"/>
        <w:rPr>
          <w:rFonts w:ascii="Arial" w:cs="Arial" w:eastAsia="Arial" w:hAnsi="Arial"/>
          <w:sz w:val="16"/>
          <w:szCs w:val="16"/>
          <w:color w:val="auto"/>
        </w:rPr>
      </w:pPr>
    </w:p>
    <w:p>
      <w:pPr>
        <w:ind w:left="900" w:right="18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lump sum separation bonus in the amount of One Hundred Twenty-Six Thousand Three Hundred Ninety-Three Dollars and Seventy-Five Cents ($126,393.75).</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Applicable withholdings will be deducted from all payments described herein.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355" w:right="299" w:bottom="1440" w:gutter="0" w:footer="0" w:header="0"/>
        </w:sectPr>
      </w:pPr>
    </w:p>
    <w:bookmarkStart w:id="109" w:name="page110"/>
    <w:bookmarkEnd w:id="109"/>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C</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Executive’s employment as the Company’s Senior Vice President, Southern Group is being terminated effective August 17, 2012. As a result, Executive is being offered certain consideration as described in Executive’s Employment Agreement, plus an additional separation bonus, in exchange for executing and not revoking the general release contained in this Agreement.</w:t>
      </w:r>
    </w:p>
    <w:p>
      <w:pPr>
        <w:spacing w:after="0" w:line="140"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Below is a chart showing similar positions, annotated by age and whether they are separating and will be offered consideration in exchange for a release (“Selected”) or there are no current plans to separate to their employment (“Not Selected”). The chart was prepared as of August 13, 2012.</w:t>
      </w:r>
    </w:p>
    <w:p>
      <w:pPr>
        <w:spacing w:after="0" w:line="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data is subject to change, and may be affected by future employment decisions. If you have any questions about this information, contact Mark Schwartz at (713) 265-1608.</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Job Title</w:t>
            </w:r>
          </w:p>
        </w:tc>
        <w:tc>
          <w:tcPr>
            <w:tcW w:w="27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9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75"/>
              </w:rPr>
              <w:t>Age</w:t>
            </w: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3"/>
              </w:rPr>
              <w:t>Selected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Not Selected</w:t>
            </w:r>
          </w:p>
        </w:tc>
      </w:tr>
      <w:tr>
        <w:trPr>
          <w:trHeight w:val="203"/>
        </w:trPr>
        <w:tc>
          <w:tcPr>
            <w:tcW w:w="3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SVP, Eastern Group</w:t>
            </w:r>
          </w:p>
        </w:tc>
        <w:tc>
          <w:tcPr>
            <w:tcW w:w="36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50</w:t>
            </w:r>
          </w:p>
        </w:tc>
        <w:tc>
          <w:tcPr>
            <w:tcW w:w="6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X</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SVP, Midwestern Group</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SVP, Southern Group</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9"/>
              </w:rPr>
              <w:t>X</w:t>
            </w:r>
          </w:p>
        </w:tc>
        <w:tc>
          <w:tcPr>
            <w:tcW w:w="720" w:type="dxa"/>
            <w:vAlign w:val="bottom"/>
            <w:shd w:val="clear" w:color="auto" w:fill="CCEEFF"/>
          </w:tcPr>
          <w:p>
            <w:pPr>
              <w:spacing w:after="0"/>
              <w:rPr>
                <w:sz w:val="18"/>
                <w:szCs w:val="18"/>
                <w:color w:val="auto"/>
              </w:rPr>
            </w:pPr>
          </w:p>
        </w:tc>
      </w:tr>
      <w:tr>
        <w:trPr>
          <w:trHeight w:val="222"/>
        </w:trPr>
        <w:tc>
          <w:tcPr>
            <w:tcW w:w="3240" w:type="dxa"/>
            <w:vAlign w:val="bottom"/>
            <w:gridSpan w:val="2"/>
          </w:tcPr>
          <w:p>
            <w:pPr>
              <w:spacing w:after="0"/>
              <w:rPr>
                <w:sz w:val="20"/>
                <w:szCs w:val="20"/>
                <w:color w:val="auto"/>
              </w:rPr>
            </w:pPr>
            <w:r>
              <w:rPr>
                <w:rFonts w:ascii="Arial" w:cs="Arial" w:eastAsia="Arial" w:hAnsi="Arial"/>
                <w:sz w:val="18"/>
                <w:szCs w:val="18"/>
                <w:color w:val="auto"/>
              </w:rPr>
              <w:t>SVP, Western Group</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680" w:type="dxa"/>
            <w:vAlign w:val="bottom"/>
          </w:tcPr>
          <w:p>
            <w:pPr>
              <w:spacing w:after="0"/>
              <w:rPr>
                <w:sz w:val="19"/>
                <w:szCs w:val="19"/>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8"/>
                <w:szCs w:val="18"/>
                <w:color w:val="auto"/>
                <w:w w:val="99"/>
              </w:rPr>
              <w:t>X</w:t>
            </w:r>
          </w:p>
        </w:tc>
        <w:tc>
          <w:tcPr>
            <w:tcW w:w="720" w:type="dxa"/>
            <w:vAlign w:val="bottom"/>
          </w:tcPr>
          <w:p>
            <w:pPr>
              <w:spacing w:after="0"/>
              <w:rPr>
                <w:sz w:val="19"/>
                <w:szCs w:val="19"/>
                <w:color w:val="auto"/>
              </w:rPr>
            </w:pPr>
          </w:p>
        </w:tc>
      </w:tr>
      <w:tr>
        <w:trPr>
          <w:trHeight w:val="356"/>
        </w:trPr>
        <w:tc>
          <w:tcPr>
            <w:tcW w:w="5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660" w:type="dxa"/>
            <w:vAlign w:val="bottom"/>
          </w:tcPr>
          <w:p>
            <w:pPr>
              <w:jc w:val="right"/>
              <w:ind w:right="1972"/>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300"/>
          </w:cols>
          <w:pgMar w:left="240" w:top="355" w:right="35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SEPARATION AGREEMENT</w:t>
      </w:r>
    </w:p>
    <w:p>
      <w:pPr>
        <w:spacing w:after="0" w:line="177"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This Agreement is entered into by and between Cherie C. Rice (“you”) and Waste Management Holdings, Inc. (the “Company”) and arises out of the separation of your employment. In consideration of the promises contained in this document, the parties agree as follows:</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WHEREAS, you have resigned your employment with the Company and all of the Company’s subsidiaries, parents or affiliates (collectively with the Company referred to as “Waste Management”);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you have elected to resign and accept benefits under the Company’s Voluntary Early Retirement Program (VERP);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you previously entered in an Employment Agreement with Waste Management dated August 26, 2005 and amended on December 31, 2008;</w:t>
      </w:r>
    </w:p>
    <w:p>
      <w:pPr>
        <w:spacing w:after="0" w:line="19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WHEREAS, in order to receive the payments and benefits described below, you release any claim for payments and benefits under Section 6 of your previously executed Employment Agreement;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you are only entitled to the payments described in this Agreement if you agree to its terms and execute this Agreement;</w:t>
      </w:r>
    </w:p>
    <w:p>
      <w:pPr>
        <w:spacing w:after="0" w:line="165" w:lineRule="exact"/>
        <w:rPr>
          <w:sz w:val="20"/>
          <w:szCs w:val="20"/>
          <w:color w:val="auto"/>
        </w:rPr>
      </w:pPr>
    </w:p>
    <w:p>
      <w:pPr>
        <w:ind w:right="20" w:firstLine="8"/>
        <w:spacing w:after="0" w:line="293" w:lineRule="auto"/>
        <w:tabs>
          <w:tab w:leader="none" w:pos="176" w:val="left"/>
        </w:tabs>
        <w:numPr>
          <w:ilvl w:val="0"/>
          <w:numId w:val="82"/>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Payments and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be offered benefits according to the Voluntary Early/Enhanced Retirement Plan (the “Plan”) after your final day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on September 21, 2012. As described in the Plan and in exchange for the promises by you below, you will receive severance in the gross amount of Three Hundred Twenty-Four Thousand Seven Hundred Fifty-Two Dollars and Eight Cents ($324,752.08) payable as follows: one half or $162,376.04 payable ten days after you execute this Agreement and the remaining one half or $162,376.04 payable over the twelve months following your separation in accordance with the Company’s normal payroll practices. In addition, you will receive a severance bonus in the amount of $71,120.71 payable on or about March 15, 2013. Applicable federal, state, and local payroll taxes will be deducted from these payments.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if you timely elect COBRA coverage to continue the group health and/or dental insurance coverage you participated in as of your employment termination date, Waste Management will pay for 52 weeks of COBRA coverage at its own expense. Thereafter, you will bear the full cost of any continued COBRA coverage.</w:t>
      </w:r>
    </w:p>
    <w:p>
      <w:pPr>
        <w:spacing w:after="0" w:line="140"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The Company will pay you the gross amount of Twenty Eight Thousand Seven Hundred Forty-Seven and Sixty-Three Cents ($28,747.63), less all applicable withholdings, approximately equal to the value of other Company benefits available only to active employees.</w:t>
      </w:r>
    </w:p>
    <w:p>
      <w:pPr>
        <w:sectPr>
          <w:pgSz w:w="11900" w:h="16838" w:orient="portrait"/>
          <w:cols w:equalWidth="0" w:num="1">
            <w:col w:w="11420"/>
          </w:cols>
          <w:pgMar w:left="240" w:top="125" w:right="239" w:bottom="1440" w:gutter="0" w:footer="0" w:header="0"/>
        </w:sectPr>
      </w:pPr>
    </w:p>
    <w:bookmarkStart w:id="111" w:name="page112"/>
    <w:bookmarkEnd w:id="111"/>
    <w:p>
      <w:pPr>
        <w:ind w:right="4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further consideration of the promises and mutual promises herein contained, the Company will provide you with six months of executive level outplacement services with Right Management, the Company’s preferred vendor. The cost for such outplacement services will be borne exclusively by the Company and you must enroll in this benefit within thirty (30) days of your execution of this Agreement.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2012 Long Term Incentive Plan (LTIP) award will receive the treatment described in Exhibit B of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Finally, the Company will gift you the Houstonian Membership you currently use, but will not be responsible for any additional associated fees.</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event that you violate one or more of the post-employment restrictions on your conduct that are provided for in Section 7 (entitled “Loss of Benefits Due to Prohibited Conduct”) of the Plan, you will forfeit any benefits not yet paid to you under this Agreement (with the exception of the first payment made to you) in accordance with the Plan’s terms and as determined by the Plan administrator. However, you agree that if such an event occurs, then the first payment made to you will be considered sufficient consideration for the General Release set forth below in Paragraph 2 and your agreement to comply with (and not contest) Sections 10 and 11 of your previously executed Employment Agreement, as set forth in Paragraph 4 of this Agreement. Accordingly, your Release and Employment Agreement shall survive such a forfeiture of benefits and cessation of payments.</w:t>
      </w:r>
    </w:p>
    <w:p>
      <w:pPr>
        <w:spacing w:after="0" w:line="114" w:lineRule="exact"/>
        <w:rPr>
          <w:sz w:val="20"/>
          <w:szCs w:val="20"/>
          <w:color w:val="auto"/>
        </w:rPr>
      </w:pPr>
    </w:p>
    <w:p>
      <w:pPr>
        <w:ind w:right="120" w:firstLine="464"/>
        <w:spacing w:after="0" w:line="296" w:lineRule="auto"/>
        <w:tabs>
          <w:tab w:leader="none" w:pos="632" w:val="left"/>
        </w:tabs>
        <w:numPr>
          <w:ilvl w:val="0"/>
          <w:numId w:val="83"/>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 Release</w:t>
      </w:r>
      <w:r>
        <w:rPr>
          <w:rFonts w:ascii="Arial" w:cs="Arial" w:eastAsia="Arial" w:hAnsi="Arial"/>
          <w:sz w:val="16"/>
          <w:szCs w:val="16"/>
          <w:b w:val="1"/>
          <w:bCs w:val="1"/>
          <w:color w:val="auto"/>
        </w:rPr>
        <w:t xml:space="preserve">. </w:t>
      </w:r>
      <w:r>
        <w:rPr>
          <w:rFonts w:ascii="Arial" w:cs="Arial" w:eastAsia="Arial" w:hAnsi="Arial"/>
          <w:sz w:val="16"/>
          <w:szCs w:val="16"/>
          <w:color w:val="auto"/>
        </w:rPr>
        <w:t>In exchange for the first payment made to you pursuant to Paragraph 1, you release and discharge Waste Management, its past and</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parent, subsidiary and affiliated companies, agents, directors, officers, employees, and representatives, and all persons acting by, through, under or in concert with Waste Management (collectively referred to as the “Released Parties”), from any and all causes of action, claims, liabilities, obligations, promises, agreements, controversies, damages, and expenses, known or unknown, which you ever had, or now have, against the Released Parties to the date of this Agreement. The claims you release include, but are not limited to, claims that the Released Parties:</w:t>
      </w:r>
    </w:p>
    <w:p>
      <w:pPr>
        <w:spacing w:after="0" w:line="32" w:lineRule="exact"/>
        <w:rPr>
          <w:rFonts w:ascii="Arial" w:cs="Arial" w:eastAsia="Arial" w:hAnsi="Arial"/>
          <w:sz w:val="16"/>
          <w:szCs w:val="16"/>
          <w:color w:val="auto"/>
        </w:rPr>
      </w:pPr>
    </w:p>
    <w:p>
      <w:pPr>
        <w:ind w:left="900" w:right="140" w:hanging="325"/>
        <w:spacing w:after="0" w:line="259" w:lineRule="auto"/>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discriminated against you on the basis of your race, color, sex (including sexual harassment), national origin, ancestry, disability, religion, sexual orientation, marital status, parental status, veteran status, source of income, entitlement to benefits, union activities, </w:t>
      </w:r>
      <w:r>
        <w:rPr>
          <w:rFonts w:ascii="Arial" w:cs="Arial" w:eastAsia="Arial" w:hAnsi="Arial"/>
          <w:sz w:val="18"/>
          <w:szCs w:val="18"/>
          <w:u w:val="single" w:color="auto"/>
          <w:color w:val="auto"/>
        </w:rPr>
        <w:t>age or any other claim or right</w:t>
      </w:r>
      <w:r>
        <w:rPr>
          <w:rFonts w:ascii="Arial" w:cs="Arial" w:eastAsia="Arial" w:hAnsi="Arial"/>
          <w:sz w:val="18"/>
          <w:szCs w:val="18"/>
          <w:color w:val="auto"/>
        </w:rPr>
        <w:t xml:space="preserve"> </w:t>
      </w:r>
      <w:r>
        <w:rPr>
          <w:rFonts w:ascii="Arial" w:cs="Arial" w:eastAsia="Arial" w:hAnsi="Arial"/>
          <w:sz w:val="18"/>
          <w:szCs w:val="18"/>
          <w:u w:val="single" w:color="auto"/>
          <w:color w:val="auto"/>
        </w:rPr>
        <w:t>you may have under the Age Discrimination in Employment Act (“ADEA”)</w:t>
      </w:r>
      <w:r>
        <w:rPr>
          <w:rFonts w:ascii="Arial" w:cs="Arial" w:eastAsia="Arial" w:hAnsi="Arial"/>
          <w:sz w:val="18"/>
          <w:szCs w:val="18"/>
          <w:color w:val="auto"/>
        </w:rPr>
        <w:t>, or</w:t>
      </w:r>
    </w:p>
    <w:p>
      <w:pPr>
        <w:spacing w:after="0" w:line="59" w:lineRule="exact"/>
        <w:rPr>
          <w:rFonts w:ascii="Arial" w:cs="Arial" w:eastAsia="Arial" w:hAnsi="Arial"/>
          <w:sz w:val="18"/>
          <w:szCs w:val="18"/>
          <w:color w:val="auto"/>
        </w:rPr>
      </w:pPr>
    </w:p>
    <w:p>
      <w:pPr>
        <w:ind w:left="900" w:right="300" w:hanging="325"/>
        <w:spacing w:after="0" w:line="306" w:lineRule="auto"/>
        <w:tabs>
          <w:tab w:leader="none" w:pos="9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any other status protected by local, state or federal laws, constitutions, regulations, ordinances, executive orders, including but not limited to the Massachusetts Fair Employment Practices Act, the New Jersey Conscientious Employee Protection Act, the New Jersey Law Against Discrimination, the New Jersey Whistleblower Act, North Dakota Century Code §9-13-02 and South Dakota Code Laws § 20-7-11; or</w:t>
      </w:r>
    </w:p>
    <w:p>
      <w:pPr>
        <w:spacing w:after="0" w:line="25" w:lineRule="exact"/>
        <w:rPr>
          <w:rFonts w:ascii="Arial" w:cs="Arial" w:eastAsia="Arial" w:hAnsi="Arial"/>
          <w:sz w:val="16"/>
          <w:szCs w:val="16"/>
          <w:color w:val="auto"/>
        </w:rPr>
      </w:pPr>
    </w:p>
    <w:p>
      <w:pPr>
        <w:ind w:left="900" w:right="420" w:hanging="325"/>
        <w:spacing w:after="0" w:line="268" w:lineRule="auto"/>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failed to give proper notice of this employment termination under the Workers Adjustment and Retraining Notification Act (“WARN”), or any similar state or local statute or ordinance; or</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112" w:name="page113"/>
    <w:bookmarkEnd w:id="112"/>
    <w:p>
      <w:pPr>
        <w:ind w:left="900" w:right="100" w:hanging="325"/>
        <w:spacing w:after="0" w:line="298"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violated any other federal, state, or local employment statute, such as the Employee Retirement Income Security Act of 1974, which, among other things, protects employee benefits; the Fair Labor Standards Act, which regulates wage and hour matters; the Family and Medical Leave Act, which requires employers to provide leaves of absence under certain circumstances; Title VII of the Civil Rights Act of 1964; the Older Workers Benefits Protection Act; the Americans With Disabilities Act; the Rehabilitation Act; OSHA; and any other laws relating to employment; or</w:t>
      </w:r>
    </w:p>
    <w:p>
      <w:pPr>
        <w:spacing w:after="0" w:line="31"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violated its personnel policies, handbooks, any covenant of good faith and fair dealing, or any contract of employment between you and any of the Released Parties; or</w:t>
      </w:r>
    </w:p>
    <w:p>
      <w:pPr>
        <w:spacing w:after="0" w:line="50" w:lineRule="exact"/>
        <w:rPr>
          <w:rFonts w:ascii="Arial" w:cs="Arial" w:eastAsia="Arial" w:hAnsi="Arial"/>
          <w:sz w:val="18"/>
          <w:szCs w:val="18"/>
          <w:color w:val="auto"/>
        </w:rPr>
      </w:pPr>
    </w:p>
    <w:p>
      <w:pPr>
        <w:ind w:left="900" w:right="160" w:hanging="325"/>
        <w:spacing w:after="0" w:line="306"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violated public policy or common law, including claims for: personal injury, invasion of privacy, retaliatory discharge, negligent hiring, retention or supervision, defamation, intentional or negligent infliction of emotional distress and/or mental anguish, intentional interference with contract, negligence, detrimental reliance, loss of consortium to you or any member of your family, and/or promissory estoppel; or</w:t>
      </w:r>
    </w:p>
    <w:p>
      <w:pPr>
        <w:spacing w:after="0" w:line="25"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is in any way obligated for any reason to pay your damages, expenses, litigation costs (including attorneys’ fees), bonuses, commissions, disability benefits, compensatory damages, punitive damages, and/or interest.</w:t>
      </w:r>
    </w:p>
    <w:p>
      <w:pPr>
        <w:spacing w:after="0" w:line="13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 xml:space="preserve">You are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prohibited from making or asserting (a) any claim or right under state workers’ compensation or unemployment laws, or (b) any claim or right, which by law cannot be waived. You waive, however, the right to recover money if any federal, state or local government agency pursues a claim on your behalf or on behalf of a class to which you may belong that arises out of or relates to your employment or termination of employment.</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the purpose of giving a full and complete release, you covenant and agree that you have no pending claims or charges against the Released Parties, and if you do so have, you agree to promptly file all appropriate papers requesting withdrawal and dismissal of such claims and/or charges. You understand and agree that this Agreement includes all claims that you may have and that you do not now know or suspect to exist in your favor against the Released Parties, and that this Agreement extinguishes those claims.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Nothing in this Agreement shall affect the U.S. Equal Employment Opportunity Commission’s (“EEOC”) rights and responsibilities to enforce the Civil Rights Act of 1964, as amended, the Age Discrimination in Employment Act of 1967 (“ADEA”), as amended, or any other applicable law. Further, nothing in this Agreement shall be construed as a basis for interfering with your protected right to challenge the waiver of an ADEA claim under the Older Workers Benefit Protection Act, or to file a charge with, or participate in an investigation or proceeding conducted by, the EEOC, or any other state, federal or local government entity; provided, however, if the EEOC or any other state, federal or local government entity commences an investigation on your behalf, you specifically waive and release your right, if any, to recover any monetary or other benefits of any sort whatsoever arising from any such investigation, nor will you seek reinstatement to your former position with the Company. Nothing in this Agreement shall be construed to waive a claim or right that cannot be lawfully waived through private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13" w:name="page114"/>
    <w:bookmarkEnd w:id="1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are not being asked, however, to release any claims or rights under ADEA that may arise after you execute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releases you from all claims, offsets, overpayments, reimbursements or other amounts known to date.</w:t>
      </w:r>
    </w:p>
    <w:p>
      <w:pPr>
        <w:spacing w:after="0" w:line="165" w:lineRule="exact"/>
        <w:rPr>
          <w:sz w:val="20"/>
          <w:szCs w:val="20"/>
          <w:color w:val="auto"/>
        </w:rPr>
      </w:pPr>
    </w:p>
    <w:p>
      <w:pPr>
        <w:ind w:firstLine="464"/>
        <w:spacing w:after="0" w:line="254" w:lineRule="auto"/>
        <w:tabs>
          <w:tab w:leader="none" w:pos="632"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 Not to Sue</w:t>
      </w:r>
      <w:r>
        <w:rPr>
          <w:rFonts w:ascii="Arial" w:cs="Arial" w:eastAsia="Arial" w:hAnsi="Arial"/>
          <w:sz w:val="18"/>
          <w:szCs w:val="18"/>
          <w:b w:val="1"/>
          <w:bCs w:val="1"/>
          <w:color w:val="auto"/>
        </w:rPr>
        <w:t xml:space="preserve">. </w:t>
      </w:r>
      <w:r>
        <w:rPr>
          <w:rFonts w:ascii="Arial" w:cs="Arial" w:eastAsia="Arial" w:hAnsi="Arial"/>
          <w:sz w:val="18"/>
          <w:szCs w:val="18"/>
          <w:color w:val="auto"/>
        </w:rPr>
        <w:t>You agree not to sue any of the Released Parties or become a party to a lawsuit on the basis of any claims of any type to date that</w:t>
      </w:r>
      <w:r>
        <w:rPr>
          <w:rFonts w:ascii="Arial" w:cs="Arial" w:eastAsia="Arial" w:hAnsi="Arial"/>
          <w:sz w:val="18"/>
          <w:szCs w:val="18"/>
          <w:b w:val="1"/>
          <w:bCs w:val="1"/>
          <w:color w:val="auto"/>
        </w:rPr>
        <w:t xml:space="preserve"> </w:t>
      </w:r>
      <w:r>
        <w:rPr>
          <w:rFonts w:ascii="Arial" w:cs="Arial" w:eastAsia="Arial" w:hAnsi="Arial"/>
          <w:sz w:val="18"/>
          <w:szCs w:val="18"/>
          <w:color w:val="auto"/>
        </w:rPr>
        <w:t>arise out of any aspect of your employment or termination of employment. You understand that this is an affirmative promise by you not to sue any of the Released Parties, which is in addition to your general release of claims in Paragraph 2 above. However, nothing in this Agreement prevents you from bringing an action challenging the validity of this Agreement. If you breach this Agreement by suing any of the Released Parties in violation of this Covenant Not to Sue, you understand that (i) the Released Parties will be entitled to apply for and receive an injunction to restrain any violation of this paragraph, and (ii) you will be required to pay the Released Parties’ legal costs and expenses, including reasonable attorney fees, associated with defending against the lawsuit and enforcing the terms of this Agreement.</w:t>
      </w:r>
    </w:p>
    <w:p>
      <w:pPr>
        <w:spacing w:after="0" w:line="141" w:lineRule="exact"/>
        <w:rPr>
          <w:rFonts w:ascii="Arial" w:cs="Arial" w:eastAsia="Arial" w:hAnsi="Arial"/>
          <w:sz w:val="18"/>
          <w:szCs w:val="18"/>
          <w:color w:val="auto"/>
        </w:rPr>
      </w:pPr>
    </w:p>
    <w:p>
      <w:pPr>
        <w:ind w:right="60" w:firstLine="464"/>
        <w:spacing w:after="0" w:line="296" w:lineRule="auto"/>
        <w:tabs>
          <w:tab w:leader="none" w:pos="632" w:val="left"/>
        </w:tabs>
        <w:numPr>
          <w:ilvl w:val="0"/>
          <w:numId w:val="85"/>
        </w:numPr>
        <w:rPr>
          <w:rFonts w:ascii="Arial" w:cs="Arial" w:eastAsia="Arial" w:hAnsi="Arial"/>
          <w:sz w:val="16"/>
          <w:szCs w:val="16"/>
          <w:color w:val="auto"/>
        </w:rPr>
      </w:pPr>
      <w:r>
        <w:rPr>
          <w:rFonts w:ascii="Arial" w:cs="Arial" w:eastAsia="Arial" w:hAnsi="Arial"/>
          <w:sz w:val="16"/>
          <w:szCs w:val="16"/>
          <w:b w:val="1"/>
          <w:bCs w:val="1"/>
          <w:u w:val="single" w:color="auto"/>
          <w:color w:val="auto"/>
        </w:rPr>
        <w:t>Covenant Not to Compete and Non-Solicitation Provisions</w:t>
      </w:r>
      <w:r>
        <w:rPr>
          <w:rFonts w:ascii="Arial" w:cs="Arial" w:eastAsia="Arial" w:hAnsi="Arial"/>
          <w:sz w:val="16"/>
          <w:szCs w:val="16"/>
          <w:color w:val="auto"/>
        </w:rPr>
        <w:t>. You hereby affirm Sections 10 and 11 of your existing Employment Agreement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post-employment obligations set forth therein and represent that you intend to comply with those obligations. You agree that those obligations survive and continue to apply to you in accordance with their terms, and that the same are incorporated herein by reference as if set forth in full. You further stipulate that the post-employment restrictions in your existing Employment Agreement are reasonable and necessary for the protection of the Company’s legitimate business interests, and agree not to contest the enforceability of the post-employment obligations of your existing Employment Agreement where such apply.</w:t>
      </w:r>
    </w:p>
    <w:p>
      <w:pPr>
        <w:spacing w:after="0" w:line="11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You acknowledge that because you had access to and/or developed or enhanced confidential information, trade secrets, customer relationships, goodwill and the work force of Waste Management during your employment, the covenants in this paragraph are necessary to protect these valuable assets and intellectual capital from which Waste Management derives economic value. Forfeiture of continued payments and benefits provided for in Section 1 above due to a violation of the post-employment restrictions provided for in the Plan shall not affect the continued application of Sections 10 and 11 of your existing Employment Agreement, and the remedies provided for therein.</w:t>
      </w:r>
    </w:p>
    <w:p>
      <w:pPr>
        <w:spacing w:after="0" w:line="137" w:lineRule="exact"/>
        <w:rPr>
          <w:sz w:val="20"/>
          <w:szCs w:val="20"/>
          <w:color w:val="auto"/>
        </w:rPr>
      </w:pPr>
    </w:p>
    <w:p>
      <w:pPr>
        <w:ind w:right="260" w:firstLine="464"/>
        <w:spacing w:after="0" w:line="262" w:lineRule="auto"/>
        <w:tabs>
          <w:tab w:leader="none" w:pos="632"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Acknowledgments</w:t>
      </w:r>
      <w:r>
        <w:rPr>
          <w:rFonts w:ascii="Arial" w:cs="Arial" w:eastAsia="Arial" w:hAnsi="Arial"/>
          <w:sz w:val="18"/>
          <w:szCs w:val="18"/>
          <w:b w:val="1"/>
          <w:bCs w:val="1"/>
          <w:color w:val="auto"/>
        </w:rPr>
        <w:t xml:space="preserve">. </w:t>
      </w:r>
      <w:r>
        <w:rPr>
          <w:rFonts w:ascii="Arial" w:cs="Arial" w:eastAsia="Arial" w:hAnsi="Arial"/>
          <w:sz w:val="18"/>
          <w:szCs w:val="18"/>
          <w:color w:val="auto"/>
        </w:rPr>
        <w:t>You have fully reviewed the terms of this Agreement, acknowledge that you understand its terms, and state that you are entering</w:t>
      </w:r>
      <w:r>
        <w:rPr>
          <w:rFonts w:ascii="Arial" w:cs="Arial" w:eastAsia="Arial" w:hAnsi="Arial"/>
          <w:sz w:val="18"/>
          <w:szCs w:val="18"/>
          <w:b w:val="1"/>
          <w:bCs w:val="1"/>
          <w:color w:val="auto"/>
        </w:rPr>
        <w:t xml:space="preserve"> </w:t>
      </w:r>
      <w:r>
        <w:rPr>
          <w:rFonts w:ascii="Arial" w:cs="Arial" w:eastAsia="Arial" w:hAnsi="Arial"/>
          <w:sz w:val="18"/>
          <w:szCs w:val="18"/>
          <w:color w:val="auto"/>
        </w:rPr>
        <w:t>into this Agreement knowingly, voluntarily, and in full settlement of all claims which existed in the past or which currently exist, that arise out of your employment with Waste Management or the termination of your employment.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14" w:name="page115"/>
    <w:bookmarkEnd w:id="114"/>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acknowledge that you have had at least forty-five (45) days to consider this Separation Agreement thoroughly, and you understand that you have the right to consult with an attorney, before you sign below and are advised to do so.</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you sign and return this Separation Agreement before the end of the 45-day period, you certify that your acceptance of a shortened time period is knowing and voluntary, and the Company did not — through fraud, misrepresentation, a threat to withdraw or alter the offer before the 45-day period expires, or by providing different terms to other employees who sign the release before such time period expires — improperly encourage you to sign.</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You understand that you may revoke this Separation Agreement within seven (7) days after you sign it. Your revocation must be in writing and submitted via facsimile within the seven (7) day period to </w:t>
      </w:r>
      <w:r>
        <w:rPr>
          <w:rFonts w:ascii="Arial" w:cs="Arial" w:eastAsia="Arial" w:hAnsi="Arial"/>
          <w:sz w:val="16"/>
          <w:szCs w:val="16"/>
          <w:b w:val="1"/>
          <w:bCs w:val="1"/>
          <w:color w:val="auto"/>
        </w:rPr>
        <w:t>Andrea Vizcaino at facsimile number (713) 287-2497</w:t>
      </w:r>
      <w:r>
        <w:rPr>
          <w:rFonts w:ascii="Arial" w:cs="Arial" w:eastAsia="Arial" w:hAnsi="Arial"/>
          <w:sz w:val="16"/>
          <w:szCs w:val="16"/>
          <w:color w:val="auto"/>
        </w:rPr>
        <w:t>. If you do not revoke this Separation Agreement within the seven (7) day period, it becomes irrevocable. You further understand that if you revoke this Separation Agreement, you will not be eligible to receive the benefits described in paragraph 1. Benefits will be processed as soon as administratively possible after the end of this seven (7) day period.</w:t>
      </w:r>
    </w:p>
    <w:p>
      <w:pPr>
        <w:spacing w:after="0" w:line="11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You also acknowledge that, before signing this Agreement, you received certain information about eligibility for the benefits available under this Agreement and the persons affected by this employment termination program, including the job titles and ages of both the persons selected and not selected to receive the benefits available under this Agreement. This information is attached to this Agreement as Appendix A.</w:t>
      </w:r>
    </w:p>
    <w:p>
      <w:pPr>
        <w:spacing w:after="0" w:line="10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You agree and accept that any equity-based compensation awards previously granted to you, that are not already expressly set forth and addressed in Paragraph 1 of this Agreement, will be vested and exercised according to the terms and conditions of each equity-based incentive award, notwithstanding any other representation, whether written or oral, to the contrary.</w:t>
      </w:r>
    </w:p>
    <w:p>
      <w:pPr>
        <w:spacing w:after="0" w:line="215" w:lineRule="exact"/>
        <w:rPr>
          <w:sz w:val="20"/>
          <w:szCs w:val="20"/>
          <w:color w:val="auto"/>
        </w:rPr>
      </w:pPr>
    </w:p>
    <w:p>
      <w:pPr>
        <w:ind w:left="640" w:hanging="17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t>Future Cooperation</w:t>
      </w:r>
      <w:r>
        <w:rPr>
          <w:rFonts w:ascii="Arial" w:cs="Arial" w:eastAsia="Arial" w:hAnsi="Arial"/>
          <w:sz w:val="18"/>
          <w:szCs w:val="18"/>
          <w:b w:val="1"/>
          <w:bCs w:val="1"/>
          <w:color w:val="auto"/>
        </w:rPr>
        <w:t>.</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You agree that, subject to reimbursement by Waste Management of reasonable out-of-pocket costs and expenses, you will cooperate with Waste Management and its attorneys with respect to any matter (including litigation, investigation, or governmental proceeding) that relates to matters with which you were involved while you were employed by Waste Management. Your required cooperation may include appearing from time to time at Waste Management’s offices or its attorneys’ offices for conferences and interviews, and in general providing Waste Management and its attorneys with the full benefit of your knowledge with respect to any such matter. You agree to cooperate in a timely fashion and at times that are agreeable to both parties.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With respect to your involvement in the investigation by the United States Attorney’s Office for the District of Hawaii, the Company will provide you with mutually agreed to counsel.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indemnity provisions contained in Paragraph 12 of your Employment Agreement will survive your execution of this Agreement.</w:t>
      </w:r>
    </w:p>
    <w:p>
      <w:pPr>
        <w:spacing w:after="0" w:line="165" w:lineRule="exact"/>
        <w:rPr>
          <w:sz w:val="20"/>
          <w:szCs w:val="20"/>
          <w:color w:val="auto"/>
        </w:rPr>
      </w:pPr>
    </w:p>
    <w:p>
      <w:pPr>
        <w:ind w:right="400" w:firstLine="464"/>
        <w:spacing w:after="0" w:line="275" w:lineRule="auto"/>
        <w:tabs>
          <w:tab w:leader="none" w:pos="632"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You must return to Waste Management on your last day of employment all documents, files (including copies), and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Waste Management property.</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15" w:name="page116"/>
    <w:bookmarkEnd w:id="115"/>
    <w:p>
      <w:pPr>
        <w:ind w:right="20" w:firstLine="464"/>
        <w:spacing w:after="0" w:line="262" w:lineRule="auto"/>
        <w:tabs>
          <w:tab w:leader="none" w:pos="632"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assignable only by Waste Management Holdings, Inc., shall inure to the benefit of Waste Management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Inc.’s assigns, successors, affiliates, and Released Parties, and is binding on the parties, their representatives, agents and assigns, and as to you, your spouse, heirs, legatees, administrators, and personal representatives.</w:t>
      </w:r>
    </w:p>
    <w:p>
      <w:pPr>
        <w:spacing w:after="0" w:line="13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Except as otherwise expressly provided for herein (such as incorporation of Sections 10 and 11 of your existing Employment Agreement), this Agreement is the exclusive and complete agreement between you and Waste Management relating to the subject matter of this Agreement. No amendment of this Agreement will be binding unless in writing and signed by you and the Company. Not withstanding the foregoing, Sections 12, 13, 14 and 15 of the August 26, 2005 Employment Agreement will survive the execution of this Separation Agreement.</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parties acknowledge and agree that if any provision of this Agreement is found, held or deemed by a court of competent jurisdiction void, unlawful or unenforceable under any statute or controlling law, the rest of this Agreement will continue in full force and effect.</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any legal action is brought to enforce the terms of this Agreement, the prevailing party will be entitled to recover its reasonable attorneys’ fees, costs and expenses from the other party, in addition to any other relief to which the prevailing party is entitled.</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This Agreement is made and entered into in the State of Texas, and in all respects will be interpreted, enforced and governed under applicable federal law and in the event that any reference shall be made to State law, the internal laws of the State of Texas will apply. A court of competent jurisdiction in the State of Texas will hear and resolve any disputes under this Agreement.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gridSpan w:val="5"/>
          </w:tcPr>
          <w:p>
            <w:pPr>
              <w:spacing w:after="0"/>
              <w:rPr>
                <w:sz w:val="20"/>
                <w:szCs w:val="20"/>
                <w:color w:val="auto"/>
              </w:rPr>
            </w:pPr>
            <w:r>
              <w:rPr>
                <w:rFonts w:ascii="Arial" w:cs="Arial" w:eastAsia="Arial" w:hAnsi="Arial"/>
                <w:sz w:val="18"/>
                <w:szCs w:val="18"/>
                <w:b w:val="1"/>
                <w:bCs w:val="1"/>
                <w:color w:val="auto"/>
              </w:rPr>
              <w:t>EMPLOYEE</w:t>
            </w:r>
          </w:p>
        </w:tc>
        <w:tc>
          <w:tcPr>
            <w:tcW w:w="5800" w:type="dxa"/>
            <w:vAlign w:val="bottom"/>
            <w:gridSpan w:val="2"/>
          </w:tcPr>
          <w:p>
            <w:pPr>
              <w:ind w:left="420"/>
              <w:spacing w:after="0"/>
              <w:rPr>
                <w:sz w:val="20"/>
                <w:szCs w:val="20"/>
                <w:color w:val="auto"/>
              </w:rPr>
            </w:pPr>
            <w:r>
              <w:rPr>
                <w:rFonts w:ascii="Arial" w:cs="Arial" w:eastAsia="Arial" w:hAnsi="Arial"/>
                <w:sz w:val="18"/>
                <w:szCs w:val="18"/>
                <w:b w:val="1"/>
                <w:bCs w:val="1"/>
                <w:color w:val="auto"/>
              </w:rPr>
              <w:t>WASTE MANAGEMENT</w:t>
            </w:r>
          </w:p>
        </w:tc>
        <w:tc>
          <w:tcPr>
            <w:tcW w:w="0" w:type="dxa"/>
            <w:vAlign w:val="bottom"/>
          </w:tcPr>
          <w:p>
            <w:pPr>
              <w:spacing w:after="0"/>
              <w:rPr>
                <w:sz w:val="1"/>
                <w:szCs w:val="1"/>
                <w:color w:val="auto"/>
              </w:rPr>
            </w:pPr>
          </w:p>
        </w:tc>
      </w:tr>
      <w:tr>
        <w:trPr>
          <w:trHeight w:val="228"/>
        </w:trPr>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0" w:type="dxa"/>
            <w:vAlign w:val="bottom"/>
            <w:gridSpan w:val="2"/>
          </w:tcPr>
          <w:p>
            <w:pPr>
              <w:ind w:left="420"/>
              <w:spacing w:after="0"/>
              <w:rPr>
                <w:sz w:val="20"/>
                <w:szCs w:val="20"/>
                <w:color w:val="auto"/>
              </w:rPr>
            </w:pPr>
            <w:r>
              <w:rPr>
                <w:rFonts w:ascii="Arial" w:cs="Arial" w:eastAsia="Arial" w:hAnsi="Arial"/>
                <w:sz w:val="18"/>
                <w:szCs w:val="18"/>
                <w:b w:val="1"/>
                <w:bCs w:val="1"/>
                <w:color w:val="auto"/>
              </w:rPr>
              <w:t>HOLDINGS, INC.</w:t>
            </w:r>
          </w:p>
        </w:tc>
        <w:tc>
          <w:tcPr>
            <w:tcW w:w="0" w:type="dxa"/>
            <w:vAlign w:val="bottom"/>
          </w:tcPr>
          <w:p>
            <w:pPr>
              <w:spacing w:after="0"/>
              <w:rPr>
                <w:sz w:val="1"/>
                <w:szCs w:val="1"/>
                <w:color w:val="auto"/>
              </w:rPr>
            </w:pPr>
          </w:p>
        </w:tc>
      </w:tr>
      <w:tr>
        <w:trPr>
          <w:trHeight w:val="446"/>
        </w:trPr>
        <w:tc>
          <w:tcPr>
            <w:tcW w:w="5620" w:type="dxa"/>
            <w:vAlign w:val="bottom"/>
            <w:gridSpan w:val="5"/>
          </w:tcPr>
          <w:p>
            <w:pPr>
              <w:spacing w:after="0"/>
              <w:rPr>
                <w:sz w:val="20"/>
                <w:szCs w:val="20"/>
                <w:color w:val="auto"/>
              </w:rPr>
            </w:pPr>
            <w:r>
              <w:rPr>
                <w:rFonts w:ascii="Arial" w:cs="Arial" w:eastAsia="Arial" w:hAnsi="Arial"/>
                <w:sz w:val="18"/>
                <w:szCs w:val="18"/>
                <w:color w:val="auto"/>
              </w:rPr>
              <w:t>By: /s/ Cherie C. Rice</w:t>
            </w:r>
          </w:p>
        </w:tc>
        <w:tc>
          <w:tcPr>
            <w:tcW w:w="5800" w:type="dxa"/>
            <w:vAlign w:val="bottom"/>
            <w:gridSpan w:val="2"/>
          </w:tcPr>
          <w:p>
            <w:pPr>
              <w:ind w:left="420"/>
              <w:spacing w:after="0"/>
              <w:rPr>
                <w:sz w:val="20"/>
                <w:szCs w:val="20"/>
                <w:color w:val="auto"/>
              </w:rPr>
            </w:pPr>
            <w:r>
              <w:rPr>
                <w:rFonts w:ascii="Arial" w:cs="Arial" w:eastAsia="Arial" w:hAnsi="Arial"/>
                <w:sz w:val="18"/>
                <w:szCs w:val="18"/>
                <w:color w:val="auto"/>
              </w:rPr>
              <w:t>By: Mark Schwartz</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vMerge w:val="restart"/>
          </w:tcPr>
          <w:p>
            <w:pPr>
              <w:ind w:left="420"/>
              <w:spacing w:after="0"/>
              <w:rPr>
                <w:sz w:val="20"/>
                <w:szCs w:val="20"/>
                <w:color w:val="auto"/>
              </w:rPr>
            </w:pPr>
            <w:r>
              <w:rPr>
                <w:rFonts w:ascii="Arial" w:cs="Arial" w:eastAsia="Arial" w:hAnsi="Arial"/>
                <w:sz w:val="18"/>
                <w:szCs w:val="18"/>
                <w:color w:val="auto"/>
                <w:w w:val="99"/>
              </w:rPr>
              <w:t>Its:</w:t>
            </w:r>
          </w:p>
        </w:tc>
        <w:tc>
          <w:tcPr>
            <w:tcW w:w="5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380" w:type="dxa"/>
            <w:vAlign w:val="bottom"/>
            <w:gridSpan w:val="4"/>
          </w:tcPr>
          <w:p>
            <w:pPr>
              <w:spacing w:after="0"/>
              <w:rPr>
                <w:sz w:val="20"/>
                <w:szCs w:val="20"/>
                <w:color w:val="auto"/>
              </w:rPr>
            </w:pPr>
            <w:r>
              <w:rPr>
                <w:rFonts w:ascii="Arial" w:cs="Arial" w:eastAsia="Arial" w:hAnsi="Arial"/>
                <w:sz w:val="18"/>
                <w:szCs w:val="18"/>
                <w:color w:val="auto"/>
              </w:rPr>
              <w:t>Cherie C. Rice</w:t>
            </w:r>
          </w:p>
        </w:tc>
        <w:tc>
          <w:tcPr>
            <w:tcW w:w="2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70"/>
        </w:trPr>
        <w:tc>
          <w:tcPr>
            <w:tcW w:w="5620" w:type="dxa"/>
            <w:vAlign w:val="bottom"/>
            <w:gridSpan w:val="5"/>
          </w:tcPr>
          <w:p>
            <w:pPr>
              <w:spacing w:after="0"/>
              <w:rPr>
                <w:sz w:val="20"/>
                <w:szCs w:val="20"/>
                <w:color w:val="auto"/>
              </w:rPr>
            </w:pPr>
            <w:r>
              <w:rPr>
                <w:rFonts w:ascii="Arial" w:cs="Arial" w:eastAsia="Arial" w:hAnsi="Arial"/>
                <w:sz w:val="18"/>
                <w:szCs w:val="18"/>
                <w:color w:val="auto"/>
              </w:rPr>
              <w:t>Date: October 12, 2012</w:t>
            </w:r>
          </w:p>
        </w:tc>
        <w:tc>
          <w:tcPr>
            <w:tcW w:w="6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620" w:type="dxa"/>
            <w:vAlign w:val="bottom"/>
            <w:gridSpan w:val="5"/>
          </w:tcPr>
          <w:p>
            <w:pPr>
              <w:spacing w:after="0"/>
              <w:rPr>
                <w:sz w:val="20"/>
                <w:szCs w:val="20"/>
                <w:color w:val="auto"/>
              </w:rPr>
            </w:pPr>
            <w:r>
              <w:rPr>
                <w:rFonts w:ascii="Arial" w:cs="Arial" w:eastAsia="Arial" w:hAnsi="Arial"/>
                <w:sz w:val="18"/>
                <w:szCs w:val="18"/>
                <w:color w:val="auto"/>
              </w:rPr>
              <w:t>Employee ID# 084555</w:t>
            </w:r>
          </w:p>
        </w:tc>
        <w:tc>
          <w:tcPr>
            <w:tcW w:w="6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620" w:type="dxa"/>
            <w:vAlign w:val="bottom"/>
            <w:gridSpan w:val="5"/>
          </w:tcPr>
          <w:p>
            <w:pPr>
              <w:spacing w:after="0"/>
              <w:rPr>
                <w:sz w:val="20"/>
                <w:szCs w:val="20"/>
                <w:color w:val="auto"/>
              </w:rPr>
            </w:pPr>
            <w:r>
              <w:rPr>
                <w:rFonts w:ascii="Arial" w:cs="Arial" w:eastAsia="Arial" w:hAnsi="Arial"/>
                <w:sz w:val="18"/>
                <w:szCs w:val="18"/>
                <w:color w:val="auto"/>
                <w:w w:val="89"/>
              </w:rPr>
              <w:t>Employee Work Location: 1001 Fannin Street, Suite 4000, Houston, TX 77002</w:t>
            </w:r>
          </w:p>
        </w:tc>
        <w:tc>
          <w:tcPr>
            <w:tcW w:w="6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620" w:type="dxa"/>
            <w:vAlign w:val="bottom"/>
            <w:gridSpan w:val="5"/>
          </w:tcPr>
          <w:p>
            <w:pPr>
              <w:spacing w:after="0"/>
              <w:rPr>
                <w:sz w:val="20"/>
                <w:szCs w:val="20"/>
                <w:color w:val="auto"/>
              </w:rPr>
            </w:pPr>
            <w:r>
              <w:rPr>
                <w:rFonts w:ascii="Arial" w:cs="Arial" w:eastAsia="Arial" w:hAnsi="Arial"/>
                <w:sz w:val="18"/>
                <w:szCs w:val="18"/>
                <w:color w:val="auto"/>
              </w:rPr>
              <w:t>Sign and mail to:</w:t>
            </w:r>
          </w:p>
        </w:tc>
        <w:tc>
          <w:tcPr>
            <w:tcW w:w="6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gridSpan w:val="5"/>
          </w:tcPr>
          <w:p>
            <w:pPr>
              <w:spacing w:after="0"/>
              <w:rPr>
                <w:sz w:val="20"/>
                <w:szCs w:val="20"/>
                <w:color w:val="auto"/>
              </w:rPr>
            </w:pPr>
            <w:r>
              <w:rPr>
                <w:rFonts w:ascii="Arial" w:cs="Arial" w:eastAsia="Arial" w:hAnsi="Arial"/>
                <w:sz w:val="18"/>
                <w:szCs w:val="18"/>
                <w:color w:val="auto"/>
              </w:rPr>
              <w:t>Andrea Vizcaino</w:t>
            </w:r>
          </w:p>
        </w:tc>
        <w:tc>
          <w:tcPr>
            <w:tcW w:w="6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gridSpan w:val="5"/>
          </w:tcPr>
          <w:p>
            <w:pPr>
              <w:spacing w:after="0"/>
              <w:rPr>
                <w:sz w:val="20"/>
                <w:szCs w:val="20"/>
                <w:color w:val="auto"/>
              </w:rPr>
            </w:pPr>
            <w:r>
              <w:rPr>
                <w:rFonts w:ascii="Arial" w:cs="Arial" w:eastAsia="Arial" w:hAnsi="Arial"/>
                <w:sz w:val="18"/>
                <w:szCs w:val="18"/>
                <w:color w:val="auto"/>
              </w:rPr>
              <w:t>Waste Management</w:t>
            </w:r>
          </w:p>
        </w:tc>
        <w:tc>
          <w:tcPr>
            <w:tcW w:w="68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6</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1021 Main Street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OCC 745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A</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decided to improve the efficiency of its operations by restructuring, eliminating positions and redistributing responsibilities. A Voluntary Enhanced Retirement Program was offered and you accepted. As a result, you are being terminated and offered benefits under a Company severance plan in exchange for executing and not revoking this Agreement.</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 xml:space="preserve">The attached chart was prepared as of </w:t>
      </w:r>
      <w:r>
        <w:rPr>
          <w:rFonts w:ascii="Arial" w:cs="Arial" w:eastAsia="Arial" w:hAnsi="Arial"/>
          <w:sz w:val="16"/>
          <w:szCs w:val="16"/>
          <w:u w:val="single" w:color="auto"/>
          <w:color w:val="auto"/>
        </w:rPr>
        <w:t>August 24, 2012</w:t>
      </w:r>
      <w:r>
        <w:rPr>
          <w:rFonts w:ascii="Arial" w:cs="Arial" w:eastAsia="Arial" w:hAnsi="Arial"/>
          <w:sz w:val="16"/>
          <w:szCs w:val="16"/>
          <w:color w:val="auto"/>
        </w:rPr>
        <w:t xml:space="preserve">. This chart shows the number of similarly-situated employees by job title and age (as of </w:t>
      </w:r>
      <w:r>
        <w:rPr>
          <w:rFonts w:ascii="Arial" w:cs="Arial" w:eastAsia="Arial" w:hAnsi="Arial"/>
          <w:sz w:val="16"/>
          <w:szCs w:val="16"/>
          <w:u w:val="single" w:color="auto"/>
          <w:color w:val="auto"/>
        </w:rPr>
        <w:t>August 24,</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2012)</w:t>
      </w:r>
      <w:r>
        <w:rPr>
          <w:rFonts w:ascii="Arial" w:cs="Arial" w:eastAsia="Arial" w:hAnsi="Arial"/>
          <w:sz w:val="16"/>
          <w:szCs w:val="16"/>
          <w:color w:val="auto"/>
        </w:rPr>
        <w:t xml:space="preserve"> and whether they were separated and offered benefits in exchange for a release (“Selected”) or not separated (“Not Selected”).</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data is subject to change, and may be affected by future employment decisions. If you have any questions about this information, contact your human resources representatives.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Job Title</w:t>
            </w:r>
          </w:p>
        </w:tc>
        <w:tc>
          <w:tcPr>
            <w:tcW w:w="30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Arial" w:cs="Arial" w:eastAsia="Arial" w:hAnsi="Arial"/>
                <w:sz w:val="14"/>
                <w:szCs w:val="14"/>
                <w:color w:val="auto"/>
              </w:rPr>
              <w:t>Age</w:t>
            </w:r>
          </w:p>
        </w:tc>
        <w:tc>
          <w:tcPr>
            <w:tcW w:w="1120" w:type="dxa"/>
            <w:vAlign w:val="bottom"/>
            <w:gridSpan w:val="2"/>
          </w:tcPr>
          <w:p>
            <w:pPr>
              <w:jc w:val="right"/>
              <w:ind w:right="680"/>
              <w:spacing w:after="0"/>
              <w:rPr>
                <w:sz w:val="20"/>
                <w:szCs w:val="20"/>
                <w:color w:val="auto"/>
              </w:rPr>
            </w:pPr>
            <w:r>
              <w:rPr>
                <w:rFonts w:ascii="Arial" w:cs="Arial" w:eastAsia="Arial" w:hAnsi="Arial"/>
                <w:sz w:val="14"/>
                <w:szCs w:val="14"/>
                <w:color w:val="auto"/>
                <w:w w:val="77"/>
              </w:rPr>
              <w:t>Selected</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84"/>
              </w:rPr>
              <w:t>Not Selected</w:t>
            </w:r>
          </w:p>
        </w:tc>
      </w:tr>
      <w:tr>
        <w:trPr>
          <w:trHeight w:val="203"/>
        </w:trPr>
        <w:tc>
          <w:tcPr>
            <w:tcW w:w="3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VP Shared Services</w:t>
            </w:r>
          </w:p>
        </w:tc>
        <w:tc>
          <w:tcPr>
            <w:tcW w:w="3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78"/>
              </w:rPr>
              <w:t>55</w:t>
            </w:r>
          </w:p>
        </w:tc>
        <w:tc>
          <w:tcPr>
            <w:tcW w:w="6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X</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VP Tax</w:t>
            </w:r>
          </w:p>
        </w:tc>
        <w:tc>
          <w:tcPr>
            <w:tcW w:w="4160" w:type="dxa"/>
            <w:vAlign w:val="bottom"/>
            <w:gridSpan w:val="3"/>
          </w:tcPr>
          <w:p>
            <w:pPr>
              <w:ind w:left="3320"/>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X</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VP &amp; Chief Accounting Officer</w:t>
            </w:r>
          </w:p>
        </w:tc>
        <w:tc>
          <w:tcPr>
            <w:tcW w:w="4160" w:type="dxa"/>
            <w:vAlign w:val="bottom"/>
            <w:gridSpan w:val="3"/>
            <w:shd w:val="clear" w:color="auto" w:fill="CCEEFF"/>
          </w:tcPr>
          <w:p>
            <w:pPr>
              <w:ind w:left="3320"/>
              <w:spacing w:after="0"/>
              <w:rPr>
                <w:sz w:val="20"/>
                <w:szCs w:val="20"/>
                <w:color w:val="auto"/>
              </w:rPr>
            </w:pPr>
            <w:r>
              <w:rPr>
                <w:rFonts w:ascii="Arial" w:cs="Arial" w:eastAsia="Arial" w:hAnsi="Arial"/>
                <w:sz w:val="18"/>
                <w:szCs w:val="18"/>
                <w:color w:val="auto"/>
              </w:rPr>
              <w:t>58</w:t>
            </w: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X</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VP Treasury</w:t>
            </w:r>
          </w:p>
        </w:tc>
        <w:tc>
          <w:tcPr>
            <w:tcW w:w="4160" w:type="dxa"/>
            <w:vAlign w:val="bottom"/>
            <w:gridSpan w:val="3"/>
          </w:tcPr>
          <w:p>
            <w:pPr>
              <w:ind w:left="3320"/>
              <w:spacing w:after="0"/>
              <w:rPr>
                <w:sz w:val="20"/>
                <w:szCs w:val="20"/>
                <w:color w:val="auto"/>
              </w:rPr>
            </w:pPr>
            <w:r>
              <w:rPr>
                <w:rFonts w:ascii="Arial" w:cs="Arial" w:eastAsia="Arial" w:hAnsi="Arial"/>
                <w:sz w:val="18"/>
                <w:szCs w:val="18"/>
                <w:color w:val="auto"/>
              </w:rPr>
              <w:t>50</w:t>
            </w: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X</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VP Internal Audit</w:t>
            </w:r>
          </w:p>
        </w:tc>
        <w:tc>
          <w:tcPr>
            <w:tcW w:w="4160" w:type="dxa"/>
            <w:vAlign w:val="bottom"/>
            <w:gridSpan w:val="3"/>
            <w:shd w:val="clear" w:color="auto" w:fill="CCEEFF"/>
          </w:tcPr>
          <w:p>
            <w:pPr>
              <w:ind w:left="3320"/>
              <w:spacing w:after="0"/>
              <w:rPr>
                <w:sz w:val="20"/>
                <w:szCs w:val="20"/>
                <w:color w:val="auto"/>
              </w:rPr>
            </w:pPr>
            <w:r>
              <w:rPr>
                <w:rFonts w:ascii="Arial" w:cs="Arial" w:eastAsia="Arial" w:hAnsi="Arial"/>
                <w:sz w:val="18"/>
                <w:szCs w:val="18"/>
                <w:color w:val="auto"/>
              </w:rPr>
              <w:t>43</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X</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VP Fin Planning &amp; Analysis</w:t>
            </w:r>
          </w:p>
        </w:tc>
        <w:tc>
          <w:tcPr>
            <w:tcW w:w="4160" w:type="dxa"/>
            <w:vAlign w:val="bottom"/>
            <w:gridSpan w:val="3"/>
          </w:tcPr>
          <w:p>
            <w:pPr>
              <w:ind w:left="3320"/>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X</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VP Real Estate</w:t>
            </w:r>
          </w:p>
        </w:tc>
        <w:tc>
          <w:tcPr>
            <w:tcW w:w="4160" w:type="dxa"/>
            <w:vAlign w:val="bottom"/>
            <w:gridSpan w:val="3"/>
            <w:shd w:val="clear" w:color="auto" w:fill="CCEEFF"/>
          </w:tcPr>
          <w:p>
            <w:pPr>
              <w:ind w:left="3320"/>
              <w:spacing w:after="0"/>
              <w:rPr>
                <w:sz w:val="20"/>
                <w:szCs w:val="20"/>
                <w:color w:val="auto"/>
              </w:rPr>
            </w:pPr>
            <w:r>
              <w:rPr>
                <w:rFonts w:ascii="Arial" w:cs="Arial" w:eastAsia="Arial" w:hAnsi="Arial"/>
                <w:sz w:val="18"/>
                <w:szCs w:val="18"/>
                <w:color w:val="auto"/>
              </w:rPr>
              <w:t>60</w:t>
            </w: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X</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63"/>
        </w:trPr>
        <w:tc>
          <w:tcPr>
            <w:tcW w:w="5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60" w:type="dxa"/>
            <w:vAlign w:val="bottom"/>
          </w:tcPr>
          <w:p>
            <w:pPr>
              <w:jc w:val="right"/>
              <w:ind w:right="1832"/>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280" w:right="27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171" w:lineRule="exact"/>
        <w:rPr>
          <w:sz w:val="20"/>
          <w:szCs w:val="20"/>
          <w:color w:val="auto"/>
        </w:rPr>
      </w:pPr>
    </w:p>
    <w:p>
      <w:pPr>
        <w:ind w:right="560" w:firstLine="464"/>
        <w:spacing w:after="0" w:line="370" w:lineRule="auto"/>
        <w:tabs>
          <w:tab w:leader="none" w:pos="642" w:val="left"/>
        </w:tabs>
        <w:numPr>
          <w:ilvl w:val="0"/>
          <w:numId w:val="9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480" w:firstLine="464"/>
        <w:spacing w:after="0" w:line="332" w:lineRule="auto"/>
        <w:tabs>
          <w:tab w:leader="none" w:pos="691"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420" w:firstLine="464"/>
        <w:spacing w:after="0" w:line="259" w:lineRule="auto"/>
        <w:tabs>
          <w:tab w:leader="none" w:pos="666"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59" w:lineRule="exact"/>
        <w:rPr>
          <w:rFonts w:ascii="Arial" w:cs="Arial" w:eastAsia="Arial" w:hAnsi="Arial"/>
          <w:sz w:val="18"/>
          <w:szCs w:val="18"/>
          <w:color w:val="auto"/>
        </w:rPr>
      </w:pPr>
    </w:p>
    <w:p>
      <w:pPr>
        <w:ind w:left="460" w:right="340" w:firstLine="443"/>
        <w:spacing w:after="0" w:line="259" w:lineRule="auto"/>
        <w:tabs>
          <w:tab w:leader="none" w:pos="1113"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03"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103"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40" w:firstLine="443"/>
        <w:spacing w:after="0" w:line="259" w:lineRule="auto"/>
        <w:tabs>
          <w:tab w:leader="none" w:pos="1113"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21"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460" w:right="180" w:firstLine="443"/>
        <w:spacing w:after="0" w:line="268" w:lineRule="auto"/>
        <w:tabs>
          <w:tab w:leader="none" w:pos="1113"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03"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2012</w:t>
      </w:r>
    </w:p>
    <w:p>
      <w:pPr>
        <w:sectPr>
          <w:pgSz w:w="11900" w:h="16838" w:orient="portrait"/>
          <w:cols w:equalWidth="0" w:num="1">
            <w:col w:w="11420"/>
          </w:cols>
          <w:pgMar w:left="240" w:top="12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171" w:lineRule="exact"/>
        <w:rPr>
          <w:sz w:val="20"/>
          <w:szCs w:val="20"/>
          <w:color w:val="auto"/>
        </w:rPr>
      </w:pPr>
    </w:p>
    <w:p>
      <w:pPr>
        <w:ind w:right="560" w:firstLine="464"/>
        <w:spacing w:after="0" w:line="370" w:lineRule="auto"/>
        <w:tabs>
          <w:tab w:leader="none" w:pos="642" w:val="left"/>
        </w:tabs>
        <w:numPr>
          <w:ilvl w:val="0"/>
          <w:numId w:val="9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480" w:firstLine="464"/>
        <w:spacing w:after="0" w:line="332" w:lineRule="auto"/>
        <w:tabs>
          <w:tab w:leader="none" w:pos="691"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420" w:firstLine="464"/>
        <w:spacing w:after="0" w:line="259" w:lineRule="auto"/>
        <w:tabs>
          <w:tab w:leader="none" w:pos="66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59" w:lineRule="exact"/>
        <w:rPr>
          <w:rFonts w:ascii="Arial" w:cs="Arial" w:eastAsia="Arial" w:hAnsi="Arial"/>
          <w:sz w:val="18"/>
          <w:szCs w:val="18"/>
          <w:color w:val="auto"/>
        </w:rPr>
      </w:pPr>
    </w:p>
    <w:p>
      <w:pPr>
        <w:ind w:left="460" w:right="340" w:firstLine="443"/>
        <w:spacing w:after="0" w:line="259" w:lineRule="auto"/>
        <w:tabs>
          <w:tab w:leader="none" w:pos="1113"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03"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103"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40" w:firstLine="443"/>
        <w:spacing w:after="0" w:line="259" w:lineRule="auto"/>
        <w:tabs>
          <w:tab w:leader="none" w:pos="1113"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21"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460" w:right="180" w:firstLine="443"/>
        <w:spacing w:after="0" w:line="268" w:lineRule="auto"/>
        <w:tabs>
          <w:tab w:leader="none" w:pos="1113"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03"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C. Fish, Jr.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2012</w:t>
      </w:r>
    </w:p>
    <w:p>
      <w:pPr>
        <w:sectPr>
          <w:pgSz w:w="11900" w:h="16838" w:orient="portrait"/>
          <w:cols w:equalWidth="0" w:num="1">
            <w:col w:w="11420"/>
          </w:cols>
          <w:pgMar w:left="240" w:top="12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September 30, 2012 as filed with the Securities and Exchange Commission on the date hereof (the “Report”), I, David P. Steiner, Chief Executive Officer of the Company, certify, pursuant to 18 U.S.C. § 1350, as adopted pursuant to § 906 of the Sarbanes-Oxley Act of 2002, that:</w:t>
      </w:r>
    </w:p>
    <w:p>
      <w:pPr>
        <w:spacing w:after="0" w:line="59" w:lineRule="exact"/>
        <w:rPr>
          <w:sz w:val="20"/>
          <w:szCs w:val="20"/>
          <w:color w:val="auto"/>
        </w:rPr>
      </w:pPr>
    </w:p>
    <w:p>
      <w:pPr>
        <w:ind w:left="1160" w:hanging="257"/>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David P. Steiner</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October 31, 2012</w:t>
      </w:r>
    </w:p>
    <w:p>
      <w:pPr>
        <w:sectPr>
          <w:pgSz w:w="11900" w:h="16838" w:orient="portrait"/>
          <w:cols w:equalWidth="0" w:num="1">
            <w:col w:w="11420"/>
          </w:cols>
          <w:pgMar w:left="240" w:top="125"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September 30, 2012 as filed with the Securities and Exchange Commission on the date hereof (the “Report”), I, James C. Fish, Jr. Chief Financial Officer of the Company, certify, pursuant to 18 U.S.C. § 1350, as adopted pursuant to § 906 of the Sarbanes-Oxley Act of 2002, that:</w:t>
      </w:r>
    </w:p>
    <w:p>
      <w:pPr>
        <w:spacing w:after="0" w:line="59" w:lineRule="exact"/>
        <w:rPr>
          <w:sz w:val="20"/>
          <w:szCs w:val="20"/>
          <w:color w:val="auto"/>
        </w:rPr>
      </w:pPr>
    </w:p>
    <w:p>
      <w:pPr>
        <w:ind w:left="1160" w:hanging="257"/>
        <w:spacing w:after="0"/>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13"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James C. Fish, Jr.</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October 31, 2012</w:t>
      </w:r>
    </w:p>
    <w:p>
      <w:pPr>
        <w:sectPr>
          <w:pgSz w:w="11900" w:h="16838" w:orient="portrait"/>
          <w:cols w:equalWidth="0" w:num="1">
            <w:col w:w="11420"/>
          </w:cols>
          <w:pgMar w:left="240" w:top="12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95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4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During the quarter ended September 30, 2012,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addition, during the quarter ended September 30, 2012,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1)"/>
      <w:numFmt w:val="lowerLetter"/>
      <w:start w:val="1"/>
    </w:lvl>
  </w:abstractNum>
  <w:abstractNum w:abstractNumId="3">
    <w:nsid w:val="32FFF902"/>
    <w:multiLevelType w:val="hybridMultilevel"/>
    <w:lvl w:ilvl="0">
      <w:lvlJc w:val="left"/>
      <w:lvlText w:val="(%1)"/>
      <w:numFmt w:val="lowerLetter"/>
      <w:start w:val="2"/>
    </w:lvl>
  </w:abstractNum>
  <w:abstractNum w:abstractNumId="4">
    <w:nsid w:val="684A481A"/>
    <w:multiLevelType w:val="hybridMultilevel"/>
    <w:lvl w:ilvl="0">
      <w:lvlJc w:val="left"/>
      <w:lvlText w:val="Ÿ"/>
      <w:numFmt w:val="bullet"/>
      <w:start w:val="1"/>
    </w:lvl>
  </w:abstractNum>
  <w:abstractNum w:abstractNumId="5">
    <w:nsid w:val="579478FE"/>
    <w:multiLevelType w:val="hybridMultilevel"/>
    <w:lvl w:ilvl="0">
      <w:lvlJc w:val="left"/>
      <w:lvlText w:val="Ÿ"/>
      <w:numFmt w:val="bullet"/>
      <w:start w:val="1"/>
    </w:lvl>
  </w:abstractNum>
  <w:abstractNum w:abstractNumId="6">
    <w:nsid w:val="749ABB43"/>
    <w:multiLevelType w:val="hybridMultilevel"/>
    <w:lvl w:ilvl="0">
      <w:lvlJc w:val="left"/>
      <w:lvlText w:val="Ÿ"/>
      <w:numFmt w:val="bullet"/>
      <w:start w:val="1"/>
    </w:lvl>
  </w:abstractNum>
  <w:abstractNum w:abstractNumId="7">
    <w:nsid w:val="3DC240FB"/>
    <w:multiLevelType w:val="hybridMultilevel"/>
    <w:lvl w:ilvl="0">
      <w:lvlJc w:val="left"/>
      <w:lvlText w:val="Ÿ"/>
      <w:numFmt w:val="bullet"/>
      <w:start w:val="1"/>
    </w:lvl>
  </w:abstractNum>
  <w:abstractNum w:abstractNumId="8">
    <w:nsid w:val="1BA026FA"/>
    <w:multiLevelType w:val="hybridMultilevel"/>
    <w:lvl w:ilvl="0">
      <w:lvlJc w:val="left"/>
      <w:lvlText w:val="Ÿ"/>
      <w:numFmt w:val="bullet"/>
      <w:start w:val="1"/>
    </w:lvl>
  </w:abstractNum>
  <w:abstractNum w:abstractNumId="9">
    <w:nsid w:val="79A1DEAA"/>
    <w:multiLevelType w:val="hybridMultilevel"/>
    <w:lvl w:ilvl="0">
      <w:lvlJc w:val="left"/>
      <w:lvlText w:val="Ÿ"/>
      <w:numFmt w:val="bullet"/>
      <w:start w:val="1"/>
    </w:lvl>
    <w:lvl w:ilvl="1">
      <w:lvlJc w:val="left"/>
      <w:lvlText w:val="Ÿ"/>
      <w:numFmt w:val="bullet"/>
      <w:start w:val="1"/>
    </w:lvl>
  </w:abstractNum>
  <w:abstractNum w:abstractNumId="10">
    <w:nsid w:val="75C6C33A"/>
    <w:multiLevelType w:val="hybridMultilevel"/>
    <w:lvl w:ilvl="0">
      <w:lvlJc w:val="left"/>
      <w:lvlText w:val="Ÿ"/>
      <w:numFmt w:val="bullet"/>
      <w:start w:val="1"/>
    </w:lvl>
    <w:lvl w:ilvl="1">
      <w:lvlJc w:val="left"/>
      <w:lvlText w:val="Ÿ"/>
      <w:numFmt w:val="bullet"/>
      <w:start w:val="1"/>
    </w:lvl>
  </w:abstractNum>
  <w:abstractNum w:abstractNumId="11">
    <w:nsid w:val="12E685FB"/>
    <w:multiLevelType w:val="hybridMultilevel"/>
    <w:lvl w:ilvl="0">
      <w:lvlJc w:val="left"/>
      <w:lvlText w:val="Ÿ"/>
      <w:numFmt w:val="bullet"/>
      <w:start w:val="1"/>
    </w:lvl>
  </w:abstractNum>
  <w:abstractNum w:abstractNumId="12">
    <w:nsid w:val="70C6A529"/>
    <w:multiLevelType w:val="hybridMultilevel"/>
    <w:lvl w:ilvl="0">
      <w:lvlJc w:val="left"/>
      <w:lvlText w:val="Ÿ"/>
      <w:numFmt w:val="bullet"/>
      <w:start w:val="1"/>
    </w:lvl>
  </w:abstractNum>
  <w:abstractNum w:abstractNumId="13">
    <w:nsid w:val="520EEDD1"/>
    <w:multiLevelType w:val="hybridMultilevel"/>
    <w:lvl w:ilvl="0">
      <w:lvlJc w:val="left"/>
      <w:lvlText w:val="(%1)"/>
      <w:numFmt w:val="lowerLetter"/>
      <w:start w:val="1"/>
    </w:lvl>
  </w:abstractNum>
  <w:abstractNum w:abstractNumId="14">
    <w:nsid w:val="374A3FE6"/>
    <w:multiLevelType w:val="hybridMultilevel"/>
    <w:lvl w:ilvl="0">
      <w:lvlJc w:val="left"/>
      <w:lvlText w:val="(%1)"/>
      <w:numFmt w:val="lowerLetter"/>
      <w:start w:val="1"/>
    </w:lvl>
  </w:abstractNum>
  <w:abstractNum w:abstractNumId="15">
    <w:nsid w:val="4F4EF005"/>
    <w:multiLevelType w:val="hybridMultilevel"/>
    <w:lvl w:ilvl="0">
      <w:lvlJc w:val="left"/>
      <w:lvlText w:val="(%1)"/>
      <w:numFmt w:val="lowerRoman"/>
      <w:start w:val="1"/>
    </w:lvl>
  </w:abstractNum>
  <w:abstractNum w:abstractNumId="16">
    <w:nsid w:val="23F9C13C"/>
    <w:multiLevelType w:val="hybridMultilevel"/>
    <w:lvl w:ilvl="0">
      <w:lvlJc w:val="left"/>
      <w:lvlText w:val="(%1)"/>
      <w:numFmt w:val="lowerRoman"/>
      <w:start w:val="2"/>
    </w:lvl>
  </w:abstractNum>
  <w:abstractNum w:abstractNumId="17">
    <w:nsid w:val="649BB77C"/>
    <w:multiLevelType w:val="hybridMultilevel"/>
    <w:lvl w:ilvl="0">
      <w:lvlJc w:val="left"/>
      <w:lvlText w:val="Ÿ"/>
      <w:numFmt w:val="bullet"/>
      <w:start w:val="1"/>
    </w:lvl>
  </w:abstractNum>
  <w:abstractNum w:abstractNumId="18">
    <w:nsid w:val="275AC794"/>
    <w:multiLevelType w:val="hybridMultilevel"/>
    <w:lvl w:ilvl="0">
      <w:lvlJc w:val="left"/>
      <w:lvlText w:val="Ÿ"/>
      <w:numFmt w:val="bullet"/>
      <w:start w:val="1"/>
    </w:lvl>
  </w:abstractNum>
  <w:abstractNum w:abstractNumId="19">
    <w:nsid w:val="39386575"/>
    <w:multiLevelType w:val="hybridMultilevel"/>
    <w:lvl w:ilvl="0">
      <w:lvlJc w:val="left"/>
      <w:lvlText w:val="Ÿ"/>
      <w:numFmt w:val="bullet"/>
      <w:start w:val="1"/>
    </w:lvl>
  </w:abstractNum>
  <w:abstractNum w:abstractNumId="20">
    <w:nsid w:val="1CF10FD8"/>
    <w:multiLevelType w:val="hybridMultilevel"/>
    <w:lvl w:ilvl="0">
      <w:lvlJc w:val="left"/>
      <w:lvlText w:val="Ÿ"/>
      <w:numFmt w:val="bullet"/>
      <w:start w:val="1"/>
    </w:lvl>
    <w:lvl w:ilvl="1">
      <w:lvlJc w:val="left"/>
      <w:lvlText w:val="Ÿ"/>
      <w:numFmt w:val="bullet"/>
      <w:start w:val="1"/>
    </w:lvl>
  </w:abstractNum>
  <w:abstractNum w:abstractNumId="21">
    <w:nsid w:val="180115BE"/>
    <w:multiLevelType w:val="hybridMultilevel"/>
    <w:lvl w:ilvl="0">
      <w:lvlJc w:val="left"/>
      <w:lvlText w:val="Ÿ"/>
      <w:numFmt w:val="bullet"/>
      <w:start w:val="1"/>
    </w:lvl>
  </w:abstractNum>
  <w:abstractNum w:abstractNumId="22">
    <w:nsid w:val="235BA861"/>
    <w:multiLevelType w:val="hybridMultilevel"/>
    <w:lvl w:ilvl="0">
      <w:lvlJc w:val="left"/>
      <w:lvlText w:val="Ÿ"/>
      <w:numFmt w:val="bullet"/>
      <w:start w:val="1"/>
    </w:lvl>
  </w:abstractNum>
  <w:abstractNum w:abstractNumId="23">
    <w:nsid w:val="47398C89"/>
    <w:multiLevelType w:val="hybridMultilevel"/>
    <w:lvl w:ilvl="0">
      <w:lvlJc w:val="left"/>
      <w:lvlText w:val="Ÿ"/>
      <w:numFmt w:val="bullet"/>
      <w:start w:val="1"/>
    </w:lvl>
  </w:abstractNum>
  <w:abstractNum w:abstractNumId="24">
    <w:nsid w:val="354FE9F9"/>
    <w:multiLevelType w:val="hybridMultilevel"/>
    <w:lvl w:ilvl="0">
      <w:lvlJc w:val="left"/>
      <w:lvlText w:val="Ÿ"/>
      <w:numFmt w:val="bullet"/>
      <w:start w:val="1"/>
    </w:lvl>
  </w:abstractNum>
  <w:abstractNum w:abstractNumId="25">
    <w:nsid w:val="15B5AF5C"/>
    <w:multiLevelType w:val="hybridMultilevel"/>
    <w:lvl w:ilvl="0">
      <w:lvlJc w:val="left"/>
      <w:lvlText w:val="Ÿ"/>
      <w:numFmt w:val="bullet"/>
      <w:start w:val="1"/>
    </w:lvl>
  </w:abstractNum>
  <w:abstractNum w:abstractNumId="26">
    <w:nsid w:val="741226BB"/>
    <w:multiLevelType w:val="hybridMultilevel"/>
    <w:lvl w:ilvl="0">
      <w:lvlJc w:val="left"/>
      <w:lvlText w:val="(%1)"/>
      <w:numFmt w:val="lowerRoman"/>
      <w:start w:val="1"/>
    </w:lvl>
  </w:abstractNum>
  <w:abstractNum w:abstractNumId="27">
    <w:nsid w:val="D34B6A8"/>
    <w:multiLevelType w:val="hybridMultilevel"/>
    <w:lvl w:ilvl="0">
      <w:lvlJc w:val="left"/>
      <w:lvlText w:val="(%1)"/>
      <w:numFmt w:val="lowerRoman"/>
      <w:start w:val="1"/>
    </w:lvl>
  </w:abstractNum>
  <w:abstractNum w:abstractNumId="28">
    <w:nsid w:val="10233C99"/>
    <w:multiLevelType w:val="hybridMultilevel"/>
    <w:lvl w:ilvl="0">
      <w:lvlJc w:val="left"/>
      <w:lvlText w:val="(%1)"/>
      <w:numFmt w:val="lowerLetter"/>
      <w:start w:val="1"/>
    </w:lvl>
  </w:abstractNum>
  <w:abstractNum w:abstractNumId="29">
    <w:nsid w:val="3F6AB60F"/>
    <w:multiLevelType w:val="hybridMultilevel"/>
    <w:lvl w:ilvl="0">
      <w:lvlJc w:val="left"/>
      <w:lvlText w:val="Ÿ"/>
      <w:numFmt w:val="bullet"/>
      <w:start w:val="1"/>
    </w:lvl>
    <w:lvl w:ilvl="1">
      <w:lvlJc w:val="left"/>
      <w:lvlText w:val="Ÿ"/>
      <w:numFmt w:val="bullet"/>
      <w:start w:val="1"/>
    </w:lvl>
  </w:abstractNum>
  <w:abstractNum w:abstractNumId="30">
    <w:nsid w:val="61574095"/>
    <w:multiLevelType w:val="hybridMultilevel"/>
    <w:lvl w:ilvl="0">
      <w:lvlJc w:val="left"/>
      <w:lvlText w:val="Ÿ"/>
      <w:numFmt w:val="bullet"/>
      <w:start w:val="1"/>
    </w:lvl>
  </w:abstractNum>
  <w:abstractNum w:abstractNumId="31">
    <w:nsid w:val="7E0C57B1"/>
    <w:multiLevelType w:val="hybridMultilevel"/>
    <w:lvl w:ilvl="0">
      <w:lvlJc w:val="left"/>
      <w:lvlText w:val="Ÿ"/>
      <w:numFmt w:val="bullet"/>
      <w:start w:val="1"/>
    </w:lvl>
  </w:abstractNum>
  <w:abstractNum w:abstractNumId="32">
    <w:nsid w:val="77AE35EB"/>
    <w:multiLevelType w:val="hybridMultilevel"/>
    <w:lvl w:ilvl="0">
      <w:lvlJc w:val="left"/>
      <w:lvlText w:val="Ÿ"/>
      <w:numFmt w:val="bullet"/>
      <w:start w:val="1"/>
    </w:lvl>
  </w:abstractNum>
  <w:abstractNum w:abstractNumId="33">
    <w:nsid w:val="579BE4F1"/>
    <w:multiLevelType w:val="hybridMultilevel"/>
    <w:lvl w:ilvl="0">
      <w:lvlJc w:val="left"/>
      <w:lvlText w:val="Ÿ"/>
      <w:numFmt w:val="bullet"/>
      <w:start w:val="1"/>
    </w:lvl>
  </w:abstractNum>
  <w:abstractNum w:abstractNumId="34">
    <w:nsid w:val="310C50B3"/>
    <w:multiLevelType w:val="hybridMultilevel"/>
    <w:lvl w:ilvl="0">
      <w:lvlJc w:val="left"/>
      <w:lvlText w:val="%1."/>
      <w:numFmt w:val="decimal"/>
      <w:start w:val="1"/>
    </w:lvl>
  </w:abstractNum>
  <w:abstractNum w:abstractNumId="35">
    <w:nsid w:val="5FF87E05"/>
    <w:multiLevelType w:val="hybridMultilevel"/>
    <w:lvl w:ilvl="0">
      <w:lvlJc w:val="left"/>
      <w:lvlText w:val="(%1)"/>
      <w:numFmt w:val="decimal"/>
      <w:start w:val="1"/>
    </w:lvl>
  </w:abstractNum>
  <w:abstractNum w:abstractNumId="36">
    <w:nsid w:val="2F305DEF"/>
    <w:multiLevelType w:val="hybridMultilevel"/>
    <w:lvl w:ilvl="0">
      <w:lvlJc w:val="left"/>
      <w:lvlText w:val="(%1)"/>
      <w:numFmt w:val="decimal"/>
      <w:start w:val="8"/>
    </w:lvl>
  </w:abstractNum>
  <w:abstractNum w:abstractNumId="37">
    <w:nsid w:val="25A70BF7"/>
    <w:multiLevelType w:val="hybridMultilevel"/>
    <w:lvl w:ilvl="0">
      <w:lvlJc w:val="left"/>
      <w:lvlText w:val="%1."/>
      <w:numFmt w:val="decimal"/>
      <w:start w:val="1"/>
    </w:lvl>
  </w:abstractNum>
  <w:abstractNum w:abstractNumId="38">
    <w:nsid w:val="1DBABF00"/>
    <w:multiLevelType w:val="hybridMultilevel"/>
    <w:lvl w:ilvl="0">
      <w:lvlJc w:val="left"/>
      <w:lvlText w:val="%1."/>
      <w:numFmt w:val="decimal"/>
      <w:start w:val="2"/>
    </w:lvl>
  </w:abstractNum>
  <w:abstractNum w:abstractNumId="39">
    <w:nsid w:val="4AD084E9"/>
    <w:multiLevelType w:val="hybridMultilevel"/>
    <w:lvl w:ilvl="0">
      <w:lvlJc w:val="left"/>
      <w:lvlText w:val="%1."/>
      <w:numFmt w:val="decimal"/>
      <w:start w:val="3"/>
    </w:lvl>
  </w:abstractNum>
  <w:abstractNum w:abstractNumId="40">
    <w:nsid w:val="1F48EAA1"/>
    <w:multiLevelType w:val="hybridMultilevel"/>
    <w:lvl w:ilvl="0">
      <w:lvlJc w:val="left"/>
      <w:lvlText w:val="%1."/>
      <w:numFmt w:val="decimal"/>
      <w:start w:val="4"/>
    </w:lvl>
  </w:abstractNum>
  <w:abstractNum w:abstractNumId="41">
    <w:nsid w:val="1381823A"/>
    <w:multiLevelType w:val="hybridMultilevel"/>
    <w:lvl w:ilvl="0">
      <w:lvlJc w:val="left"/>
      <w:lvlText w:val="%1."/>
      <w:numFmt w:val="decimal"/>
      <w:start w:val="5"/>
    </w:lvl>
  </w:abstractNum>
  <w:abstractNum w:abstractNumId="42">
    <w:nsid w:val="5DB70AE5"/>
    <w:multiLevelType w:val="hybridMultilevel"/>
    <w:lvl w:ilvl="0">
      <w:lvlJc w:val="left"/>
      <w:lvlText w:val="%1."/>
      <w:numFmt w:val="decimal"/>
      <w:start w:val="6"/>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1)"/>
      <w:numFmt w:val="upperLetter"/>
      <w:start w:val="2"/>
    </w:lvl>
  </w:abstractNum>
  <w:abstractNum w:abstractNumId="46">
    <w:nsid w:val="5F5E7FD0"/>
    <w:multiLevelType w:val="hybridMultilevel"/>
    <w:lvl w:ilvl="0">
      <w:lvlJc w:val="left"/>
      <w:lvlText w:val="%1."/>
      <w:numFmt w:val="decimal"/>
      <w:start w:val="7"/>
    </w:lvl>
  </w:abstractNum>
  <w:abstractNum w:abstractNumId="47">
    <w:nsid w:val="98A3148"/>
    <w:multiLevelType w:val="hybridMultilevel"/>
    <w:lvl w:ilvl="0">
      <w:lvlJc w:val="left"/>
      <w:lvlText w:val="%1."/>
      <w:numFmt w:val="decimal"/>
      <w:start w:val="8"/>
    </w:lvl>
  </w:abstractNum>
  <w:abstractNum w:abstractNumId="48">
    <w:nsid w:val="799D0247"/>
    <w:multiLevelType w:val="hybridMultilevel"/>
    <w:lvl w:ilvl="0">
      <w:lvlJc w:val="left"/>
      <w:lvlText w:val="%1."/>
      <w:numFmt w:val="decimal"/>
      <w:start w:val="9"/>
    </w:lvl>
  </w:abstractNum>
  <w:abstractNum w:abstractNumId="49">
    <w:nsid w:val="6B94764"/>
    <w:multiLevelType w:val="hybridMultilevel"/>
    <w:lvl w:ilvl="0">
      <w:lvlJc w:val="left"/>
      <w:lvlText w:val="%1."/>
      <w:numFmt w:val="decimal"/>
      <w:start w:val="10"/>
    </w:lvl>
  </w:abstractNum>
  <w:abstractNum w:abstractNumId="50">
    <w:nsid w:val="42C296BD"/>
    <w:multiLevelType w:val="hybridMultilevel"/>
    <w:lvl w:ilvl="0">
      <w:lvlJc w:val="left"/>
      <w:lvlText w:val="%1."/>
      <w:numFmt w:val="decimal"/>
      <w:start w:val="11"/>
    </w:lvl>
  </w:abstractNum>
  <w:abstractNum w:abstractNumId="51">
    <w:nsid w:val="168E121F"/>
    <w:multiLevelType w:val="hybridMultilevel"/>
    <w:lvl w:ilvl="0">
      <w:lvlJc w:val="left"/>
      <w:lvlText w:val="%1."/>
      <w:numFmt w:val="decimal"/>
      <w:start w:val="12"/>
    </w:lvl>
  </w:abstractNum>
  <w:abstractNum w:abstractNumId="52">
    <w:nsid w:val="1EBA5D23"/>
    <w:multiLevelType w:val="hybridMultilevel"/>
    <w:lvl w:ilvl="0">
      <w:lvlJc w:val="left"/>
      <w:lvlText w:val="%1."/>
      <w:numFmt w:val="decimal"/>
      <w:start w:val="13"/>
    </w:lvl>
  </w:abstractNum>
  <w:abstractNum w:abstractNumId="53">
    <w:nsid w:val="661E3F1E"/>
    <w:multiLevelType w:val="hybridMultilevel"/>
    <w:lvl w:ilvl="0">
      <w:lvlJc w:val="left"/>
      <w:lvlText w:val="%1."/>
      <w:numFmt w:val="decimal"/>
      <w:start w:val="14"/>
    </w:lvl>
  </w:abstractNum>
  <w:abstractNum w:abstractNumId="54">
    <w:nsid w:val="5DC79EA8"/>
    <w:multiLevelType w:val="hybridMultilevel"/>
    <w:lvl w:ilvl="0">
      <w:lvlJc w:val="left"/>
      <w:lvlText w:val="%1."/>
      <w:numFmt w:val="decimal"/>
      <w:start w:val="15"/>
    </w:lvl>
  </w:abstractNum>
  <w:abstractNum w:abstractNumId="55">
    <w:nsid w:val="540A471C"/>
    <w:multiLevelType w:val="hybridMultilevel"/>
    <w:lvl w:ilvl="0">
      <w:lvlJc w:val="left"/>
      <w:lvlText w:val="%1."/>
      <w:numFmt w:val="decimal"/>
      <w:start w:val="16"/>
    </w:lvl>
  </w:abstractNum>
  <w:abstractNum w:abstractNumId="56">
    <w:nsid w:val="7BD3EE7B"/>
    <w:multiLevelType w:val="hybridMultilevel"/>
    <w:lvl w:ilvl="0">
      <w:lvlJc w:val="left"/>
      <w:lvlText w:val="%1."/>
      <w:numFmt w:val="decimal"/>
      <w:start w:val="17"/>
    </w:lvl>
  </w:abstractNum>
  <w:abstractNum w:abstractNumId="57">
    <w:nsid w:val="51D9C564"/>
    <w:multiLevelType w:val="hybridMultilevel"/>
    <w:lvl w:ilvl="0">
      <w:lvlJc w:val="left"/>
      <w:lvlText w:val="%1."/>
      <w:numFmt w:val="decimal"/>
      <w:start w:val="18"/>
    </w:lvl>
  </w:abstractNum>
  <w:abstractNum w:abstractNumId="58">
    <w:nsid w:val="613EFDC5"/>
    <w:multiLevelType w:val="hybridMultilevel"/>
    <w:lvl w:ilvl="0">
      <w:lvlJc w:val="left"/>
      <w:lvlText w:val="(%1)"/>
      <w:numFmt w:val="lowerRoman"/>
      <w:start w:val="2"/>
    </w:lvl>
  </w:abstractNum>
  <w:abstractNum w:abstractNumId="59">
    <w:nsid w:val="BF72B14"/>
    <w:multiLevelType w:val="hybridMultilevel"/>
    <w:lvl w:ilvl="0">
      <w:lvlJc w:val="left"/>
      <w:lvlText w:val="(%1)"/>
      <w:numFmt w:val="lowerLetter"/>
      <w:start w:val="1"/>
    </w:lvl>
  </w:abstractNum>
  <w:abstractNum w:abstractNumId="60">
    <w:nsid w:val="11447B73"/>
    <w:multiLevelType w:val="hybridMultilevel"/>
    <w:lvl w:ilvl="0">
      <w:lvlJc w:val="left"/>
      <w:lvlText w:val="(%1)"/>
      <w:numFmt w:val="lowerRoman"/>
      <w:start w:val="1"/>
    </w:lvl>
  </w:abstractNum>
  <w:abstractNum w:abstractNumId="61">
    <w:nsid w:val="42963E5A"/>
    <w:multiLevelType w:val="hybridMultilevel"/>
    <w:lvl w:ilvl="0">
      <w:lvlJc w:val="left"/>
      <w:lvlText w:val="(%1)"/>
      <w:numFmt w:val="lowerLetter"/>
      <w:start w:val="1"/>
    </w:lvl>
  </w:abstractNum>
  <w:abstractNum w:abstractNumId="62">
    <w:nsid w:val="A0382C5"/>
    <w:multiLevelType w:val="hybridMultilevel"/>
    <w:lvl w:ilvl="0">
      <w:lvlJc w:val="left"/>
      <w:lvlText w:val="%1."/>
      <w:numFmt w:val="decimal"/>
      <w:start w:val="1"/>
    </w:lvl>
  </w:abstractNum>
  <w:abstractNum w:abstractNumId="63">
    <w:nsid w:val="8F2B15E"/>
    <w:multiLevelType w:val="hybridMultilevel"/>
    <w:lvl w:ilvl="0">
      <w:lvlJc w:val="left"/>
      <w:lvlText w:val="%1."/>
      <w:numFmt w:val="decimal"/>
      <w:start w:val="2"/>
    </w:lvl>
  </w:abstractNum>
  <w:abstractNum w:abstractNumId="64">
    <w:nsid w:val="1A32234B"/>
    <w:multiLevelType w:val="hybridMultilevel"/>
    <w:lvl w:ilvl="0">
      <w:lvlJc w:val="left"/>
      <w:lvlText w:val="%1."/>
      <w:numFmt w:val="decimal"/>
      <w:start w:val="3"/>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1."/>
      <w:numFmt w:val="decimal"/>
      <w:start w:val="6"/>
    </w:lvl>
  </w:abstractNum>
  <w:abstractNum w:abstractNumId="67">
    <w:nsid w:val="4962813B"/>
    <w:multiLevelType w:val="hybridMultilevel"/>
    <w:lvl w:ilvl="0">
      <w:lvlJc w:val="left"/>
      <w:lvlText w:val="%1."/>
      <w:numFmt w:val="decimal"/>
      <w:start w:val="8"/>
    </w:lvl>
  </w:abstractNum>
  <w:abstractNum w:abstractNumId="68">
    <w:nsid w:val="60B6DF70"/>
    <w:multiLevelType w:val="hybridMultilevel"/>
    <w:lvl w:ilvl="0">
      <w:lvlJc w:val="left"/>
      <w:lvlText w:val="%1."/>
      <w:numFmt w:val="decimal"/>
      <w:start w:val="9"/>
    </w:lvl>
  </w:abstractNum>
  <w:abstractNum w:abstractNumId="69">
    <w:nsid w:val="6A5EE64"/>
    <w:multiLevelType w:val="hybridMultilevel"/>
    <w:lvl w:ilvl="0">
      <w:lvlJc w:val="left"/>
      <w:lvlText w:val="%1."/>
      <w:numFmt w:val="decimal"/>
      <w:start w:val="10"/>
    </w:lvl>
  </w:abstractNum>
  <w:abstractNum w:abstractNumId="70">
    <w:nsid w:val="14330624"/>
    <w:multiLevelType w:val="hybridMultilevel"/>
    <w:lvl w:ilvl="0">
      <w:lvlJc w:val="left"/>
      <w:lvlText w:val="%1)"/>
      <w:numFmt w:val="lowerLetter"/>
      <w:start w:val="1"/>
    </w:lvl>
  </w:abstractNum>
  <w:abstractNum w:abstractNumId="71">
    <w:nsid w:val="7FFFCA11"/>
    <w:multiLevelType w:val="hybridMultilevel"/>
    <w:lvl w:ilvl="0">
      <w:lvlJc w:val="left"/>
      <w:lvlText w:val="%1)"/>
      <w:numFmt w:val="lowerLetter"/>
      <w:start w:val="1"/>
    </w:lvl>
  </w:abstractNum>
  <w:abstractNum w:abstractNumId="72">
    <w:nsid w:val="1A27709E"/>
    <w:multiLevelType w:val="hybridMultilevel"/>
    <w:lvl w:ilvl="0">
      <w:lvlJc w:val="left"/>
      <w:lvlText w:val="%1."/>
      <w:numFmt w:val="decimal"/>
      <w:start w:val="1"/>
    </w:lvl>
  </w:abstractNum>
  <w:abstractNum w:abstractNumId="73">
    <w:nsid w:val="71EA1109"/>
    <w:multiLevelType w:val="hybridMultilevel"/>
    <w:lvl w:ilvl="0">
      <w:lvlJc w:val="left"/>
      <w:lvlText w:val="%1."/>
      <w:numFmt w:val="decimal"/>
      <w:start w:val="2"/>
    </w:lvl>
  </w:abstractNum>
  <w:abstractNum w:abstractNumId="74">
    <w:nsid w:val="100F59DC"/>
    <w:multiLevelType w:val="hybridMultilevel"/>
    <w:lvl w:ilvl="0">
      <w:lvlJc w:val="left"/>
      <w:lvlText w:val="%1."/>
      <w:numFmt w:val="decimal"/>
      <w:start w:val="3"/>
    </w:lvl>
    <w:lvl w:ilvl="1">
      <w:lvlJc w:val="left"/>
      <w:lvlText w:val="•"/>
      <w:numFmt w:val="bullet"/>
      <w:start w:val="1"/>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1."/>
      <w:numFmt w:val="decimal"/>
      <w:start w:val="4"/>
    </w:lvl>
  </w:abstractNum>
  <w:abstractNum w:abstractNumId="77">
    <w:nsid w:val="6F6DD9AC"/>
    <w:multiLevelType w:val="hybridMultilevel"/>
    <w:lvl w:ilvl="0">
      <w:lvlJc w:val="left"/>
      <w:lvlText w:val="%1."/>
      <w:numFmt w:val="decimal"/>
      <w:start w:val="8"/>
    </w:lvl>
  </w:abstractNum>
  <w:abstractNum w:abstractNumId="78">
    <w:nsid w:val="94211F2"/>
    <w:multiLevelType w:val="hybridMultilevel"/>
    <w:lvl w:ilvl="0">
      <w:lvlJc w:val="left"/>
      <w:lvlText w:val="%1."/>
      <w:numFmt w:val="decimal"/>
      <w:start w:val="11"/>
    </w:lvl>
  </w:abstractNum>
  <w:abstractNum w:abstractNumId="79">
    <w:nsid w:val="885E1B"/>
    <w:multiLevelType w:val="hybridMultilevel"/>
    <w:lvl w:ilvl="0">
      <w:lvlJc w:val="left"/>
      <w:lvlText w:val="%1)"/>
      <w:numFmt w:val="lowerLetter"/>
      <w:start w:val="1"/>
    </w:lvl>
  </w:abstractNum>
  <w:abstractNum w:abstractNumId="80">
    <w:nsid w:val="76272110"/>
    <w:multiLevelType w:val="hybridMultilevel"/>
    <w:lvl w:ilvl="0">
      <w:lvlJc w:val="left"/>
      <w:lvlText w:val="%1)"/>
      <w:numFmt w:val="lowerLetter"/>
      <w:start w:val="1"/>
    </w:lvl>
  </w:abstractNum>
  <w:abstractNum w:abstractNumId="81">
    <w:nsid w:val="4C04A8AF"/>
    <w:multiLevelType w:val="hybridMultilevel"/>
    <w:lvl w:ilvl="0">
      <w:lvlJc w:val="left"/>
      <w:lvlText w:val="%1."/>
      <w:numFmt w:val="decimal"/>
      <w:start w:val="1"/>
    </w:lvl>
  </w:abstractNum>
  <w:abstractNum w:abstractNumId="82">
    <w:nsid w:val="1716703B"/>
    <w:multiLevelType w:val="hybridMultilevel"/>
    <w:lvl w:ilvl="0">
      <w:lvlJc w:val="left"/>
      <w:lvlText w:val="%1."/>
      <w:numFmt w:val="decimal"/>
      <w:start w:val="2"/>
    </w:lvl>
    <w:lvl w:ilvl="1">
      <w:lvlJc w:val="left"/>
      <w:lvlText w:val="•"/>
      <w:numFmt w:val="bullet"/>
      <w:start w:val="1"/>
    </w:lvl>
  </w:abstractNum>
  <w:abstractNum w:abstractNumId="83">
    <w:nsid w:val="14E17E33"/>
    <w:multiLevelType w:val="hybridMultilevel"/>
    <w:lvl w:ilvl="0">
      <w:lvlJc w:val="left"/>
      <w:lvlText w:val="•"/>
      <w:numFmt w:val="bullet"/>
      <w:start w:val="1"/>
    </w:lvl>
  </w:abstractNum>
  <w:abstractNum w:abstractNumId="84">
    <w:nsid w:val="3222E7CD"/>
    <w:multiLevelType w:val="hybridMultilevel"/>
    <w:lvl w:ilvl="0">
      <w:lvlJc w:val="left"/>
      <w:lvlText w:val="%1."/>
      <w:numFmt w:val="decimal"/>
      <w:start w:val="3"/>
    </w:lvl>
  </w:abstractNum>
  <w:abstractNum w:abstractNumId="85">
    <w:nsid w:val="74DE0EE3"/>
    <w:multiLevelType w:val="hybridMultilevel"/>
    <w:lvl w:ilvl="0">
      <w:lvlJc w:val="left"/>
      <w:lvlText w:val="%1."/>
      <w:numFmt w:val="decimal"/>
      <w:start w:val="5"/>
    </w:lvl>
  </w:abstractNum>
  <w:abstractNum w:abstractNumId="86">
    <w:nsid w:val="68EBC550"/>
    <w:multiLevelType w:val="hybridMultilevel"/>
    <w:lvl w:ilvl="0">
      <w:lvlJc w:val="left"/>
      <w:lvlText w:val="%1."/>
      <w:numFmt w:val="decimal"/>
      <w:start w:val="6"/>
    </w:lvl>
  </w:abstractNum>
  <w:abstractNum w:abstractNumId="87">
    <w:nsid w:val="2DF6D648"/>
    <w:multiLevelType w:val="hybridMultilevel"/>
    <w:lvl w:ilvl="0">
      <w:lvlJc w:val="left"/>
      <w:lvlText w:val="%1."/>
      <w:numFmt w:val="decimal"/>
      <w:start w:val="7"/>
    </w:lvl>
  </w:abstractNum>
  <w:abstractNum w:abstractNumId="88">
    <w:nsid w:val="46B7D447"/>
    <w:multiLevelType w:val="hybridMultilevel"/>
    <w:lvl w:ilvl="0">
      <w:lvlJc w:val="left"/>
      <w:lvlText w:val="%1."/>
      <w:numFmt w:val="decimal"/>
      <w:start w:val="8"/>
    </w:lvl>
  </w:abstractNum>
  <w:abstractNum w:abstractNumId="89">
    <w:nsid w:val="4A2AC315"/>
    <w:multiLevelType w:val="hybridMultilevel"/>
    <w:lvl w:ilvl="0">
      <w:lvlJc w:val="left"/>
      <w:lvlText w:val="%1."/>
      <w:numFmt w:val="lowerRoman"/>
      <w:start w:val="2"/>
    </w:lvl>
    <w:lvl w:ilvl="1">
      <w:lvlJc w:val="left"/>
      <w:lvlText w:val="%2."/>
      <w:numFmt w:val="upperLetter"/>
      <w:start w:val="1"/>
    </w:lvl>
  </w:abstractNum>
  <w:abstractNum w:abstractNumId="90">
    <w:nsid w:val="39EE015C"/>
    <w:multiLevelType w:val="hybridMultilevel"/>
    <w:lvl w:ilvl="0">
      <w:lvlJc w:val="left"/>
      <w:lvlText w:val="%1."/>
      <w:numFmt w:val="lowerRoman"/>
      <w:start w:val="2"/>
    </w:lvl>
    <w:lvl w:ilvl="1">
      <w:lvlJc w:val="left"/>
      <w:lvlText w:val="%2."/>
      <w:numFmt w:val="upperLetter"/>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2019-12-09T10:05:25Z</dcterms:created>
  <dcterms:modified xsi:type="dcterms:W3CDTF">2019-12-09T10:05:25Z</dcterms:modified>
</cp:coreProperties>
</file>