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September 17, 2003</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1-12154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73-1309529</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3280" w:space="620"/>
            <w:col w:w="1280" w:space="720"/>
            <w:col w:w="4319"/>
          </w:cols>
          <w:pgMar w:left="240" w:top="452" w:right="1440" w:bottom="1440" w:gutter="0" w:footer="0" w:header="0"/>
          <w:type w:val="continuous"/>
        </w:sect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1001 Fannin Street, Suite 4000</w:t>
      </w:r>
    </w:p>
    <w:p>
      <w:pPr>
        <w:ind w:left="128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452" w:right="1440" w:bottom="1440" w:gutter="0" w:footer="0" w:header="0"/>
          <w:type w:val="continuous"/>
        </w:sectPr>
      </w:pPr>
    </w:p>
    <w:p>
      <w:pPr>
        <w:spacing w:after="0" w:line="226" w:lineRule="exact"/>
        <w:rPr>
          <w:sz w:val="24"/>
          <w:szCs w:val="24"/>
          <w:color w:val="auto"/>
        </w:rPr>
      </w:pPr>
    </w:p>
    <w:p>
      <w:pPr>
        <w:ind w:left="3480"/>
        <w:spacing w:after="0"/>
        <w:rPr>
          <w:sz w:val="20"/>
          <w:szCs w:val="20"/>
          <w:color w:val="auto"/>
        </w:rPr>
      </w:pPr>
      <w:r>
        <w:rPr>
          <w:rFonts w:ascii="Courier New" w:cs="Courier New" w:eastAsia="Courier New" w:hAnsi="Courier New"/>
          <w:sz w:val="16"/>
          <w:szCs w:val="16"/>
          <w:color w:val="auto"/>
        </w:rPr>
        <w:t>(713) 512-6200</w:t>
      </w:r>
    </w:p>
    <w:p>
      <w:pPr>
        <w:sectPr>
          <w:pgSz w:w="11900" w:h="16838" w:orient="portrait"/>
          <w:cols w:equalWidth="0" w:num="1">
            <w:col w:w="10219"/>
          </w:cols>
          <w:pgMar w:left="240" w:top="452" w:right="1440" w:bottom="1440" w:gutter="0" w:footer="0" w:header="0"/>
          <w:type w:val="continuous"/>
        </w:sectPr>
      </w:pP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280" w:hanging="535"/>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Waste Management, Inc. (the "Company") today announced that it has fulfilled its final funding obligations under its previously announced $457 million class action settlement. After considering insurance, tax deductions and related settlement costs, the net cash outflow by the Company was approximately $220 million.</w:t>
      </w: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payment relates to a consolidated class action filed in July 1999. The settlement had been announced in 2001 and the class period covered conduct that occurred in 1998 and 1999, including conduct with respect to the 1998 merger between the Company, then known as USA Waste Services, and Old Waste Management. This period of time predates the Company's current executive management team.</w:t>
      </w:r>
    </w:p>
    <w:p>
      <w:pPr>
        <w:spacing w:after="0" w:line="185"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In November 2001, the Company announced the agreement to settle the consolidated class action. The settlement was approved by the Court in May 2002.</w:t>
      </w:r>
    </w:p>
    <w:p>
      <w:pPr>
        <w:spacing w:after="0" w:line="170"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Although there remain outstanding matters involving the SEC and former employees of the Company, those are between the SEC and those individuals, and the Company is not the subject of any ongoing SEC actions.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final payment resolves this class action litigation. "From our perspective, we see this as a positive announcement. Settlement of the class action in 2001 had always been one of the biggest steps taken by the Company to put behind us the events of the past." said A. Maurice Myers, Chairman, President and Chief Executive Officer of the Company.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17,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/s/Lawrence O'Donnell, III</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Lawrence O'Donnell, III</w:t>
      </w:r>
    </w:p>
    <w:p>
      <w:pPr>
        <w:ind w:left="420"/>
        <w:spacing w:after="0" w:line="237" w:lineRule="auto"/>
        <w:rPr>
          <w:sz w:val="20"/>
          <w:szCs w:val="20"/>
          <w:color w:val="auto"/>
        </w:rPr>
      </w:pPr>
      <w:r>
        <w:rPr>
          <w:rFonts w:ascii="Courier New" w:cs="Courier New" w:eastAsia="Courier New" w:hAnsi="Courier New"/>
          <w:sz w:val="18"/>
          <w:szCs w:val="18"/>
          <w:color w:val="auto"/>
        </w:rPr>
        <w:t>Executive Vice President- Operations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Support &amp; Chief Administrative Officer</w:t>
      </w:r>
    </w:p>
    <w:p>
      <w:pPr>
        <w:spacing w:after="0" w:line="200" w:lineRule="exact"/>
        <w:rPr>
          <w:sz w:val="20"/>
          <w:szCs w:val="20"/>
          <w:color w:val="auto"/>
        </w:rPr>
      </w:pPr>
    </w:p>
    <w:p>
      <w:pPr>
        <w:sectPr>
          <w:pgSz w:w="11900" w:h="16838" w:orient="portrait"/>
          <w:cols w:equalWidth="0" w:num="3">
            <w:col w:w="540" w:space="200"/>
            <w:col w:w="2560" w:space="720"/>
            <w:col w:w="6199"/>
          </w:cols>
          <w:pgMar w:left="240" w:top="717"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2019-12-20T03:42:39Z</dcterms:created>
  <dcterms:modified xsi:type="dcterms:W3CDTF">2019-12-20T03:42:39Z</dcterms:modified>
</cp:coreProperties>
</file>